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仿宋_GB2312"/>
          <w:color w:val="000000"/>
          <w:sz w:val="36"/>
          <w:szCs w:val="36"/>
        </w:rPr>
      </w:pPr>
      <w:bookmarkStart w:id="37" w:name="_GoBack"/>
    </w:p>
    <w:p>
      <w:pPr>
        <w:rPr>
          <w:rFonts w:eastAsia="仿宋_GB2312"/>
          <w:color w:val="000000"/>
          <w:sz w:val="36"/>
          <w:szCs w:val="36"/>
        </w:rPr>
      </w:pPr>
    </w:p>
    <w:p>
      <w:pPr>
        <w:rPr>
          <w:rFonts w:eastAsia="仿宋_GB2312"/>
          <w:color w:val="000000"/>
          <w:sz w:val="36"/>
          <w:szCs w:val="36"/>
        </w:rPr>
      </w:pPr>
    </w:p>
    <w:p>
      <w:pPr>
        <w:rPr>
          <w:rFonts w:eastAsia="仿宋_GB2312"/>
          <w:color w:val="000000"/>
          <w:sz w:val="36"/>
          <w:szCs w:val="36"/>
        </w:rPr>
      </w:pPr>
    </w:p>
    <w:p>
      <w:pPr>
        <w:rPr>
          <w:rFonts w:eastAsia="仿宋_GB2312"/>
          <w:color w:val="000000"/>
          <w:sz w:val="36"/>
          <w:szCs w:val="36"/>
        </w:rPr>
      </w:pPr>
    </w:p>
    <w:p>
      <w:pPr>
        <w:adjustRightInd w:val="0"/>
        <w:snapToGrid w:val="0"/>
        <w:jc w:val="center"/>
        <w:outlineLvl w:val="0"/>
        <w:rPr>
          <w:rFonts w:eastAsia="方正小标宋_GBK"/>
          <w:bCs/>
          <w:color w:val="000000"/>
          <w:sz w:val="72"/>
          <w:szCs w:val="72"/>
        </w:rPr>
      </w:pPr>
      <w:r>
        <w:rPr>
          <w:rFonts w:eastAsia="方正小标宋_GBK"/>
          <w:bCs/>
          <w:color w:val="000000"/>
          <w:sz w:val="72"/>
          <w:szCs w:val="72"/>
        </w:rPr>
        <w:t>建设项目环境影响报告表</w:t>
      </w:r>
    </w:p>
    <w:p>
      <w:pPr>
        <w:adjustRightInd w:val="0"/>
        <w:snapToGrid w:val="0"/>
        <w:spacing w:beforeLines="80"/>
        <w:jc w:val="center"/>
        <w:rPr>
          <w:color w:val="000000"/>
        </w:rPr>
      </w:pPr>
      <w:r>
        <w:rPr>
          <w:rFonts w:eastAsia="楷体_GB2312"/>
          <w:bCs/>
          <w:color w:val="000000"/>
          <w:sz w:val="48"/>
          <w:szCs w:val="48"/>
        </w:rPr>
        <w:t>（</w:t>
      </w:r>
      <w:r>
        <w:rPr>
          <w:rFonts w:hint="eastAsia" w:eastAsia="楷体_GB2312"/>
          <w:bCs/>
          <w:color w:val="000000"/>
          <w:sz w:val="48"/>
          <w:szCs w:val="48"/>
        </w:rPr>
        <w:t>污染</w:t>
      </w:r>
      <w:r>
        <w:rPr>
          <w:rFonts w:eastAsia="楷体_GB2312"/>
          <w:bCs/>
          <w:color w:val="000000"/>
          <w:sz w:val="48"/>
          <w:szCs w:val="48"/>
        </w:rPr>
        <w:t>影响类）</w:t>
      </w:r>
    </w:p>
    <w:p>
      <w:pPr>
        <w:adjustRightInd w:val="0"/>
        <w:snapToGrid w:val="0"/>
        <w:spacing w:beforeLines="80"/>
        <w:jc w:val="center"/>
        <w:rPr>
          <w:rFonts w:eastAsia="楷体_GB2312"/>
          <w:bCs/>
          <w:color w:val="000000"/>
          <w:sz w:val="48"/>
          <w:szCs w:val="48"/>
        </w:rPr>
      </w:pPr>
    </w:p>
    <w:p>
      <w:pPr>
        <w:jc w:val="center"/>
        <w:rPr>
          <w:rFonts w:eastAsia="仿宋"/>
          <w:color w:val="000000"/>
          <w:sz w:val="52"/>
          <w:szCs w:val="52"/>
        </w:rPr>
      </w:pPr>
    </w:p>
    <w:p>
      <w:pPr>
        <w:pStyle w:val="30"/>
        <w:rPr>
          <w:color w:val="000000"/>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ind w:firstLine="1040"/>
        <w:rPr>
          <w:rFonts w:eastAsia="仿宋"/>
          <w:color w:val="000000"/>
          <w:sz w:val="44"/>
          <w:szCs w:val="44"/>
        </w:rPr>
      </w:pPr>
    </w:p>
    <w:p>
      <w:pPr>
        <w:adjustRightInd w:val="0"/>
        <w:snapToGrid w:val="0"/>
        <w:spacing w:line="288" w:lineRule="auto"/>
        <w:ind w:left="2880" w:leftChars="450" w:hanging="1800" w:hangingChars="500"/>
        <w:rPr>
          <w:rFonts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rPr>
        <w:t xml:space="preserve">    </w:t>
      </w:r>
      <w:r>
        <w:rPr>
          <w:rFonts w:eastAsia="仿宋_GB2312"/>
          <w:color w:val="000000"/>
          <w:sz w:val="36"/>
          <w:szCs w:val="36"/>
          <w:u w:val="single"/>
        </w:rPr>
        <w:t>山西</w:t>
      </w:r>
      <w:r>
        <w:rPr>
          <w:rFonts w:hint="eastAsia" w:eastAsia="仿宋_GB2312"/>
          <w:color w:val="000000"/>
          <w:sz w:val="36"/>
          <w:szCs w:val="36"/>
          <w:u w:val="single"/>
        </w:rPr>
        <w:t>潞宇车辆制造</w:t>
      </w:r>
      <w:r>
        <w:rPr>
          <w:rFonts w:eastAsia="仿宋_GB2312"/>
          <w:color w:val="000000"/>
          <w:sz w:val="36"/>
          <w:szCs w:val="36"/>
          <w:u w:val="single"/>
        </w:rPr>
        <w:t>有限公司</w:t>
      </w:r>
      <w:r>
        <w:rPr>
          <w:rFonts w:hint="eastAsia" w:eastAsia="仿宋_GB2312"/>
          <w:color w:val="000000"/>
          <w:sz w:val="36"/>
          <w:szCs w:val="36"/>
          <w:u w:val="single"/>
        </w:rPr>
        <w:t xml:space="preserve">      </w:t>
      </w:r>
    </w:p>
    <w:p>
      <w:pPr>
        <w:adjustRightInd w:val="0"/>
        <w:snapToGrid w:val="0"/>
        <w:spacing w:line="288" w:lineRule="auto"/>
        <w:ind w:left="2880" w:leftChars="1200"/>
        <w:rPr>
          <w:rFonts w:eastAsia="仿宋_GB2312"/>
          <w:color w:val="000000"/>
          <w:sz w:val="36"/>
          <w:szCs w:val="36"/>
        </w:rPr>
      </w:pPr>
      <w:r>
        <w:rPr>
          <w:rFonts w:eastAsia="仿宋_GB2312"/>
          <w:color w:val="000000"/>
          <w:sz w:val="36"/>
          <w:szCs w:val="36"/>
          <w:u w:val="single"/>
        </w:rPr>
        <w:t>年产500辆集装箱运输半挂车建设项目</w:t>
      </w:r>
    </w:p>
    <w:p>
      <w:pPr>
        <w:adjustRightInd w:val="0"/>
        <w:snapToGrid w:val="0"/>
        <w:spacing w:line="288" w:lineRule="auto"/>
        <w:ind w:firstLine="1080" w:firstLineChars="300"/>
        <w:rPr>
          <w:rFonts w:eastAsia="仿宋_GB2312"/>
          <w:color w:val="000000"/>
          <w:sz w:val="36"/>
          <w:szCs w:val="36"/>
          <w:u w:val="single"/>
        </w:rPr>
      </w:pPr>
      <w:r>
        <w:rPr>
          <w:rFonts w:eastAsia="仿宋_GB2312"/>
          <w:color w:val="000000"/>
          <w:sz w:val="36"/>
          <w:szCs w:val="36"/>
        </w:rPr>
        <w:t>建设单位（盖章）：</w:t>
      </w:r>
      <w:r>
        <w:rPr>
          <w:rFonts w:eastAsia="仿宋_GB2312"/>
          <w:color w:val="000000"/>
          <w:sz w:val="36"/>
          <w:szCs w:val="36"/>
          <w:u w:val="single"/>
        </w:rPr>
        <w:t>山西</w:t>
      </w:r>
      <w:r>
        <w:rPr>
          <w:rFonts w:hint="eastAsia" w:eastAsia="仿宋_GB2312"/>
          <w:color w:val="000000"/>
          <w:sz w:val="36"/>
          <w:szCs w:val="36"/>
          <w:u w:val="single"/>
        </w:rPr>
        <w:t>潞宇车辆制造</w:t>
      </w:r>
      <w:r>
        <w:rPr>
          <w:rFonts w:eastAsia="仿宋_GB2312"/>
          <w:color w:val="000000"/>
          <w:sz w:val="36"/>
          <w:szCs w:val="36"/>
          <w:u w:val="single"/>
        </w:rPr>
        <w:t>有限公司</w:t>
      </w:r>
      <w:r>
        <w:rPr>
          <w:rFonts w:hint="eastAsia" w:eastAsia="仿宋_GB2312"/>
          <w:color w:val="000000"/>
          <w:sz w:val="36"/>
          <w:szCs w:val="36"/>
          <w:u w:val="single"/>
        </w:rPr>
        <w:t xml:space="preserve">  </w:t>
      </w:r>
    </w:p>
    <w:p>
      <w:pPr>
        <w:adjustRightInd w:val="0"/>
        <w:snapToGrid w:val="0"/>
        <w:spacing w:line="288" w:lineRule="auto"/>
        <w:ind w:firstLine="1080" w:firstLineChars="300"/>
        <w:rPr>
          <w:rFonts w:eastAsia="仿宋_GB2312"/>
          <w:color w:val="000000"/>
          <w:sz w:val="36"/>
          <w:szCs w:val="36"/>
          <w:u w:val="single"/>
        </w:rPr>
      </w:pPr>
      <w:r>
        <w:rPr>
          <w:rFonts w:eastAsia="仿宋_GB2312"/>
          <w:color w:val="000000"/>
          <w:sz w:val="36"/>
          <w:szCs w:val="36"/>
        </w:rPr>
        <w:t>编制日期：</w:t>
      </w:r>
      <w:r>
        <w:rPr>
          <w:rFonts w:eastAsia="仿宋_GB2312"/>
          <w:color w:val="000000"/>
          <w:sz w:val="36"/>
          <w:szCs w:val="36"/>
          <w:u w:val="single"/>
        </w:rPr>
        <w:t xml:space="preserve">          202</w:t>
      </w:r>
      <w:r>
        <w:rPr>
          <w:rFonts w:hint="eastAsia" w:eastAsia="仿宋_GB2312"/>
          <w:color w:val="000000"/>
          <w:sz w:val="36"/>
          <w:szCs w:val="36"/>
          <w:u w:val="single"/>
        </w:rPr>
        <w:t>2</w:t>
      </w:r>
      <w:r>
        <w:rPr>
          <w:rFonts w:eastAsia="仿宋_GB2312"/>
          <w:color w:val="000000"/>
          <w:sz w:val="36"/>
          <w:szCs w:val="36"/>
          <w:u w:val="single"/>
        </w:rPr>
        <w:t>年</w:t>
      </w:r>
      <w:r>
        <w:rPr>
          <w:rFonts w:hint="eastAsia" w:eastAsia="仿宋_GB2312"/>
          <w:color w:val="000000"/>
          <w:sz w:val="36"/>
          <w:szCs w:val="36"/>
          <w:u w:val="single"/>
          <w:lang w:val="en-US" w:eastAsia="zh-CN"/>
        </w:rPr>
        <w:t>8</w:t>
      </w:r>
      <w:r>
        <w:rPr>
          <w:rFonts w:eastAsia="仿宋_GB2312"/>
          <w:color w:val="000000"/>
          <w:sz w:val="36"/>
          <w:szCs w:val="36"/>
          <w:u w:val="single"/>
        </w:rPr>
        <w:t xml:space="preserve">月           </w:t>
      </w:r>
      <w:r>
        <w:rPr>
          <w:rFonts w:hint="eastAsia" w:eastAsia="仿宋_GB2312"/>
          <w:color w:val="000000"/>
          <w:sz w:val="36"/>
          <w:szCs w:val="36"/>
          <w:u w:val="single"/>
        </w:rPr>
        <w:t xml:space="preserve">   </w:t>
      </w:r>
    </w:p>
    <w:p>
      <w:pPr>
        <w:adjustRightInd w:val="0"/>
        <w:snapToGrid w:val="0"/>
        <w:spacing w:line="288" w:lineRule="auto"/>
        <w:ind w:firstLine="1040"/>
        <w:rPr>
          <w:rFonts w:eastAsia="仿宋_GB2312"/>
          <w:color w:val="000000"/>
          <w:sz w:val="36"/>
          <w:szCs w:val="36"/>
          <w:u w:val="single"/>
        </w:rPr>
      </w:pPr>
      <w:bookmarkStart w:id="0" w:name="_Hlk57884087"/>
    </w:p>
    <w:p>
      <w:pPr>
        <w:adjustRightInd w:val="0"/>
        <w:snapToGrid w:val="0"/>
        <w:spacing w:line="288" w:lineRule="auto"/>
        <w:ind w:firstLine="1040"/>
        <w:rPr>
          <w:rFonts w:eastAsia="仿宋_GB2312"/>
          <w:color w:val="000000"/>
          <w:sz w:val="36"/>
          <w:szCs w:val="36"/>
        </w:rPr>
      </w:pPr>
    </w:p>
    <w:p>
      <w:pPr>
        <w:adjustRightInd w:val="0"/>
        <w:snapToGrid w:val="0"/>
        <w:spacing w:line="288" w:lineRule="auto"/>
        <w:ind w:firstLine="1040"/>
        <w:rPr>
          <w:rFonts w:eastAsia="仿宋_GB2312"/>
          <w:color w:val="000000"/>
          <w:sz w:val="36"/>
          <w:szCs w:val="36"/>
        </w:rPr>
      </w:pPr>
    </w:p>
    <w:p>
      <w:pPr>
        <w:adjustRightInd w:val="0"/>
        <w:snapToGrid w:val="0"/>
        <w:spacing w:line="288" w:lineRule="auto"/>
        <w:ind w:firstLine="1040"/>
        <w:rPr>
          <w:rFonts w:eastAsia="仿宋_GB2312"/>
          <w:color w:val="000000"/>
          <w:sz w:val="36"/>
          <w:szCs w:val="36"/>
        </w:rPr>
      </w:pPr>
    </w:p>
    <w:p>
      <w:pPr>
        <w:adjustRightInd w:val="0"/>
        <w:snapToGrid w:val="0"/>
        <w:spacing w:line="288" w:lineRule="auto"/>
        <w:ind w:firstLine="1040"/>
        <w:rPr>
          <w:rFonts w:eastAsia="仿宋_GB2312"/>
          <w:color w:val="000000"/>
          <w:sz w:val="36"/>
          <w:szCs w:val="36"/>
        </w:rPr>
      </w:pPr>
    </w:p>
    <w:bookmarkEnd w:id="0"/>
    <w:p>
      <w:pPr>
        <w:adjustRightInd w:val="0"/>
        <w:snapToGrid w:val="0"/>
        <w:spacing w:line="288" w:lineRule="auto"/>
        <w:jc w:val="center"/>
        <w:rPr>
          <w:rFonts w:eastAsia="楷体_GB2312"/>
          <w:color w:val="000000"/>
          <w:sz w:val="36"/>
          <w:szCs w:val="36"/>
        </w:rPr>
      </w:pPr>
      <w:r>
        <w:rPr>
          <w:rFonts w:eastAsia="楷体_GB2312"/>
          <w:color w:val="000000"/>
          <w:sz w:val="36"/>
          <w:szCs w:val="36"/>
        </w:rPr>
        <w:t>中华人民共和国生态环境部制</w:t>
      </w:r>
    </w:p>
    <w:p>
      <w:pPr>
        <w:adjustRightInd w:val="0"/>
        <w:snapToGrid w:val="0"/>
        <w:spacing w:line="288" w:lineRule="auto"/>
        <w:rPr>
          <w:rFonts w:eastAsia="仿宋_GB2312"/>
          <w:color w:val="000000"/>
          <w:sz w:val="36"/>
          <w:szCs w:val="36"/>
        </w:rPr>
        <w:sectPr>
          <w:footerReference r:id="rId3" w:type="default"/>
          <w:footerReference r:id="rId4" w:type="even"/>
          <w:pgSz w:w="11906" w:h="16838"/>
          <w:pgMar w:top="1134" w:right="1134" w:bottom="1134" w:left="1134" w:header="851" w:footer="1077" w:gutter="0"/>
          <w:pgNumType w:start="3"/>
          <w:cols w:space="720" w:num="1"/>
          <w:docGrid w:linePitch="312" w:charSpace="0"/>
        </w:sectPr>
      </w:pPr>
      <w:r>
        <w:rPr>
          <w:rFonts w:eastAsia="仿宋_GB2312"/>
          <w:color w:val="000000"/>
          <w:sz w:val="36"/>
          <w:szCs w:val="36"/>
        </w:rPr>
        <w:br w:type="page"/>
      </w:r>
    </w:p>
    <w:p>
      <w:pPr>
        <w:pStyle w:val="17"/>
        <w:spacing w:line="480" w:lineRule="exact"/>
        <w:jc w:val="both"/>
        <w:rPr>
          <w:rFonts w:ascii="Times New Roman" w:hAnsi="Times New Roman" w:cs="Times New Roman"/>
          <w:bCs/>
          <w:szCs w:val="24"/>
        </w:rPr>
        <w:sectPr>
          <w:pgSz w:w="11906" w:h="16838"/>
          <w:pgMar w:top="1134" w:right="1134" w:bottom="1134" w:left="1134" w:header="851" w:footer="1077" w:gutter="0"/>
          <w:pgNumType w:start="3"/>
          <w:cols w:space="720" w:num="1"/>
          <w:docGrid w:linePitch="312" w:charSpace="0"/>
        </w:sectPr>
      </w:pPr>
      <w:r>
        <w:drawing>
          <wp:anchor distT="0" distB="0" distL="114300" distR="114300" simplePos="0" relativeHeight="251677696" behindDoc="1" locked="0" layoutInCell="1" allowOverlap="1">
            <wp:simplePos x="0" y="0"/>
            <wp:positionH relativeFrom="column">
              <wp:posOffset>-340360</wp:posOffset>
            </wp:positionH>
            <wp:positionV relativeFrom="paragraph">
              <wp:posOffset>-3175</wp:posOffset>
            </wp:positionV>
            <wp:extent cx="6797040" cy="9249410"/>
            <wp:effectExtent l="0" t="0" r="3810" b="889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6797040" cy="9249410"/>
                    </a:xfrm>
                    <a:prstGeom prst="rect">
                      <a:avLst/>
                    </a:prstGeom>
                    <a:noFill/>
                    <a:ln>
                      <a:noFill/>
                    </a:ln>
                  </pic:spPr>
                </pic:pic>
              </a:graphicData>
            </a:graphic>
          </wp:anchor>
        </w:drawing>
      </w:r>
    </w:p>
    <w:p>
      <w:pPr>
        <w:pStyle w:val="17"/>
        <w:spacing w:line="480" w:lineRule="exact"/>
        <w:jc w:val="both"/>
        <w:rPr>
          <w:rFonts w:ascii="Times New Roman" w:hAnsi="Times New Roman" w:cs="Times New Roman"/>
          <w:bCs/>
          <w:szCs w:val="24"/>
        </w:rPr>
        <w:sectPr>
          <w:pgSz w:w="11906" w:h="16838"/>
          <w:pgMar w:top="1134" w:right="1134" w:bottom="1134" w:left="1134" w:header="851" w:footer="1077" w:gutter="0"/>
          <w:pgNumType w:start="3"/>
          <w:cols w:space="720" w:num="1"/>
          <w:docGrid w:linePitch="312" w:charSpace="0"/>
        </w:sectPr>
      </w:pPr>
      <w:r>
        <w:drawing>
          <wp:anchor distT="0" distB="0" distL="114300" distR="114300" simplePos="0" relativeHeight="251660288" behindDoc="1" locked="0" layoutInCell="1" allowOverlap="1">
            <wp:simplePos x="0" y="0"/>
            <wp:positionH relativeFrom="column">
              <wp:posOffset>-181610</wp:posOffset>
            </wp:positionH>
            <wp:positionV relativeFrom="paragraph">
              <wp:posOffset>1905</wp:posOffset>
            </wp:positionV>
            <wp:extent cx="6605905" cy="9241155"/>
            <wp:effectExtent l="0" t="0" r="4445" b="171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6605905" cy="9241155"/>
                    </a:xfrm>
                    <a:prstGeom prst="rect">
                      <a:avLst/>
                    </a:prstGeom>
                    <a:noFill/>
                    <a:ln>
                      <a:noFill/>
                    </a:ln>
                  </pic:spPr>
                </pic:pic>
              </a:graphicData>
            </a:graphic>
          </wp:anchor>
        </w:drawing>
      </w:r>
    </w:p>
    <w:p>
      <w:pPr>
        <w:pStyle w:val="17"/>
        <w:spacing w:line="480" w:lineRule="exact"/>
        <w:jc w:val="both"/>
        <w:rPr>
          <w:rFonts w:ascii="Times New Roman" w:hAnsi="Times New Roman" w:cs="Times New Roman"/>
          <w:bCs/>
          <w:szCs w:val="24"/>
        </w:rPr>
      </w:pPr>
      <w:r>
        <w:drawing>
          <wp:anchor distT="0" distB="0" distL="114300" distR="114300" simplePos="0" relativeHeight="251660288" behindDoc="1" locked="0" layoutInCell="1" allowOverlap="1">
            <wp:simplePos x="0" y="0"/>
            <wp:positionH relativeFrom="column">
              <wp:posOffset>-335915</wp:posOffset>
            </wp:positionH>
            <wp:positionV relativeFrom="paragraph">
              <wp:posOffset>-4445</wp:posOffset>
            </wp:positionV>
            <wp:extent cx="6811010" cy="9285605"/>
            <wp:effectExtent l="0" t="0" r="8890" b="107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6811010" cy="9285605"/>
                    </a:xfrm>
                    <a:prstGeom prst="rect">
                      <a:avLst/>
                    </a:prstGeom>
                    <a:noFill/>
                    <a:ln>
                      <a:noFill/>
                    </a:ln>
                  </pic:spPr>
                </pic:pic>
              </a:graphicData>
            </a:graphic>
          </wp:anchor>
        </w:drawing>
      </w:r>
    </w:p>
    <w:p>
      <w:pPr>
        <w:adjustRightInd w:val="0"/>
        <w:snapToGrid w:val="0"/>
        <w:spacing w:line="288" w:lineRule="auto"/>
        <w:rPr>
          <w:rFonts w:eastAsia="仿宋_GB2312"/>
          <w:color w:val="000000"/>
          <w:sz w:val="36"/>
          <w:szCs w:val="36"/>
        </w:rPr>
        <w:sectPr>
          <w:pgSz w:w="11906" w:h="16838"/>
          <w:pgMar w:top="1134" w:right="1134" w:bottom="1134" w:left="1134" w:header="851" w:footer="1077" w:gutter="0"/>
          <w:pgNumType w:start="3"/>
          <w:cols w:space="720" w:num="1"/>
          <w:docGrid w:linePitch="312" w:charSpace="0"/>
        </w:sectPr>
      </w:pPr>
    </w:p>
    <w:p>
      <w:pPr>
        <w:adjustRightInd w:val="0"/>
        <w:snapToGrid w:val="0"/>
        <w:spacing w:line="288" w:lineRule="auto"/>
        <w:rPr>
          <w:rFonts w:eastAsia="仿宋_GB2312"/>
          <w:color w:val="000000"/>
          <w:sz w:val="36"/>
          <w:szCs w:val="36"/>
        </w:rPr>
        <w:sectPr>
          <w:pgSz w:w="16838" w:h="11906" w:orient="landscape"/>
          <w:pgMar w:top="1134" w:right="1134" w:bottom="1134" w:left="1134" w:header="851" w:footer="1077" w:gutter="0"/>
          <w:pgNumType w:start="3"/>
          <w:cols w:space="720" w:num="1"/>
          <w:docGrid w:linePitch="312" w:charSpace="0"/>
        </w:sectPr>
      </w:pPr>
      <w:r>
        <w:rPr>
          <w:sz w:val="36"/>
        </w:rPr>
        <mc:AlternateContent>
          <mc:Choice Requires="wps">
            <w:drawing>
              <wp:anchor distT="0" distB="0" distL="114300" distR="114300" simplePos="0" relativeHeight="251671552" behindDoc="0" locked="0" layoutInCell="1" allowOverlap="1">
                <wp:simplePos x="0" y="0"/>
                <wp:positionH relativeFrom="column">
                  <wp:posOffset>6570345</wp:posOffset>
                </wp:positionH>
                <wp:positionV relativeFrom="paragraph">
                  <wp:posOffset>3138170</wp:posOffset>
                </wp:positionV>
                <wp:extent cx="2296795" cy="312420"/>
                <wp:effectExtent l="0" t="0" r="0" b="0"/>
                <wp:wrapNone/>
                <wp:docPr id="128" name="文本框 128"/>
                <wp:cNvGraphicFramePr/>
                <a:graphic xmlns:a="http://schemas.openxmlformats.org/drawingml/2006/main">
                  <a:graphicData uri="http://schemas.microsoft.com/office/word/2010/wordprocessingShape">
                    <wps:wsp>
                      <wps:cNvSpPr txBox="1"/>
                      <wps:spPr>
                        <a:xfrm>
                          <a:off x="0" y="0"/>
                          <a:ext cx="2296795" cy="312420"/>
                        </a:xfrm>
                        <a:prstGeom prst="rect">
                          <a:avLst/>
                        </a:prstGeom>
                        <a:noFill/>
                        <a:ln w="6350">
                          <a:noFill/>
                        </a:ln>
                        <a:effectLst/>
                      </wps:spPr>
                      <wps:txbx>
                        <w:txbxContent>
                          <w:p>
                            <w:pPr>
                              <w:rPr>
                                <w:sz w:val="21"/>
                                <w:szCs w:val="21"/>
                              </w:rPr>
                            </w:pPr>
                            <w:r>
                              <w:rPr>
                                <w:rFonts w:hint="eastAsia"/>
                                <w:sz w:val="21"/>
                                <w:szCs w:val="21"/>
                                <w:highlight w:val="green"/>
                              </w:rPr>
                              <w:t>山西明拓昕冉科技有限公司</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17.35pt;margin-top:247.1pt;height:24.6pt;width:180.85pt;z-index:251671552;mso-width-relative:page;mso-height-relative:page;" filled="f" stroked="f" coordsize="21600,21600" o:gfxdata="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WAAAAZHJzL1BLAQIUABQAAAAIAIdO&#10;4kD5186Q3QAAAA0BAAAPAAAAAAAAAAEAIAAAADgAAABkcnMvZG93bnJldi54bWxQSwECFAAUAAAA&#10;CACHTuJAIJ6mYkUCAAB4BAAADgAAAAAAAAABACAAAABCAQAAZHJzL2Uyb0RvYy54bWxQSwUGAAAA&#10;AAYABgBZAQAA+QUAAAAA&#10;">
                <v:fill on="f" focussize="0,0"/>
                <v:stroke on="f" weight="0.5pt"/>
                <v:imagedata o:title=""/>
                <o:lock v:ext="edit" aspectratio="f"/>
                <v:textbox>
                  <w:txbxContent>
                    <w:p>
                      <w:pPr>
                        <w:rPr>
                          <w:sz w:val="21"/>
                          <w:szCs w:val="21"/>
                        </w:rPr>
                      </w:pPr>
                      <w:r>
                        <w:rPr>
                          <w:rFonts w:hint="eastAsia"/>
                          <w:sz w:val="21"/>
                          <w:szCs w:val="21"/>
                          <w:highlight w:val="green"/>
                        </w:rPr>
                        <w:t>山西明拓昕冉科技有限公司</w:t>
                      </w:r>
                    </w:p>
                    <w:p/>
                  </w:txbxContent>
                </v:textbox>
              </v:shape>
            </w:pict>
          </mc:Fallback>
        </mc:AlternateContent>
      </w:r>
      <w:r>
        <w:rPr>
          <w:sz w:val="36"/>
        </w:rPr>
        <mc:AlternateContent>
          <mc:Choice Requires="wps">
            <w:drawing>
              <wp:anchor distT="0" distB="0" distL="114300" distR="114300" simplePos="0" relativeHeight="251670528" behindDoc="0" locked="0" layoutInCell="1" allowOverlap="1">
                <wp:simplePos x="0" y="0"/>
                <wp:positionH relativeFrom="column">
                  <wp:posOffset>6396990</wp:posOffset>
                </wp:positionH>
                <wp:positionV relativeFrom="paragraph">
                  <wp:posOffset>2143760</wp:posOffset>
                </wp:positionV>
                <wp:extent cx="2960370" cy="3222625"/>
                <wp:effectExtent l="12700" t="12700" r="17780" b="22225"/>
                <wp:wrapNone/>
                <wp:docPr id="5" name="自选图形 119"/>
                <wp:cNvGraphicFramePr/>
                <a:graphic xmlns:a="http://schemas.openxmlformats.org/drawingml/2006/main">
                  <a:graphicData uri="http://schemas.microsoft.com/office/word/2010/wordprocessingShape">
                    <wps:wsp>
                      <wps:cNvSpPr/>
                      <wps:spPr>
                        <a:xfrm>
                          <a:off x="0" y="0"/>
                          <a:ext cx="2960370" cy="3222625"/>
                        </a:xfrm>
                        <a:custGeom>
                          <a:avLst/>
                          <a:gdLst/>
                          <a:ahLst/>
                          <a:cxnLst>
                            <a:cxn ang="0">
                              <a:pos x="0" y="2714625"/>
                            </a:cxn>
                            <a:cxn ang="0">
                              <a:pos x="85835" y="0"/>
                            </a:cxn>
                            <a:cxn ang="0">
                              <a:pos x="1370228" y="134620"/>
                            </a:cxn>
                            <a:cxn ang="0">
                              <a:pos x="2960370" y="2690495"/>
                            </a:cxn>
                            <a:cxn ang="0">
                              <a:pos x="2952225" y="3222625"/>
                            </a:cxn>
                            <a:cxn ang="0">
                              <a:pos x="0" y="2714625"/>
                            </a:cxn>
                          </a:cxnLst>
                          <a:pathLst>
                            <a:path w="3000375" h="3222625">
                              <a:moveTo>
                                <a:pt x="0" y="2714625"/>
                              </a:moveTo>
                              <a:lnTo>
                                <a:pt x="86995" y="0"/>
                              </a:lnTo>
                              <a:lnTo>
                                <a:pt x="1388745" y="134620"/>
                              </a:lnTo>
                              <a:lnTo>
                                <a:pt x="3000375" y="2690495"/>
                              </a:lnTo>
                              <a:lnTo>
                                <a:pt x="2992120" y="3222625"/>
                              </a:lnTo>
                              <a:lnTo>
                                <a:pt x="0" y="2714625"/>
                              </a:lnTo>
                              <a:close/>
                            </a:path>
                          </a:pathLst>
                        </a:custGeom>
                        <a:noFill/>
                        <a:ln w="25400" cap="flat" cmpd="sng">
                          <a:solidFill>
                            <a:srgbClr val="00B050"/>
                          </a:solidFill>
                          <a:prstDash val="solid"/>
                          <a:round/>
                          <a:headEnd type="none" w="med" len="med"/>
                          <a:tailEnd type="none" w="med" len="med"/>
                        </a:ln>
                      </wps:spPr>
                      <wps:bodyPr upright="1"/>
                    </wps:wsp>
                  </a:graphicData>
                </a:graphic>
              </wp:anchor>
            </w:drawing>
          </mc:Choice>
          <mc:Fallback>
            <w:pict>
              <v:shape id="自选图形 119" o:spid="_x0000_s1026" o:spt="100" style="position:absolute;left:0pt;margin-left:503.7pt;margin-top:168.8pt;height:253.75pt;width:233.1pt;z-index:251670528;mso-width-relative:page;mso-height-relative:page;" filled="f" stroked="t" coordsize="3000375,3222625" o:gfxdata="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" path="m0,2714625l86995,0,1388745,134620,3000375,2690495,2992120,3222625,0,2714625xe">
                <v:path o:connecttype="segments" o:connectlocs="0,2714625;85835,0;1370228,134620;2960370,2690495;2952225,3222625;0,2714625" o:connectangles="0,0,0,0,0,0"/>
                <v:fill on="f" focussize="0,0"/>
                <v:stroke weight="2pt" color="#00B050" joinstyle="round"/>
                <v:imagedata o:title=""/>
                <o:lock v:ext="edit" aspectratio="f"/>
              </v:shape>
            </w:pict>
          </mc:Fallback>
        </mc:AlternateContent>
      </w:r>
      <w:r>
        <w:rPr>
          <w:sz w:val="36"/>
        </w:rPr>
        <mc:AlternateContent>
          <mc:Choice Requires="wps">
            <w:drawing>
              <wp:anchor distT="0" distB="0" distL="114300" distR="114300" simplePos="0" relativeHeight="251667456" behindDoc="0" locked="0" layoutInCell="1" allowOverlap="1">
                <wp:simplePos x="0" y="0"/>
                <wp:positionH relativeFrom="column">
                  <wp:posOffset>1231900</wp:posOffset>
                </wp:positionH>
                <wp:positionV relativeFrom="paragraph">
                  <wp:posOffset>559435</wp:posOffset>
                </wp:positionV>
                <wp:extent cx="927735" cy="312420"/>
                <wp:effectExtent l="0" t="0" r="0" b="0"/>
                <wp:wrapNone/>
                <wp:docPr id="123" name="文本框 123"/>
                <wp:cNvGraphicFramePr/>
                <a:graphic xmlns:a="http://schemas.openxmlformats.org/drawingml/2006/main">
                  <a:graphicData uri="http://schemas.microsoft.com/office/word/2010/wordprocessingShape">
                    <wps:wsp>
                      <wps:cNvSpPr txBox="1"/>
                      <wps:spPr>
                        <a:xfrm>
                          <a:off x="2515870" y="1224280"/>
                          <a:ext cx="927735" cy="312420"/>
                        </a:xfrm>
                        <a:prstGeom prst="rect">
                          <a:avLst/>
                        </a:prstGeom>
                        <a:noFill/>
                        <a:ln w="6350">
                          <a:noFill/>
                        </a:ln>
                        <a:effectLst/>
                      </wps:spPr>
                      <wps:txbx>
                        <w:txbxContent>
                          <w:p>
                            <w:pPr>
                              <w:rPr>
                                <w:sz w:val="21"/>
                                <w:szCs w:val="21"/>
                                <w:highlight w:val="green"/>
                              </w:rPr>
                            </w:pPr>
                            <w:r>
                              <w:rPr>
                                <w:rFonts w:hint="eastAsia"/>
                                <w:sz w:val="21"/>
                                <w:szCs w:val="21"/>
                                <w:highlight w:val="green"/>
                              </w:rPr>
                              <w:t>薛家庄村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7pt;margin-top:44.05pt;height:24.6pt;width:73.05pt;z-index:251667456;mso-width-relative:page;mso-height-relative:page;" filled="f" stroked="f" coordsize="21600,21600" o:gfxdata="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F252a3aAAAACgEAAA8AAAAAAAAAAQAgAAAAOAAAAGRycy9kb3ducmV2LnhtbFBLAQIU&#10;ABQAAAAIAIdO4kApsehvTQIAAIMEAAAOAAAAAAAAAAEAIAAAAD8BAABkcnMvZTJvRG9jLnhtbFBL&#10;BQYAAAAABgAGAFkBAAD+BQAAAAA=&#10;">
                <v:fill on="f" focussize="0,0"/>
                <v:stroke on="f" weight="0.5pt"/>
                <v:imagedata o:title=""/>
                <o:lock v:ext="edit" aspectratio="f"/>
                <v:textbox>
                  <w:txbxContent>
                    <w:p>
                      <w:pPr>
                        <w:rPr>
                          <w:sz w:val="21"/>
                          <w:szCs w:val="21"/>
                          <w:highlight w:val="green"/>
                        </w:rPr>
                      </w:pPr>
                      <w:r>
                        <w:rPr>
                          <w:rFonts w:hint="eastAsia"/>
                          <w:sz w:val="21"/>
                          <w:szCs w:val="21"/>
                          <w:highlight w:val="green"/>
                        </w:rPr>
                        <w:t>薛家庄村</w:t>
                      </w:r>
                    </w:p>
                  </w:txbxContent>
                </v:textbox>
              </v:shape>
            </w:pict>
          </mc:Fallback>
        </mc:AlternateContent>
      </w:r>
      <w:r>
        <w:rPr>
          <w:sz w:val="36"/>
        </w:rPr>
        <mc:AlternateContent>
          <mc:Choice Requires="wps">
            <w:drawing>
              <wp:anchor distT="0" distB="0" distL="114300" distR="114300" simplePos="0" relativeHeight="251665408" behindDoc="0" locked="0" layoutInCell="1" allowOverlap="1">
                <wp:simplePos x="0" y="0"/>
                <wp:positionH relativeFrom="column">
                  <wp:posOffset>1044575</wp:posOffset>
                </wp:positionH>
                <wp:positionV relativeFrom="paragraph">
                  <wp:posOffset>1929130</wp:posOffset>
                </wp:positionV>
                <wp:extent cx="5407025" cy="2921000"/>
                <wp:effectExtent l="12700" t="12700" r="28575" b="19050"/>
                <wp:wrapNone/>
                <wp:docPr id="4" name="自选图形 117"/>
                <wp:cNvGraphicFramePr/>
                <a:graphic xmlns:a="http://schemas.openxmlformats.org/drawingml/2006/main">
                  <a:graphicData uri="http://schemas.microsoft.com/office/word/2010/wordprocessingShape">
                    <wps:wsp>
                      <wps:cNvSpPr/>
                      <wps:spPr>
                        <a:xfrm>
                          <a:off x="0" y="0"/>
                          <a:ext cx="5407025" cy="2921000"/>
                        </a:xfrm>
                        <a:custGeom>
                          <a:avLst/>
                          <a:gdLst/>
                          <a:ahLst/>
                          <a:cxnLst>
                            <a:cxn ang="0">
                              <a:pos x="0" y="2019300"/>
                            </a:cxn>
                            <a:cxn ang="0">
                              <a:pos x="3390900" y="0"/>
                            </a:cxn>
                            <a:cxn ang="0">
                              <a:pos x="5407025" y="213995"/>
                            </a:cxn>
                            <a:cxn ang="0">
                              <a:pos x="5304155" y="2921000"/>
                            </a:cxn>
                            <a:cxn ang="0">
                              <a:pos x="0" y="2019300"/>
                            </a:cxn>
                          </a:cxnLst>
                          <a:pathLst>
                            <a:path w="8515" h="4600">
                              <a:moveTo>
                                <a:pt x="0" y="3180"/>
                              </a:moveTo>
                              <a:lnTo>
                                <a:pt x="5340" y="0"/>
                              </a:lnTo>
                              <a:lnTo>
                                <a:pt x="8515" y="337"/>
                              </a:lnTo>
                              <a:lnTo>
                                <a:pt x="8353" y="4600"/>
                              </a:lnTo>
                              <a:lnTo>
                                <a:pt x="0" y="3180"/>
                              </a:lnTo>
                              <a:close/>
                            </a:path>
                          </a:pathLst>
                        </a:custGeom>
                        <a:noFill/>
                        <a:ln w="25400" cap="flat" cmpd="sng">
                          <a:solidFill>
                            <a:srgbClr val="FF0000"/>
                          </a:solidFill>
                          <a:prstDash val="solid"/>
                          <a:round/>
                          <a:headEnd type="none" w="med" len="med"/>
                          <a:tailEnd type="none" w="med" len="med"/>
                        </a:ln>
                      </wps:spPr>
                      <wps:bodyPr upright="1"/>
                    </wps:wsp>
                  </a:graphicData>
                </a:graphic>
              </wp:anchor>
            </w:drawing>
          </mc:Choice>
          <mc:Fallback>
            <w:pict>
              <v:shape id="自选图形 117" o:spid="_x0000_s1026" o:spt="100" style="position:absolute;left:0pt;margin-left:82.25pt;margin-top:151.9pt;height:230pt;width:425.75pt;z-index:251665408;mso-width-relative:page;mso-height-relative:page;" filled="f" stroked="t" coordsize="8515,4600" o:gfxdata="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" path="m0,3180l5340,0,8515,337,8353,4600,0,3180xe">
                <v:path o:connecttype="segments" o:connectlocs="0,2019300;3390900,0;5407025,213995;5304155,2921000;0,2019300" o:connectangles="0,0,0,0,0"/>
                <v:fill on="f" focussize="0,0"/>
                <v:stroke weight="2pt" color="#FF0000" joinstyle="round"/>
                <v:imagedata o:title=""/>
                <o:lock v:ext="edit" aspectratio="f"/>
              </v:shape>
            </w:pict>
          </mc:Fallback>
        </mc:AlternateContent>
      </w:r>
      <w:r>
        <w:rPr>
          <w:sz w:val="36"/>
        </w:rPr>
        <mc:AlternateContent>
          <mc:Choice Requires="wps">
            <w:drawing>
              <wp:anchor distT="0" distB="0" distL="114300" distR="114300" simplePos="0" relativeHeight="251669504" behindDoc="0" locked="0" layoutInCell="1" allowOverlap="1">
                <wp:simplePos x="0" y="0"/>
                <wp:positionH relativeFrom="column">
                  <wp:posOffset>3641090</wp:posOffset>
                </wp:positionH>
                <wp:positionV relativeFrom="paragraph">
                  <wp:posOffset>5631180</wp:posOffset>
                </wp:positionV>
                <wp:extent cx="1714500" cy="391160"/>
                <wp:effectExtent l="0" t="0" r="0" b="0"/>
                <wp:wrapNone/>
                <wp:docPr id="125" name="文本框 125"/>
                <wp:cNvGraphicFramePr/>
                <a:graphic xmlns:a="http://schemas.openxmlformats.org/drawingml/2006/main">
                  <a:graphicData uri="http://schemas.microsoft.com/office/word/2010/wordprocessingShape">
                    <wps:wsp>
                      <wps:cNvSpPr txBox="1"/>
                      <wps:spPr>
                        <a:xfrm>
                          <a:off x="4036060" y="6160770"/>
                          <a:ext cx="1714500" cy="391160"/>
                        </a:xfrm>
                        <a:prstGeom prst="rect">
                          <a:avLst/>
                        </a:prstGeom>
                        <a:noFill/>
                        <a:ln w="6350">
                          <a:noFill/>
                        </a:ln>
                        <a:effectLst/>
                      </wps:spPr>
                      <wps:txbx>
                        <w:txbxContent>
                          <w:p>
                            <w:pPr>
                              <w:rPr>
                                <w:b/>
                                <w:bCs/>
                                <w:color w:val="000000" w:themeColor="text1"/>
                              </w:rPr>
                            </w:pPr>
                            <w:r>
                              <w:rPr>
                                <w:rFonts w:hint="eastAsia"/>
                                <w:b/>
                                <w:bCs/>
                                <w:color w:val="000000" w:themeColor="text1"/>
                              </w:rPr>
                              <w:t>本项目航拍定位图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6.7pt;margin-top:443.4pt;height:30.8pt;width:135pt;z-index:251669504;mso-width-relative:page;mso-height-relative:page;" filled="f" stroked="f" coordsize="21600,21600" o:gfxdata="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BYAAABkcnMvUEsBAhQAFAAA&#10;AAgAh07iQOGtuJDbAAAACwEAAA8AAAAAAAAAAQAgAAAAOAAAAGRycy9kb3ducmV2LnhtbFBLAQIU&#10;ABQAAAAIAIdO4kB7aajsTAIAAIQEAAAOAAAAAAAAAAEAIAAAAEABAABkcnMvZTJvRG9jLnhtbFBL&#10;BQYAAAAABgAGAFkBAAD+BQAAAAA=&#10;">
                <v:fill on="f" focussize="0,0"/>
                <v:stroke on="f" weight="0.5pt"/>
                <v:imagedata o:title=""/>
                <o:lock v:ext="edit" aspectratio="f"/>
                <v:textbox>
                  <w:txbxContent>
                    <w:p>
                      <w:pPr>
                        <w:rPr>
                          <w:b/>
                          <w:bCs/>
                          <w:color w:val="000000" w:themeColor="text1"/>
                        </w:rPr>
                      </w:pPr>
                      <w:r>
                        <w:rPr>
                          <w:rFonts w:hint="eastAsia"/>
                          <w:b/>
                          <w:bCs/>
                          <w:color w:val="000000" w:themeColor="text1"/>
                        </w:rPr>
                        <w:t>本项目航拍定位图</w:t>
                      </w:r>
                    </w:p>
                  </w:txbxContent>
                </v:textbox>
              </v:shape>
            </w:pict>
          </mc:Fallback>
        </mc:AlternateContent>
      </w:r>
      <w:r>
        <w:rPr>
          <w:rFonts w:eastAsia="仿宋_GB2312"/>
          <w:color w:val="000000"/>
          <w:sz w:val="36"/>
          <w:szCs w:val="36"/>
        </w:rPr>
        <w:drawing>
          <wp:anchor distT="0" distB="0" distL="114300" distR="114300" simplePos="0" relativeHeight="251661312" behindDoc="1" locked="0" layoutInCell="1" allowOverlap="1">
            <wp:simplePos x="0" y="0"/>
            <wp:positionH relativeFrom="column">
              <wp:posOffset>-32385</wp:posOffset>
            </wp:positionH>
            <wp:positionV relativeFrom="paragraph">
              <wp:posOffset>397510</wp:posOffset>
            </wp:positionV>
            <wp:extent cx="9389110" cy="5102860"/>
            <wp:effectExtent l="19050" t="0" r="21590" b="21590"/>
            <wp:wrapNone/>
            <wp:docPr id="120" name="图片 120" descr="微信截图_2022070516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微信截图_20220705161907"/>
                    <pic:cNvPicPr>
                      <a:picLocks noChangeAspect="1"/>
                    </pic:cNvPicPr>
                  </pic:nvPicPr>
                  <pic:blipFill>
                    <a:blip r:embed="rId12" cstate="print"/>
                    <a:srcRect l="7087" t="660" r="2211"/>
                    <a:stretch>
                      <a:fillRect/>
                    </a:stretch>
                  </pic:blipFill>
                  <pic:spPr>
                    <a:xfrm>
                      <a:off x="0" y="0"/>
                      <a:ext cx="9389110" cy="5102860"/>
                    </a:xfrm>
                    <a:prstGeom prst="rect">
                      <a:avLst/>
                    </a:prstGeom>
                    <a:ln w="19050">
                      <a:solidFill>
                        <a:schemeClr val="tx1">
                          <a:alpha val="0"/>
                        </a:schemeClr>
                      </a:solidFill>
                    </a:ln>
                  </pic:spPr>
                </pic:pic>
              </a:graphicData>
            </a:graphic>
          </wp:anchor>
        </w:drawing>
      </w:r>
      <w:r>
        <w:rPr>
          <w:sz w:val="36"/>
        </w:rPr>
        <mc:AlternateContent>
          <mc:Choice Requires="wps">
            <w:drawing>
              <wp:anchor distT="0" distB="0" distL="114300" distR="114300" simplePos="0" relativeHeight="251668480" behindDoc="0" locked="0" layoutInCell="1" allowOverlap="1">
                <wp:simplePos x="0" y="0"/>
                <wp:positionH relativeFrom="column">
                  <wp:posOffset>5401945</wp:posOffset>
                </wp:positionH>
                <wp:positionV relativeFrom="paragraph">
                  <wp:posOffset>1374775</wp:posOffset>
                </wp:positionV>
                <wp:extent cx="2296795" cy="312420"/>
                <wp:effectExtent l="0" t="0" r="0" b="0"/>
                <wp:wrapNone/>
                <wp:docPr id="124" name="文本框 124"/>
                <wp:cNvGraphicFramePr/>
                <a:graphic xmlns:a="http://schemas.openxmlformats.org/drawingml/2006/main">
                  <a:graphicData uri="http://schemas.microsoft.com/office/word/2010/wordprocessingShape">
                    <wps:wsp>
                      <wps:cNvSpPr txBox="1"/>
                      <wps:spPr>
                        <a:xfrm>
                          <a:off x="6122035" y="2094865"/>
                          <a:ext cx="2296795" cy="312420"/>
                        </a:xfrm>
                        <a:prstGeom prst="rect">
                          <a:avLst/>
                        </a:prstGeom>
                        <a:noFill/>
                        <a:ln w="6350">
                          <a:noFill/>
                        </a:ln>
                        <a:effectLst/>
                      </wps:spPr>
                      <wps:txbx>
                        <w:txbxContent>
                          <w:p>
                            <w:pPr>
                              <w:rPr>
                                <w:sz w:val="21"/>
                                <w:szCs w:val="21"/>
                                <w:highlight w:val="green"/>
                              </w:rPr>
                            </w:pPr>
                            <w:r>
                              <w:rPr>
                                <w:rFonts w:hint="eastAsia"/>
                                <w:sz w:val="21"/>
                                <w:szCs w:val="21"/>
                                <w:highlight w:val="green"/>
                              </w:rPr>
                              <w:t>山西康宝生物科技有限公司</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5.35pt;margin-top:108.25pt;height:24.6pt;width:180.85pt;z-index:251668480;mso-width-relative:page;mso-height-relative:page;" filled="f" stroked="f" coordsize="21600,21600" o:gfxdata="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yjnZzdwAAAAMAQAADwAAAAAAAAABACAAAAA4AAAAZHJzL2Rvd25yZXYueG1s&#10;UEsBAhQAFAAAAAgAh07iQHjnNNZQAgAAhAQAAA4AAAAAAAAAAQAgAAAAQQEAAGRycy9lMm9Eb2Mu&#10;eG1sUEsFBgAAAAAGAAYAWQEAAAMGAAAAAA==&#10;">
                <v:fill on="f" focussize="0,0"/>
                <v:stroke on="f" weight="0.5pt"/>
                <v:imagedata o:title=""/>
                <o:lock v:ext="edit" aspectratio="f"/>
                <v:textbox>
                  <w:txbxContent>
                    <w:p>
                      <w:pPr>
                        <w:rPr>
                          <w:sz w:val="21"/>
                          <w:szCs w:val="21"/>
                          <w:highlight w:val="green"/>
                        </w:rPr>
                      </w:pPr>
                      <w:r>
                        <w:rPr>
                          <w:rFonts w:hint="eastAsia"/>
                          <w:sz w:val="21"/>
                          <w:szCs w:val="21"/>
                          <w:highlight w:val="green"/>
                        </w:rPr>
                        <w:t>山西康宝生物科技有限公司</w:t>
                      </w:r>
                    </w:p>
                    <w:p/>
                  </w:txbxContent>
                </v:textbox>
              </v:shape>
            </w:pict>
          </mc:Fallback>
        </mc:AlternateContent>
      </w:r>
      <w:r>
        <w:rPr>
          <w:sz w:val="36"/>
        </w:rPr>
        <mc:AlternateContent>
          <mc:Choice Requires="wps">
            <w:drawing>
              <wp:anchor distT="0" distB="0" distL="114300" distR="114300" simplePos="0" relativeHeight="251666432" behindDoc="0" locked="0" layoutInCell="1" allowOverlap="1">
                <wp:simplePos x="0" y="0"/>
                <wp:positionH relativeFrom="column">
                  <wp:posOffset>4568190</wp:posOffset>
                </wp:positionH>
                <wp:positionV relativeFrom="paragraph">
                  <wp:posOffset>2169795</wp:posOffset>
                </wp:positionV>
                <wp:extent cx="1252855" cy="312420"/>
                <wp:effectExtent l="0" t="0" r="0" b="0"/>
                <wp:wrapNone/>
                <wp:docPr id="122" name="文本框 122"/>
                <wp:cNvGraphicFramePr/>
                <a:graphic xmlns:a="http://schemas.openxmlformats.org/drawingml/2006/main">
                  <a:graphicData uri="http://schemas.microsoft.com/office/word/2010/wordprocessingShape">
                    <wps:wsp>
                      <wps:cNvSpPr txBox="1"/>
                      <wps:spPr>
                        <a:xfrm>
                          <a:off x="5288280" y="2889885"/>
                          <a:ext cx="1252855" cy="312420"/>
                        </a:xfrm>
                        <a:prstGeom prst="rect">
                          <a:avLst/>
                        </a:prstGeom>
                        <a:noFill/>
                        <a:ln w="6350">
                          <a:noFill/>
                        </a:ln>
                        <a:effectLst/>
                      </wps:spPr>
                      <wps:txbx>
                        <w:txbxContent>
                          <w:p>
                            <w:r>
                              <w:rPr>
                                <w:rFonts w:hint="eastAsia"/>
                              </w:rPr>
                              <w:t>本项目位置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7pt;margin-top:170.85pt;height:24.6pt;width:98.65pt;z-index:251666432;mso-width-relative:page;mso-height-relative:page;" filled="f" stroked="f" coordsize="21600,21600" o:gfxdata="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BYAAABkcnMvUEsBAhQA&#10;FAAAAAgAh07iQM+1CcHcAAAACwEAAA8AAAAAAAAAAQAgAAAAOAAAAGRycy9kb3ducmV2LnhtbFBL&#10;AQIUABQAAAAIAIdO4kAPFN4STgIAAIQEAAAOAAAAAAAAAAEAIAAAAEEBAABkcnMvZTJvRG9jLnht&#10;bFBLBQYAAAAABgAGAFkBAAABBgAAAAA=&#10;">
                <v:fill on="f" focussize="0,0"/>
                <v:stroke on="f" weight="0.5pt"/>
                <v:imagedata o:title=""/>
                <o:lock v:ext="edit" aspectratio="f"/>
                <v:textbox>
                  <w:txbxContent>
                    <w:p>
                      <w:r>
                        <w:rPr>
                          <w:rFonts w:hint="eastAsia"/>
                        </w:rPr>
                        <w:t>本项目位置</w:t>
                      </w:r>
                    </w:p>
                  </w:txbxContent>
                </v:textbox>
              </v:shape>
            </w:pict>
          </mc:Fallback>
        </mc:AlternateContent>
      </w:r>
    </w:p>
    <w:p>
      <w:pPr>
        <w:pStyle w:val="2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一、建设项目基本情况</w:t>
      </w:r>
    </w:p>
    <w:tbl>
      <w:tblPr>
        <w:tblStyle w:val="31"/>
        <w:tblW w:w="915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02"/>
        <w:gridCol w:w="2446"/>
        <w:gridCol w:w="750"/>
        <w:gridCol w:w="1701"/>
        <w:gridCol w:w="255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建设项目名称</w:t>
            </w:r>
          </w:p>
        </w:tc>
        <w:tc>
          <w:tcPr>
            <w:tcW w:w="7448" w:type="dxa"/>
            <w:gridSpan w:val="4"/>
            <w:vAlign w:val="center"/>
          </w:tcPr>
          <w:p>
            <w:pPr>
              <w:widowControl/>
              <w:jc w:val="center"/>
              <w:rPr>
                <w:color w:val="000000" w:themeColor="text1"/>
              </w:rPr>
            </w:pPr>
            <w:r>
              <w:rPr>
                <w:color w:val="000000" w:themeColor="text1"/>
              </w:rPr>
              <w:t>山西</w:t>
            </w:r>
            <w:r>
              <w:rPr>
                <w:rFonts w:hint="eastAsia"/>
                <w:color w:val="000000" w:themeColor="text1"/>
              </w:rPr>
              <w:t>潞宇车辆制造</w:t>
            </w:r>
            <w:r>
              <w:rPr>
                <w:color w:val="000000" w:themeColor="text1"/>
              </w:rPr>
              <w:t>有限公司年产500辆集装箱运输半挂车建设项目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项目代码</w:t>
            </w:r>
          </w:p>
        </w:tc>
        <w:tc>
          <w:tcPr>
            <w:tcW w:w="7448" w:type="dxa"/>
            <w:gridSpan w:val="4"/>
            <w:vAlign w:val="center"/>
          </w:tcPr>
          <w:p>
            <w:pPr>
              <w:widowControl/>
              <w:jc w:val="center"/>
              <w:rPr>
                <w:color w:val="000000" w:themeColor="text1"/>
              </w:rPr>
            </w:pPr>
            <w:r>
              <w:rPr>
                <w:rFonts w:hint="eastAsia"/>
                <w:color w:val="000000" w:themeColor="text1"/>
              </w:rPr>
              <w:t>2205-140000-89-01-163551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建设单位联系人</w:t>
            </w:r>
          </w:p>
        </w:tc>
        <w:tc>
          <w:tcPr>
            <w:tcW w:w="2446" w:type="dxa"/>
            <w:vAlign w:val="center"/>
          </w:tcPr>
          <w:p>
            <w:pPr>
              <w:adjustRightInd w:val="0"/>
              <w:snapToGrid w:val="0"/>
              <w:jc w:val="center"/>
              <w:rPr>
                <w:color w:val="000000" w:themeColor="text1"/>
              </w:rPr>
            </w:pPr>
            <w:r>
              <w:rPr>
                <w:rFonts w:hint="eastAsia"/>
                <w:color w:val="000000" w:themeColor="text1"/>
              </w:rPr>
              <w:t>高斌</w:t>
            </w:r>
          </w:p>
        </w:tc>
        <w:tc>
          <w:tcPr>
            <w:tcW w:w="2451" w:type="dxa"/>
            <w:gridSpan w:val="2"/>
            <w:vAlign w:val="center"/>
          </w:tcPr>
          <w:p>
            <w:pPr>
              <w:adjustRightInd w:val="0"/>
              <w:snapToGrid w:val="0"/>
              <w:jc w:val="center"/>
              <w:rPr>
                <w:color w:val="000000" w:themeColor="text1"/>
              </w:rPr>
            </w:pPr>
            <w:r>
              <w:rPr>
                <w:color w:val="000000" w:themeColor="text1"/>
              </w:rPr>
              <w:t>联系方式</w:t>
            </w:r>
          </w:p>
        </w:tc>
        <w:tc>
          <w:tcPr>
            <w:tcW w:w="2551" w:type="dxa"/>
            <w:vAlign w:val="center"/>
          </w:tcPr>
          <w:p>
            <w:pPr>
              <w:adjustRightInd w:val="0"/>
              <w:snapToGrid w:val="0"/>
              <w:jc w:val="center"/>
              <w:rPr>
                <w:color w:val="000000" w:themeColor="text1"/>
              </w:rPr>
            </w:pPr>
            <w:r>
              <w:rPr>
                <w:color w:val="000000" w:themeColor="text1"/>
              </w:rPr>
              <w:t>18636513137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建设地点</w:t>
            </w:r>
          </w:p>
        </w:tc>
        <w:tc>
          <w:tcPr>
            <w:tcW w:w="7448" w:type="dxa"/>
            <w:gridSpan w:val="4"/>
            <w:vAlign w:val="center"/>
          </w:tcPr>
          <w:p>
            <w:pPr>
              <w:adjustRightInd w:val="0"/>
              <w:snapToGrid w:val="0"/>
              <w:jc w:val="center"/>
              <w:rPr>
                <w:color w:val="000000" w:themeColor="text1"/>
              </w:rPr>
            </w:pPr>
            <w:r>
              <w:rPr>
                <w:rFonts w:hint="eastAsia"/>
                <w:color w:val="000000" w:themeColor="text1"/>
              </w:rPr>
              <w:t>山西省长治市长子县宋村乡薛家庄村西南侧210m处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地理坐标</w:t>
            </w:r>
          </w:p>
        </w:tc>
        <w:tc>
          <w:tcPr>
            <w:tcW w:w="7448" w:type="dxa"/>
            <w:gridSpan w:val="4"/>
            <w:vAlign w:val="center"/>
          </w:tcPr>
          <w:p>
            <w:pPr>
              <w:jc w:val="center"/>
              <w:rPr>
                <w:color w:val="000000" w:themeColor="text1"/>
              </w:rPr>
            </w:pPr>
            <w:r>
              <w:rPr>
                <w:color w:val="000000" w:themeColor="text1"/>
              </w:rPr>
              <w:t>（</w:t>
            </w:r>
            <w:r>
              <w:rPr>
                <w:color w:val="000000" w:themeColor="text1"/>
                <w:u w:val="single"/>
              </w:rPr>
              <w:t xml:space="preserve"> 112 </w:t>
            </w:r>
            <w:r>
              <w:rPr>
                <w:color w:val="000000" w:themeColor="text1"/>
              </w:rPr>
              <w:t>度</w:t>
            </w:r>
            <w:r>
              <w:rPr>
                <w:color w:val="000000" w:themeColor="text1"/>
                <w:u w:val="single"/>
              </w:rPr>
              <w:t xml:space="preserve"> </w:t>
            </w:r>
            <w:r>
              <w:rPr>
                <w:rFonts w:hint="eastAsia"/>
                <w:color w:val="000000" w:themeColor="text1"/>
                <w:u w:val="single"/>
              </w:rPr>
              <w:t>58</w:t>
            </w:r>
            <w:r>
              <w:rPr>
                <w:color w:val="000000" w:themeColor="text1"/>
                <w:u w:val="single"/>
              </w:rPr>
              <w:t xml:space="preserve"> </w:t>
            </w:r>
            <w:r>
              <w:rPr>
                <w:color w:val="000000" w:themeColor="text1"/>
              </w:rPr>
              <w:t>分</w:t>
            </w:r>
            <w:r>
              <w:rPr>
                <w:color w:val="000000" w:themeColor="text1"/>
                <w:u w:val="single"/>
              </w:rPr>
              <w:t xml:space="preserve"> </w:t>
            </w:r>
            <w:r>
              <w:rPr>
                <w:rFonts w:hint="eastAsia"/>
                <w:color w:val="000000" w:themeColor="text1"/>
                <w:u w:val="single"/>
              </w:rPr>
              <w:t>26.884</w:t>
            </w:r>
            <w:r>
              <w:rPr>
                <w:color w:val="000000" w:themeColor="text1"/>
                <w:u w:val="single"/>
              </w:rPr>
              <w:t xml:space="preserve"> </w:t>
            </w:r>
            <w:r>
              <w:rPr>
                <w:color w:val="000000" w:themeColor="text1"/>
              </w:rPr>
              <w:t>秒，</w:t>
            </w:r>
            <w:r>
              <w:rPr>
                <w:color w:val="000000" w:themeColor="text1"/>
                <w:u w:val="single"/>
              </w:rPr>
              <w:t xml:space="preserve"> 3</w:t>
            </w:r>
            <w:r>
              <w:rPr>
                <w:rFonts w:hint="eastAsia"/>
                <w:color w:val="000000" w:themeColor="text1"/>
                <w:u w:val="single"/>
              </w:rPr>
              <w:t>6</w:t>
            </w:r>
            <w:r>
              <w:rPr>
                <w:color w:val="000000" w:themeColor="text1"/>
                <w:u w:val="single"/>
              </w:rPr>
              <w:t xml:space="preserve"> </w:t>
            </w:r>
            <w:r>
              <w:rPr>
                <w:color w:val="000000" w:themeColor="text1"/>
              </w:rPr>
              <w:t>度</w:t>
            </w:r>
            <w:r>
              <w:rPr>
                <w:color w:val="000000" w:themeColor="text1"/>
                <w:u w:val="single"/>
              </w:rPr>
              <w:t xml:space="preserve"> </w:t>
            </w:r>
            <w:r>
              <w:rPr>
                <w:rFonts w:hint="eastAsia"/>
                <w:color w:val="000000" w:themeColor="text1"/>
                <w:u w:val="single"/>
              </w:rPr>
              <w:t>9</w:t>
            </w:r>
            <w:r>
              <w:rPr>
                <w:color w:val="000000" w:themeColor="text1"/>
                <w:u w:val="single"/>
              </w:rPr>
              <w:t xml:space="preserve"> </w:t>
            </w:r>
            <w:r>
              <w:rPr>
                <w:color w:val="000000" w:themeColor="text1"/>
              </w:rPr>
              <w:t>分</w:t>
            </w:r>
            <w:r>
              <w:rPr>
                <w:color w:val="000000" w:themeColor="text1"/>
                <w:u w:val="single"/>
              </w:rPr>
              <w:t xml:space="preserve"> </w:t>
            </w:r>
            <w:r>
              <w:rPr>
                <w:rFonts w:hint="eastAsia"/>
                <w:color w:val="000000" w:themeColor="text1"/>
                <w:u w:val="single"/>
              </w:rPr>
              <w:t>5.559</w:t>
            </w:r>
            <w:r>
              <w:rPr>
                <w:color w:val="000000" w:themeColor="text1"/>
                <w:u w:val="single"/>
              </w:rPr>
              <w:t xml:space="preserve"> </w:t>
            </w:r>
            <w:r>
              <w:rPr>
                <w:color w:val="000000" w:themeColor="text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国民经济</w:t>
            </w:r>
          </w:p>
          <w:p>
            <w:pPr>
              <w:adjustRightInd w:val="0"/>
              <w:snapToGrid w:val="0"/>
              <w:jc w:val="center"/>
              <w:rPr>
                <w:color w:val="000000" w:themeColor="text1"/>
              </w:rPr>
            </w:pPr>
            <w:r>
              <w:rPr>
                <w:color w:val="000000" w:themeColor="text1"/>
              </w:rPr>
              <w:t>行业类别</w:t>
            </w:r>
          </w:p>
        </w:tc>
        <w:tc>
          <w:tcPr>
            <w:tcW w:w="3196" w:type="dxa"/>
            <w:gridSpan w:val="2"/>
            <w:vAlign w:val="center"/>
          </w:tcPr>
          <w:p>
            <w:pPr>
              <w:adjustRightInd w:val="0"/>
              <w:snapToGrid w:val="0"/>
              <w:rPr>
                <w:color w:val="000000" w:themeColor="text1"/>
              </w:rPr>
            </w:pPr>
            <w:r>
              <w:rPr>
                <w:color w:val="000000" w:themeColor="text1"/>
              </w:rPr>
              <w:t>C3660 汽车车身、挂车制造</w:t>
            </w:r>
          </w:p>
        </w:tc>
        <w:tc>
          <w:tcPr>
            <w:tcW w:w="1701" w:type="dxa"/>
            <w:vAlign w:val="center"/>
          </w:tcPr>
          <w:p>
            <w:pPr>
              <w:adjustRightInd w:val="0"/>
              <w:snapToGrid w:val="0"/>
              <w:jc w:val="center"/>
              <w:rPr>
                <w:color w:val="000000" w:themeColor="text1"/>
              </w:rPr>
            </w:pPr>
            <w:bookmarkStart w:id="1" w:name="_Hlk49843745"/>
            <w:r>
              <w:rPr>
                <w:color w:val="000000" w:themeColor="text1"/>
              </w:rPr>
              <w:t>建设项目</w:t>
            </w:r>
          </w:p>
          <w:p>
            <w:pPr>
              <w:adjustRightInd w:val="0"/>
              <w:snapToGrid w:val="0"/>
              <w:jc w:val="center"/>
              <w:rPr>
                <w:color w:val="000000" w:themeColor="text1"/>
              </w:rPr>
            </w:pPr>
            <w:r>
              <w:rPr>
                <w:color w:val="000000" w:themeColor="text1"/>
              </w:rPr>
              <w:t>行业类别</w:t>
            </w:r>
            <w:bookmarkEnd w:id="1"/>
          </w:p>
        </w:tc>
        <w:tc>
          <w:tcPr>
            <w:tcW w:w="2551" w:type="dxa"/>
            <w:vAlign w:val="center"/>
          </w:tcPr>
          <w:p>
            <w:pPr>
              <w:adjustRightInd w:val="0"/>
              <w:snapToGrid w:val="0"/>
              <w:rPr>
                <w:color w:val="000000" w:themeColor="text1"/>
              </w:rPr>
            </w:pPr>
            <w:r>
              <w:rPr>
                <w:color w:val="000000" w:themeColor="text1"/>
              </w:rPr>
              <w:t>三十</w:t>
            </w:r>
            <w:r>
              <w:rPr>
                <w:rFonts w:hint="eastAsia"/>
                <w:color w:val="000000" w:themeColor="text1"/>
              </w:rPr>
              <w:t>三</w:t>
            </w:r>
            <w:r>
              <w:rPr>
                <w:color w:val="000000" w:themeColor="text1"/>
              </w:rPr>
              <w:t>、“</w:t>
            </w:r>
            <w:r>
              <w:rPr>
                <w:rFonts w:hint="eastAsia"/>
                <w:color w:val="000000" w:themeColor="text1"/>
              </w:rPr>
              <w:t>汽车制造业</w:t>
            </w:r>
            <w:r>
              <w:rPr>
                <w:color w:val="000000" w:themeColor="text1"/>
              </w:rPr>
              <w:t>”中</w:t>
            </w:r>
            <w:r>
              <w:rPr>
                <w:rFonts w:hint="eastAsia"/>
                <w:color w:val="000000" w:themeColor="text1"/>
              </w:rPr>
              <w:t>71汽车车身、挂车制造中的其他类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建设性质</w:t>
            </w:r>
          </w:p>
        </w:tc>
        <w:tc>
          <w:tcPr>
            <w:tcW w:w="3196" w:type="dxa"/>
            <w:gridSpan w:val="2"/>
            <w:vAlign w:val="center"/>
          </w:tcPr>
          <w:p>
            <w:pPr>
              <w:jc w:val="left"/>
              <w:rPr>
                <w:color w:val="000000" w:themeColor="text1"/>
              </w:rPr>
            </w:pPr>
            <w:r>
              <w:rPr>
                <w:color w:val="000000" w:themeColor="text1"/>
              </w:rPr>
              <w:sym w:font="Wingdings 2" w:char="0052"/>
            </w:r>
            <w:r>
              <w:rPr>
                <w:color w:val="000000" w:themeColor="text1"/>
              </w:rPr>
              <w:t>新建（迁建）</w:t>
            </w:r>
          </w:p>
          <w:p>
            <w:pPr>
              <w:jc w:val="left"/>
              <w:rPr>
                <w:color w:val="000000" w:themeColor="text1"/>
              </w:rPr>
            </w:pPr>
            <w:r>
              <w:rPr>
                <w:color w:val="000000" w:themeColor="text1"/>
              </w:rPr>
              <w:sym w:font="Wingdings 2" w:char="00A3"/>
            </w:r>
            <w:r>
              <w:rPr>
                <w:color w:val="000000" w:themeColor="text1"/>
              </w:rPr>
              <w:t>改建</w:t>
            </w:r>
          </w:p>
          <w:p>
            <w:pPr>
              <w:jc w:val="left"/>
              <w:rPr>
                <w:color w:val="000000" w:themeColor="text1"/>
              </w:rPr>
            </w:pPr>
            <w:r>
              <w:rPr>
                <w:color w:val="000000" w:themeColor="text1"/>
              </w:rPr>
              <w:sym w:font="Wingdings 2" w:char="00A3"/>
            </w:r>
            <w:r>
              <w:rPr>
                <w:color w:val="000000" w:themeColor="text1"/>
              </w:rPr>
              <w:t>扩建</w:t>
            </w:r>
          </w:p>
          <w:p>
            <w:pPr>
              <w:jc w:val="left"/>
              <w:rPr>
                <w:color w:val="000000" w:themeColor="text1"/>
              </w:rPr>
            </w:pPr>
            <w:r>
              <w:rPr>
                <w:color w:val="000000" w:themeColor="text1"/>
              </w:rPr>
              <w:sym w:font="Wingdings 2" w:char="00A3"/>
            </w:r>
            <w:r>
              <w:rPr>
                <w:color w:val="000000" w:themeColor="text1"/>
              </w:rPr>
              <w:t>技术改造</w:t>
            </w:r>
          </w:p>
        </w:tc>
        <w:tc>
          <w:tcPr>
            <w:tcW w:w="1701" w:type="dxa"/>
            <w:vAlign w:val="center"/>
          </w:tcPr>
          <w:p>
            <w:pPr>
              <w:adjustRightInd w:val="0"/>
              <w:snapToGrid w:val="0"/>
              <w:jc w:val="center"/>
              <w:rPr>
                <w:color w:val="000000" w:themeColor="text1"/>
              </w:rPr>
            </w:pPr>
            <w:r>
              <w:rPr>
                <w:color w:val="000000" w:themeColor="text1"/>
              </w:rPr>
              <w:t>建设项目</w:t>
            </w:r>
          </w:p>
          <w:p>
            <w:pPr>
              <w:adjustRightInd w:val="0"/>
              <w:snapToGrid w:val="0"/>
              <w:jc w:val="center"/>
              <w:rPr>
                <w:color w:val="000000" w:themeColor="text1"/>
              </w:rPr>
            </w:pPr>
            <w:r>
              <w:rPr>
                <w:color w:val="000000" w:themeColor="text1"/>
              </w:rPr>
              <w:t>申报情形</w:t>
            </w:r>
          </w:p>
        </w:tc>
        <w:tc>
          <w:tcPr>
            <w:tcW w:w="2551" w:type="dxa"/>
            <w:vAlign w:val="center"/>
          </w:tcPr>
          <w:p>
            <w:pPr>
              <w:jc w:val="left"/>
              <w:rPr>
                <w:color w:val="000000" w:themeColor="text1"/>
              </w:rPr>
            </w:pPr>
            <w:r>
              <w:rPr>
                <w:color w:val="000000" w:themeColor="text1"/>
              </w:rPr>
              <w:sym w:font="Wingdings 2" w:char="0052"/>
            </w:r>
            <w:r>
              <w:rPr>
                <w:color w:val="000000" w:themeColor="text1"/>
              </w:rPr>
              <w:t>首次申报项目</w:t>
            </w:r>
          </w:p>
          <w:p>
            <w:pPr>
              <w:jc w:val="left"/>
              <w:rPr>
                <w:color w:val="000000" w:themeColor="text1"/>
              </w:rPr>
            </w:pPr>
            <w:r>
              <w:rPr>
                <w:color w:val="000000" w:themeColor="text1"/>
              </w:rPr>
              <w:sym w:font="Wingdings 2" w:char="00A3"/>
            </w:r>
            <w:r>
              <w:rPr>
                <w:color w:val="000000" w:themeColor="text1"/>
              </w:rPr>
              <w:t>不予批准后再次申报项目</w:t>
            </w:r>
          </w:p>
          <w:p>
            <w:pPr>
              <w:jc w:val="left"/>
              <w:rPr>
                <w:color w:val="000000" w:themeColor="text1"/>
              </w:rPr>
            </w:pPr>
            <w:r>
              <w:rPr>
                <w:color w:val="000000" w:themeColor="text1"/>
              </w:rPr>
              <w:sym w:font="Wingdings 2" w:char="00A3"/>
            </w:r>
            <w:r>
              <w:rPr>
                <w:color w:val="000000" w:themeColor="text1"/>
              </w:rPr>
              <w:t xml:space="preserve">超五年重新审核项目     </w:t>
            </w:r>
          </w:p>
          <w:p>
            <w:pPr>
              <w:jc w:val="left"/>
              <w:rPr>
                <w:color w:val="000000" w:themeColor="text1"/>
              </w:rPr>
            </w:pPr>
            <w:r>
              <w:rPr>
                <w:color w:val="000000" w:themeColor="text1"/>
              </w:rPr>
              <w:sym w:font="Wingdings 2" w:char="00A3"/>
            </w:r>
            <w:r>
              <w:rPr>
                <w:color w:val="000000" w:themeColor="text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02" w:type="dxa"/>
            <w:shd w:val="clear" w:color="auto" w:fill="auto"/>
            <w:tcMar>
              <w:top w:w="16" w:type="dxa"/>
              <w:left w:w="16" w:type="dxa"/>
              <w:right w:w="16" w:type="dxa"/>
            </w:tcMar>
            <w:vAlign w:val="center"/>
          </w:tcPr>
          <w:p>
            <w:pPr>
              <w:adjustRightInd w:val="0"/>
              <w:snapToGrid w:val="0"/>
              <w:jc w:val="center"/>
              <w:rPr>
                <w:color w:val="000000" w:themeColor="text1"/>
              </w:rPr>
            </w:pPr>
            <w:r>
              <w:rPr>
                <w:color w:val="000000" w:themeColor="text1"/>
              </w:rPr>
              <w:t>项目审批（核准/备案）部门（选填）</w:t>
            </w:r>
          </w:p>
        </w:tc>
        <w:tc>
          <w:tcPr>
            <w:tcW w:w="3196" w:type="dxa"/>
            <w:gridSpan w:val="2"/>
            <w:shd w:val="clear" w:color="auto" w:fill="auto"/>
            <w:vAlign w:val="center"/>
          </w:tcPr>
          <w:p>
            <w:pPr>
              <w:adjustRightInd w:val="0"/>
              <w:snapToGrid w:val="0"/>
              <w:jc w:val="center"/>
              <w:rPr>
                <w:rFonts w:hint="default" w:eastAsia="宋体"/>
                <w:color w:val="000000" w:themeColor="text1"/>
                <w:lang w:val="en-US" w:eastAsia="zh-CN"/>
              </w:rPr>
            </w:pPr>
            <w:r>
              <w:rPr>
                <w:rFonts w:hint="eastAsia"/>
                <w:color w:val="000000" w:themeColor="text1"/>
                <w:lang w:val="en-US" w:eastAsia="zh-CN"/>
              </w:rPr>
              <w:t>长治市生态环境局长子分局</w:t>
            </w:r>
          </w:p>
        </w:tc>
        <w:tc>
          <w:tcPr>
            <w:tcW w:w="1701" w:type="dxa"/>
            <w:vAlign w:val="center"/>
          </w:tcPr>
          <w:p>
            <w:pPr>
              <w:adjustRightInd w:val="0"/>
              <w:snapToGrid w:val="0"/>
              <w:jc w:val="center"/>
              <w:rPr>
                <w:color w:val="000000" w:themeColor="text1"/>
              </w:rPr>
            </w:pPr>
            <w:r>
              <w:rPr>
                <w:color w:val="000000" w:themeColor="text1"/>
              </w:rPr>
              <w:t>项目审批（核准/</w:t>
            </w:r>
          </w:p>
          <w:p>
            <w:pPr>
              <w:adjustRightInd w:val="0"/>
              <w:snapToGrid w:val="0"/>
              <w:jc w:val="center"/>
              <w:rPr>
                <w:color w:val="000000" w:themeColor="text1"/>
              </w:rPr>
            </w:pPr>
            <w:r>
              <w:rPr>
                <w:color w:val="000000" w:themeColor="text1"/>
              </w:rPr>
              <w:t>备案）文号（选填）</w:t>
            </w:r>
          </w:p>
        </w:tc>
        <w:tc>
          <w:tcPr>
            <w:tcW w:w="2551" w:type="dxa"/>
            <w:vAlign w:val="center"/>
          </w:tcPr>
          <w:p>
            <w:pPr>
              <w:adjustRightInd w:val="0"/>
              <w:snapToGrid w:val="0"/>
              <w:jc w:val="center"/>
              <w:rPr>
                <w:color w:val="000000" w:themeColor="text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总投资（万元）</w:t>
            </w:r>
          </w:p>
        </w:tc>
        <w:tc>
          <w:tcPr>
            <w:tcW w:w="3196" w:type="dxa"/>
            <w:gridSpan w:val="2"/>
            <w:vAlign w:val="center"/>
          </w:tcPr>
          <w:p>
            <w:pPr>
              <w:adjustRightInd w:val="0"/>
              <w:snapToGrid w:val="0"/>
              <w:jc w:val="center"/>
              <w:rPr>
                <w:color w:val="000000" w:themeColor="text1"/>
              </w:rPr>
            </w:pPr>
            <w:r>
              <w:rPr>
                <w:rFonts w:hint="eastAsia"/>
                <w:color w:val="000000" w:themeColor="text1"/>
              </w:rPr>
              <w:t>2000</w:t>
            </w:r>
          </w:p>
        </w:tc>
        <w:tc>
          <w:tcPr>
            <w:tcW w:w="1701" w:type="dxa"/>
            <w:tcMar>
              <w:top w:w="16" w:type="dxa"/>
              <w:left w:w="16" w:type="dxa"/>
              <w:right w:w="16" w:type="dxa"/>
            </w:tcMar>
            <w:vAlign w:val="center"/>
          </w:tcPr>
          <w:p>
            <w:pPr>
              <w:adjustRightInd w:val="0"/>
              <w:snapToGrid w:val="0"/>
              <w:jc w:val="center"/>
              <w:rPr>
                <w:color w:val="000000" w:themeColor="text1"/>
              </w:rPr>
            </w:pPr>
            <w:r>
              <w:rPr>
                <w:color w:val="000000" w:themeColor="text1"/>
              </w:rPr>
              <w:t>环保投资（万元）</w:t>
            </w:r>
          </w:p>
        </w:tc>
        <w:tc>
          <w:tcPr>
            <w:tcW w:w="2551" w:type="dxa"/>
            <w:vAlign w:val="center"/>
          </w:tcPr>
          <w:p>
            <w:pPr>
              <w:adjustRightInd w:val="0"/>
              <w:snapToGrid w:val="0"/>
              <w:jc w:val="center"/>
              <w:rPr>
                <w:color w:val="000000" w:themeColor="text1"/>
              </w:rPr>
            </w:pPr>
            <w:r>
              <w:rPr>
                <w:rFonts w:hint="eastAsia"/>
                <w:color w:val="000000" w:themeColor="text1"/>
              </w:rPr>
              <w:t>139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环保投资占比（%）</w:t>
            </w:r>
          </w:p>
        </w:tc>
        <w:tc>
          <w:tcPr>
            <w:tcW w:w="3196" w:type="dxa"/>
            <w:gridSpan w:val="2"/>
            <w:vAlign w:val="center"/>
          </w:tcPr>
          <w:p>
            <w:pPr>
              <w:adjustRightInd w:val="0"/>
              <w:snapToGrid w:val="0"/>
              <w:jc w:val="center"/>
              <w:rPr>
                <w:color w:val="000000" w:themeColor="text1"/>
              </w:rPr>
            </w:pPr>
            <w:r>
              <w:rPr>
                <w:rFonts w:hint="eastAsia"/>
                <w:color w:val="000000" w:themeColor="text1"/>
              </w:rPr>
              <w:t>6.95</w:t>
            </w:r>
            <w:r>
              <w:rPr>
                <w:color w:val="000000" w:themeColor="text1"/>
              </w:rPr>
              <w:t>%</w:t>
            </w:r>
          </w:p>
        </w:tc>
        <w:tc>
          <w:tcPr>
            <w:tcW w:w="1701" w:type="dxa"/>
            <w:tcMar>
              <w:top w:w="16" w:type="dxa"/>
              <w:left w:w="16" w:type="dxa"/>
              <w:right w:w="16" w:type="dxa"/>
            </w:tcMar>
            <w:vAlign w:val="center"/>
          </w:tcPr>
          <w:p>
            <w:pPr>
              <w:adjustRightInd w:val="0"/>
              <w:snapToGrid w:val="0"/>
              <w:jc w:val="center"/>
              <w:rPr>
                <w:color w:val="000000" w:themeColor="text1"/>
              </w:rPr>
            </w:pPr>
            <w:r>
              <w:rPr>
                <w:color w:val="000000" w:themeColor="text1"/>
              </w:rPr>
              <w:t>施工工期</w:t>
            </w:r>
          </w:p>
        </w:tc>
        <w:tc>
          <w:tcPr>
            <w:tcW w:w="2551" w:type="dxa"/>
            <w:vAlign w:val="center"/>
          </w:tcPr>
          <w:p>
            <w:pPr>
              <w:adjustRightInd w:val="0"/>
              <w:snapToGrid w:val="0"/>
              <w:jc w:val="center"/>
              <w:rPr>
                <w:color w:val="000000" w:themeColor="text1"/>
              </w:rPr>
            </w:pPr>
            <w:r>
              <w:rPr>
                <w:color w:val="000000" w:themeColor="text1"/>
              </w:rPr>
              <w:t>12个月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02" w:type="dxa"/>
            <w:tcMar>
              <w:top w:w="16" w:type="dxa"/>
              <w:left w:w="16" w:type="dxa"/>
              <w:right w:w="16" w:type="dxa"/>
            </w:tcMar>
            <w:vAlign w:val="center"/>
          </w:tcPr>
          <w:p>
            <w:pPr>
              <w:adjustRightInd w:val="0"/>
              <w:snapToGrid w:val="0"/>
              <w:jc w:val="center"/>
              <w:rPr>
                <w:color w:val="000000" w:themeColor="text1"/>
              </w:rPr>
            </w:pPr>
            <w:r>
              <w:rPr>
                <w:color w:val="000000" w:themeColor="text1"/>
              </w:rPr>
              <w:t>是否开工建设</w:t>
            </w:r>
          </w:p>
        </w:tc>
        <w:tc>
          <w:tcPr>
            <w:tcW w:w="3196" w:type="dxa"/>
            <w:gridSpan w:val="2"/>
            <w:vAlign w:val="center"/>
          </w:tcPr>
          <w:p>
            <w:pPr>
              <w:adjustRightInd w:val="0"/>
              <w:snapToGrid w:val="0"/>
              <w:rPr>
                <w:color w:val="000000" w:themeColor="text1"/>
              </w:rPr>
            </w:pPr>
            <w:r>
              <w:rPr>
                <w:color w:val="000000" w:themeColor="text1"/>
              </w:rPr>
              <w:sym w:font="Wingdings 2" w:char="0052"/>
            </w:r>
            <w:r>
              <w:rPr>
                <w:color w:val="000000" w:themeColor="text1"/>
              </w:rPr>
              <w:t>否</w:t>
            </w:r>
          </w:p>
          <w:p>
            <w:pPr>
              <w:adjustRightInd w:val="0"/>
              <w:snapToGrid w:val="0"/>
              <w:rPr>
                <w:color w:val="000000" w:themeColor="text1"/>
              </w:rPr>
            </w:pPr>
            <w:r>
              <w:rPr>
                <w:rFonts w:hint="eastAsia"/>
                <w:color w:val="000000" w:themeColor="text1"/>
              </w:rPr>
              <w:sym w:font="Wingdings 2" w:char="00A3"/>
            </w:r>
            <w:r>
              <w:rPr>
                <w:color w:val="000000" w:themeColor="text1"/>
              </w:rPr>
              <w:t>是：</w:t>
            </w:r>
            <w:r>
              <w:rPr>
                <w:color w:val="000000" w:themeColor="text1"/>
                <w:u w:val="single"/>
              </w:rPr>
              <w:t xml:space="preserve">    </w:t>
            </w:r>
          </w:p>
        </w:tc>
        <w:tc>
          <w:tcPr>
            <w:tcW w:w="1701" w:type="dxa"/>
            <w:tcMar>
              <w:top w:w="16" w:type="dxa"/>
              <w:left w:w="16" w:type="dxa"/>
              <w:right w:w="16" w:type="dxa"/>
            </w:tcMar>
            <w:vAlign w:val="center"/>
          </w:tcPr>
          <w:p>
            <w:pPr>
              <w:adjustRightInd w:val="0"/>
              <w:snapToGrid w:val="0"/>
              <w:jc w:val="center"/>
              <w:rPr>
                <w:color w:val="000000" w:themeColor="text1"/>
              </w:rPr>
            </w:pPr>
            <w:r>
              <w:rPr>
                <w:color w:val="000000" w:themeColor="text1"/>
              </w:rPr>
              <w:t>用地（用海）</w:t>
            </w:r>
          </w:p>
          <w:p>
            <w:pPr>
              <w:adjustRightInd w:val="0"/>
              <w:snapToGrid w:val="0"/>
              <w:jc w:val="center"/>
              <w:rPr>
                <w:color w:val="000000" w:themeColor="text1"/>
              </w:rPr>
            </w:pPr>
            <w:r>
              <w:rPr>
                <w:color w:val="000000" w:themeColor="text1"/>
              </w:rPr>
              <w:t>面积（m</w:t>
            </w:r>
            <w:r>
              <w:rPr>
                <w:color w:val="000000" w:themeColor="text1"/>
                <w:vertAlign w:val="superscript"/>
              </w:rPr>
              <w:t>2</w:t>
            </w:r>
            <w:r>
              <w:rPr>
                <w:color w:val="000000" w:themeColor="text1"/>
              </w:rPr>
              <w:t>）</w:t>
            </w:r>
          </w:p>
        </w:tc>
        <w:tc>
          <w:tcPr>
            <w:tcW w:w="2551" w:type="dxa"/>
            <w:vAlign w:val="center"/>
          </w:tcPr>
          <w:p>
            <w:pPr>
              <w:adjustRightInd w:val="0"/>
              <w:snapToGrid w:val="0"/>
              <w:jc w:val="center"/>
              <w:rPr>
                <w:color w:val="000000" w:themeColor="text1"/>
              </w:rPr>
            </w:pPr>
            <w:r>
              <w:rPr>
                <w:rFonts w:hint="eastAsia"/>
                <w:color w:val="000000" w:themeColor="text1"/>
              </w:rPr>
              <w:t>17874.95</w:t>
            </w:r>
            <w:r>
              <w:rPr>
                <w:color w:val="000000" w:themeColor="text1"/>
              </w:rPr>
              <w:t>m</w:t>
            </w:r>
            <w:r>
              <w:rPr>
                <w:color w:val="000000" w:themeColor="text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1702" w:type="dxa"/>
            <w:vAlign w:val="center"/>
          </w:tcPr>
          <w:p>
            <w:pPr>
              <w:autoSpaceDE w:val="0"/>
              <w:autoSpaceDN w:val="0"/>
              <w:adjustRightInd w:val="0"/>
              <w:snapToGrid w:val="0"/>
              <w:jc w:val="center"/>
              <w:rPr>
                <w:color w:val="000000" w:themeColor="text1"/>
                <w:kern w:val="0"/>
              </w:rPr>
            </w:pPr>
            <w:r>
              <w:rPr>
                <w:color w:val="000000" w:themeColor="text1"/>
                <w:kern w:val="0"/>
              </w:rPr>
              <w:t>专项评价设置情况</w:t>
            </w:r>
          </w:p>
        </w:tc>
        <w:tc>
          <w:tcPr>
            <w:tcW w:w="7448" w:type="dxa"/>
            <w:gridSpan w:val="4"/>
            <w:vAlign w:val="center"/>
          </w:tcPr>
          <w:p>
            <w:pPr>
              <w:autoSpaceDE w:val="0"/>
              <w:autoSpaceDN w:val="0"/>
              <w:adjustRightInd w:val="0"/>
              <w:snapToGrid w:val="0"/>
              <w:spacing w:line="480" w:lineRule="exact"/>
              <w:ind w:firstLine="480" w:firstLineChars="200"/>
              <w:jc w:val="center"/>
              <w:rPr>
                <w:color w:val="000000" w:themeColor="text1"/>
              </w:rPr>
            </w:pPr>
            <w:r>
              <w:rPr>
                <w:color w:val="000000" w:themeColor="text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02" w:type="dxa"/>
            <w:vAlign w:val="center"/>
          </w:tcPr>
          <w:p>
            <w:pPr>
              <w:autoSpaceDE w:val="0"/>
              <w:autoSpaceDN w:val="0"/>
              <w:adjustRightInd w:val="0"/>
              <w:snapToGrid w:val="0"/>
              <w:jc w:val="center"/>
              <w:rPr>
                <w:color w:val="000000" w:themeColor="text1"/>
                <w:kern w:val="0"/>
              </w:rPr>
            </w:pPr>
            <w:r>
              <w:rPr>
                <w:color w:val="000000" w:themeColor="text1"/>
              </w:rPr>
              <w:t>规划情况</w:t>
            </w:r>
          </w:p>
        </w:tc>
        <w:tc>
          <w:tcPr>
            <w:tcW w:w="7448" w:type="dxa"/>
            <w:gridSpan w:val="4"/>
            <w:vAlign w:val="center"/>
          </w:tcPr>
          <w:p>
            <w:pPr>
              <w:pStyle w:val="30"/>
              <w:spacing w:line="420" w:lineRule="exact"/>
              <w:ind w:firstLine="480" w:firstLineChars="200"/>
              <w:rPr>
                <w:color w:val="000000" w:themeColor="text1"/>
              </w:rPr>
            </w:pPr>
            <w:r>
              <w:rPr>
                <w:color w:val="000000" w:themeColor="text1"/>
              </w:rPr>
              <w:t>规划名称：</w:t>
            </w:r>
            <w:r>
              <w:rPr>
                <w:rFonts w:hint="eastAsia"/>
                <w:color w:val="000000" w:themeColor="text1"/>
              </w:rPr>
              <w:t>长子县宋村新兴产业集聚区总体规划（2021-2035）</w:t>
            </w:r>
          </w:p>
          <w:p>
            <w:pPr>
              <w:adjustRightInd w:val="0"/>
              <w:snapToGrid w:val="0"/>
              <w:spacing w:line="480" w:lineRule="exact"/>
              <w:ind w:firstLine="480" w:firstLineChars="200"/>
              <w:rPr>
                <w:color w:val="000000" w:themeColor="text1"/>
              </w:rPr>
            </w:pPr>
            <w:r>
              <w:rPr>
                <w:color w:val="000000" w:themeColor="text1"/>
              </w:rPr>
              <w:t>审批机关</w:t>
            </w:r>
            <w:r>
              <w:rPr>
                <w:color w:val="0000FF"/>
              </w:rPr>
              <w:t>：</w:t>
            </w:r>
            <w:r>
              <w:rPr>
                <w:rFonts w:hint="eastAsia"/>
                <w:color w:val="0000FF"/>
              </w:rPr>
              <w:t>长子经济技术开发区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1702" w:type="dxa"/>
            <w:vAlign w:val="center"/>
          </w:tcPr>
          <w:p>
            <w:pPr>
              <w:adjustRightInd w:val="0"/>
              <w:snapToGrid w:val="0"/>
              <w:jc w:val="center"/>
              <w:rPr>
                <w:color w:val="000000" w:themeColor="text1"/>
              </w:rPr>
            </w:pPr>
            <w:r>
              <w:rPr>
                <w:color w:val="000000" w:themeColor="text1"/>
              </w:rPr>
              <w:t>规划环境影响</w:t>
            </w:r>
          </w:p>
          <w:p>
            <w:pPr>
              <w:adjustRightInd w:val="0"/>
              <w:snapToGrid w:val="0"/>
              <w:jc w:val="center"/>
              <w:rPr>
                <w:color w:val="000000" w:themeColor="text1"/>
                <w:kern w:val="0"/>
              </w:rPr>
            </w:pPr>
            <w:r>
              <w:rPr>
                <w:color w:val="000000" w:themeColor="text1"/>
              </w:rPr>
              <w:t>评价情况</w:t>
            </w:r>
          </w:p>
        </w:tc>
        <w:tc>
          <w:tcPr>
            <w:tcW w:w="7448" w:type="dxa"/>
            <w:gridSpan w:val="4"/>
            <w:vAlign w:val="center"/>
          </w:tcPr>
          <w:p>
            <w:pPr>
              <w:adjustRightInd w:val="0"/>
              <w:snapToGrid w:val="0"/>
              <w:spacing w:line="480" w:lineRule="exact"/>
              <w:ind w:firstLine="480" w:firstLineChars="200"/>
              <w:rPr>
                <w:color w:val="000000" w:themeColor="text1"/>
              </w:rPr>
            </w:pPr>
            <w:r>
              <w:rPr>
                <w:color w:val="000000" w:themeColor="text1"/>
              </w:rPr>
              <w:t>文件名称：</w:t>
            </w:r>
            <w:r>
              <w:rPr>
                <w:rFonts w:hint="eastAsia"/>
                <w:color w:val="000000" w:themeColor="text1"/>
              </w:rPr>
              <w:t>长子宋村新兴产业集聚区总体规划（</w:t>
            </w:r>
            <w:r>
              <w:rPr>
                <w:color w:val="000000" w:themeColor="text1"/>
              </w:rPr>
              <w:t xml:space="preserve">2021-2035 </w:t>
            </w:r>
            <w:r>
              <w:rPr>
                <w:rFonts w:hint="eastAsia"/>
                <w:color w:val="000000" w:themeColor="text1"/>
              </w:rPr>
              <w:t>年）环境影响报告书</w:t>
            </w:r>
          </w:p>
          <w:p>
            <w:pPr>
              <w:adjustRightInd w:val="0"/>
              <w:snapToGrid w:val="0"/>
              <w:spacing w:line="480" w:lineRule="exact"/>
              <w:ind w:firstLine="480" w:firstLineChars="200"/>
              <w:rPr>
                <w:color w:val="000000" w:themeColor="text1"/>
              </w:rPr>
            </w:pPr>
            <w:r>
              <w:rPr>
                <w:color w:val="000000" w:themeColor="text1"/>
              </w:rPr>
              <w:t>审批情况：正在编制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02" w:type="dxa"/>
            <w:vAlign w:val="center"/>
          </w:tcPr>
          <w:p>
            <w:pPr>
              <w:autoSpaceDE w:val="0"/>
              <w:autoSpaceDN w:val="0"/>
              <w:adjustRightInd w:val="0"/>
              <w:snapToGrid w:val="0"/>
              <w:jc w:val="center"/>
              <w:rPr>
                <w:color w:val="000000" w:themeColor="text1"/>
                <w:kern w:val="0"/>
              </w:rPr>
            </w:pPr>
            <w:r>
              <w:rPr>
                <w:color w:val="000000" w:themeColor="text1"/>
                <w:kern w:val="0"/>
              </w:rPr>
              <w:t>规划及规划环境</w:t>
            </w:r>
          </w:p>
          <w:p>
            <w:pPr>
              <w:autoSpaceDE w:val="0"/>
              <w:autoSpaceDN w:val="0"/>
              <w:adjustRightInd w:val="0"/>
              <w:snapToGrid w:val="0"/>
              <w:jc w:val="center"/>
              <w:rPr>
                <w:color w:val="000000" w:themeColor="text1"/>
                <w:kern w:val="0"/>
              </w:rPr>
            </w:pPr>
            <w:r>
              <w:rPr>
                <w:color w:val="000000" w:themeColor="text1"/>
                <w:kern w:val="0"/>
              </w:rPr>
              <w:t>影响评价符合性分析</w:t>
            </w:r>
          </w:p>
        </w:tc>
        <w:tc>
          <w:tcPr>
            <w:tcW w:w="7448" w:type="dxa"/>
            <w:gridSpan w:val="4"/>
            <w:vAlign w:val="center"/>
          </w:tcPr>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宋村新兴产业集聚区规划形成“一核、两轴、三心、六组团”的空间布局结构。</w:t>
            </w:r>
          </w:p>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一核：以宋村镇为产业综合服务组团核心，配套生态核心休闲公园、职工公寓、商务办公、酒店会议中心、质检中心分支机构、就业技能培训、产业旅游观光服务中心等功能设施；</w:t>
            </w:r>
          </w:p>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两轴：即沿张下线形成的园区发展主轴，沿创业路形成的发展次轴；</w:t>
            </w:r>
          </w:p>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三心：指园区组团服务中心，配套建设商业，基本满足园区产业组团工人休闲服务设施；</w:t>
            </w:r>
          </w:p>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六组团：产城融合服务组团、节能环保产业研发组团、新材料产业科研组团、先进制造研发组团、食品加工和生物制药研发组团、中试孵化产业组团。</w:t>
            </w:r>
          </w:p>
          <w:p>
            <w:pPr>
              <w:autoSpaceDE w:val="0"/>
              <w:autoSpaceDN w:val="0"/>
              <w:adjustRightInd w:val="0"/>
              <w:snapToGrid w:val="0"/>
              <w:spacing w:line="480" w:lineRule="exact"/>
              <w:ind w:firstLine="480" w:firstLineChars="200"/>
              <w:jc w:val="left"/>
              <w:rPr>
                <w:color w:val="000000" w:themeColor="text1"/>
              </w:rPr>
            </w:pPr>
            <w:r>
              <w:rPr>
                <w:rFonts w:hint="eastAsia"/>
                <w:color w:val="000000" w:themeColor="text1"/>
              </w:rPr>
              <w:t>本项目位于山西省长治市长子县宋村乡薛家庄村西南侧210m处，本项目占地属于工业用地，位于食品加工和生物制药研发组团，经管委会确定，本项目的建设不违背园区的总体规划。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9" w:hRule="atLeast"/>
          <w:jc w:val="center"/>
        </w:trPr>
        <w:tc>
          <w:tcPr>
            <w:tcW w:w="1702" w:type="dxa"/>
            <w:vAlign w:val="center"/>
          </w:tcPr>
          <w:p>
            <w:pPr>
              <w:autoSpaceDE w:val="0"/>
              <w:autoSpaceDN w:val="0"/>
              <w:adjustRightInd w:val="0"/>
              <w:snapToGrid w:val="0"/>
              <w:jc w:val="center"/>
              <w:rPr>
                <w:color w:val="000000" w:themeColor="text1"/>
                <w:kern w:val="0"/>
              </w:rPr>
            </w:pPr>
            <w:r>
              <w:rPr>
                <w:color w:val="000000" w:themeColor="text1"/>
                <w:kern w:val="0"/>
              </w:rPr>
              <w:t>其他符合性分析</w:t>
            </w:r>
          </w:p>
        </w:tc>
        <w:tc>
          <w:tcPr>
            <w:tcW w:w="7448" w:type="dxa"/>
            <w:gridSpan w:val="4"/>
            <w:vAlign w:val="center"/>
          </w:tcPr>
          <w:p>
            <w:pPr>
              <w:spacing w:line="480" w:lineRule="exact"/>
              <w:ind w:firstLine="480" w:firstLineChars="200"/>
              <w:jc w:val="left"/>
              <w:rPr>
                <w:color w:val="000000" w:themeColor="text1"/>
              </w:rPr>
            </w:pPr>
            <w:r>
              <w:rPr>
                <w:color w:val="000000" w:themeColor="text1"/>
              </w:rPr>
              <w:t>1、“三线一单”符合性</w:t>
            </w:r>
          </w:p>
          <w:p>
            <w:pPr>
              <w:spacing w:line="480" w:lineRule="exact"/>
              <w:ind w:firstLine="480" w:firstLineChars="200"/>
              <w:jc w:val="left"/>
              <w:rPr>
                <w:color w:val="000000" w:themeColor="text1"/>
              </w:rPr>
            </w:pPr>
            <w:r>
              <w:rPr>
                <w:color w:val="000000" w:themeColor="text1"/>
              </w:rPr>
              <w:t>（1）生态保护红线</w:t>
            </w:r>
          </w:p>
          <w:p>
            <w:pPr>
              <w:autoSpaceDE w:val="0"/>
              <w:autoSpaceDN w:val="0"/>
              <w:adjustRightInd w:val="0"/>
              <w:snapToGrid w:val="0"/>
              <w:spacing w:line="480" w:lineRule="exact"/>
              <w:ind w:firstLine="480" w:firstLineChars="200"/>
              <w:jc w:val="left"/>
              <w:rPr>
                <w:color w:val="000000" w:themeColor="text1"/>
              </w:rPr>
            </w:pPr>
            <w:r>
              <w:rPr>
                <w:color w:val="000000" w:themeColor="text1"/>
              </w:rPr>
              <w:t>生态保护红线是指依法在重点生态功能区、生态环境敏感区和脆弱区等区域划定的严格管控边界，是国家和区域生态安全的底线。被纳入区域，禁止进行工业化和城镇化开发，从而有效保护珍稀、濒危并具代表性的动植物物种及生态系统，维护重要生态系统主导功能。</w:t>
            </w:r>
          </w:p>
          <w:p>
            <w:pPr>
              <w:spacing w:line="480" w:lineRule="exact"/>
              <w:ind w:firstLine="480" w:firstLineChars="200"/>
              <w:jc w:val="left"/>
              <w:rPr>
                <w:color w:val="000000" w:themeColor="text1"/>
              </w:rPr>
            </w:pPr>
            <w:r>
              <w:rPr>
                <w:color w:val="000000" w:themeColor="text1"/>
              </w:rPr>
              <w:t>本项目选址不在自然保护区、风景名胜区、集中式饮用水水源保护区、泉域重点保护区等依法划定的需特别保护的环境敏感区范围内。本项目不在《生态保护红线划定指南》（环办生态【2017】48号）规定的需划入红线内的重点生态功能区、生态敏感区/脆弱区、禁止开发区及其它生态保护区内，因此，本项目的建设不违背生态保护红线要求。</w:t>
            </w:r>
          </w:p>
          <w:p>
            <w:pPr>
              <w:spacing w:line="480" w:lineRule="exact"/>
              <w:ind w:firstLine="480" w:firstLineChars="200"/>
              <w:jc w:val="left"/>
              <w:rPr>
                <w:color w:val="000000" w:themeColor="text1"/>
              </w:rPr>
            </w:pPr>
            <w:r>
              <w:rPr>
                <w:color w:val="000000" w:themeColor="text1"/>
              </w:rPr>
              <w:t>（2）环境质量底线</w:t>
            </w:r>
          </w:p>
          <w:p>
            <w:pPr>
              <w:spacing w:line="480" w:lineRule="exact"/>
              <w:ind w:firstLine="480" w:firstLineChars="200"/>
              <w:jc w:val="left"/>
              <w:rPr>
                <w:color w:val="000000" w:themeColor="text1"/>
              </w:rPr>
            </w:pPr>
            <w:r>
              <w:rPr>
                <w:color w:val="000000" w:themeColor="text1"/>
              </w:rPr>
              <w:t>根据《长治市大气污染防治工作领导组办公室长治市水污染防治工作领导组办公室关于202</w:t>
            </w:r>
            <w:r>
              <w:rPr>
                <w:rFonts w:hint="eastAsia"/>
                <w:color w:val="000000" w:themeColor="text1"/>
              </w:rPr>
              <w:t>1</w:t>
            </w:r>
            <w:r>
              <w:rPr>
                <w:color w:val="000000" w:themeColor="text1"/>
              </w:rPr>
              <w:t>年1-12月及12月长治市环境空气质量文件，202</w:t>
            </w:r>
            <w:r>
              <w:rPr>
                <w:rFonts w:hint="eastAsia"/>
                <w:color w:val="000000" w:themeColor="text1"/>
              </w:rPr>
              <w:t>1</w:t>
            </w:r>
            <w:r>
              <w:rPr>
                <w:color w:val="000000" w:themeColor="text1"/>
              </w:rPr>
              <w:t>年长治市</w:t>
            </w:r>
            <w:r>
              <w:rPr>
                <w:rFonts w:hint="eastAsia"/>
                <w:color w:val="000000" w:themeColor="text1"/>
              </w:rPr>
              <w:t>长子县</w:t>
            </w:r>
            <w:r>
              <w:rPr>
                <w:color w:val="000000" w:themeColor="text1"/>
              </w:rPr>
              <w:t>环境空气质量例行监测数据，PM</w:t>
            </w:r>
            <w:r>
              <w:rPr>
                <w:color w:val="000000" w:themeColor="text1"/>
                <w:vertAlign w:val="subscript"/>
              </w:rPr>
              <w:t>2.5</w:t>
            </w:r>
            <w:r>
              <w:rPr>
                <w:color w:val="000000" w:themeColor="text1"/>
              </w:rPr>
              <w:t>浓度值超环境空气质量标准（GB3095-2012）二级标准，评价区域属于不达标区。</w:t>
            </w:r>
          </w:p>
          <w:p>
            <w:pPr>
              <w:spacing w:line="480" w:lineRule="exact"/>
              <w:ind w:firstLine="480" w:firstLineChars="200"/>
              <w:jc w:val="left"/>
              <w:rPr>
                <w:color w:val="000000" w:themeColor="text1"/>
              </w:rPr>
            </w:pPr>
            <w:r>
              <w:rPr>
                <w:color w:val="000000" w:themeColor="text1"/>
              </w:rPr>
              <w:t>此外本项目在生产环节排放的特征污染物为TSP</w:t>
            </w:r>
            <w:r>
              <w:rPr>
                <w:rFonts w:hint="eastAsia"/>
                <w:color w:val="000000" w:themeColor="text1"/>
              </w:rPr>
              <w:t>和非甲烷总烃</w:t>
            </w:r>
            <w:r>
              <w:rPr>
                <w:color w:val="000000" w:themeColor="text1"/>
              </w:rPr>
              <w:t>，因此，为了解区域各特征污染物的环境质量现状，本项目</w:t>
            </w:r>
            <w:r>
              <w:rPr>
                <w:rFonts w:hint="eastAsia"/>
                <w:color w:val="000000" w:themeColor="text1"/>
              </w:rPr>
              <w:t>引用了山西明拓昕冉科技有限公司于2022年6月17日对薛家村进行的环境空气质量现状的监测报告</w:t>
            </w:r>
            <w:r>
              <w:rPr>
                <w:color w:val="000000" w:themeColor="text1"/>
              </w:rPr>
              <w:t>。监测结果</w:t>
            </w:r>
            <w:r>
              <w:rPr>
                <w:color w:val="000000" w:themeColor="text1"/>
                <w:spacing w:val="4"/>
              </w:rPr>
              <w:t>TSP</w:t>
            </w:r>
            <w:r>
              <w:rPr>
                <w:color w:val="000000" w:themeColor="text1"/>
                <w:spacing w:val="4"/>
                <w:lang w:val="zh-CN"/>
              </w:rPr>
              <w:t>浓度值范围</w:t>
            </w:r>
            <w:r>
              <w:rPr>
                <w:color w:val="000000" w:themeColor="text1"/>
                <w:spacing w:val="4"/>
              </w:rPr>
              <w:t>为</w:t>
            </w:r>
            <w:r>
              <w:rPr>
                <w:rFonts w:hint="eastAsia"/>
                <w:color w:val="000000" w:themeColor="text1"/>
                <w:spacing w:val="4"/>
              </w:rPr>
              <w:t>126-130</w:t>
            </w:r>
            <w:r>
              <w:rPr>
                <w:color w:val="000000" w:themeColor="text1"/>
                <w:spacing w:val="4"/>
              </w:rPr>
              <w:t>μg/Nm</w:t>
            </w:r>
            <w:r>
              <w:rPr>
                <w:color w:val="000000" w:themeColor="text1"/>
                <w:spacing w:val="4"/>
                <w:vertAlign w:val="superscript"/>
              </w:rPr>
              <w:t>3</w:t>
            </w:r>
            <w:r>
              <w:rPr>
                <w:color w:val="000000" w:themeColor="text1"/>
                <w:spacing w:val="4"/>
              </w:rPr>
              <w:t>，未超过《环境空气质量标准》（GB3095-2012）二级标准浓度限值。</w:t>
            </w:r>
            <w:r>
              <w:rPr>
                <w:color w:val="000000" w:themeColor="text1"/>
              </w:rPr>
              <w:t>非甲烷总烃浓度值范围在</w:t>
            </w:r>
            <w:r>
              <w:rPr>
                <w:rFonts w:hint="eastAsia"/>
                <w:color w:val="000000" w:themeColor="text1"/>
              </w:rPr>
              <w:t>0.37-0.88</w:t>
            </w:r>
            <w:r>
              <w:rPr>
                <w:color w:val="000000" w:themeColor="text1"/>
              </w:rPr>
              <w:t>mg/Nm</w:t>
            </w:r>
            <w:r>
              <w:rPr>
                <w:color w:val="000000" w:themeColor="text1"/>
                <w:vertAlign w:val="superscript"/>
              </w:rPr>
              <w:t>3</w:t>
            </w:r>
            <w:r>
              <w:rPr>
                <w:color w:val="000000" w:themeColor="text1"/>
              </w:rPr>
              <w:t>，所有测点非甲烷总烃</w:t>
            </w:r>
            <w:r>
              <w:rPr>
                <w:rFonts w:hint="eastAsia"/>
                <w:color w:val="000000" w:themeColor="text1"/>
              </w:rPr>
              <w:t>浓度</w:t>
            </w:r>
            <w:r>
              <w:rPr>
                <w:color w:val="000000" w:themeColor="text1"/>
              </w:rPr>
              <w:t>均满足</w:t>
            </w:r>
            <w:r>
              <w:rPr>
                <w:color w:val="000000"/>
                <w:lang w:val="en-GB"/>
              </w:rPr>
              <w:t>《环境空气质量标准 非甲烷总烃限值》（DB13/1577-2012）中二级标准要求（</w:t>
            </w:r>
            <w:r>
              <w:rPr>
                <w:color w:val="000000"/>
                <w:lang w:val="zh-CN"/>
              </w:rPr>
              <w:t>2.0mg/m</w:t>
            </w:r>
            <w:r>
              <w:rPr>
                <w:color w:val="000000"/>
                <w:vertAlign w:val="superscript"/>
                <w:lang w:val="zh-CN"/>
              </w:rPr>
              <w:t>3</w:t>
            </w:r>
            <w:r>
              <w:rPr>
                <w:color w:val="000000"/>
                <w:lang w:val="en-GB"/>
              </w:rPr>
              <w:t>）</w:t>
            </w:r>
            <w:r>
              <w:rPr>
                <w:color w:val="000000"/>
              </w:rPr>
              <w:t>中二级浓度限值要求</w:t>
            </w:r>
            <w:r>
              <w:rPr>
                <w:color w:val="000000" w:themeColor="text1"/>
              </w:rPr>
              <w:t>。</w:t>
            </w:r>
            <w:r>
              <w:rPr>
                <w:color w:val="000000" w:themeColor="text1"/>
                <w:spacing w:val="4"/>
              </w:rPr>
              <w:t>本项目</w:t>
            </w:r>
            <w:r>
              <w:rPr>
                <w:color w:val="000000" w:themeColor="text1"/>
              </w:rPr>
              <w:t>大气污染物为粉尘</w:t>
            </w:r>
            <w:r>
              <w:rPr>
                <w:rFonts w:hint="eastAsia"/>
                <w:color w:val="000000" w:themeColor="text1"/>
              </w:rPr>
              <w:t>和非甲烷总烃</w:t>
            </w:r>
            <w:r>
              <w:rPr>
                <w:color w:val="000000" w:themeColor="text1"/>
              </w:rPr>
              <w:t>，采取评价要求的措施后，可达标排放。</w:t>
            </w:r>
            <w:r>
              <w:rPr>
                <w:rFonts w:hint="eastAsia"/>
                <w:color w:val="000000" w:themeColor="text1"/>
              </w:rPr>
              <w:t>对区域大气环境影响较小，不会突破环境空气质量底线。</w:t>
            </w:r>
          </w:p>
          <w:p>
            <w:pPr>
              <w:spacing w:line="480" w:lineRule="exact"/>
              <w:ind w:firstLine="480" w:firstLineChars="200"/>
              <w:jc w:val="left"/>
              <w:rPr>
                <w:color w:val="000000" w:themeColor="text1"/>
              </w:rPr>
            </w:pPr>
            <w:r>
              <w:rPr>
                <w:rFonts w:hint="eastAsia"/>
                <w:color w:val="000000" w:themeColor="text1"/>
              </w:rPr>
              <w:t>本项目所在区域地表水系为项目北侧2.01km的漳河，</w:t>
            </w:r>
            <w:r>
              <w:rPr>
                <w:color w:val="000000" w:themeColor="text1"/>
              </w:rPr>
              <w:t>根据长治市</w:t>
            </w:r>
            <w:r>
              <w:rPr>
                <w:rFonts w:hint="eastAsia"/>
                <w:color w:val="000000" w:themeColor="text1"/>
              </w:rPr>
              <w:t>人民政府网公布的2022年3月的地表水环境质量状况</w:t>
            </w:r>
            <w:r>
              <w:rPr>
                <w:color w:val="000000" w:themeColor="text1"/>
              </w:rPr>
              <w:t>可知，202</w:t>
            </w:r>
            <w:r>
              <w:rPr>
                <w:rFonts w:hint="eastAsia"/>
                <w:color w:val="000000" w:themeColor="text1"/>
              </w:rPr>
              <w:t>2</w:t>
            </w:r>
            <w:r>
              <w:rPr>
                <w:color w:val="000000" w:themeColor="text1"/>
              </w:rPr>
              <w:t>年</w:t>
            </w:r>
            <w:r>
              <w:rPr>
                <w:rFonts w:hint="eastAsia"/>
                <w:color w:val="000000" w:themeColor="text1"/>
              </w:rPr>
              <w:t>3月漳河南李末</w:t>
            </w:r>
            <w:r>
              <w:rPr>
                <w:color w:val="000000" w:themeColor="text1"/>
              </w:rPr>
              <w:t>断面主要监测项目均达到《地表水环境质量标准》（GB3838-2002）中</w:t>
            </w:r>
            <w:r>
              <w:rPr>
                <w:rFonts w:hint="eastAsia"/>
                <w:color w:val="000000" w:themeColor="text1"/>
              </w:rPr>
              <w:t>Ⅲ</w:t>
            </w:r>
            <w:r>
              <w:rPr>
                <w:color w:val="000000" w:themeColor="text1"/>
              </w:rPr>
              <w:t>类标准。本项目生活废水经收集后排入</w:t>
            </w:r>
            <w:r>
              <w:rPr>
                <w:rFonts w:hint="eastAsia"/>
                <w:color w:val="000000" w:themeColor="text1"/>
              </w:rPr>
              <w:t>长子县城东污水处理厂</w:t>
            </w:r>
            <w:r>
              <w:rPr>
                <w:color w:val="000000" w:themeColor="text1"/>
              </w:rPr>
              <w:t>，</w:t>
            </w:r>
            <w:r>
              <w:rPr>
                <w:rFonts w:hint="eastAsia"/>
                <w:color w:val="000000" w:themeColor="text1"/>
              </w:rPr>
              <w:t>可以得到合理处置</w:t>
            </w:r>
            <w:r>
              <w:rPr>
                <w:color w:val="000000" w:themeColor="text1"/>
              </w:rPr>
              <w:t>，对周围地表水环境造成的影响很小，</w:t>
            </w:r>
            <w:r>
              <w:rPr>
                <w:rFonts w:hint="eastAsia"/>
                <w:color w:val="000000" w:themeColor="text1"/>
              </w:rPr>
              <w:t>不会突破区域水</w:t>
            </w:r>
            <w:r>
              <w:rPr>
                <w:color w:val="000000" w:themeColor="text1"/>
              </w:rPr>
              <w:t>环境质量底线要求。</w:t>
            </w:r>
          </w:p>
          <w:p>
            <w:pPr>
              <w:spacing w:line="480" w:lineRule="exact"/>
              <w:ind w:firstLine="480" w:firstLineChars="200"/>
              <w:jc w:val="left"/>
              <w:rPr>
                <w:color w:val="000000" w:themeColor="text1"/>
              </w:rPr>
            </w:pPr>
            <w:r>
              <w:rPr>
                <w:color w:val="000000" w:themeColor="text1"/>
              </w:rPr>
              <w:t>企业于2022年</w:t>
            </w:r>
            <w:r>
              <w:rPr>
                <w:rFonts w:hint="eastAsia"/>
                <w:color w:val="000000" w:themeColor="text1"/>
              </w:rPr>
              <w:t>5</w:t>
            </w:r>
            <w:r>
              <w:rPr>
                <w:color w:val="000000" w:themeColor="text1"/>
              </w:rPr>
              <w:t>月</w:t>
            </w:r>
            <w:r>
              <w:rPr>
                <w:rFonts w:hint="eastAsia"/>
                <w:color w:val="000000" w:themeColor="text1"/>
              </w:rPr>
              <w:t>13</w:t>
            </w:r>
            <w:r>
              <w:rPr>
                <w:color w:val="000000" w:themeColor="text1"/>
              </w:rPr>
              <w:t>日，委托山西智诺环保科技有限公司对本项目厂界四周的声环境质量现状进行了监测，本次噪声监测共布设4个监测点，编号1#~4#，监测内容包括L</w:t>
            </w:r>
            <w:r>
              <w:rPr>
                <w:color w:val="000000" w:themeColor="text1"/>
                <w:vertAlign w:val="subscript"/>
              </w:rPr>
              <w:t>10</w:t>
            </w:r>
            <w:r>
              <w:rPr>
                <w:color w:val="000000" w:themeColor="text1"/>
              </w:rPr>
              <w:t>、L</w:t>
            </w:r>
            <w:r>
              <w:rPr>
                <w:color w:val="000000" w:themeColor="text1"/>
                <w:vertAlign w:val="subscript"/>
              </w:rPr>
              <w:t>50</w:t>
            </w:r>
            <w:r>
              <w:rPr>
                <w:color w:val="000000" w:themeColor="text1"/>
              </w:rPr>
              <w:t>、L</w:t>
            </w:r>
            <w:r>
              <w:rPr>
                <w:color w:val="000000" w:themeColor="text1"/>
                <w:vertAlign w:val="subscript"/>
              </w:rPr>
              <w:t>90</w:t>
            </w:r>
            <w:r>
              <w:rPr>
                <w:color w:val="000000" w:themeColor="text1"/>
              </w:rPr>
              <w:t>、L</w:t>
            </w:r>
            <w:r>
              <w:rPr>
                <w:color w:val="000000" w:themeColor="text1"/>
                <w:vertAlign w:val="subscript"/>
              </w:rPr>
              <w:t>eq</w:t>
            </w:r>
            <w:r>
              <w:rPr>
                <w:color w:val="000000" w:themeColor="text1"/>
              </w:rPr>
              <w:t>。依据噪声监测数据，</w:t>
            </w:r>
            <w:r>
              <w:rPr>
                <w:bCs/>
                <w:color w:val="000000" w:themeColor="text1"/>
                <w:spacing w:val="4"/>
              </w:rPr>
              <w:t>厂界四周昼间噪声现状值在</w:t>
            </w:r>
            <w:r>
              <w:rPr>
                <w:rFonts w:hint="eastAsia"/>
                <w:bCs/>
                <w:color w:val="000000" w:themeColor="text1"/>
                <w:spacing w:val="4"/>
              </w:rPr>
              <w:t>51.0-54.7</w:t>
            </w:r>
            <w:r>
              <w:rPr>
                <w:bCs/>
                <w:color w:val="000000" w:themeColor="text1"/>
                <w:spacing w:val="4"/>
              </w:rPr>
              <w:t>dB（A）之间，夜间噪声现状值在</w:t>
            </w:r>
            <w:r>
              <w:rPr>
                <w:rFonts w:hint="eastAsia"/>
                <w:bCs/>
                <w:color w:val="000000" w:themeColor="text1"/>
                <w:spacing w:val="4"/>
              </w:rPr>
              <w:t>41.0-43.0</w:t>
            </w:r>
            <w:r>
              <w:rPr>
                <w:bCs/>
                <w:color w:val="000000" w:themeColor="text1"/>
                <w:spacing w:val="4"/>
              </w:rPr>
              <w:t>dB（A）之间</w:t>
            </w:r>
            <w:r>
              <w:rPr>
                <w:color w:val="000000" w:themeColor="text1"/>
              </w:rPr>
              <w:t>，昼间、夜间噪声值均满足《声环境质量标准》（GB3096-2008）中2类标准。本项目建设均选用了低噪声设备，</w:t>
            </w:r>
            <w:r>
              <w:rPr>
                <w:rFonts w:hint="eastAsia"/>
                <w:color w:val="000000" w:themeColor="text1"/>
              </w:rPr>
              <w:t>项目建成后，对区域声环境影响较小，因此</w:t>
            </w:r>
            <w:r>
              <w:rPr>
                <w:color w:val="000000" w:themeColor="text1"/>
              </w:rPr>
              <w:t>本项目的建设不会突破区域声环境质量底线。</w:t>
            </w:r>
          </w:p>
          <w:p>
            <w:pPr>
              <w:spacing w:line="480" w:lineRule="exact"/>
              <w:ind w:firstLine="480" w:firstLineChars="200"/>
              <w:jc w:val="left"/>
              <w:rPr>
                <w:color w:val="000000" w:themeColor="text1"/>
              </w:rPr>
            </w:pPr>
            <w:r>
              <w:rPr>
                <w:color w:val="000000" w:themeColor="text1"/>
              </w:rPr>
              <w:t>企业于2022年</w:t>
            </w:r>
            <w:r>
              <w:rPr>
                <w:rFonts w:hint="eastAsia"/>
                <w:color w:val="000000" w:themeColor="text1"/>
              </w:rPr>
              <w:t>5</w:t>
            </w:r>
            <w:r>
              <w:rPr>
                <w:color w:val="000000" w:themeColor="text1"/>
              </w:rPr>
              <w:t>月</w:t>
            </w:r>
            <w:r>
              <w:rPr>
                <w:rFonts w:hint="eastAsia"/>
                <w:color w:val="000000" w:themeColor="text1"/>
              </w:rPr>
              <w:t>13</w:t>
            </w:r>
            <w:r>
              <w:rPr>
                <w:color w:val="000000" w:themeColor="text1"/>
              </w:rPr>
              <w:t>日，委托山西智诺环保科技有限公司对本项目</w:t>
            </w:r>
            <w:r>
              <w:rPr>
                <w:rFonts w:hint="eastAsia"/>
                <w:color w:val="000000" w:themeColor="text1"/>
              </w:rPr>
              <w:t>厂区内和厂区外</w:t>
            </w:r>
            <w:r>
              <w:rPr>
                <w:color w:val="000000" w:themeColor="text1"/>
              </w:rPr>
              <w:t>的</w:t>
            </w:r>
            <w:r>
              <w:rPr>
                <w:rFonts w:hint="eastAsia"/>
                <w:color w:val="000000" w:themeColor="text1"/>
              </w:rPr>
              <w:t>土壤</w:t>
            </w:r>
            <w:r>
              <w:rPr>
                <w:color w:val="000000" w:themeColor="text1"/>
              </w:rPr>
              <w:t>环境质量现状进行了监测</w:t>
            </w:r>
            <w:r>
              <w:rPr>
                <w:rFonts w:hint="eastAsia"/>
                <w:color w:val="000000" w:themeColor="text1"/>
              </w:rPr>
              <w:t>，在厂界内设一个监测点位，厂界外设一个监测点位。</w:t>
            </w:r>
            <w:r>
              <w:rPr>
                <w:color w:val="000000" w:themeColor="text1"/>
              </w:rPr>
              <w:t>根据土壤环境质量检测结果，场地范围内的土壤检测样各检测指标均可满足《土壤环境质量 建设用地土壤污染风险管控标准（试行）》（GB 36600-2018）</w:t>
            </w:r>
            <w:r>
              <w:rPr>
                <w:rFonts w:hint="eastAsia"/>
                <w:color w:val="000000" w:themeColor="text1"/>
              </w:rPr>
              <w:t>表1中第二</w:t>
            </w:r>
            <w:r>
              <w:rPr>
                <w:color w:val="000000" w:themeColor="text1"/>
              </w:rPr>
              <w:t>类用地土壤污染风险筛选值中的限值要求</w:t>
            </w:r>
            <w:r>
              <w:rPr>
                <w:rFonts w:hint="eastAsia"/>
                <w:color w:val="000000" w:themeColor="text1"/>
              </w:rPr>
              <w:t>，在落实评价提出的各类污染防治措施以及厂区防渗措施后，项目建设不会突破土壤</w:t>
            </w:r>
            <w:r>
              <w:rPr>
                <w:color w:val="000000" w:themeColor="text1"/>
              </w:rPr>
              <w:t>环境质量底线要求。</w:t>
            </w:r>
          </w:p>
          <w:p>
            <w:pPr>
              <w:spacing w:line="480" w:lineRule="exact"/>
              <w:ind w:firstLine="480" w:firstLineChars="200"/>
              <w:jc w:val="left"/>
              <w:rPr>
                <w:color w:val="000000" w:themeColor="text1"/>
              </w:rPr>
            </w:pPr>
            <w:r>
              <w:rPr>
                <w:color w:val="000000" w:themeColor="text1"/>
              </w:rPr>
              <w:t>（3）资源利用上限</w:t>
            </w:r>
          </w:p>
          <w:p>
            <w:pPr>
              <w:spacing w:line="480" w:lineRule="exact"/>
              <w:ind w:firstLine="480" w:firstLineChars="200"/>
              <w:jc w:val="left"/>
              <w:rPr>
                <w:color w:val="000000" w:themeColor="text1"/>
              </w:rPr>
            </w:pPr>
            <w:r>
              <w:rPr>
                <w:color w:val="000000" w:themeColor="text1"/>
              </w:rPr>
              <w:t>本项目生产过程中所用的原料主要为</w:t>
            </w:r>
            <w:r>
              <w:rPr>
                <w:rFonts w:hint="eastAsia"/>
                <w:color w:val="000000" w:themeColor="text1"/>
              </w:rPr>
              <w:t>钢材、焊丝、水性漆等</w:t>
            </w:r>
            <w:r>
              <w:rPr>
                <w:color w:val="000000" w:themeColor="text1"/>
              </w:rPr>
              <w:t>，运营过程中消耗一定量的水、电，水和电的消耗量较少，项目原材料供应充足，资源消耗相对区域资源利用总量</w:t>
            </w:r>
            <w:r>
              <w:rPr>
                <w:rFonts w:hint="eastAsia"/>
                <w:color w:val="000000" w:themeColor="text1"/>
              </w:rPr>
              <w:t>较</w:t>
            </w:r>
            <w:r>
              <w:rPr>
                <w:color w:val="000000" w:themeColor="text1"/>
              </w:rPr>
              <w:t>少，符合资源利用上限要求。</w:t>
            </w:r>
          </w:p>
          <w:p>
            <w:pPr>
              <w:spacing w:line="480" w:lineRule="exact"/>
              <w:ind w:firstLine="480" w:firstLineChars="200"/>
              <w:jc w:val="left"/>
              <w:rPr>
                <w:color w:val="000000" w:themeColor="text1"/>
              </w:rPr>
            </w:pPr>
            <w:r>
              <w:rPr>
                <w:color w:val="000000" w:themeColor="text1"/>
              </w:rPr>
              <w:t>（4）环境准入负面清单的对照</w:t>
            </w:r>
          </w:p>
          <w:p>
            <w:pPr>
              <w:spacing w:line="480" w:lineRule="exact"/>
              <w:ind w:firstLine="480" w:firstLineChars="200"/>
              <w:jc w:val="left"/>
              <w:rPr>
                <w:color w:val="000000" w:themeColor="text1"/>
              </w:rPr>
            </w:pPr>
            <w:r>
              <w:rPr>
                <w:rFonts w:hint="eastAsia"/>
                <w:color w:val="000000" w:themeColor="text1"/>
              </w:rPr>
              <w:t>①、</w:t>
            </w:r>
            <w:r>
              <w:rPr>
                <w:color w:val="000000" w:themeColor="text1"/>
              </w:rPr>
              <w:t>根据中华人民共和国国家发展和改革委员会《产业结构调整指导目录（2019年本）》和《国家发展改革委关于修改&lt;产业结构调整指导目录(2019年本)&gt;的决定》，本项目不属于目录中限制类和淘汰类，属于允许类。</w:t>
            </w:r>
          </w:p>
          <w:p>
            <w:pPr>
              <w:spacing w:line="480" w:lineRule="exact"/>
              <w:ind w:firstLine="480" w:firstLineChars="200"/>
              <w:jc w:val="left"/>
              <w:rPr>
                <w:color w:val="000000" w:themeColor="text1"/>
              </w:rPr>
            </w:pPr>
            <w:r>
              <w:rPr>
                <w:rFonts w:hint="eastAsia"/>
                <w:color w:val="000000" w:themeColor="text1"/>
              </w:rPr>
              <w:t>②、</w:t>
            </w:r>
            <w:r>
              <w:rPr>
                <w:color w:val="000000" w:themeColor="text1"/>
              </w:rPr>
              <w:t>本项目与《长治市“三线一单”生态环境分区管控实施方案》</w:t>
            </w:r>
            <w:r>
              <w:rPr>
                <w:rFonts w:hint="eastAsia"/>
                <w:color w:val="000000" w:themeColor="text1"/>
              </w:rPr>
              <w:t>和</w:t>
            </w:r>
            <w:r>
              <w:rPr>
                <w:color w:val="000000" w:themeColor="text1"/>
              </w:rPr>
              <w:t>《关于实施“三线一单”生态环境分区管控的意见》的符合性分析</w:t>
            </w:r>
          </w:p>
          <w:p>
            <w:pPr>
              <w:pStyle w:val="87"/>
              <w:spacing w:line="480" w:lineRule="exact"/>
              <w:ind w:firstLine="480"/>
              <w:rPr>
                <w:color w:val="000000" w:themeColor="text1"/>
              </w:rPr>
            </w:pPr>
            <w:r>
              <w:rPr>
                <w:color w:val="000000" w:themeColor="text1"/>
              </w:rPr>
              <w:t>根据山西省人民政府《关于实施“三线一单”生态环境分区管控的意见》（晋政发【2020】26号）中提出了生态环境准入清单，本项目位于重点管控单元，清单要求“进一步优化空间布局，加强污染物排放控制和环境风险防控，不断提升资源能源利用效率，解决生态环境质量不达标、生态环境风险高等问题，实现减污降碳协同效应。京津冀及周边地区和汾渭平原等国家大气污染联防联控重点区域，要加快调整优化产业结构、能源结构，严禁新增钢铁、焦化、铸造、水泥、平板玻璃等产能，要加快实施城市规划区“两高”企业搬迁，完善能源消费双控制度。实施企业绩效分级分类管控，强化联防联控，持续推进清洁取暖散煤治理，严防“散乱污”企业反弹，积极应对重污染天气。太原及周边“1+30”汾河谷地区域在执行京津冀及周边地区和汾渭平原区域管控要求基础上，以资源环境承载力为约束，全面推进现有焦化、化工、钢铁、有色等重污染行业企业逐步退出城市规划区和县城建成区，推动焦化产能向资源禀赋好、环境承载力强、大气扩散条件优、铁路运输便利的区域转移。鼓励焦化、化工等传统产业实施“飞地经济”。汾河流域加强流域上下游左右岸污染统筹治理，严格入河排污口设置，实施汾河入河排污总量控制，积极推行流域城镇生活污水处理“厂-网-河(湖)”一体化运营模式，大力推进工业废水近零排放和资源化利用，实施城镇生活再生水资源化分质利用”。</w:t>
            </w:r>
          </w:p>
          <w:p>
            <w:pPr>
              <w:spacing w:line="480" w:lineRule="exact"/>
              <w:ind w:firstLine="480" w:firstLineChars="200"/>
              <w:jc w:val="left"/>
              <w:rPr>
                <w:color w:val="000000" w:themeColor="text1"/>
              </w:rPr>
            </w:pPr>
            <w:r>
              <w:rPr>
                <w:color w:val="000000" w:themeColor="text1"/>
              </w:rPr>
              <w:t>本项目属于挂车制造</w:t>
            </w:r>
            <w:r>
              <w:rPr>
                <w:rFonts w:hint="eastAsia"/>
                <w:color w:val="000000" w:themeColor="text1"/>
              </w:rPr>
              <w:t>项目</w:t>
            </w:r>
            <w:r>
              <w:rPr>
                <w:color w:val="000000" w:themeColor="text1"/>
              </w:rPr>
              <w:t>，不属于重点管控单元限制项目，在严格执行各项环保要求及相关产业准入、总量控制、排放标准等管理规定后，对周围环境影响较小。山西省生态环境管控单元图见附图8。</w:t>
            </w:r>
          </w:p>
          <w:p>
            <w:pPr>
              <w:spacing w:line="480" w:lineRule="exact"/>
              <w:ind w:firstLine="480" w:firstLineChars="200"/>
              <w:jc w:val="left"/>
              <w:rPr>
                <w:color w:val="000000" w:themeColor="text1"/>
              </w:rPr>
            </w:pPr>
            <w:r>
              <w:rPr>
                <w:color w:val="000000" w:themeColor="text1"/>
              </w:rPr>
              <w:t>2021年6月30日，长治市人民政府印发了《长治市“三线一单”生态环境分区管控实施方案》，划分了长治市生态环境管控单元，分为优先保护单元、重点管控单元和一般管控单元。本项目所在的位置属于重点管控单元，重点控制单元准入要求为：以生态修复和环境污染治理为主，进一步优化空间布局，加强污染物排放控制和环境风险防控，不断提升资源能源利用效率，解决生态环境质量不达标、生态环境风险高等问题，实现减污降碳协同效应。加快调整优化产业结构、能源结构，严禁新增钢铁、焦化、铸造、水泥、平板玻璃等产能，加快实施城市规划区“两高”企业搬迁，完善能源消费双控制度。鼓励焦化、化工等传统产业实施“飞地经济”。实施企业绩效分级分类管控，强化联防联控，持续推进清洁取暖散煤治理，严防“散乱污”企业反弹，积极应对重污染天气。</w:t>
            </w:r>
          </w:p>
          <w:p>
            <w:pPr>
              <w:spacing w:line="480" w:lineRule="exact"/>
              <w:ind w:firstLine="480" w:firstLineChars="200"/>
              <w:jc w:val="left"/>
              <w:rPr>
                <w:color w:val="000000" w:themeColor="text1"/>
              </w:rPr>
            </w:pPr>
            <w:r>
              <w:rPr>
                <w:color w:val="000000" w:themeColor="text1"/>
              </w:rPr>
              <w:t>本项目为</w:t>
            </w:r>
            <w:r>
              <w:rPr>
                <w:rFonts w:hint="eastAsia"/>
                <w:color w:val="000000" w:themeColor="text1"/>
              </w:rPr>
              <w:t>挂车制造</w:t>
            </w:r>
            <w:r>
              <w:rPr>
                <w:color w:val="000000" w:themeColor="text1"/>
              </w:rPr>
              <w:t>项目，项目占地性质为</w:t>
            </w:r>
            <w:r>
              <w:rPr>
                <w:rFonts w:hint="eastAsia"/>
                <w:color w:val="000000" w:themeColor="text1"/>
              </w:rPr>
              <w:t>工业</w:t>
            </w:r>
            <w:r>
              <w:rPr>
                <w:color w:val="000000" w:themeColor="text1"/>
              </w:rPr>
              <w:t>用地，本项目建设后，严格执行环评提出的要求，加强污染物排放控制和环境风险防控，积极应对重污染天气。本项目的建设满足长治市人民政府印发的《长治市“三线一单”生态环境分区管控实施方案》中对重点管控单元的相关要求。长治市生态环境管控单元分布图见附图7。</w:t>
            </w:r>
          </w:p>
          <w:p>
            <w:pPr>
              <w:spacing w:line="480" w:lineRule="exact"/>
              <w:ind w:firstLine="480" w:firstLineChars="200"/>
              <w:jc w:val="left"/>
              <w:rPr>
                <w:color w:val="000000" w:themeColor="text1"/>
              </w:rPr>
            </w:pPr>
            <w:r>
              <w:rPr>
                <w:color w:val="000000" w:themeColor="text1"/>
              </w:rPr>
              <w:t>本项目与《长治市“三线一单”生态环境分区管控实施方案》生态环境准入总体要求和长治市辛安泉域生态环境准入要求清单中相关规定的符合性分析如下。</w:t>
            </w:r>
          </w:p>
          <w:p>
            <w:pPr>
              <w:spacing w:line="480" w:lineRule="exact"/>
              <w:jc w:val="center"/>
              <w:rPr>
                <w:b/>
                <w:bCs/>
                <w:color w:val="000000" w:themeColor="text1"/>
                <w:lang w:bidi="zh-CN"/>
              </w:rPr>
            </w:pPr>
            <w:r>
              <w:rPr>
                <w:b/>
                <w:bCs/>
                <w:color w:val="000000" w:themeColor="text1"/>
                <w:lang w:bidi="zh-CN"/>
              </w:rPr>
              <w:t>表1-1  长治市生态环境准入总体要求</w:t>
            </w:r>
          </w:p>
          <w:tbl>
            <w:tblPr>
              <w:tblStyle w:val="31"/>
              <w:tblW w:w="4995"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4006"/>
              <w:gridCol w:w="25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类别</w:t>
                  </w:r>
                </w:p>
              </w:tc>
              <w:tc>
                <w:tcPr>
                  <w:tcW w:w="2775" w:type="pct"/>
                  <w:tcBorders>
                    <w:tl2br w:val="nil"/>
                    <w:tr2bl w:val="nil"/>
                  </w:tcBorders>
                  <w:vAlign w:val="center"/>
                </w:tcPr>
                <w:p>
                  <w:pPr>
                    <w:widowControl/>
                    <w:jc w:val="center"/>
                    <w:rPr>
                      <w:color w:val="000000" w:themeColor="text1"/>
                      <w:sz w:val="21"/>
                      <w:szCs w:val="21"/>
                    </w:rPr>
                  </w:pPr>
                  <w:r>
                    <w:rPr>
                      <w:color w:val="000000" w:themeColor="text1"/>
                      <w:sz w:val="21"/>
                      <w:szCs w:val="21"/>
                    </w:rPr>
                    <w:t>管控要求</w:t>
                  </w:r>
                </w:p>
              </w:tc>
              <w:tc>
                <w:tcPr>
                  <w:tcW w:w="1764" w:type="pct"/>
                  <w:tcBorders>
                    <w:tl2br w:val="nil"/>
                    <w:tr2bl w:val="nil"/>
                  </w:tcBorders>
                  <w:vAlign w:val="center"/>
                </w:tcPr>
                <w:p>
                  <w:pPr>
                    <w:widowControl/>
                    <w:jc w:val="center"/>
                    <w:rPr>
                      <w:color w:val="000000" w:themeColor="text1"/>
                      <w:sz w:val="21"/>
                      <w:szCs w:val="21"/>
                    </w:rPr>
                  </w:pPr>
                  <w:r>
                    <w:rPr>
                      <w:color w:val="000000" w:themeColor="text1"/>
                      <w:sz w:val="21"/>
                      <w:szCs w:val="21"/>
                    </w:rPr>
                    <w:t>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空间布局约束</w:t>
                  </w:r>
                </w:p>
              </w:tc>
              <w:tc>
                <w:tcPr>
                  <w:tcW w:w="2775" w:type="pct"/>
                  <w:tcBorders>
                    <w:tl2br w:val="nil"/>
                    <w:tr2bl w:val="nil"/>
                  </w:tcBorders>
                  <w:vAlign w:val="center"/>
                </w:tcPr>
                <w:p>
                  <w:pPr>
                    <w:jc w:val="center"/>
                    <w:rPr>
                      <w:color w:val="000000" w:themeColor="text1"/>
                      <w:sz w:val="21"/>
                      <w:szCs w:val="21"/>
                    </w:rPr>
                  </w:pPr>
                  <w:r>
                    <w:rPr>
                      <w:color w:val="000000" w:themeColor="text1"/>
                      <w:sz w:val="21"/>
                      <w:szCs w:val="21"/>
                    </w:rPr>
                    <w:t>1.新建、改建、扩建两高项目须符合生态环境保护法律法规和相关法定规划，满足重点污染物排放总量控制、碳排放达峰目标、生态环境准入清单、相关规划环评和相应行业建设项目环境准入条件、环评文件审批原则要求。2.新建两高项目应按照《关于加强重点行业建设项目区域削减措施监督管理的通知》（环环评（2021〕45号）要求，依据区域环境质量改善目标，制定配套区域污染物削减方案，采取有效的污染物区域削减措施，腾出足够的环境容量。3.新建、扩建两高项目应采用先进适用的工艺技术和装备，单位产品物耗、能耗、水耗等达到清洁生产先进水平，依法制定并严格落实防治土壤与地下水污染的措施。4.对纳入生态保护红线的区域，原则上按照禁止开发区域进行管理，严格禁止开发性、生产性建设活动，在符合现行法律法规前提下，除国家重大战略项目外，仅允许对生态功能不造成破坏的有限人为活动。5.在禁养区内禁止新建规模化畜禽养殖项目。6.严格控制新建、扩建钢铁、焦化、建材、化工、有色金属等高排放、高污染项目。在居民住宅区等人口密集区域和医院、学校、幼儿园、养老院等其他需要特殊保护的区域及其周边，不得新建、改建和扩建制药、油漆、塑料、橡胶、造纸、饲料等易产生恶臭气体的生产项目或者从事其他产生恶臭气体的生产经营活动。已建成的，应当限期搬迁。7.禁止在居民区和学校、医院、疗养院、养老院、幼儿园等单位周边新建、改建、扩建可能造成土壤污染的建设项目。8.禁止新增钢铁、焦化、铸造、水泥、平板玻璃等产能；确有必要新建的，应当严格执行产能置换，符合区域、行业规划环评规定。</w:t>
                  </w:r>
                </w:p>
              </w:tc>
              <w:tc>
                <w:tcPr>
                  <w:tcW w:w="1764" w:type="pct"/>
                  <w:tcBorders>
                    <w:tl2br w:val="nil"/>
                    <w:tr2bl w:val="nil"/>
                  </w:tcBorders>
                  <w:vAlign w:val="center"/>
                </w:tcPr>
                <w:p>
                  <w:pPr>
                    <w:widowControl/>
                    <w:jc w:val="center"/>
                    <w:rPr>
                      <w:color w:val="000000" w:themeColor="text1"/>
                      <w:sz w:val="21"/>
                      <w:szCs w:val="21"/>
                    </w:rPr>
                  </w:pPr>
                  <w:r>
                    <w:rPr>
                      <w:color w:val="000000" w:themeColor="text1"/>
                      <w:sz w:val="21"/>
                      <w:szCs w:val="21"/>
                    </w:rPr>
                    <w:t>1.</w:t>
                  </w:r>
                  <w:r>
                    <w:rPr>
                      <w:rFonts w:hint="eastAsia"/>
                      <w:color w:val="000000" w:themeColor="text1"/>
                      <w:sz w:val="21"/>
                      <w:szCs w:val="21"/>
                    </w:rPr>
                    <w:t>本</w:t>
                  </w:r>
                  <w:r>
                    <w:rPr>
                      <w:rFonts w:hint="eastAsia"/>
                      <w:color w:val="000000" w:themeColor="text1"/>
                      <w:sz w:val="21"/>
                      <w:szCs w:val="21"/>
                      <w:lang w:eastAsia="zh-CN"/>
                    </w:rPr>
                    <w:t>项目</w:t>
                  </w:r>
                  <w:r>
                    <w:rPr>
                      <w:color w:val="000000" w:themeColor="text1"/>
                      <w:sz w:val="21"/>
                      <w:szCs w:val="21"/>
                    </w:rPr>
                    <w:t>为新建项目，</w:t>
                  </w:r>
                  <w:r>
                    <w:rPr>
                      <w:rFonts w:hint="eastAsia"/>
                      <w:color w:val="000000" w:themeColor="text1"/>
                      <w:sz w:val="21"/>
                      <w:szCs w:val="21"/>
                    </w:rPr>
                    <w:t>不属于高耗能、高污染项目；</w:t>
                  </w:r>
                </w:p>
                <w:p>
                  <w:pPr>
                    <w:widowControl/>
                    <w:jc w:val="center"/>
                    <w:rPr>
                      <w:color w:val="000000" w:themeColor="text1"/>
                      <w:sz w:val="21"/>
                      <w:szCs w:val="21"/>
                    </w:rPr>
                  </w:pPr>
                  <w:r>
                    <w:rPr>
                      <w:color w:val="000000" w:themeColor="text1"/>
                      <w:sz w:val="21"/>
                      <w:szCs w:val="21"/>
                    </w:rPr>
                    <w:t>2.</w:t>
                  </w:r>
                  <w:r>
                    <w:rPr>
                      <w:rFonts w:hint="eastAsia"/>
                      <w:color w:val="000000" w:themeColor="text1"/>
                      <w:sz w:val="21"/>
                      <w:szCs w:val="21"/>
                    </w:rPr>
                    <w:t>本项目不属于两高项目</w:t>
                  </w:r>
                  <w:r>
                    <w:rPr>
                      <w:color w:val="000000" w:themeColor="text1"/>
                      <w:sz w:val="21"/>
                      <w:szCs w:val="21"/>
                    </w:rPr>
                    <w:t>。</w:t>
                  </w:r>
                </w:p>
                <w:p>
                  <w:pPr>
                    <w:widowControl/>
                    <w:jc w:val="center"/>
                    <w:rPr>
                      <w:color w:val="000000" w:themeColor="text1"/>
                      <w:sz w:val="21"/>
                      <w:szCs w:val="21"/>
                    </w:rPr>
                  </w:pPr>
                  <w:r>
                    <w:rPr>
                      <w:color w:val="000000" w:themeColor="text1"/>
                      <w:sz w:val="21"/>
                      <w:szCs w:val="21"/>
                    </w:rPr>
                    <w:t>3.本项目</w:t>
                  </w:r>
                  <w:r>
                    <w:rPr>
                      <w:rFonts w:hint="eastAsia"/>
                      <w:color w:val="000000" w:themeColor="text1"/>
                      <w:sz w:val="21"/>
                      <w:szCs w:val="21"/>
                    </w:rPr>
                    <w:t>采用</w:t>
                  </w:r>
                  <w:r>
                    <w:rPr>
                      <w:color w:val="000000" w:themeColor="text1"/>
                      <w:sz w:val="21"/>
                      <w:szCs w:val="21"/>
                    </w:rPr>
                    <w:t>先进的工艺技术和装备，单位产品物耗、能耗等达到清洁生产先进水平。</w:t>
                  </w:r>
                </w:p>
                <w:p>
                  <w:pPr>
                    <w:widowControl/>
                    <w:jc w:val="center"/>
                    <w:rPr>
                      <w:color w:val="000000" w:themeColor="text1"/>
                      <w:sz w:val="21"/>
                      <w:szCs w:val="21"/>
                    </w:rPr>
                  </w:pPr>
                  <w:r>
                    <w:rPr>
                      <w:color w:val="000000" w:themeColor="text1"/>
                      <w:sz w:val="21"/>
                      <w:szCs w:val="21"/>
                    </w:rPr>
                    <w:t>4.本项目不在生态红线保护区域内。</w:t>
                  </w:r>
                </w:p>
                <w:p>
                  <w:pPr>
                    <w:widowControl/>
                    <w:jc w:val="center"/>
                    <w:rPr>
                      <w:color w:val="000000" w:themeColor="text1"/>
                      <w:sz w:val="21"/>
                      <w:szCs w:val="21"/>
                    </w:rPr>
                  </w:pPr>
                  <w:r>
                    <w:rPr>
                      <w:color w:val="000000" w:themeColor="text1"/>
                      <w:sz w:val="21"/>
                      <w:szCs w:val="21"/>
                    </w:rPr>
                    <w:t>5.本项目</w:t>
                  </w:r>
                  <w:r>
                    <w:rPr>
                      <w:rFonts w:hint="eastAsia"/>
                      <w:color w:val="000000" w:themeColor="text1"/>
                      <w:sz w:val="21"/>
                      <w:szCs w:val="21"/>
                    </w:rPr>
                    <w:t>为挂车建设项目，不属于养殖项目</w:t>
                  </w:r>
                  <w:r>
                    <w:rPr>
                      <w:color w:val="000000" w:themeColor="text1"/>
                      <w:sz w:val="21"/>
                      <w:szCs w:val="21"/>
                    </w:rPr>
                    <w:t>。</w:t>
                  </w:r>
                </w:p>
                <w:p>
                  <w:pPr>
                    <w:widowControl/>
                    <w:jc w:val="center"/>
                    <w:rPr>
                      <w:color w:val="000000" w:themeColor="text1"/>
                      <w:sz w:val="21"/>
                      <w:szCs w:val="21"/>
                    </w:rPr>
                  </w:pPr>
                  <w:r>
                    <w:rPr>
                      <w:color w:val="000000" w:themeColor="text1"/>
                      <w:sz w:val="21"/>
                      <w:szCs w:val="21"/>
                    </w:rPr>
                    <w:t>6.本项目不属于钢铁、焦化、建材、化工、有色金属</w:t>
                  </w:r>
                  <w:r>
                    <w:rPr>
                      <w:rFonts w:hint="eastAsia"/>
                      <w:color w:val="000000" w:themeColor="text1"/>
                      <w:sz w:val="21"/>
                      <w:szCs w:val="21"/>
                    </w:rPr>
                    <w:t>等高污染高排放的项目。</w:t>
                  </w:r>
                </w:p>
                <w:p>
                  <w:pPr>
                    <w:widowControl/>
                    <w:jc w:val="center"/>
                    <w:rPr>
                      <w:color w:val="000000" w:themeColor="text1"/>
                      <w:sz w:val="21"/>
                      <w:szCs w:val="21"/>
                    </w:rPr>
                  </w:pPr>
                  <w:r>
                    <w:rPr>
                      <w:color w:val="000000" w:themeColor="text1"/>
                      <w:sz w:val="21"/>
                      <w:szCs w:val="21"/>
                    </w:rPr>
                    <w:t>7.</w:t>
                  </w:r>
                  <w:r>
                    <w:rPr>
                      <w:rFonts w:hint="eastAsia"/>
                      <w:color w:val="000000" w:themeColor="text1"/>
                      <w:sz w:val="21"/>
                      <w:szCs w:val="21"/>
                    </w:rPr>
                    <w:t>本项目的建设位置周边200m范围内无</w:t>
                  </w:r>
                  <w:r>
                    <w:rPr>
                      <w:color w:val="000000" w:themeColor="text1"/>
                      <w:sz w:val="21"/>
                      <w:szCs w:val="21"/>
                    </w:rPr>
                    <w:t>居民住宅区等人口密集区域和医院、学校、幼儿园、养老院等其他需要特殊保护的区域。</w:t>
                  </w:r>
                </w:p>
                <w:p>
                  <w:pPr>
                    <w:widowControl/>
                    <w:jc w:val="center"/>
                    <w:rPr>
                      <w:color w:val="000000" w:themeColor="text1"/>
                      <w:sz w:val="21"/>
                      <w:szCs w:val="21"/>
                    </w:rPr>
                  </w:pPr>
                  <w:r>
                    <w:rPr>
                      <w:color w:val="000000" w:themeColor="text1"/>
                      <w:sz w:val="21"/>
                      <w:szCs w:val="21"/>
                    </w:rPr>
                    <w:t>8.本项目不涉及钢铁、焦化、铸造、水泥、平板玻璃的生产。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污染物排放管控</w:t>
                  </w:r>
                </w:p>
              </w:tc>
              <w:tc>
                <w:tcPr>
                  <w:tcW w:w="2775" w:type="pct"/>
                  <w:tcBorders>
                    <w:tl2br w:val="nil"/>
                    <w:tr2bl w:val="nil"/>
                  </w:tcBorders>
                  <w:vAlign w:val="center"/>
                </w:tcPr>
                <w:p>
                  <w:pPr>
                    <w:jc w:val="center"/>
                    <w:rPr>
                      <w:color w:val="000000" w:themeColor="text1"/>
                      <w:sz w:val="21"/>
                      <w:szCs w:val="21"/>
                    </w:rPr>
                  </w:pPr>
                  <w:r>
                    <w:rPr>
                      <w:color w:val="000000" w:themeColor="text1"/>
                      <w:sz w:val="21"/>
                      <w:szCs w:val="21"/>
                    </w:rPr>
                    <w:t>1.污染物排放总量严格落实十四五相关目标指标。2.工业企业废水及生活污水（含浓盐水等清净下水）处理设施出水水质达到《污水综合排放标准》（DB14/1928-2019）要求，其它指标达行业特别排放限值，将废污水排入城镇排水设施的所有工业、医疗机构执行排水许可证要求。3.火电、炼钢行业执行超低排放标准。4.焦化、水泥行业按要求完成超低排放改造，污染物排放执行超低排放标准。5.加强建筑施工扬尘动态监管，严格落实六个百分之百防治措施。6.贮存煤炭、煤矸石、煤渣、煤灰、水泥、石灰、石膏、砂土等易产生扬尘的物料应当密闭，并采取有效抑尘措施。7.运输煤炭、垃圾、渣土、砂石、土方、灰浆等散装、流体物料的车辆应当采取密闭或者其他措施防止物料遗撒造成扬尘污染，并按照规定路线行驶。8.从事有色金属矿采选、有色金属冶炼、铅蓄电池制造、皮革及其制品制造、化学原料以及化学制品制造、电镀等的单位，应当执行重金属污染物排放总量控制制度。</w:t>
                  </w:r>
                </w:p>
              </w:tc>
              <w:tc>
                <w:tcPr>
                  <w:tcW w:w="1764" w:type="pct"/>
                  <w:tcBorders>
                    <w:tl2br w:val="nil"/>
                    <w:tr2bl w:val="nil"/>
                  </w:tcBorders>
                  <w:vAlign w:val="center"/>
                </w:tcPr>
                <w:p>
                  <w:pPr>
                    <w:widowControl/>
                    <w:jc w:val="center"/>
                    <w:rPr>
                      <w:color w:val="000000" w:themeColor="text1"/>
                      <w:sz w:val="21"/>
                      <w:szCs w:val="21"/>
                    </w:rPr>
                  </w:pPr>
                  <w:r>
                    <w:rPr>
                      <w:color w:val="000000" w:themeColor="text1"/>
                      <w:sz w:val="21"/>
                      <w:szCs w:val="21"/>
                    </w:rPr>
                    <w:t>1.本项目污染物排放总量</w:t>
                  </w:r>
                  <w:r>
                    <w:rPr>
                      <w:rFonts w:hint="eastAsia"/>
                      <w:color w:val="000000" w:themeColor="text1"/>
                      <w:sz w:val="21"/>
                      <w:szCs w:val="21"/>
                    </w:rPr>
                    <w:t>可以达到当地环保部门相关要求的标准</w:t>
                  </w:r>
                  <w:r>
                    <w:rPr>
                      <w:color w:val="000000" w:themeColor="text1"/>
                      <w:sz w:val="21"/>
                      <w:szCs w:val="21"/>
                    </w:rPr>
                    <w:t>。</w:t>
                  </w:r>
                </w:p>
                <w:p>
                  <w:pPr>
                    <w:widowControl/>
                    <w:jc w:val="center"/>
                    <w:rPr>
                      <w:color w:val="000000" w:themeColor="text1"/>
                      <w:sz w:val="21"/>
                      <w:szCs w:val="21"/>
                    </w:rPr>
                  </w:pPr>
                  <w:r>
                    <w:rPr>
                      <w:color w:val="000000" w:themeColor="text1"/>
                      <w:sz w:val="21"/>
                      <w:szCs w:val="21"/>
                    </w:rPr>
                    <w:t>2.本项目产生的废水主要为生活废水，生活污水排入</w:t>
                  </w:r>
                  <w:r>
                    <w:rPr>
                      <w:rFonts w:hint="eastAsia"/>
                      <w:color w:val="000000" w:themeColor="text1"/>
                      <w:sz w:val="21"/>
                      <w:szCs w:val="21"/>
                    </w:rPr>
                    <w:t>长子县城东污水处理厂</w:t>
                  </w:r>
                  <w:r>
                    <w:rPr>
                      <w:color w:val="000000" w:themeColor="text1"/>
                      <w:sz w:val="21"/>
                      <w:szCs w:val="21"/>
                    </w:rPr>
                    <w:t>。</w:t>
                  </w:r>
                </w:p>
                <w:p>
                  <w:pPr>
                    <w:widowControl/>
                    <w:jc w:val="center"/>
                    <w:rPr>
                      <w:color w:val="000000" w:themeColor="text1"/>
                      <w:sz w:val="21"/>
                      <w:szCs w:val="21"/>
                    </w:rPr>
                  </w:pPr>
                  <w:r>
                    <w:rPr>
                      <w:color w:val="000000" w:themeColor="text1"/>
                      <w:sz w:val="21"/>
                      <w:szCs w:val="21"/>
                    </w:rPr>
                    <w:t>3.本项目为</w:t>
                  </w:r>
                  <w:r>
                    <w:rPr>
                      <w:rFonts w:hint="eastAsia"/>
                      <w:color w:val="000000" w:themeColor="text1"/>
                      <w:sz w:val="21"/>
                      <w:szCs w:val="21"/>
                    </w:rPr>
                    <w:t>挂车制造</w:t>
                  </w:r>
                  <w:r>
                    <w:rPr>
                      <w:color w:val="000000" w:themeColor="text1"/>
                      <w:sz w:val="21"/>
                      <w:szCs w:val="21"/>
                    </w:rPr>
                    <w:t>项目，不属于火电、炼钢行业。</w:t>
                  </w:r>
                </w:p>
                <w:p>
                  <w:pPr>
                    <w:widowControl/>
                    <w:jc w:val="center"/>
                    <w:rPr>
                      <w:color w:val="000000" w:themeColor="text1"/>
                      <w:sz w:val="21"/>
                      <w:szCs w:val="21"/>
                    </w:rPr>
                  </w:pPr>
                  <w:r>
                    <w:rPr>
                      <w:color w:val="000000" w:themeColor="text1"/>
                      <w:sz w:val="21"/>
                      <w:szCs w:val="21"/>
                    </w:rPr>
                    <w:t>4.本项目不属于焦化、水泥行业。</w:t>
                  </w:r>
                </w:p>
                <w:p>
                  <w:pPr>
                    <w:widowControl/>
                    <w:jc w:val="center"/>
                    <w:rPr>
                      <w:color w:val="000000" w:themeColor="text1"/>
                      <w:sz w:val="21"/>
                      <w:szCs w:val="21"/>
                    </w:rPr>
                  </w:pPr>
                  <w:r>
                    <w:rPr>
                      <w:color w:val="000000" w:themeColor="text1"/>
                      <w:sz w:val="21"/>
                      <w:szCs w:val="21"/>
                    </w:rPr>
                    <w:t>5.本项目施工期严格落实六个百分之百防治措施。</w:t>
                  </w:r>
                </w:p>
                <w:p>
                  <w:pPr>
                    <w:widowControl/>
                    <w:jc w:val="center"/>
                    <w:rPr>
                      <w:color w:val="000000" w:themeColor="text1"/>
                      <w:sz w:val="21"/>
                      <w:szCs w:val="21"/>
                    </w:rPr>
                  </w:pPr>
                  <w:r>
                    <w:rPr>
                      <w:color w:val="000000" w:themeColor="text1"/>
                      <w:sz w:val="21"/>
                      <w:szCs w:val="21"/>
                    </w:rPr>
                    <w:t>6.本项目的</w:t>
                  </w:r>
                  <w:r>
                    <w:rPr>
                      <w:rFonts w:hint="eastAsia"/>
                      <w:color w:val="000000" w:themeColor="text1"/>
                      <w:sz w:val="21"/>
                      <w:szCs w:val="21"/>
                    </w:rPr>
                    <w:t>生产不涉及</w:t>
                  </w:r>
                  <w:r>
                    <w:rPr>
                      <w:color w:val="000000" w:themeColor="text1"/>
                      <w:sz w:val="21"/>
                      <w:szCs w:val="21"/>
                    </w:rPr>
                    <w:t>煤炭、煤矸石、煤渣、煤灰、水泥、石灰、石膏、砂土等易产生扬尘</w:t>
                  </w:r>
                  <w:r>
                    <w:rPr>
                      <w:rFonts w:hint="eastAsia"/>
                      <w:color w:val="000000" w:themeColor="text1"/>
                      <w:sz w:val="21"/>
                      <w:szCs w:val="21"/>
                    </w:rPr>
                    <w:t>的物料</w:t>
                  </w:r>
                  <w:r>
                    <w:rPr>
                      <w:color w:val="000000" w:themeColor="text1"/>
                      <w:sz w:val="21"/>
                      <w:szCs w:val="21"/>
                    </w:rPr>
                    <w:t>。</w:t>
                  </w:r>
                </w:p>
                <w:p>
                  <w:pPr>
                    <w:widowControl/>
                    <w:jc w:val="center"/>
                    <w:rPr>
                      <w:color w:val="000000" w:themeColor="text1"/>
                      <w:sz w:val="21"/>
                      <w:szCs w:val="21"/>
                    </w:rPr>
                  </w:pPr>
                  <w:r>
                    <w:rPr>
                      <w:color w:val="000000" w:themeColor="text1"/>
                      <w:sz w:val="21"/>
                      <w:szCs w:val="21"/>
                    </w:rPr>
                    <w:t>7.本项目的</w:t>
                  </w:r>
                  <w:r>
                    <w:rPr>
                      <w:rFonts w:hint="eastAsia"/>
                      <w:color w:val="000000" w:themeColor="text1"/>
                      <w:sz w:val="21"/>
                      <w:szCs w:val="21"/>
                    </w:rPr>
                    <w:t>产品不涉及</w:t>
                  </w:r>
                  <w:r>
                    <w:rPr>
                      <w:color w:val="000000" w:themeColor="text1"/>
                      <w:sz w:val="21"/>
                      <w:szCs w:val="21"/>
                    </w:rPr>
                    <w:t>煤炭、垃圾、渣土、砂石、土方、灰浆等散装、流体物料</w:t>
                  </w:r>
                  <w:r>
                    <w:rPr>
                      <w:rFonts w:hint="eastAsia"/>
                      <w:color w:val="000000" w:themeColor="text1"/>
                      <w:sz w:val="21"/>
                      <w:szCs w:val="21"/>
                    </w:rPr>
                    <w:t>。</w:t>
                  </w:r>
                </w:p>
                <w:p>
                  <w:pPr>
                    <w:widowControl/>
                    <w:jc w:val="center"/>
                    <w:rPr>
                      <w:color w:val="000000" w:themeColor="text1"/>
                      <w:sz w:val="21"/>
                      <w:szCs w:val="21"/>
                    </w:rPr>
                  </w:pPr>
                  <w:r>
                    <w:rPr>
                      <w:color w:val="000000" w:themeColor="text1"/>
                      <w:sz w:val="21"/>
                      <w:szCs w:val="21"/>
                    </w:rPr>
                    <w:t>8.本项目不涉及有色金属矿采选、有色金属冶炼、铅蓄电池制造、皮革及其制品制造、化学原料以及化学制品制造、电镀等的单位。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环境风险防控</w:t>
                  </w:r>
                </w:p>
              </w:tc>
              <w:tc>
                <w:tcPr>
                  <w:tcW w:w="2775" w:type="pct"/>
                  <w:tcBorders>
                    <w:tl2br w:val="nil"/>
                    <w:tr2bl w:val="nil"/>
                  </w:tcBorders>
                  <w:vAlign w:val="center"/>
                </w:tcPr>
                <w:p>
                  <w:pPr>
                    <w:jc w:val="center"/>
                    <w:rPr>
                      <w:color w:val="000000" w:themeColor="text1"/>
                      <w:sz w:val="21"/>
                      <w:szCs w:val="21"/>
                    </w:rPr>
                  </w:pPr>
                  <w:r>
                    <w:rPr>
                      <w:color w:val="000000" w:themeColor="text1"/>
                      <w:sz w:val="21"/>
                      <w:szCs w:val="21"/>
                    </w:rPr>
                    <w:t>1.企事业单位和其他生产经营者按照相关规定编制突发环境事件应急预案并向所在地县（区）生态环境部门报备。2.煤矸石、粉煤灰、电石渣等一般工业固体废物贮存、利用、处置要符合相关规范要求。3.所有危险废物一律规范收集、贮存、转运、利用、处置。4.严格控制农用地的农药使用量，禁止使用高毒、高残留农药。</w:t>
                  </w:r>
                </w:p>
              </w:tc>
              <w:tc>
                <w:tcPr>
                  <w:tcW w:w="1764" w:type="pct"/>
                  <w:tcBorders>
                    <w:tl2br w:val="nil"/>
                    <w:tr2bl w:val="nil"/>
                  </w:tcBorders>
                  <w:vAlign w:val="center"/>
                </w:tcPr>
                <w:p>
                  <w:pPr>
                    <w:widowControl/>
                    <w:jc w:val="center"/>
                    <w:rPr>
                      <w:color w:val="000000" w:themeColor="text1"/>
                      <w:sz w:val="21"/>
                      <w:szCs w:val="21"/>
                    </w:rPr>
                  </w:pPr>
                  <w:r>
                    <w:rPr>
                      <w:color w:val="000000" w:themeColor="text1"/>
                      <w:sz w:val="21"/>
                      <w:szCs w:val="21"/>
                    </w:rPr>
                    <w:t>1.本项目建成后按照相关规定编制突发环境事件应急预案。</w:t>
                  </w:r>
                </w:p>
                <w:p>
                  <w:pPr>
                    <w:widowControl/>
                    <w:jc w:val="center"/>
                    <w:rPr>
                      <w:color w:val="000000" w:themeColor="text1"/>
                      <w:sz w:val="21"/>
                      <w:szCs w:val="21"/>
                    </w:rPr>
                  </w:pPr>
                  <w:r>
                    <w:rPr>
                      <w:color w:val="000000" w:themeColor="text1"/>
                      <w:sz w:val="21"/>
                      <w:szCs w:val="21"/>
                    </w:rPr>
                    <w:t>2.本项目</w:t>
                  </w:r>
                  <w:r>
                    <w:rPr>
                      <w:rFonts w:hint="eastAsia"/>
                      <w:color w:val="000000" w:themeColor="text1"/>
                      <w:sz w:val="21"/>
                      <w:szCs w:val="21"/>
                    </w:rPr>
                    <w:t>不涉及</w:t>
                  </w:r>
                  <w:r>
                    <w:rPr>
                      <w:color w:val="000000" w:themeColor="text1"/>
                      <w:sz w:val="21"/>
                      <w:szCs w:val="21"/>
                    </w:rPr>
                    <w:t>煤矸石、粉煤灰、电石渣</w:t>
                  </w:r>
                  <w:r>
                    <w:rPr>
                      <w:rFonts w:hint="eastAsia"/>
                      <w:color w:val="000000" w:themeColor="text1"/>
                      <w:sz w:val="21"/>
                      <w:szCs w:val="21"/>
                    </w:rPr>
                    <w:t>等</w:t>
                  </w:r>
                  <w:r>
                    <w:rPr>
                      <w:color w:val="000000" w:themeColor="text1"/>
                      <w:sz w:val="21"/>
                      <w:szCs w:val="21"/>
                    </w:rPr>
                    <w:t>。</w:t>
                  </w:r>
                </w:p>
                <w:p>
                  <w:pPr>
                    <w:widowControl/>
                    <w:jc w:val="center"/>
                    <w:rPr>
                      <w:color w:val="000000" w:themeColor="text1"/>
                      <w:sz w:val="21"/>
                      <w:szCs w:val="21"/>
                    </w:rPr>
                  </w:pPr>
                  <w:r>
                    <w:rPr>
                      <w:color w:val="000000" w:themeColor="text1"/>
                      <w:sz w:val="21"/>
                      <w:szCs w:val="21"/>
                    </w:rPr>
                    <w:t>3.在厂区内建有一个危废暂存间，所有危险废物一律规范收集、贮存，定期交由有处理资质的单位处置。</w:t>
                  </w:r>
                </w:p>
                <w:p>
                  <w:pPr>
                    <w:widowControl/>
                    <w:jc w:val="center"/>
                    <w:rPr>
                      <w:color w:val="000000" w:themeColor="text1"/>
                      <w:sz w:val="21"/>
                      <w:szCs w:val="21"/>
                    </w:rPr>
                  </w:pPr>
                  <w:r>
                    <w:rPr>
                      <w:color w:val="000000" w:themeColor="text1"/>
                      <w:sz w:val="21"/>
                      <w:szCs w:val="21"/>
                    </w:rPr>
                    <w:t>4.本项目不涉及农药。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水资源利用</w:t>
                  </w:r>
                </w:p>
              </w:tc>
              <w:tc>
                <w:tcPr>
                  <w:tcW w:w="2775" w:type="pct"/>
                  <w:tcBorders>
                    <w:tl2br w:val="nil"/>
                    <w:tr2bl w:val="nil"/>
                  </w:tcBorders>
                  <w:vAlign w:val="center"/>
                </w:tcPr>
                <w:p>
                  <w:pPr>
                    <w:jc w:val="center"/>
                    <w:rPr>
                      <w:color w:val="000000" w:themeColor="text1"/>
                      <w:sz w:val="21"/>
                      <w:szCs w:val="21"/>
                    </w:rPr>
                  </w:pPr>
                  <w:r>
                    <w:rPr>
                      <w:color w:val="000000" w:themeColor="text1"/>
                      <w:sz w:val="21"/>
                      <w:szCs w:val="21"/>
                    </w:rPr>
                    <w:t>1.水资源利用上线严格落实十四五相关目标指标。2.加快推进辛安泉饮用水水源地保护区和泉域重点保护区的保护和生态修复工作。3.大力推进工业节水改造，鼓励支持企业开展节水技术改造和再生水回用。4.严格实行水资源管理制度，坚持以水定城、以水定地、以水定人、以水定产，提高水资源集约安全利用水平。5.新建、改建、扩建项目涉及开发利用辛安泉域水资源的必须符合《山西省泉域水资源保护条例》相关规定。</w:t>
                  </w:r>
                </w:p>
              </w:tc>
              <w:tc>
                <w:tcPr>
                  <w:tcW w:w="1764" w:type="pct"/>
                  <w:tcBorders>
                    <w:tl2br w:val="nil"/>
                    <w:tr2bl w:val="nil"/>
                  </w:tcBorders>
                  <w:vAlign w:val="center"/>
                </w:tcPr>
                <w:p>
                  <w:pPr>
                    <w:widowControl/>
                    <w:jc w:val="center"/>
                    <w:rPr>
                      <w:color w:val="000000" w:themeColor="text1"/>
                      <w:sz w:val="21"/>
                      <w:szCs w:val="21"/>
                    </w:rPr>
                  </w:pPr>
                  <w:r>
                    <w:rPr>
                      <w:color w:val="000000" w:themeColor="text1"/>
                      <w:sz w:val="21"/>
                      <w:szCs w:val="21"/>
                    </w:rPr>
                    <w:t>本项目在泉域保护区范围内，水源来自供水管网，不涉及水资源的开发利用。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3"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能源利用</w:t>
                  </w:r>
                </w:p>
              </w:tc>
              <w:tc>
                <w:tcPr>
                  <w:tcW w:w="2775" w:type="pct"/>
                  <w:tcBorders>
                    <w:tl2br w:val="nil"/>
                    <w:tr2bl w:val="nil"/>
                  </w:tcBorders>
                  <w:vAlign w:val="center"/>
                </w:tcPr>
                <w:p>
                  <w:pPr>
                    <w:jc w:val="center"/>
                    <w:rPr>
                      <w:color w:val="000000" w:themeColor="text1"/>
                      <w:sz w:val="21"/>
                      <w:szCs w:val="21"/>
                    </w:rPr>
                  </w:pPr>
                  <w:r>
                    <w:rPr>
                      <w:color w:val="000000" w:themeColor="text1"/>
                      <w:sz w:val="21"/>
                      <w:szCs w:val="21"/>
                    </w:rPr>
                    <w:t>1.能源利用上线严格落实十四五相关目标指标以及碳达峰、碳中和相关要求。2.以煤炭、火电、冶金、建材、化工、焦化等高碳排放行业为重点，推广应用先进工艺和低碳技术，提高能效，有效控制工业领域温室气体排放。</w:t>
                  </w:r>
                </w:p>
              </w:tc>
              <w:tc>
                <w:tcPr>
                  <w:tcW w:w="1764" w:type="pct"/>
                  <w:tcBorders>
                    <w:tl2br w:val="nil"/>
                    <w:tr2bl w:val="nil"/>
                  </w:tcBorders>
                  <w:vAlign w:val="center"/>
                </w:tcPr>
                <w:p>
                  <w:pPr>
                    <w:widowControl/>
                    <w:jc w:val="center"/>
                    <w:rPr>
                      <w:color w:val="000000" w:themeColor="text1"/>
                      <w:sz w:val="21"/>
                      <w:szCs w:val="21"/>
                    </w:rPr>
                  </w:pPr>
                  <w:r>
                    <w:rPr>
                      <w:rFonts w:hint="eastAsia"/>
                      <w:color w:val="000000" w:themeColor="text1"/>
                      <w:sz w:val="21"/>
                      <w:szCs w:val="21"/>
                    </w:rPr>
                    <w:t>本项目不属于</w:t>
                  </w:r>
                  <w:r>
                    <w:rPr>
                      <w:color w:val="000000" w:themeColor="text1"/>
                      <w:sz w:val="21"/>
                      <w:szCs w:val="21"/>
                    </w:rPr>
                    <w:t>煤炭、火电、冶金、建材、化工、焦化</w:t>
                  </w:r>
                  <w:r>
                    <w:rPr>
                      <w:rFonts w:hint="eastAsia"/>
                      <w:color w:val="000000" w:themeColor="text1"/>
                      <w:sz w:val="21"/>
                      <w:szCs w:val="21"/>
                    </w:rPr>
                    <w:t>等行业，</w:t>
                  </w:r>
                  <w:r>
                    <w:rPr>
                      <w:color w:val="000000" w:themeColor="text1"/>
                      <w:sz w:val="21"/>
                      <w:szCs w:val="21"/>
                    </w:rPr>
                    <w:t>本项目应用先进工艺，提高能效，有效控制温室气体排放。</w:t>
                  </w:r>
                </w:p>
              </w:tc>
            </w:tr>
          </w:tbl>
          <w:p>
            <w:pPr>
              <w:spacing w:line="480" w:lineRule="exact"/>
              <w:jc w:val="center"/>
              <w:rPr>
                <w:b/>
                <w:bCs/>
                <w:color w:val="000000" w:themeColor="text1"/>
                <w:lang w:bidi="zh-CN"/>
              </w:rPr>
            </w:pPr>
            <w:r>
              <w:rPr>
                <w:b/>
                <w:bCs/>
                <w:color w:val="000000" w:themeColor="text1"/>
                <w:lang w:bidi="zh-CN"/>
              </w:rPr>
              <w:t>表1-2  长治市辛安泉域生态环境准入要求</w:t>
            </w:r>
          </w:p>
          <w:tbl>
            <w:tblPr>
              <w:tblStyle w:val="31"/>
              <w:tblW w:w="4996"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4008"/>
              <w:gridCol w:w="2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类别</w:t>
                  </w:r>
                </w:p>
              </w:tc>
              <w:tc>
                <w:tcPr>
                  <w:tcW w:w="2776" w:type="pct"/>
                  <w:tcBorders>
                    <w:tl2br w:val="nil"/>
                    <w:tr2bl w:val="nil"/>
                  </w:tcBorders>
                  <w:vAlign w:val="center"/>
                </w:tcPr>
                <w:p>
                  <w:pPr>
                    <w:widowControl/>
                    <w:jc w:val="center"/>
                    <w:rPr>
                      <w:color w:val="000000" w:themeColor="text1"/>
                      <w:sz w:val="21"/>
                      <w:szCs w:val="21"/>
                    </w:rPr>
                  </w:pPr>
                  <w:r>
                    <w:rPr>
                      <w:color w:val="000000" w:themeColor="text1"/>
                      <w:sz w:val="21"/>
                      <w:szCs w:val="21"/>
                    </w:rPr>
                    <w:t>管控要求</w:t>
                  </w:r>
                </w:p>
              </w:tc>
              <w:tc>
                <w:tcPr>
                  <w:tcW w:w="1763" w:type="pct"/>
                  <w:tcBorders>
                    <w:tl2br w:val="nil"/>
                    <w:tr2bl w:val="nil"/>
                  </w:tcBorders>
                  <w:vAlign w:val="center"/>
                </w:tcPr>
                <w:p>
                  <w:pPr>
                    <w:widowControl/>
                    <w:jc w:val="center"/>
                    <w:rPr>
                      <w:color w:val="000000" w:themeColor="text1"/>
                      <w:sz w:val="21"/>
                      <w:szCs w:val="21"/>
                    </w:rPr>
                  </w:pPr>
                  <w:r>
                    <w:rPr>
                      <w:color w:val="000000" w:themeColor="text1"/>
                      <w:sz w:val="21"/>
                      <w:szCs w:val="21"/>
                    </w:rPr>
                    <w:t>项目符合性分析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空间布局约束</w:t>
                  </w:r>
                </w:p>
              </w:tc>
              <w:tc>
                <w:tcPr>
                  <w:tcW w:w="2776" w:type="pct"/>
                  <w:tcBorders>
                    <w:tl2br w:val="nil"/>
                    <w:tr2bl w:val="nil"/>
                  </w:tcBorders>
                  <w:vAlign w:val="center"/>
                </w:tcPr>
                <w:p>
                  <w:pPr>
                    <w:jc w:val="center"/>
                    <w:rPr>
                      <w:color w:val="000000" w:themeColor="text1"/>
                      <w:sz w:val="21"/>
                      <w:szCs w:val="21"/>
                    </w:rPr>
                  </w:pPr>
                  <w:r>
                    <w:rPr>
                      <w:color w:val="000000" w:themeColor="text1"/>
                      <w:sz w:val="21"/>
                      <w:szCs w:val="21"/>
                    </w:rPr>
                    <w:t>1.泉域的重点保护区内禁止在泉水出露带进行采煤、开矿、开山采石和兴建地下工程，新建、改建、扩建与供水设施和保护水源无关的建设项目；重点保护区以外的泉域范围内严格控制兴建耗水量大或对水资源有污染的建设项目。</w:t>
                  </w:r>
                </w:p>
                <w:p>
                  <w:pPr>
                    <w:jc w:val="center"/>
                    <w:rPr>
                      <w:color w:val="000000" w:themeColor="text1"/>
                      <w:sz w:val="21"/>
                      <w:szCs w:val="21"/>
                    </w:rPr>
                  </w:pPr>
                  <w:r>
                    <w:rPr>
                      <w:color w:val="000000" w:themeColor="text1"/>
                      <w:sz w:val="21"/>
                      <w:szCs w:val="21"/>
                    </w:rPr>
                    <w:t>2.辛安泉饮用水水源地一级保护区内禁止新建、改建、扩建与供水设施、防洪设施和保护水源无关的建设项目。</w:t>
                  </w:r>
                </w:p>
                <w:p>
                  <w:pPr>
                    <w:jc w:val="center"/>
                    <w:rPr>
                      <w:color w:val="000000" w:themeColor="text1"/>
                      <w:sz w:val="21"/>
                      <w:szCs w:val="21"/>
                    </w:rPr>
                  </w:pPr>
                  <w:r>
                    <w:rPr>
                      <w:color w:val="000000" w:themeColor="text1"/>
                      <w:sz w:val="21"/>
                      <w:szCs w:val="21"/>
                    </w:rPr>
                    <w:t>3.安泉饮用水水源地一级保护区内禁止新建、改建、扩建炼焦、化工、炼油、冶炼、电镀、皮革、造纸、制浆、印染、染料、放射性以及其他排放污染物的建设项目；禁止建设畜禽养殖场、养殖小区；禁止建设工业固体废物、粪便和易溶、有毒有害废弃物集中贮存、处置的设施、场所和生活垃圾填埋场、转运站。</w:t>
                  </w:r>
                </w:p>
                <w:p>
                  <w:pPr>
                    <w:jc w:val="center"/>
                    <w:rPr>
                      <w:color w:val="000000" w:themeColor="text1"/>
                      <w:sz w:val="21"/>
                      <w:szCs w:val="21"/>
                    </w:rPr>
                  </w:pPr>
                  <w:r>
                    <w:rPr>
                      <w:color w:val="000000" w:themeColor="text1"/>
                      <w:sz w:val="21"/>
                      <w:szCs w:val="21"/>
                    </w:rPr>
                    <w:t>4.辛安泉饮用水水源地准保护区范围内禁止新建、扩建对水体污染严重的建设项目。</w:t>
                  </w:r>
                </w:p>
              </w:tc>
              <w:tc>
                <w:tcPr>
                  <w:tcW w:w="1763" w:type="pct"/>
                  <w:tcBorders>
                    <w:tl2br w:val="nil"/>
                    <w:tr2bl w:val="nil"/>
                  </w:tcBorders>
                  <w:vAlign w:val="center"/>
                </w:tcPr>
                <w:p>
                  <w:pPr>
                    <w:widowControl/>
                    <w:jc w:val="center"/>
                    <w:rPr>
                      <w:color w:val="000000" w:themeColor="text1"/>
                      <w:sz w:val="21"/>
                      <w:szCs w:val="21"/>
                    </w:rPr>
                  </w:pPr>
                  <w:r>
                    <w:rPr>
                      <w:color w:val="000000" w:themeColor="text1"/>
                      <w:sz w:val="21"/>
                      <w:szCs w:val="21"/>
                    </w:rPr>
                    <w:t>1.本项目位于泉域范围内，距重点保护区</w:t>
                  </w:r>
                  <w:r>
                    <w:rPr>
                      <w:rFonts w:hint="eastAsia"/>
                      <w:color w:val="000000" w:themeColor="text1"/>
                      <w:sz w:val="21"/>
                      <w:szCs w:val="21"/>
                    </w:rPr>
                    <w:t>26</w:t>
                  </w:r>
                  <w:r>
                    <w:rPr>
                      <w:color w:val="000000" w:themeColor="text1"/>
                      <w:sz w:val="21"/>
                      <w:szCs w:val="21"/>
                    </w:rPr>
                    <w:t>km，本项目属于</w:t>
                  </w:r>
                  <w:r>
                    <w:rPr>
                      <w:rFonts w:hint="eastAsia"/>
                      <w:color w:val="000000" w:themeColor="text1"/>
                      <w:sz w:val="21"/>
                      <w:szCs w:val="21"/>
                    </w:rPr>
                    <w:t>挂车制造</w:t>
                  </w:r>
                  <w:r>
                    <w:rPr>
                      <w:color w:val="000000" w:themeColor="text1"/>
                      <w:sz w:val="21"/>
                      <w:szCs w:val="21"/>
                    </w:rPr>
                    <w:t>项目，</w:t>
                  </w:r>
                  <w:r>
                    <w:rPr>
                      <w:rFonts w:hint="eastAsia"/>
                      <w:color w:val="000000" w:themeColor="text1"/>
                      <w:sz w:val="21"/>
                      <w:szCs w:val="21"/>
                    </w:rPr>
                    <w:t>用水主要为生活用水，</w:t>
                  </w:r>
                  <w:r>
                    <w:rPr>
                      <w:color w:val="000000" w:themeColor="text1"/>
                      <w:sz w:val="21"/>
                      <w:szCs w:val="21"/>
                    </w:rPr>
                    <w:t>不属于耗水量大</w:t>
                  </w:r>
                  <w:r>
                    <w:rPr>
                      <w:rFonts w:hint="eastAsia"/>
                      <w:color w:val="000000" w:themeColor="text1"/>
                      <w:sz w:val="21"/>
                      <w:szCs w:val="21"/>
                    </w:rPr>
                    <w:t>的</w:t>
                  </w:r>
                  <w:r>
                    <w:rPr>
                      <w:color w:val="000000" w:themeColor="text1"/>
                      <w:sz w:val="21"/>
                      <w:szCs w:val="21"/>
                    </w:rPr>
                    <w:t>建设项目。</w:t>
                  </w:r>
                </w:p>
                <w:p>
                  <w:pPr>
                    <w:widowControl/>
                    <w:jc w:val="center"/>
                    <w:rPr>
                      <w:color w:val="000000" w:themeColor="text1"/>
                      <w:sz w:val="21"/>
                      <w:szCs w:val="21"/>
                    </w:rPr>
                  </w:pPr>
                  <w:r>
                    <w:rPr>
                      <w:color w:val="000000" w:themeColor="text1"/>
                      <w:sz w:val="21"/>
                      <w:szCs w:val="21"/>
                    </w:rPr>
                    <w:t>2.本项目占地不在辛安泉饮用水水源地一级保护区内。</w:t>
                  </w:r>
                </w:p>
                <w:p>
                  <w:pPr>
                    <w:widowControl/>
                    <w:jc w:val="center"/>
                    <w:rPr>
                      <w:color w:val="000000" w:themeColor="text1"/>
                      <w:sz w:val="21"/>
                      <w:szCs w:val="21"/>
                    </w:rPr>
                  </w:pPr>
                  <w:r>
                    <w:rPr>
                      <w:color w:val="000000" w:themeColor="text1"/>
                      <w:sz w:val="21"/>
                      <w:szCs w:val="21"/>
                    </w:rPr>
                    <w:t>3.本项目占地不在辛安泉饮用水水源地一级保护区内。</w:t>
                  </w:r>
                </w:p>
                <w:p>
                  <w:pPr>
                    <w:widowControl/>
                    <w:jc w:val="center"/>
                    <w:rPr>
                      <w:color w:val="000000" w:themeColor="text1"/>
                      <w:sz w:val="21"/>
                      <w:szCs w:val="21"/>
                    </w:rPr>
                  </w:pPr>
                  <w:r>
                    <w:rPr>
                      <w:color w:val="000000" w:themeColor="text1"/>
                      <w:sz w:val="21"/>
                      <w:szCs w:val="21"/>
                    </w:rPr>
                    <w:t>4.本项目不在辛安泉饮用水水源地准保护区范围内。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污染物排放管控</w:t>
                  </w:r>
                </w:p>
              </w:tc>
              <w:tc>
                <w:tcPr>
                  <w:tcW w:w="2776" w:type="pct"/>
                  <w:tcBorders>
                    <w:tl2br w:val="nil"/>
                    <w:tr2bl w:val="nil"/>
                  </w:tcBorders>
                  <w:vAlign w:val="center"/>
                </w:tcPr>
                <w:p>
                  <w:pPr>
                    <w:jc w:val="center"/>
                    <w:rPr>
                      <w:color w:val="000000" w:themeColor="text1"/>
                      <w:sz w:val="21"/>
                      <w:szCs w:val="21"/>
                    </w:rPr>
                  </w:pPr>
                  <w:r>
                    <w:rPr>
                      <w:color w:val="000000" w:themeColor="text1"/>
                      <w:sz w:val="21"/>
                      <w:szCs w:val="21"/>
                    </w:rPr>
                    <w:t>1.泉域的重点保护区内禁止将已污染含水层与未污染含水层的地下水混合开采，禁止倾倒、排放工业房渣和城市生活垃圾、污水乃其他废物。重点保护区以外的泉域范围内不得利用渗坑、渗井、溶洞、废弃钻孔等排放工业废房水、城市生活污水，倾倒污物、废渣和城市生活垃圾。</w:t>
                  </w:r>
                </w:p>
                <w:p>
                  <w:pPr>
                    <w:jc w:val="center"/>
                    <w:rPr>
                      <w:color w:val="000000" w:themeColor="text1"/>
                      <w:sz w:val="21"/>
                      <w:szCs w:val="21"/>
                    </w:rPr>
                  </w:pPr>
                  <w:r>
                    <w:rPr>
                      <w:color w:val="000000" w:themeColor="text1"/>
                      <w:sz w:val="21"/>
                      <w:szCs w:val="21"/>
                    </w:rPr>
                    <w:t>2.辛安泉饮用水水源地一级保护区内禁止倾倒、堆放工业废渣、废液、垃圾、粪便、油类和其他有害废弃物；禁止从事网箱养殖、旅游、游泳、垂钓、水上训练或者其他可能污染饮用水水体的活动。</w:t>
                  </w:r>
                </w:p>
                <w:p>
                  <w:pPr>
                    <w:jc w:val="center"/>
                    <w:rPr>
                      <w:color w:val="000000" w:themeColor="text1"/>
                      <w:sz w:val="21"/>
                      <w:szCs w:val="21"/>
                    </w:rPr>
                  </w:pPr>
                  <w:r>
                    <w:rPr>
                      <w:color w:val="000000" w:themeColor="text1"/>
                      <w:sz w:val="21"/>
                      <w:szCs w:val="21"/>
                    </w:rPr>
                    <w:t>3.辛安泉饮用水水源地二级保护区内禁止使用农药，丢弃农药、农药包装物或者清洗施药器械，禁止利用未经净化的污水灌溉农田。</w:t>
                  </w:r>
                </w:p>
                <w:p>
                  <w:pPr>
                    <w:jc w:val="center"/>
                    <w:rPr>
                      <w:color w:val="000000" w:themeColor="text1"/>
                      <w:sz w:val="21"/>
                      <w:szCs w:val="21"/>
                    </w:rPr>
                  </w:pPr>
                  <w:r>
                    <w:rPr>
                      <w:color w:val="000000" w:themeColor="text1"/>
                      <w:sz w:val="21"/>
                      <w:szCs w:val="21"/>
                    </w:rPr>
                    <w:t>4.辛安泉饮用水水源地准保护区范围内禁止直接或者间接向水域排放不符合国家以及地方规定排放标准的废水；禁止使用不符合《农田灌溉水质标准》的污水灌溉农田；禁止利用渗井、废弃矿井、废弃井孔等排放工业废水、生活污水和矿坑水。</w:t>
                  </w:r>
                </w:p>
              </w:tc>
              <w:tc>
                <w:tcPr>
                  <w:tcW w:w="1763" w:type="pct"/>
                  <w:tcBorders>
                    <w:tl2br w:val="nil"/>
                    <w:tr2bl w:val="nil"/>
                  </w:tcBorders>
                  <w:vAlign w:val="center"/>
                </w:tcPr>
                <w:p>
                  <w:pPr>
                    <w:widowControl/>
                    <w:jc w:val="center"/>
                    <w:rPr>
                      <w:color w:val="000000" w:themeColor="text1"/>
                      <w:sz w:val="21"/>
                      <w:szCs w:val="21"/>
                    </w:rPr>
                  </w:pPr>
                  <w:r>
                    <w:rPr>
                      <w:color w:val="000000" w:themeColor="text1"/>
                      <w:sz w:val="21"/>
                      <w:szCs w:val="21"/>
                    </w:rPr>
                    <w:t>1.本项目位于泉域范围内，距重点保护区</w:t>
                  </w:r>
                  <w:r>
                    <w:rPr>
                      <w:rFonts w:hint="eastAsia"/>
                      <w:color w:val="000000" w:themeColor="text1"/>
                      <w:sz w:val="21"/>
                      <w:szCs w:val="21"/>
                    </w:rPr>
                    <w:t>26</w:t>
                  </w:r>
                  <w:r>
                    <w:rPr>
                      <w:color w:val="000000" w:themeColor="text1"/>
                      <w:sz w:val="21"/>
                      <w:szCs w:val="21"/>
                    </w:rPr>
                    <w:t>km，本项目产生的废水主要为生活污水，生活污水排入</w:t>
                  </w:r>
                  <w:r>
                    <w:rPr>
                      <w:rFonts w:hint="eastAsia"/>
                      <w:color w:val="000000" w:themeColor="text1"/>
                      <w:sz w:val="21"/>
                      <w:szCs w:val="21"/>
                    </w:rPr>
                    <w:t>长子县城东污水处理厂</w:t>
                  </w:r>
                  <w:r>
                    <w:rPr>
                      <w:color w:val="000000" w:themeColor="text1"/>
                      <w:sz w:val="21"/>
                      <w:szCs w:val="21"/>
                    </w:rPr>
                    <w:t>；生活垃圾集中收集后定期送至当地环卫部门指定的地点统一处理。</w:t>
                  </w:r>
                </w:p>
                <w:p>
                  <w:pPr>
                    <w:widowControl/>
                    <w:jc w:val="center"/>
                    <w:rPr>
                      <w:color w:val="000000" w:themeColor="text1"/>
                      <w:sz w:val="21"/>
                      <w:szCs w:val="21"/>
                    </w:rPr>
                  </w:pPr>
                  <w:r>
                    <w:rPr>
                      <w:color w:val="000000" w:themeColor="text1"/>
                      <w:sz w:val="21"/>
                      <w:szCs w:val="21"/>
                    </w:rPr>
                    <w:t>2.本项目占地不在辛安泉饮用水水源地一级保护区范围内。</w:t>
                  </w:r>
                </w:p>
                <w:p>
                  <w:pPr>
                    <w:widowControl/>
                    <w:jc w:val="center"/>
                    <w:rPr>
                      <w:color w:val="000000" w:themeColor="text1"/>
                      <w:sz w:val="21"/>
                      <w:szCs w:val="21"/>
                    </w:rPr>
                  </w:pPr>
                  <w:r>
                    <w:rPr>
                      <w:color w:val="000000" w:themeColor="text1"/>
                      <w:sz w:val="21"/>
                      <w:szCs w:val="21"/>
                    </w:rPr>
                    <w:t>3.本项目占地不在辛安泉饮用水水源地二级保护区范围内。</w:t>
                  </w:r>
                </w:p>
                <w:p>
                  <w:pPr>
                    <w:widowControl/>
                    <w:jc w:val="center"/>
                    <w:rPr>
                      <w:color w:val="000000" w:themeColor="text1"/>
                      <w:sz w:val="21"/>
                      <w:szCs w:val="21"/>
                    </w:rPr>
                  </w:pPr>
                  <w:r>
                    <w:rPr>
                      <w:color w:val="000000" w:themeColor="text1"/>
                      <w:sz w:val="21"/>
                      <w:szCs w:val="21"/>
                    </w:rPr>
                    <w:t>4.本项目不在辛安泉饮用水水源地准保护区范围内。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环境风险防控</w:t>
                  </w:r>
                </w:p>
              </w:tc>
              <w:tc>
                <w:tcPr>
                  <w:tcW w:w="2776" w:type="pct"/>
                  <w:tcBorders>
                    <w:tl2br w:val="nil"/>
                    <w:tr2bl w:val="nil"/>
                  </w:tcBorders>
                  <w:vAlign w:val="center"/>
                </w:tcPr>
                <w:p>
                  <w:pPr>
                    <w:jc w:val="center"/>
                    <w:rPr>
                      <w:color w:val="000000" w:themeColor="text1"/>
                      <w:sz w:val="21"/>
                      <w:szCs w:val="21"/>
                    </w:rPr>
                  </w:pPr>
                  <w:r>
                    <w:rPr>
                      <w:color w:val="000000" w:themeColor="text1"/>
                      <w:sz w:val="21"/>
                      <w:szCs w:val="21"/>
                    </w:rPr>
                    <w:t>泉域范围内，石化生产、存贮、销售企业以及工业园区、矿山开采区、矿山渣场、垃圾填埋场以及危险废物堆放场等的运营、管理单位应当进行必要的防渗处理。报废矿井、钻井以及取水井应当实施封井回填。</w:t>
                  </w:r>
                </w:p>
              </w:tc>
              <w:tc>
                <w:tcPr>
                  <w:tcW w:w="1763" w:type="pct"/>
                  <w:tcBorders>
                    <w:tl2br w:val="nil"/>
                    <w:tr2bl w:val="nil"/>
                  </w:tcBorders>
                  <w:vAlign w:val="center"/>
                </w:tcPr>
                <w:p>
                  <w:pPr>
                    <w:widowControl/>
                    <w:jc w:val="center"/>
                    <w:rPr>
                      <w:color w:val="000000" w:themeColor="text1"/>
                      <w:sz w:val="21"/>
                      <w:szCs w:val="21"/>
                    </w:rPr>
                  </w:pPr>
                  <w:r>
                    <w:rPr>
                      <w:color w:val="000000" w:themeColor="text1"/>
                      <w:sz w:val="21"/>
                      <w:szCs w:val="21"/>
                    </w:rPr>
                    <w:t>本项目的</w:t>
                  </w:r>
                  <w:r>
                    <w:rPr>
                      <w:rFonts w:hint="eastAsia"/>
                      <w:color w:val="000000" w:themeColor="text1"/>
                      <w:sz w:val="21"/>
                      <w:szCs w:val="21"/>
                    </w:rPr>
                    <w:t>化粪池、隔油池、危废暂存间</w:t>
                  </w:r>
                  <w:r>
                    <w:rPr>
                      <w:color w:val="000000" w:themeColor="text1"/>
                      <w:sz w:val="21"/>
                      <w:szCs w:val="21"/>
                    </w:rPr>
                    <w:t>及生产车间全部进行了防渗处理，地面全部硬化。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0" w:type="pct"/>
                  <w:tcBorders>
                    <w:tl2br w:val="nil"/>
                    <w:tr2bl w:val="nil"/>
                  </w:tcBorders>
                  <w:vAlign w:val="center"/>
                </w:tcPr>
                <w:p>
                  <w:pPr>
                    <w:widowControl/>
                    <w:jc w:val="center"/>
                    <w:rPr>
                      <w:color w:val="000000" w:themeColor="text1"/>
                      <w:sz w:val="21"/>
                      <w:szCs w:val="21"/>
                    </w:rPr>
                  </w:pPr>
                  <w:r>
                    <w:rPr>
                      <w:color w:val="000000" w:themeColor="text1"/>
                      <w:sz w:val="21"/>
                      <w:szCs w:val="21"/>
                    </w:rPr>
                    <w:t>资源利用效率</w:t>
                  </w:r>
                </w:p>
              </w:tc>
              <w:tc>
                <w:tcPr>
                  <w:tcW w:w="2776" w:type="pct"/>
                  <w:tcBorders>
                    <w:tl2br w:val="nil"/>
                    <w:tr2bl w:val="nil"/>
                  </w:tcBorders>
                  <w:vAlign w:val="center"/>
                </w:tcPr>
                <w:p>
                  <w:pPr>
                    <w:jc w:val="center"/>
                    <w:rPr>
                      <w:color w:val="000000" w:themeColor="text1"/>
                      <w:sz w:val="21"/>
                      <w:szCs w:val="21"/>
                    </w:rPr>
                  </w:pPr>
                  <w:r>
                    <w:rPr>
                      <w:color w:val="000000" w:themeColor="text1"/>
                      <w:sz w:val="21"/>
                      <w:szCs w:val="21"/>
                    </w:rPr>
                    <w:t>1.泉域的重点保护区内禁止擅自打井、挖泉、截流、引水；重点保护区以外的泉域范围内应控制岩溶地下水开采，合理开发孔隙裂隙地下水。</w:t>
                  </w:r>
                </w:p>
                <w:p>
                  <w:pPr>
                    <w:jc w:val="center"/>
                    <w:rPr>
                      <w:color w:val="000000" w:themeColor="text1"/>
                      <w:sz w:val="21"/>
                      <w:szCs w:val="21"/>
                    </w:rPr>
                  </w:pPr>
                  <w:r>
                    <w:rPr>
                      <w:color w:val="000000" w:themeColor="text1"/>
                      <w:sz w:val="21"/>
                      <w:szCs w:val="21"/>
                    </w:rPr>
                    <w:t>2.泉域范围内，任何单位或者个人取用岩溶地下水，应当依法办理取水许可手续，严禁未经批准擅自取水；经批准取用辛安泉岩溶地下水的单位或者个人，应当依照取水许可规定的条件取水，不得超出核定的取水量，不得转供水。未经批准不得擅自改变取水用途，确需改变的，经原批准机关审查同意，严格控制辛安泉岩溶地下水开采，实行区域限制许可制度，制定各县(区)岩溶水开采控制指标。对溶水取水量已达到或者超过控制指标的县(区)，暂停新增岩溶水取水许可；对岩溶水取水量接近控制指标的县(区)，限制新增岩溶水取水许可。</w:t>
                  </w:r>
                </w:p>
              </w:tc>
              <w:tc>
                <w:tcPr>
                  <w:tcW w:w="1763" w:type="pct"/>
                  <w:tcBorders>
                    <w:tl2br w:val="nil"/>
                    <w:tr2bl w:val="nil"/>
                  </w:tcBorders>
                  <w:vAlign w:val="center"/>
                </w:tcPr>
                <w:p>
                  <w:pPr>
                    <w:widowControl/>
                    <w:jc w:val="center"/>
                    <w:rPr>
                      <w:color w:val="000000" w:themeColor="text1"/>
                      <w:sz w:val="21"/>
                      <w:szCs w:val="21"/>
                    </w:rPr>
                  </w:pPr>
                  <w:r>
                    <w:rPr>
                      <w:color w:val="000000" w:themeColor="text1"/>
                      <w:sz w:val="21"/>
                      <w:szCs w:val="21"/>
                    </w:rPr>
                    <w:t>本项目位于泉域范围内，距重点保护区</w:t>
                  </w:r>
                  <w:r>
                    <w:rPr>
                      <w:rFonts w:hint="eastAsia"/>
                      <w:color w:val="000000" w:themeColor="text1"/>
                      <w:sz w:val="21"/>
                      <w:szCs w:val="21"/>
                    </w:rPr>
                    <w:t>26</w:t>
                  </w:r>
                  <w:r>
                    <w:rPr>
                      <w:color w:val="000000" w:themeColor="text1"/>
                      <w:sz w:val="21"/>
                      <w:szCs w:val="21"/>
                    </w:rPr>
                    <w:t>km，本项目不涉及地下水的开采。</w:t>
                  </w:r>
                </w:p>
              </w:tc>
            </w:tr>
          </w:tbl>
          <w:p>
            <w:pPr>
              <w:pStyle w:val="87"/>
              <w:spacing w:line="480" w:lineRule="exact"/>
              <w:ind w:firstLine="480"/>
              <w:rPr>
                <w:color w:val="000000" w:themeColor="text1"/>
              </w:rPr>
            </w:pPr>
            <w:r>
              <w:rPr>
                <w:color w:val="000000" w:themeColor="text1"/>
              </w:rPr>
              <w:t>综合分析，项目建设符合“三线一单”原则。</w:t>
            </w:r>
          </w:p>
          <w:p>
            <w:pPr>
              <w:spacing w:line="480" w:lineRule="exact"/>
              <w:ind w:firstLine="480" w:firstLineChars="200"/>
              <w:jc w:val="left"/>
              <w:rPr>
                <w:color w:val="000000" w:themeColor="text1"/>
              </w:rPr>
            </w:pPr>
            <w:r>
              <w:rPr>
                <w:rFonts w:hint="eastAsia"/>
                <w:color w:val="000000" w:themeColor="text1"/>
              </w:rPr>
              <w:t>4</w:t>
            </w:r>
            <w:r>
              <w:rPr>
                <w:color w:val="000000" w:themeColor="text1"/>
              </w:rPr>
              <w:t>、VOCs治理相符性分析</w:t>
            </w:r>
          </w:p>
          <w:p>
            <w:pPr>
              <w:spacing w:line="490" w:lineRule="exact"/>
              <w:ind w:firstLine="480" w:firstLineChars="200"/>
              <w:jc w:val="left"/>
              <w:rPr>
                <w:bCs/>
                <w:color w:val="000000" w:themeColor="text1"/>
              </w:rPr>
            </w:pPr>
            <w:r>
              <w:rPr>
                <w:bCs/>
                <w:color w:val="000000" w:themeColor="text1"/>
              </w:rPr>
              <w:t>根据《山西省重点行业挥发性有机物（VOCs）2017年专项治理方案》，符合性见表</w:t>
            </w:r>
            <w:r>
              <w:rPr>
                <w:rFonts w:hint="eastAsia"/>
                <w:bCs/>
                <w:color w:val="000000" w:themeColor="text1"/>
              </w:rPr>
              <w:t>1-3</w:t>
            </w:r>
            <w:r>
              <w:rPr>
                <w:bCs/>
                <w:color w:val="000000" w:themeColor="text1"/>
              </w:rPr>
              <w:t>。</w:t>
            </w:r>
          </w:p>
          <w:p>
            <w:pPr>
              <w:spacing w:line="490" w:lineRule="exact"/>
              <w:jc w:val="center"/>
              <w:rPr>
                <w:b/>
                <w:color w:val="000000" w:themeColor="text1"/>
              </w:rPr>
            </w:pPr>
            <w:r>
              <w:rPr>
                <w:b/>
                <w:color w:val="000000" w:themeColor="text1"/>
              </w:rPr>
              <w:t>表1-3《山西省重点行业挥发性有机物（VOCs）2017年专项治理方案》符合性</w:t>
            </w:r>
          </w:p>
          <w:tbl>
            <w:tblPr>
              <w:tblStyle w:val="32"/>
              <w:tblW w:w="7098"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3"/>
              <w:gridCol w:w="3367"/>
              <w:gridCol w:w="2375"/>
              <w:gridCol w:w="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序号</w:t>
                  </w:r>
                </w:p>
              </w:tc>
              <w:tc>
                <w:tcPr>
                  <w:tcW w:w="3367" w:type="dxa"/>
                  <w:vAlign w:val="center"/>
                </w:tcPr>
                <w:p>
                  <w:pPr>
                    <w:spacing w:line="300" w:lineRule="exact"/>
                    <w:jc w:val="center"/>
                    <w:rPr>
                      <w:color w:val="000000" w:themeColor="text1"/>
                      <w:sz w:val="21"/>
                      <w:szCs w:val="21"/>
                    </w:rPr>
                  </w:pPr>
                  <w:r>
                    <w:rPr>
                      <w:color w:val="000000" w:themeColor="text1"/>
                      <w:sz w:val="21"/>
                      <w:szCs w:val="21"/>
                    </w:rPr>
                    <w:t>方案要求</w:t>
                  </w:r>
                </w:p>
              </w:tc>
              <w:tc>
                <w:tcPr>
                  <w:tcW w:w="2375" w:type="dxa"/>
                  <w:vAlign w:val="center"/>
                </w:tcPr>
                <w:p>
                  <w:pPr>
                    <w:spacing w:line="300" w:lineRule="exact"/>
                    <w:jc w:val="center"/>
                    <w:rPr>
                      <w:color w:val="000000" w:themeColor="text1"/>
                      <w:sz w:val="21"/>
                      <w:szCs w:val="21"/>
                    </w:rPr>
                  </w:pPr>
                  <w:r>
                    <w:rPr>
                      <w:color w:val="000000" w:themeColor="text1"/>
                      <w:sz w:val="21"/>
                      <w:szCs w:val="21"/>
                    </w:rPr>
                    <w:t>项目情况</w:t>
                  </w:r>
                </w:p>
              </w:tc>
              <w:tc>
                <w:tcPr>
                  <w:tcW w:w="803" w:type="dxa"/>
                  <w:vAlign w:val="center"/>
                </w:tcPr>
                <w:p>
                  <w:pPr>
                    <w:spacing w:line="300" w:lineRule="exact"/>
                    <w:jc w:val="center"/>
                    <w:rPr>
                      <w:color w:val="000000" w:themeColor="text1"/>
                      <w:sz w:val="21"/>
                      <w:szCs w:val="2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7"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1</w:t>
                  </w:r>
                </w:p>
              </w:tc>
              <w:tc>
                <w:tcPr>
                  <w:tcW w:w="3367" w:type="dxa"/>
                  <w:vAlign w:val="center"/>
                </w:tcPr>
                <w:p>
                  <w:pPr>
                    <w:spacing w:line="300" w:lineRule="exact"/>
                    <w:jc w:val="center"/>
                    <w:rPr>
                      <w:color w:val="000000" w:themeColor="text1"/>
                      <w:sz w:val="21"/>
                      <w:szCs w:val="21"/>
                    </w:rPr>
                  </w:pPr>
                  <w:r>
                    <w:rPr>
                      <w:color w:val="000000" w:themeColor="text1"/>
                      <w:sz w:val="21"/>
                      <w:szCs w:val="21"/>
                    </w:rPr>
                    <w:t>提高低VOCs含量涂料使用比例。鼓励企业使用水性、高固份、粉末、紫外光固化等低VOCs含量的环保型涂料。限制使用施工状态下VOCs含量大于420g/L的涂料，从工艺的源头减少原辅材料的VOCs含量，实现VOCs减排目的。</w:t>
                  </w:r>
                </w:p>
              </w:tc>
              <w:tc>
                <w:tcPr>
                  <w:tcW w:w="2375" w:type="dxa"/>
                  <w:vAlign w:val="center"/>
                </w:tcPr>
                <w:p>
                  <w:pPr>
                    <w:spacing w:line="300" w:lineRule="exact"/>
                    <w:jc w:val="center"/>
                    <w:rPr>
                      <w:color w:val="000000" w:themeColor="text1"/>
                      <w:sz w:val="21"/>
                      <w:szCs w:val="21"/>
                    </w:rPr>
                  </w:pPr>
                  <w:r>
                    <w:rPr>
                      <w:color w:val="000000" w:themeColor="text1"/>
                      <w:sz w:val="21"/>
                      <w:szCs w:val="21"/>
                    </w:rPr>
                    <w:t>项目采用水性涂料</w:t>
                  </w:r>
                </w:p>
              </w:tc>
              <w:tc>
                <w:tcPr>
                  <w:tcW w:w="803"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2"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2</w:t>
                  </w:r>
                </w:p>
              </w:tc>
              <w:tc>
                <w:tcPr>
                  <w:tcW w:w="3367" w:type="dxa"/>
                  <w:vAlign w:val="center"/>
                </w:tcPr>
                <w:p>
                  <w:pPr>
                    <w:spacing w:line="300" w:lineRule="exact"/>
                    <w:jc w:val="center"/>
                    <w:rPr>
                      <w:color w:val="000000" w:themeColor="text1"/>
                      <w:sz w:val="21"/>
                      <w:szCs w:val="21"/>
                    </w:rPr>
                  </w:pPr>
                  <w:r>
                    <w:rPr>
                      <w:color w:val="000000" w:themeColor="text1"/>
                      <w:sz w:val="21"/>
                      <w:szCs w:val="21"/>
                    </w:rPr>
                    <w:t>涂料、稀释剂、清洗剂等含有机溶剂的原辅材料应密闭存放，调配作业应在独立密闭间内完成，宜采用集中供料系统，无集中供料系统时原辅材料转运应采用密闭容器封存</w:t>
                  </w:r>
                </w:p>
              </w:tc>
              <w:tc>
                <w:tcPr>
                  <w:tcW w:w="2375" w:type="dxa"/>
                  <w:vAlign w:val="center"/>
                </w:tcPr>
                <w:p>
                  <w:pPr>
                    <w:spacing w:line="300" w:lineRule="exact"/>
                    <w:jc w:val="center"/>
                    <w:rPr>
                      <w:color w:val="000000" w:themeColor="text1"/>
                      <w:sz w:val="21"/>
                      <w:szCs w:val="21"/>
                    </w:rPr>
                  </w:pPr>
                  <w:r>
                    <w:rPr>
                      <w:color w:val="000000" w:themeColor="text1"/>
                      <w:sz w:val="21"/>
                      <w:szCs w:val="21"/>
                    </w:rPr>
                    <w:t>项目采用水性涂料，调漆、喷漆和</w:t>
                  </w:r>
                  <w:r>
                    <w:rPr>
                      <w:rFonts w:hint="eastAsia"/>
                      <w:color w:val="000000" w:themeColor="text1"/>
                      <w:sz w:val="21"/>
                      <w:szCs w:val="21"/>
                    </w:rPr>
                    <w:t>烤漆</w:t>
                  </w:r>
                  <w:r>
                    <w:rPr>
                      <w:color w:val="000000" w:themeColor="text1"/>
                      <w:sz w:val="21"/>
                      <w:szCs w:val="21"/>
                    </w:rPr>
                    <w:t>在密闭</w:t>
                  </w:r>
                  <w:r>
                    <w:rPr>
                      <w:rFonts w:hint="eastAsia"/>
                      <w:color w:val="000000" w:themeColor="text1"/>
                      <w:sz w:val="21"/>
                      <w:szCs w:val="21"/>
                    </w:rPr>
                    <w:t>的</w:t>
                  </w:r>
                  <w:r>
                    <w:rPr>
                      <w:color w:val="000000" w:themeColor="text1"/>
                      <w:sz w:val="21"/>
                      <w:szCs w:val="21"/>
                    </w:rPr>
                    <w:t>喷漆房中进行，设</w:t>
                  </w:r>
                  <w:r>
                    <w:rPr>
                      <w:rFonts w:hint="eastAsia"/>
                      <w:color w:val="000000" w:themeColor="text1"/>
                      <w:sz w:val="21"/>
                      <w:szCs w:val="21"/>
                    </w:rPr>
                    <w:t>水性漆</w:t>
                  </w:r>
                  <w:r>
                    <w:rPr>
                      <w:color w:val="000000" w:themeColor="text1"/>
                      <w:sz w:val="21"/>
                      <w:szCs w:val="21"/>
                    </w:rPr>
                    <w:t>库储存漆料，</w:t>
                  </w:r>
                  <w:r>
                    <w:rPr>
                      <w:rFonts w:hint="eastAsia"/>
                      <w:color w:val="000000" w:themeColor="text1"/>
                      <w:sz w:val="21"/>
                      <w:szCs w:val="21"/>
                    </w:rPr>
                    <w:t>水性漆</w:t>
                  </w:r>
                  <w:r>
                    <w:rPr>
                      <w:color w:val="000000" w:themeColor="text1"/>
                      <w:sz w:val="21"/>
                      <w:szCs w:val="21"/>
                    </w:rPr>
                    <w:t>储存于密闭桶中。</w:t>
                  </w:r>
                </w:p>
              </w:tc>
              <w:tc>
                <w:tcPr>
                  <w:tcW w:w="803"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3"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3</w:t>
                  </w:r>
                </w:p>
              </w:tc>
              <w:tc>
                <w:tcPr>
                  <w:tcW w:w="3367" w:type="dxa"/>
                  <w:vAlign w:val="center"/>
                </w:tcPr>
                <w:p>
                  <w:pPr>
                    <w:spacing w:line="300" w:lineRule="exact"/>
                    <w:jc w:val="center"/>
                    <w:rPr>
                      <w:color w:val="000000" w:themeColor="text1"/>
                      <w:sz w:val="21"/>
                      <w:szCs w:val="21"/>
                    </w:rPr>
                  </w:pPr>
                  <w:r>
                    <w:rPr>
                      <w:color w:val="000000" w:themeColor="text1"/>
                      <w:sz w:val="21"/>
                      <w:szCs w:val="21"/>
                    </w:rPr>
                    <w:t>所有产生的VOCs污染物的涂装生产工艺装置或区域必须配备有效的废气收集系统，喷漆室、流平室和烘干室应设置成完全封闭的围护结构，除工艺有特殊要求外禁止露天和敞开式喷涂作业。废气收集主要包括涂装废气和干燥废气，其中涂装废气和烘干废气宜分类收集。收集系统能与生产设备应自动同步启动</w:t>
                  </w:r>
                </w:p>
              </w:tc>
              <w:tc>
                <w:tcPr>
                  <w:tcW w:w="2375" w:type="dxa"/>
                  <w:vAlign w:val="center"/>
                </w:tcPr>
                <w:p>
                  <w:pPr>
                    <w:spacing w:line="300" w:lineRule="exact"/>
                    <w:jc w:val="center"/>
                    <w:rPr>
                      <w:color w:val="000000" w:themeColor="text1"/>
                      <w:sz w:val="21"/>
                      <w:szCs w:val="21"/>
                    </w:rPr>
                  </w:pPr>
                  <w:r>
                    <w:rPr>
                      <w:color w:val="000000" w:themeColor="text1"/>
                      <w:sz w:val="21"/>
                      <w:szCs w:val="21"/>
                    </w:rPr>
                    <w:t>喷漆室为全封闭结构，污染物产生量小，浓度低，设置统一集气系统；工作时始终保持微负压状态。</w:t>
                  </w:r>
                </w:p>
              </w:tc>
              <w:tc>
                <w:tcPr>
                  <w:tcW w:w="803"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4</w:t>
                  </w:r>
                </w:p>
              </w:tc>
              <w:tc>
                <w:tcPr>
                  <w:tcW w:w="3367" w:type="dxa"/>
                  <w:vAlign w:val="center"/>
                </w:tcPr>
                <w:p>
                  <w:pPr>
                    <w:spacing w:line="300" w:lineRule="exact"/>
                    <w:jc w:val="center"/>
                    <w:rPr>
                      <w:color w:val="000000" w:themeColor="text1"/>
                      <w:sz w:val="21"/>
                      <w:szCs w:val="21"/>
                    </w:rPr>
                  </w:pPr>
                  <w:r>
                    <w:rPr>
                      <w:color w:val="000000" w:themeColor="text1"/>
                      <w:sz w:val="21"/>
                      <w:szCs w:val="21"/>
                    </w:rPr>
                    <w:t>加强废气处理。涂装废气应优先设置有效的漆雾预处理装置，鼓励采用干式过滤高效除漆雾、湿式水帘+多级过滤除湿联合装置、静电漆雾捕集等先进除漆雾装置。涂装废气、晾干废气宜采用</w:t>
                  </w:r>
                  <w:r>
                    <w:rPr>
                      <w:rFonts w:hint="eastAsia"/>
                      <w:color w:val="000000" w:themeColor="text1"/>
                      <w:sz w:val="21"/>
                      <w:szCs w:val="21"/>
                    </w:rPr>
                    <w:t>吸附脱附</w:t>
                  </w:r>
                  <w:r>
                    <w:rPr>
                      <w:color w:val="000000" w:themeColor="text1"/>
                      <w:sz w:val="21"/>
                      <w:szCs w:val="21"/>
                    </w:rPr>
                    <w:t>浓缩+焚烧方式处理，在污染物总量规模不大且浓度低的情况下也可联合采用活性炭</w:t>
                  </w:r>
                  <w:r>
                    <w:rPr>
                      <w:rFonts w:hint="eastAsia"/>
                      <w:color w:val="000000" w:themeColor="text1"/>
                      <w:sz w:val="21"/>
                      <w:szCs w:val="21"/>
                    </w:rPr>
                    <w:t>吸附脱附</w:t>
                  </w:r>
                  <w:r>
                    <w:rPr>
                      <w:color w:val="000000" w:themeColor="text1"/>
                      <w:sz w:val="21"/>
                      <w:szCs w:val="21"/>
                    </w:rPr>
                    <w:t>、低温等离子法等废气处理集成技术，低</w:t>
                  </w:r>
                </w:p>
                <w:p>
                  <w:pPr>
                    <w:spacing w:line="300" w:lineRule="exact"/>
                    <w:jc w:val="center"/>
                    <w:rPr>
                      <w:color w:val="000000" w:themeColor="text1"/>
                      <w:sz w:val="21"/>
                      <w:szCs w:val="21"/>
                    </w:rPr>
                  </w:pPr>
                  <w:r>
                    <w:rPr>
                      <w:color w:val="000000" w:themeColor="text1"/>
                      <w:sz w:val="21"/>
                      <w:szCs w:val="21"/>
                    </w:rPr>
                    <w:t>温等离子法、光催化法等干式氧化技术宜与吸收技术配套使用。</w:t>
                  </w:r>
                </w:p>
              </w:tc>
              <w:tc>
                <w:tcPr>
                  <w:tcW w:w="2375" w:type="dxa"/>
                  <w:vAlign w:val="center"/>
                </w:tcPr>
                <w:p>
                  <w:pPr>
                    <w:spacing w:line="300" w:lineRule="exact"/>
                    <w:jc w:val="center"/>
                    <w:rPr>
                      <w:color w:val="000000" w:themeColor="text1"/>
                      <w:sz w:val="21"/>
                      <w:szCs w:val="21"/>
                    </w:rPr>
                  </w:pPr>
                  <w:r>
                    <w:rPr>
                      <w:color w:val="000000" w:themeColor="text1"/>
                      <w:sz w:val="21"/>
                      <w:szCs w:val="21"/>
                    </w:rPr>
                    <w:t>喷漆废气采用干式过滤高效除漆雾；该项目喷漆、烘干共设置</w:t>
                  </w:r>
                  <w:r>
                    <w:rPr>
                      <w:rFonts w:hint="eastAsia"/>
                      <w:color w:val="000000" w:themeColor="text1"/>
                      <w:sz w:val="21"/>
                      <w:szCs w:val="21"/>
                    </w:rPr>
                    <w:t>1</w:t>
                  </w:r>
                  <w:r>
                    <w:rPr>
                      <w:color w:val="000000" w:themeColor="text1"/>
                      <w:sz w:val="21"/>
                      <w:szCs w:val="21"/>
                    </w:rPr>
                    <w:t>套“</w:t>
                  </w:r>
                  <w:r>
                    <w:rPr>
                      <w:rFonts w:hint="eastAsia"/>
                      <w:color w:val="000000" w:themeColor="text1"/>
                      <w:sz w:val="21"/>
                      <w:szCs w:val="21"/>
                    </w:rPr>
                    <w:t>预处理装置</w:t>
                  </w:r>
                  <w:r>
                    <w:rPr>
                      <w:color w:val="000000" w:themeColor="text1"/>
                      <w:sz w:val="21"/>
                      <w:szCs w:val="21"/>
                    </w:rPr>
                    <w:t>+活性炭</w:t>
                  </w:r>
                  <w:r>
                    <w:rPr>
                      <w:rFonts w:hint="eastAsia"/>
                      <w:color w:val="000000" w:themeColor="text1"/>
                      <w:sz w:val="21"/>
                      <w:szCs w:val="21"/>
                    </w:rPr>
                    <w:t>吸附脱附</w:t>
                  </w:r>
                  <w:r>
                    <w:rPr>
                      <w:color w:val="000000" w:themeColor="text1"/>
                      <w:sz w:val="21"/>
                      <w:szCs w:val="21"/>
                    </w:rPr>
                    <w:t>+催化燃烧”装置。</w:t>
                  </w:r>
                </w:p>
              </w:tc>
              <w:tc>
                <w:tcPr>
                  <w:tcW w:w="803"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553" w:type="dxa"/>
                  <w:vAlign w:val="center"/>
                </w:tcPr>
                <w:p>
                  <w:pPr>
                    <w:spacing w:line="300" w:lineRule="exact"/>
                    <w:jc w:val="center"/>
                    <w:rPr>
                      <w:color w:val="000000" w:themeColor="text1"/>
                      <w:sz w:val="21"/>
                      <w:szCs w:val="21"/>
                    </w:rPr>
                  </w:pPr>
                  <w:r>
                    <w:rPr>
                      <w:color w:val="000000" w:themeColor="text1"/>
                      <w:sz w:val="21"/>
                      <w:szCs w:val="21"/>
                    </w:rPr>
                    <w:t>5</w:t>
                  </w:r>
                </w:p>
              </w:tc>
              <w:tc>
                <w:tcPr>
                  <w:tcW w:w="3367" w:type="dxa"/>
                  <w:vAlign w:val="center"/>
                </w:tcPr>
                <w:p>
                  <w:pPr>
                    <w:spacing w:line="300" w:lineRule="exact"/>
                    <w:jc w:val="center"/>
                    <w:rPr>
                      <w:color w:val="000000" w:themeColor="text1"/>
                      <w:sz w:val="21"/>
                      <w:szCs w:val="21"/>
                    </w:rPr>
                  </w:pPr>
                  <w:r>
                    <w:rPr>
                      <w:color w:val="000000" w:themeColor="text1"/>
                      <w:sz w:val="21"/>
                      <w:szCs w:val="21"/>
                    </w:rPr>
                    <w:t>妥善、及时处置次生污染物。废气处理产生的废水应定期更换和处理。更换产生的废过滤棉、废</w:t>
                  </w:r>
                  <w:r>
                    <w:rPr>
                      <w:rFonts w:hint="eastAsia"/>
                      <w:color w:val="000000" w:themeColor="text1"/>
                      <w:sz w:val="21"/>
                      <w:szCs w:val="21"/>
                    </w:rPr>
                    <w:t>吸附脱附</w:t>
                  </w:r>
                  <w:r>
                    <w:rPr>
                      <w:color w:val="000000" w:themeColor="text1"/>
                      <w:sz w:val="21"/>
                      <w:szCs w:val="21"/>
                    </w:rPr>
                    <w:t>剂应按照相关要求规范处置，防范二次污染</w:t>
                  </w:r>
                </w:p>
              </w:tc>
              <w:tc>
                <w:tcPr>
                  <w:tcW w:w="2375" w:type="dxa"/>
                  <w:vAlign w:val="center"/>
                </w:tcPr>
                <w:p>
                  <w:pPr>
                    <w:spacing w:line="300" w:lineRule="exact"/>
                    <w:jc w:val="center"/>
                    <w:rPr>
                      <w:color w:val="000000" w:themeColor="text1"/>
                      <w:sz w:val="21"/>
                      <w:szCs w:val="21"/>
                    </w:rPr>
                  </w:pPr>
                  <w:r>
                    <w:rPr>
                      <w:color w:val="000000" w:themeColor="text1"/>
                      <w:sz w:val="21"/>
                      <w:szCs w:val="21"/>
                    </w:rPr>
                    <w:t>该项目使用干法过滤，不产生废水，更换产生的废</w:t>
                  </w:r>
                  <w:r>
                    <w:rPr>
                      <w:rFonts w:hint="eastAsia"/>
                      <w:color w:val="000000" w:themeColor="text1"/>
                      <w:sz w:val="21"/>
                      <w:szCs w:val="21"/>
                    </w:rPr>
                    <w:t>过滤棉</w:t>
                  </w:r>
                  <w:r>
                    <w:rPr>
                      <w:color w:val="000000" w:themeColor="text1"/>
                      <w:sz w:val="21"/>
                      <w:szCs w:val="21"/>
                    </w:rPr>
                    <w:t>、废</w:t>
                  </w:r>
                  <w:r>
                    <w:rPr>
                      <w:rFonts w:hint="eastAsia"/>
                      <w:color w:val="000000" w:themeColor="text1"/>
                      <w:sz w:val="21"/>
                      <w:szCs w:val="21"/>
                    </w:rPr>
                    <w:t>活性炭</w:t>
                  </w:r>
                  <w:r>
                    <w:rPr>
                      <w:color w:val="000000" w:themeColor="text1"/>
                      <w:sz w:val="21"/>
                      <w:szCs w:val="21"/>
                    </w:rPr>
                    <w:t>委托有资质单位定期转运处置。</w:t>
                  </w:r>
                </w:p>
              </w:tc>
              <w:tc>
                <w:tcPr>
                  <w:tcW w:w="803" w:type="dxa"/>
                  <w:vAlign w:val="center"/>
                </w:tcPr>
                <w:p>
                  <w:pPr>
                    <w:spacing w:line="300" w:lineRule="exact"/>
                    <w:jc w:val="center"/>
                    <w:rPr>
                      <w:color w:val="000000" w:themeColor="text1"/>
                      <w:sz w:val="21"/>
                      <w:szCs w:val="21"/>
                    </w:rPr>
                  </w:pPr>
                  <w:r>
                    <w:rPr>
                      <w:color w:val="000000" w:themeColor="text1"/>
                      <w:sz w:val="21"/>
                      <w:szCs w:val="21"/>
                    </w:rPr>
                    <w:t>符合</w:t>
                  </w:r>
                </w:p>
              </w:tc>
            </w:tr>
          </w:tbl>
          <w:p>
            <w:pPr>
              <w:spacing w:line="490" w:lineRule="exact"/>
              <w:ind w:firstLine="480" w:firstLineChars="200"/>
              <w:jc w:val="left"/>
              <w:rPr>
                <w:b/>
                <w:color w:val="000000" w:themeColor="text1"/>
              </w:rPr>
            </w:pPr>
            <w:r>
              <w:rPr>
                <w:bCs/>
                <w:color w:val="000000" w:themeColor="text1"/>
              </w:rPr>
              <w:t>根据《关于印发《重点行业挥发性有机物综合治理方案》的通知》环大气[2019]53号的要求，符合性见</w:t>
            </w:r>
            <w:r>
              <w:rPr>
                <w:rFonts w:hint="eastAsia"/>
                <w:bCs/>
                <w:color w:val="000000" w:themeColor="text1"/>
              </w:rPr>
              <w:t>下</w:t>
            </w:r>
            <w:r>
              <w:rPr>
                <w:bCs/>
                <w:color w:val="000000" w:themeColor="text1"/>
              </w:rPr>
              <w:t>表。</w:t>
            </w:r>
          </w:p>
          <w:p>
            <w:pPr>
              <w:spacing w:line="490" w:lineRule="exact"/>
              <w:ind w:firstLine="481" w:firstLineChars="200"/>
              <w:jc w:val="center"/>
              <w:rPr>
                <w:b/>
                <w:color w:val="000000" w:themeColor="text1"/>
              </w:rPr>
            </w:pPr>
            <w:r>
              <w:rPr>
                <w:b/>
                <w:color w:val="000000" w:themeColor="text1"/>
              </w:rPr>
              <w:t>表1-4挥发性有机物污染治理方案符合性</w:t>
            </w:r>
          </w:p>
          <w:tbl>
            <w:tblPr>
              <w:tblStyle w:val="32"/>
              <w:tblW w:w="7178" w:type="dxa"/>
              <w:tblInd w:w="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3225"/>
              <w:gridCol w:w="2582"/>
              <w:gridCol w:w="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trPr>
              <w:tc>
                <w:tcPr>
                  <w:tcW w:w="559" w:type="dxa"/>
                  <w:vAlign w:val="center"/>
                </w:tcPr>
                <w:p>
                  <w:pPr>
                    <w:spacing w:line="300" w:lineRule="exact"/>
                    <w:jc w:val="center"/>
                    <w:rPr>
                      <w:color w:val="000000" w:themeColor="text1"/>
                      <w:sz w:val="21"/>
                      <w:szCs w:val="21"/>
                    </w:rPr>
                  </w:pPr>
                  <w:r>
                    <w:rPr>
                      <w:color w:val="000000" w:themeColor="text1"/>
                      <w:sz w:val="21"/>
                      <w:szCs w:val="21"/>
                    </w:rPr>
                    <w:t>序号</w:t>
                  </w:r>
                </w:p>
              </w:tc>
              <w:tc>
                <w:tcPr>
                  <w:tcW w:w="3225" w:type="dxa"/>
                  <w:vAlign w:val="center"/>
                </w:tcPr>
                <w:p>
                  <w:pPr>
                    <w:spacing w:line="300" w:lineRule="exact"/>
                    <w:jc w:val="center"/>
                    <w:rPr>
                      <w:color w:val="000000" w:themeColor="text1"/>
                      <w:sz w:val="21"/>
                      <w:szCs w:val="21"/>
                    </w:rPr>
                  </w:pPr>
                  <w:r>
                    <w:rPr>
                      <w:color w:val="000000" w:themeColor="text1"/>
                      <w:sz w:val="21"/>
                      <w:szCs w:val="21"/>
                    </w:rPr>
                    <w:t>方案要求</w:t>
                  </w:r>
                </w:p>
              </w:tc>
              <w:tc>
                <w:tcPr>
                  <w:tcW w:w="2582" w:type="dxa"/>
                  <w:vAlign w:val="center"/>
                </w:tcPr>
                <w:p>
                  <w:pPr>
                    <w:spacing w:line="300" w:lineRule="exact"/>
                    <w:jc w:val="center"/>
                    <w:rPr>
                      <w:color w:val="000000" w:themeColor="text1"/>
                      <w:sz w:val="21"/>
                      <w:szCs w:val="21"/>
                    </w:rPr>
                  </w:pPr>
                  <w:r>
                    <w:rPr>
                      <w:color w:val="000000" w:themeColor="text1"/>
                      <w:sz w:val="21"/>
                      <w:szCs w:val="21"/>
                    </w:rPr>
                    <w:t>项目情况</w:t>
                  </w:r>
                </w:p>
              </w:tc>
              <w:tc>
                <w:tcPr>
                  <w:tcW w:w="812" w:type="dxa"/>
                  <w:vAlign w:val="center"/>
                </w:tcPr>
                <w:p>
                  <w:pPr>
                    <w:spacing w:line="300" w:lineRule="exact"/>
                    <w:jc w:val="center"/>
                    <w:rPr>
                      <w:color w:val="000000" w:themeColor="text1"/>
                      <w:sz w:val="21"/>
                      <w:szCs w:val="2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559" w:type="dxa"/>
                  <w:vAlign w:val="center"/>
                </w:tcPr>
                <w:p>
                  <w:pPr>
                    <w:spacing w:line="300" w:lineRule="exact"/>
                    <w:jc w:val="center"/>
                    <w:rPr>
                      <w:color w:val="000000" w:themeColor="text1"/>
                      <w:sz w:val="21"/>
                      <w:szCs w:val="21"/>
                    </w:rPr>
                  </w:pPr>
                  <w:r>
                    <w:rPr>
                      <w:color w:val="000000" w:themeColor="text1"/>
                      <w:sz w:val="21"/>
                      <w:szCs w:val="21"/>
                    </w:rPr>
                    <w:t>1</w:t>
                  </w:r>
                </w:p>
              </w:tc>
              <w:tc>
                <w:tcPr>
                  <w:tcW w:w="3225" w:type="dxa"/>
                  <w:vAlign w:val="center"/>
                </w:tcPr>
                <w:p>
                  <w:pPr>
                    <w:spacing w:line="300" w:lineRule="exact"/>
                    <w:jc w:val="center"/>
                    <w:rPr>
                      <w:color w:val="000000" w:themeColor="text1"/>
                      <w:sz w:val="21"/>
                      <w:szCs w:val="21"/>
                    </w:rPr>
                  </w:pPr>
                  <w:r>
                    <w:rPr>
                      <w:color w:val="000000" w:themeColor="text1"/>
                      <w:sz w:val="21"/>
                      <w:szCs w:val="21"/>
                    </w:rPr>
                    <w:t>工业涂装VOCs强化源头控制，加快使用粉末，水性、高固体分、辐射固化等低VOCs量的涂料替代溶剂涂料。工程机械制造大力推广使用水性、粉末和高固体分涂料。</w:t>
                  </w:r>
                </w:p>
              </w:tc>
              <w:tc>
                <w:tcPr>
                  <w:tcW w:w="2582" w:type="dxa"/>
                  <w:vAlign w:val="center"/>
                </w:tcPr>
                <w:p>
                  <w:pPr>
                    <w:spacing w:line="300" w:lineRule="exact"/>
                    <w:jc w:val="center"/>
                    <w:rPr>
                      <w:color w:val="000000" w:themeColor="text1"/>
                      <w:sz w:val="21"/>
                      <w:szCs w:val="21"/>
                    </w:rPr>
                  </w:pPr>
                  <w:r>
                    <w:rPr>
                      <w:color w:val="000000" w:themeColor="text1"/>
                      <w:sz w:val="21"/>
                      <w:szCs w:val="21"/>
                    </w:rPr>
                    <w:t>项目采用水性涂料</w:t>
                  </w:r>
                </w:p>
              </w:tc>
              <w:tc>
                <w:tcPr>
                  <w:tcW w:w="812"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trPr>
              <w:tc>
                <w:tcPr>
                  <w:tcW w:w="559" w:type="dxa"/>
                  <w:vAlign w:val="center"/>
                </w:tcPr>
                <w:p>
                  <w:pPr>
                    <w:spacing w:line="300" w:lineRule="exact"/>
                    <w:jc w:val="center"/>
                    <w:rPr>
                      <w:color w:val="000000" w:themeColor="text1"/>
                      <w:sz w:val="21"/>
                      <w:szCs w:val="21"/>
                    </w:rPr>
                  </w:pPr>
                  <w:r>
                    <w:rPr>
                      <w:color w:val="000000" w:themeColor="text1"/>
                      <w:sz w:val="21"/>
                      <w:szCs w:val="21"/>
                    </w:rPr>
                    <w:t>2</w:t>
                  </w:r>
                </w:p>
              </w:tc>
              <w:tc>
                <w:tcPr>
                  <w:tcW w:w="3225" w:type="dxa"/>
                  <w:vAlign w:val="center"/>
                </w:tcPr>
                <w:p>
                  <w:pPr>
                    <w:spacing w:line="300" w:lineRule="exact"/>
                    <w:jc w:val="center"/>
                    <w:rPr>
                      <w:color w:val="000000" w:themeColor="text1"/>
                      <w:sz w:val="21"/>
                      <w:szCs w:val="21"/>
                    </w:rPr>
                  </w:pPr>
                  <w:r>
                    <w:rPr>
                      <w:color w:val="000000" w:themeColor="text1"/>
                      <w:sz w:val="21"/>
                      <w:szCs w:val="21"/>
                    </w:rPr>
                    <w:t>加快推广紧凑式涂装工艺、先进涂装技术和设备。工程机械制造要提高室内涂装比例，鼓励采用自动喷涂、静电喷涂等技术。</w:t>
                  </w:r>
                </w:p>
              </w:tc>
              <w:tc>
                <w:tcPr>
                  <w:tcW w:w="2582" w:type="dxa"/>
                  <w:vAlign w:val="center"/>
                </w:tcPr>
                <w:p>
                  <w:pPr>
                    <w:spacing w:line="300" w:lineRule="exact"/>
                    <w:jc w:val="center"/>
                    <w:rPr>
                      <w:color w:val="000000" w:themeColor="text1"/>
                      <w:sz w:val="21"/>
                      <w:szCs w:val="21"/>
                    </w:rPr>
                  </w:pPr>
                  <w:r>
                    <w:rPr>
                      <w:color w:val="000000" w:themeColor="text1"/>
                      <w:sz w:val="21"/>
                      <w:szCs w:val="21"/>
                    </w:rPr>
                    <w:t>本项目采用自动喷涂技术。</w:t>
                  </w:r>
                </w:p>
              </w:tc>
              <w:tc>
                <w:tcPr>
                  <w:tcW w:w="812"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trPr>
              <w:tc>
                <w:tcPr>
                  <w:tcW w:w="559" w:type="dxa"/>
                  <w:vAlign w:val="center"/>
                </w:tcPr>
                <w:p>
                  <w:pPr>
                    <w:spacing w:line="300" w:lineRule="exact"/>
                    <w:jc w:val="center"/>
                    <w:rPr>
                      <w:color w:val="000000" w:themeColor="text1"/>
                      <w:sz w:val="21"/>
                      <w:szCs w:val="21"/>
                    </w:rPr>
                  </w:pPr>
                  <w:r>
                    <w:rPr>
                      <w:color w:val="000000" w:themeColor="text1"/>
                      <w:sz w:val="21"/>
                      <w:szCs w:val="21"/>
                    </w:rPr>
                    <w:t>3</w:t>
                  </w:r>
                </w:p>
              </w:tc>
              <w:tc>
                <w:tcPr>
                  <w:tcW w:w="3225" w:type="dxa"/>
                  <w:vAlign w:val="center"/>
                </w:tcPr>
                <w:p>
                  <w:pPr>
                    <w:spacing w:line="300" w:lineRule="exact"/>
                    <w:jc w:val="center"/>
                    <w:rPr>
                      <w:color w:val="000000" w:themeColor="text1"/>
                      <w:sz w:val="21"/>
                      <w:szCs w:val="21"/>
                    </w:rPr>
                  </w:pPr>
                  <w:r>
                    <w:rPr>
                      <w:color w:val="000000" w:themeColor="text1"/>
                      <w:sz w:val="21"/>
                      <w:szCs w:val="21"/>
                    </w:rPr>
                    <w:t>有效控制VOCs无组织排放。涂料、稀释剂、清洗剂等原辅料应密闭存储，调配、使用、回收等过程应采用密闭设备或在密闭空间内操作，采用密闭管道或密闭容器等输送。除大型工件外，禁止敞开式喷涂、晾（风）干作业。</w:t>
                  </w:r>
                </w:p>
              </w:tc>
              <w:tc>
                <w:tcPr>
                  <w:tcW w:w="2582" w:type="dxa"/>
                  <w:vAlign w:val="center"/>
                </w:tcPr>
                <w:p>
                  <w:pPr>
                    <w:spacing w:line="300" w:lineRule="exact"/>
                    <w:jc w:val="center"/>
                    <w:rPr>
                      <w:color w:val="000000" w:themeColor="text1"/>
                      <w:sz w:val="21"/>
                      <w:szCs w:val="21"/>
                    </w:rPr>
                  </w:pPr>
                  <w:r>
                    <w:rPr>
                      <w:color w:val="000000" w:themeColor="text1"/>
                      <w:sz w:val="21"/>
                      <w:szCs w:val="21"/>
                    </w:rPr>
                    <w:t>本项目喷涂和烘干在密闭喷漆房中进行，并设置了废气收集系统，涂料等原辅料在库房中密闭原装存储。原辅料向喷漆房输送时采用密闭容器进行输送。</w:t>
                  </w:r>
                </w:p>
              </w:tc>
              <w:tc>
                <w:tcPr>
                  <w:tcW w:w="812" w:type="dxa"/>
                  <w:vAlign w:val="center"/>
                </w:tcPr>
                <w:p>
                  <w:pPr>
                    <w:spacing w:line="300" w:lineRule="exact"/>
                    <w:jc w:val="center"/>
                    <w:rPr>
                      <w:color w:val="000000" w:themeColor="text1"/>
                      <w:sz w:val="21"/>
                      <w:szCs w:val="21"/>
                    </w:rPr>
                  </w:pPr>
                  <w:r>
                    <w:rPr>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0" w:hRule="atLeast"/>
              </w:trPr>
              <w:tc>
                <w:tcPr>
                  <w:tcW w:w="559" w:type="dxa"/>
                  <w:vAlign w:val="center"/>
                </w:tcPr>
                <w:p>
                  <w:pPr>
                    <w:spacing w:line="300" w:lineRule="exact"/>
                    <w:jc w:val="center"/>
                    <w:rPr>
                      <w:color w:val="000000" w:themeColor="text1"/>
                      <w:sz w:val="21"/>
                      <w:szCs w:val="21"/>
                    </w:rPr>
                  </w:pPr>
                  <w:r>
                    <w:rPr>
                      <w:color w:val="000000" w:themeColor="text1"/>
                      <w:sz w:val="21"/>
                      <w:szCs w:val="21"/>
                    </w:rPr>
                    <w:t>4</w:t>
                  </w:r>
                </w:p>
              </w:tc>
              <w:tc>
                <w:tcPr>
                  <w:tcW w:w="3225" w:type="dxa"/>
                  <w:vAlign w:val="center"/>
                </w:tcPr>
                <w:p>
                  <w:pPr>
                    <w:spacing w:line="300" w:lineRule="exact"/>
                    <w:jc w:val="center"/>
                    <w:rPr>
                      <w:color w:val="000000" w:themeColor="text1"/>
                      <w:sz w:val="21"/>
                      <w:szCs w:val="21"/>
                    </w:rPr>
                  </w:pPr>
                  <w:r>
                    <w:rPr>
                      <w:color w:val="000000" w:themeColor="text1"/>
                      <w:sz w:val="21"/>
                      <w:szCs w:val="21"/>
                    </w:rPr>
                    <w:t>推进建设适宜高效的治污设施。喷涂废气应设置高效漆雾处理装置。小风量的可采用一次性活性炭</w:t>
                  </w:r>
                  <w:r>
                    <w:rPr>
                      <w:rFonts w:hint="eastAsia"/>
                      <w:color w:val="000000" w:themeColor="text1"/>
                      <w:sz w:val="21"/>
                      <w:szCs w:val="21"/>
                    </w:rPr>
                    <w:t>吸附脱附</w:t>
                  </w:r>
                  <w:r>
                    <w:rPr>
                      <w:color w:val="000000" w:themeColor="text1"/>
                      <w:sz w:val="21"/>
                      <w:szCs w:val="21"/>
                    </w:rPr>
                    <w:t>等工艺。调配、流平等废气可与喷涂、晾（风）干废气一并处理。</w:t>
                  </w:r>
                </w:p>
              </w:tc>
              <w:tc>
                <w:tcPr>
                  <w:tcW w:w="2582" w:type="dxa"/>
                  <w:vAlign w:val="center"/>
                </w:tcPr>
                <w:p>
                  <w:pPr>
                    <w:spacing w:line="300" w:lineRule="exact"/>
                    <w:jc w:val="center"/>
                    <w:rPr>
                      <w:color w:val="000000" w:themeColor="text1"/>
                      <w:sz w:val="21"/>
                      <w:szCs w:val="21"/>
                    </w:rPr>
                  </w:pPr>
                  <w:r>
                    <w:rPr>
                      <w:color w:val="000000" w:themeColor="text1"/>
                      <w:sz w:val="21"/>
                      <w:szCs w:val="21"/>
                    </w:rPr>
                    <w:t>喷漆废气采用干式过滤高效除漆雾；该项目喷漆、烘干共设置</w:t>
                  </w:r>
                  <w:r>
                    <w:rPr>
                      <w:rFonts w:hint="eastAsia"/>
                      <w:color w:val="000000" w:themeColor="text1"/>
                      <w:sz w:val="21"/>
                      <w:szCs w:val="21"/>
                    </w:rPr>
                    <w:t>1</w:t>
                  </w:r>
                  <w:r>
                    <w:rPr>
                      <w:color w:val="000000" w:themeColor="text1"/>
                      <w:sz w:val="21"/>
                      <w:szCs w:val="21"/>
                    </w:rPr>
                    <w:t>套“</w:t>
                  </w:r>
                  <w:r>
                    <w:rPr>
                      <w:rFonts w:hint="eastAsia"/>
                      <w:color w:val="000000" w:themeColor="text1"/>
                      <w:sz w:val="21"/>
                      <w:szCs w:val="21"/>
                    </w:rPr>
                    <w:t>预处理装置</w:t>
                  </w:r>
                  <w:r>
                    <w:rPr>
                      <w:color w:val="000000" w:themeColor="text1"/>
                      <w:sz w:val="21"/>
                      <w:szCs w:val="21"/>
                    </w:rPr>
                    <w:t>+活性炭</w:t>
                  </w:r>
                  <w:r>
                    <w:rPr>
                      <w:rFonts w:hint="eastAsia"/>
                      <w:color w:val="000000" w:themeColor="text1"/>
                      <w:sz w:val="21"/>
                      <w:szCs w:val="21"/>
                    </w:rPr>
                    <w:t>吸附脱附</w:t>
                  </w:r>
                  <w:r>
                    <w:rPr>
                      <w:color w:val="000000" w:themeColor="text1"/>
                      <w:sz w:val="21"/>
                      <w:szCs w:val="21"/>
                    </w:rPr>
                    <w:t>+催化燃烧”装置。</w:t>
                  </w:r>
                </w:p>
              </w:tc>
              <w:tc>
                <w:tcPr>
                  <w:tcW w:w="812" w:type="dxa"/>
                  <w:vAlign w:val="center"/>
                </w:tcPr>
                <w:p>
                  <w:pPr>
                    <w:spacing w:line="300" w:lineRule="exact"/>
                    <w:jc w:val="center"/>
                    <w:rPr>
                      <w:color w:val="000000" w:themeColor="text1"/>
                      <w:sz w:val="21"/>
                      <w:szCs w:val="21"/>
                    </w:rPr>
                  </w:pPr>
                  <w:r>
                    <w:rPr>
                      <w:color w:val="000000" w:themeColor="text1"/>
                      <w:sz w:val="21"/>
                      <w:szCs w:val="21"/>
                    </w:rPr>
                    <w:t>符合</w:t>
                  </w:r>
                </w:p>
              </w:tc>
            </w:tr>
          </w:tbl>
          <w:p>
            <w:pPr>
              <w:pStyle w:val="9"/>
              <w:spacing w:line="480" w:lineRule="exact"/>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与《山西省工业涂装、包装印刷、医药制造行业挥发性有机物控制技术指南》的符合性</w:t>
            </w:r>
          </w:p>
          <w:p>
            <w:pPr>
              <w:pStyle w:val="9"/>
              <w:spacing w:line="480" w:lineRule="exact"/>
              <w:ind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表1-5工业涂装符合性分析</w:t>
            </w:r>
          </w:p>
          <w:tbl>
            <w:tblPr>
              <w:tblStyle w:val="32"/>
              <w:tblW w:w="7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49"/>
              <w:gridCol w:w="2793"/>
              <w:gridCol w:w="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pPr>
                    <w:spacing w:line="320" w:lineRule="exact"/>
                    <w:jc w:val="center"/>
                    <w:rPr>
                      <w:color w:val="000000" w:themeColor="text1"/>
                      <w:sz w:val="21"/>
                      <w:szCs w:val="21"/>
                    </w:rPr>
                  </w:pPr>
                  <w:r>
                    <w:rPr>
                      <w:color w:val="000000" w:themeColor="text1"/>
                      <w:sz w:val="21"/>
                      <w:szCs w:val="21"/>
                    </w:rPr>
                    <w:t>方案要求</w:t>
                  </w:r>
                </w:p>
              </w:tc>
              <w:tc>
                <w:tcPr>
                  <w:tcW w:w="2793" w:type="dxa"/>
                  <w:vAlign w:val="center"/>
                </w:tcPr>
                <w:p>
                  <w:pPr>
                    <w:spacing w:line="320" w:lineRule="exact"/>
                    <w:jc w:val="center"/>
                    <w:rPr>
                      <w:color w:val="000000" w:themeColor="text1"/>
                      <w:sz w:val="21"/>
                      <w:szCs w:val="21"/>
                    </w:rPr>
                  </w:pPr>
                  <w:r>
                    <w:rPr>
                      <w:color w:val="000000" w:themeColor="text1"/>
                      <w:sz w:val="21"/>
                      <w:szCs w:val="21"/>
                    </w:rPr>
                    <w:t>项目情况</w:t>
                  </w:r>
                </w:p>
              </w:tc>
              <w:tc>
                <w:tcPr>
                  <w:tcW w:w="790" w:type="dxa"/>
                  <w:vAlign w:val="center"/>
                </w:tcPr>
                <w:p>
                  <w:pPr>
                    <w:spacing w:line="320" w:lineRule="exact"/>
                    <w:jc w:val="center"/>
                    <w:rPr>
                      <w:color w:val="000000" w:themeColor="text1"/>
                      <w:sz w:val="21"/>
                      <w:szCs w:val="2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要求工业涂装喷涂废气应设置有效的漆雾预处理装置，可采用干式过滤高效除漆雾、湿式水帘+多级过滤除湿联合装置、静电漆雾捕集等除漆雾装置</w:t>
                  </w:r>
                </w:p>
              </w:tc>
              <w:tc>
                <w:tcPr>
                  <w:tcW w:w="2793"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本项目采用干式过滤高效除漆雾</w:t>
                  </w:r>
                  <w:r>
                    <w:rPr>
                      <w:rFonts w:hint="eastAsia" w:ascii="Times New Roman" w:hAnsi="Times New Roman" w:cs="Times New Roman"/>
                      <w:color w:val="000000" w:themeColor="text1"/>
                      <w:sz w:val="21"/>
                      <w:szCs w:val="21"/>
                    </w:rPr>
                    <w:t>。</w:t>
                  </w:r>
                </w:p>
              </w:tc>
              <w:tc>
                <w:tcPr>
                  <w:tcW w:w="790"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49"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使用溶剂型涂料的生产线，喷涂废气处理技术须满足《涂装作业安全规程有机废气净化装置安全技术规定》（GB20101-2006）要求</w:t>
                  </w:r>
                </w:p>
              </w:tc>
              <w:tc>
                <w:tcPr>
                  <w:tcW w:w="2793"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本项目采用水性漆</w:t>
                  </w:r>
                  <w:r>
                    <w:rPr>
                      <w:rFonts w:hint="eastAsia" w:ascii="Times New Roman" w:hAnsi="Times New Roman" w:cs="Times New Roman"/>
                      <w:color w:val="000000" w:themeColor="text1"/>
                      <w:sz w:val="21"/>
                      <w:szCs w:val="21"/>
                    </w:rPr>
                    <w:t>。</w:t>
                  </w:r>
                </w:p>
              </w:tc>
              <w:tc>
                <w:tcPr>
                  <w:tcW w:w="790"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649"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当采用水性涂料且企业有自备废水站时，可采用喷淋吸收工艺进行处理，但需定期更换吸收液</w:t>
                  </w:r>
                </w:p>
              </w:tc>
              <w:tc>
                <w:tcPr>
                  <w:tcW w:w="2793"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本项目采用水性漆</w:t>
                  </w:r>
                  <w:r>
                    <w:rPr>
                      <w:rFonts w:hint="eastAsia" w:ascii="Times New Roman" w:hAnsi="Times New Roman" w:cs="Times New Roman"/>
                      <w:color w:val="000000" w:themeColor="text1"/>
                      <w:sz w:val="21"/>
                      <w:szCs w:val="21"/>
                    </w:rPr>
                    <w:t>，企业无自备废水站，本项目采用干式过滤除漆雾。</w:t>
                  </w:r>
                </w:p>
              </w:tc>
              <w:tc>
                <w:tcPr>
                  <w:tcW w:w="790"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符合</w:t>
                  </w:r>
                </w:p>
              </w:tc>
            </w:tr>
          </w:tbl>
          <w:p>
            <w:pPr>
              <w:pStyle w:val="9"/>
              <w:spacing w:line="480" w:lineRule="exact"/>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与《关于印发山西省空气质量巩固提升2021年行动计划的通知》的符合性</w:t>
            </w:r>
          </w:p>
          <w:p>
            <w:pPr>
              <w:pStyle w:val="9"/>
              <w:spacing w:line="480" w:lineRule="exact"/>
              <w:ind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表1-6  《关于印发山西省空气质量巩固提升2021年行动计划的通知》</w:t>
            </w:r>
          </w:p>
          <w:tbl>
            <w:tblPr>
              <w:tblStyle w:val="32"/>
              <w:tblW w:w="7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7"/>
              <w:gridCol w:w="1713"/>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7" w:type="dxa"/>
                  <w:vAlign w:val="center"/>
                </w:tcPr>
                <w:p>
                  <w:pPr>
                    <w:spacing w:line="320" w:lineRule="exact"/>
                    <w:jc w:val="center"/>
                    <w:rPr>
                      <w:color w:val="000000" w:themeColor="text1"/>
                      <w:sz w:val="21"/>
                      <w:szCs w:val="21"/>
                    </w:rPr>
                  </w:pPr>
                  <w:r>
                    <w:rPr>
                      <w:color w:val="000000" w:themeColor="text1"/>
                      <w:sz w:val="21"/>
                      <w:szCs w:val="21"/>
                    </w:rPr>
                    <w:t>方案要求</w:t>
                  </w:r>
                </w:p>
              </w:tc>
              <w:tc>
                <w:tcPr>
                  <w:tcW w:w="1713" w:type="dxa"/>
                  <w:vAlign w:val="center"/>
                </w:tcPr>
                <w:p>
                  <w:pPr>
                    <w:spacing w:line="320" w:lineRule="exact"/>
                    <w:jc w:val="center"/>
                    <w:rPr>
                      <w:color w:val="000000" w:themeColor="text1"/>
                      <w:sz w:val="21"/>
                      <w:szCs w:val="21"/>
                    </w:rPr>
                  </w:pPr>
                  <w:r>
                    <w:rPr>
                      <w:color w:val="000000" w:themeColor="text1"/>
                      <w:sz w:val="21"/>
                      <w:szCs w:val="21"/>
                    </w:rPr>
                    <w:t>项目情况</w:t>
                  </w:r>
                </w:p>
              </w:tc>
              <w:tc>
                <w:tcPr>
                  <w:tcW w:w="872" w:type="dxa"/>
                  <w:vAlign w:val="center"/>
                </w:tcPr>
                <w:p>
                  <w:pPr>
                    <w:spacing w:line="320" w:lineRule="exact"/>
                    <w:jc w:val="center"/>
                    <w:rPr>
                      <w:color w:val="000000" w:themeColor="text1"/>
                      <w:sz w:val="21"/>
                      <w:szCs w:val="2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47" w:type="dxa"/>
                  <w:vAlign w:val="center"/>
                </w:tcPr>
                <w:p>
                  <w:pPr>
                    <w:widowControl/>
                    <w:jc w:val="left"/>
                    <w:rPr>
                      <w:color w:val="000000" w:themeColor="text1"/>
                      <w:sz w:val="21"/>
                      <w:szCs w:val="21"/>
                    </w:rPr>
                  </w:pPr>
                  <w:r>
                    <w:rPr>
                      <w:color w:val="000000" w:themeColor="text1"/>
                      <w:sz w:val="21"/>
                      <w:szCs w:val="21"/>
                    </w:rPr>
                    <w:t>强化源头管控。严格落实“三线一单”生态环境分区管控体系</w:t>
                  </w:r>
                  <w:r>
                    <w:rPr>
                      <w:rFonts w:hint="eastAsia"/>
                      <w:color w:val="000000" w:themeColor="text1"/>
                      <w:sz w:val="21"/>
                      <w:szCs w:val="21"/>
                    </w:rPr>
                    <w:t>，</w:t>
                  </w:r>
                  <w:r>
                    <w:rPr>
                      <w:color w:val="000000" w:themeColor="text1"/>
                      <w:sz w:val="21"/>
                      <w:szCs w:val="21"/>
                    </w:rPr>
                    <w:t>严守生态保护红线</w:t>
                  </w:r>
                  <w:r>
                    <w:rPr>
                      <w:rFonts w:hint="eastAsia"/>
                      <w:color w:val="000000" w:themeColor="text1"/>
                      <w:sz w:val="21"/>
                      <w:szCs w:val="21"/>
                    </w:rPr>
                    <w:t>，</w:t>
                  </w:r>
                  <w:r>
                    <w:rPr>
                      <w:color w:val="000000" w:themeColor="text1"/>
                      <w:sz w:val="21"/>
                      <w:szCs w:val="21"/>
                    </w:rPr>
                    <w:t>严格控制高碳、高耗能、高排放项目建设</w:t>
                  </w:r>
                  <w:r>
                    <w:rPr>
                      <w:rFonts w:hint="eastAsia"/>
                      <w:color w:val="000000" w:themeColor="text1"/>
                      <w:sz w:val="21"/>
                      <w:szCs w:val="21"/>
                    </w:rPr>
                    <w:t>，</w:t>
                  </w:r>
                  <w:r>
                    <w:rPr>
                      <w:color w:val="000000" w:themeColor="text1"/>
                      <w:sz w:val="21"/>
                      <w:szCs w:val="21"/>
                    </w:rPr>
                    <w:t>为转型发展项目腾出环境容量。除同一企业内部进行的不新增产能的技术改造项目外</w:t>
                  </w:r>
                  <w:r>
                    <w:rPr>
                      <w:rFonts w:hint="eastAsia"/>
                      <w:color w:val="000000" w:themeColor="text1"/>
                      <w:sz w:val="21"/>
                      <w:szCs w:val="21"/>
                    </w:rPr>
                    <w:t>，</w:t>
                  </w:r>
                  <w:r>
                    <w:rPr>
                      <w:color w:val="000000" w:themeColor="text1"/>
                      <w:sz w:val="21"/>
                      <w:szCs w:val="21"/>
                    </w:rPr>
                    <w:t>设区市城市规划区、县城规划区不再新布局包括产能置换项目在内的钢铁(不含短流程炼钢)、铸造(不含高端铸件)、水泥、有色项目</w:t>
                  </w:r>
                  <w:r>
                    <w:rPr>
                      <w:rFonts w:hint="eastAsia"/>
                      <w:color w:val="000000" w:themeColor="text1"/>
                      <w:sz w:val="21"/>
                      <w:szCs w:val="21"/>
                    </w:rPr>
                    <w:t>，</w:t>
                  </w:r>
                  <w:r>
                    <w:rPr>
                      <w:color w:val="000000" w:themeColor="text1"/>
                      <w:sz w:val="21"/>
                      <w:szCs w:val="21"/>
                    </w:rPr>
                    <w:t>区域内现有产能只减不增。焦化行业在现有产能只减不增的基础上</w:t>
                  </w:r>
                  <w:r>
                    <w:rPr>
                      <w:rFonts w:hint="eastAsia"/>
                      <w:color w:val="000000" w:themeColor="text1"/>
                      <w:sz w:val="21"/>
                      <w:szCs w:val="21"/>
                    </w:rPr>
                    <w:t>，</w:t>
                  </w:r>
                  <w:r>
                    <w:rPr>
                      <w:color w:val="000000" w:themeColor="text1"/>
                      <w:sz w:val="21"/>
                      <w:szCs w:val="21"/>
                    </w:rPr>
                    <w:t>大力推进企业通过实施产能置换</w:t>
                  </w:r>
                  <w:r>
                    <w:rPr>
                      <w:rFonts w:hint="eastAsia"/>
                      <w:color w:val="000000" w:themeColor="text1"/>
                      <w:sz w:val="21"/>
                      <w:szCs w:val="21"/>
                    </w:rPr>
                    <w:t>，</w:t>
                  </w:r>
                  <w:r>
                    <w:rPr>
                      <w:color w:val="000000" w:themeColor="text1"/>
                      <w:sz w:val="21"/>
                      <w:szCs w:val="21"/>
                    </w:rPr>
                    <w:t>建设节能环保水平高的大型先进项目。</w:t>
                  </w:r>
                </w:p>
              </w:tc>
              <w:tc>
                <w:tcPr>
                  <w:tcW w:w="1713"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本项目不属于</w:t>
                  </w:r>
                  <w:r>
                    <w:rPr>
                      <w:rFonts w:ascii="Times New Roman" w:hAnsi="Times New Roman" w:cs="Times New Roman"/>
                      <w:color w:val="000000" w:themeColor="text1"/>
                      <w:sz w:val="21"/>
                      <w:szCs w:val="21"/>
                    </w:rPr>
                    <w:t>高碳、高耗能、高排放项目</w:t>
                  </w:r>
                  <w:r>
                    <w:rPr>
                      <w:rFonts w:hint="eastAsia" w:ascii="Times New Roman" w:hAnsi="Times New Roman" w:cs="Times New Roman"/>
                      <w:color w:val="000000" w:themeColor="text1"/>
                      <w:sz w:val="21"/>
                      <w:szCs w:val="21"/>
                    </w:rPr>
                    <w:t>，不属于</w:t>
                  </w:r>
                  <w:r>
                    <w:rPr>
                      <w:rFonts w:ascii="Times New Roman" w:hAnsi="Times New Roman" w:cs="Times New Roman"/>
                      <w:color w:val="000000" w:themeColor="text1"/>
                      <w:sz w:val="21"/>
                      <w:szCs w:val="21"/>
                    </w:rPr>
                    <w:t>钢铁(不含短流程炼钢)、铸造(不含高端铸件)、水泥、有色项目</w:t>
                  </w:r>
                  <w:r>
                    <w:rPr>
                      <w:rFonts w:hint="eastAsia" w:ascii="Times New Roman" w:hAnsi="Times New Roman" w:cs="Times New Roman"/>
                      <w:color w:val="000000" w:themeColor="text1"/>
                      <w:sz w:val="21"/>
                      <w:szCs w:val="21"/>
                    </w:rPr>
                    <w:t>。</w:t>
                  </w:r>
                </w:p>
              </w:tc>
              <w:tc>
                <w:tcPr>
                  <w:tcW w:w="872" w:type="dxa"/>
                  <w:vAlign w:val="center"/>
                </w:tcPr>
                <w:p>
                  <w:pPr>
                    <w:pStyle w:val="9"/>
                    <w:spacing w:line="320" w:lineRule="exact"/>
                    <w:ind w:firstLine="0"/>
                    <w:jc w:val="center"/>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符合</w:t>
                  </w:r>
                </w:p>
              </w:tc>
            </w:tr>
          </w:tbl>
          <w:p>
            <w:pPr>
              <w:pStyle w:val="9"/>
              <w:spacing w:line="480" w:lineRule="exact"/>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与《2020年挥发性有机物治理攻坚方案》的通知（环大气〔2020〕33号）的符合性</w:t>
            </w:r>
          </w:p>
          <w:p>
            <w:pPr>
              <w:pStyle w:val="9"/>
              <w:spacing w:line="480" w:lineRule="exact"/>
              <w:ind w:firstLine="0"/>
              <w:jc w:val="center"/>
              <w:rPr>
                <w:rFonts w:ascii="Times New Roman" w:hAnsi="Times New Roman" w:cs="Times New Roman"/>
                <w:b/>
                <w:bCs/>
                <w:color w:val="000000" w:themeColor="text1"/>
                <w:sz w:val="24"/>
                <w:szCs w:val="24"/>
              </w:rPr>
            </w:pPr>
          </w:p>
          <w:p>
            <w:pPr>
              <w:pStyle w:val="9"/>
              <w:spacing w:line="480" w:lineRule="exact"/>
              <w:ind w:firstLine="0"/>
              <w:jc w:val="center"/>
              <w:rPr>
                <w:rFonts w:ascii="Times New Roman" w:hAnsi="Times New Roman" w:cs="Times New Roman"/>
                <w:b/>
                <w:bCs/>
                <w:color w:val="000000" w:themeColor="text1"/>
                <w:sz w:val="24"/>
                <w:szCs w:val="24"/>
              </w:rPr>
            </w:pPr>
          </w:p>
          <w:p>
            <w:pPr>
              <w:pStyle w:val="9"/>
              <w:spacing w:line="480" w:lineRule="exact"/>
              <w:ind w:firstLine="0"/>
              <w:jc w:val="center"/>
              <w:rPr>
                <w:rFonts w:ascii="Times New Roman" w:hAnsi="Times New Roman" w:cs="Times New Roman"/>
                <w:b/>
                <w:bCs/>
                <w:color w:val="000000" w:themeColor="text1"/>
                <w:sz w:val="24"/>
                <w:szCs w:val="24"/>
              </w:rPr>
            </w:pPr>
          </w:p>
          <w:p>
            <w:pPr>
              <w:pStyle w:val="9"/>
              <w:spacing w:line="480" w:lineRule="exact"/>
              <w:ind w:firstLine="0"/>
              <w:jc w:val="center"/>
              <w:rPr>
                <w:rFonts w:ascii="Times New Roman" w:hAnsi="Times New Roman" w:cs="Times New Roman"/>
                <w:b/>
                <w:bCs/>
                <w:color w:val="000000" w:themeColor="text1"/>
                <w:sz w:val="24"/>
                <w:szCs w:val="24"/>
              </w:rPr>
            </w:pPr>
          </w:p>
          <w:p>
            <w:pPr>
              <w:pStyle w:val="9"/>
              <w:spacing w:line="480" w:lineRule="exact"/>
              <w:ind w:firstLine="0"/>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表1-7  符合性分析</w:t>
            </w:r>
          </w:p>
          <w:tbl>
            <w:tblPr>
              <w:tblStyle w:val="32"/>
              <w:tblW w:w="7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5"/>
              <w:gridCol w:w="1846"/>
              <w:gridCol w:w="8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585" w:type="dxa"/>
                  <w:vAlign w:val="center"/>
                </w:tcPr>
                <w:p>
                  <w:pPr>
                    <w:spacing w:line="320" w:lineRule="exact"/>
                    <w:jc w:val="center"/>
                    <w:rPr>
                      <w:color w:val="000000" w:themeColor="text1"/>
                      <w:sz w:val="21"/>
                      <w:szCs w:val="21"/>
                    </w:rPr>
                  </w:pPr>
                  <w:r>
                    <w:rPr>
                      <w:color w:val="000000" w:themeColor="text1"/>
                      <w:sz w:val="21"/>
                      <w:szCs w:val="21"/>
                    </w:rPr>
                    <w:t>方案要求</w:t>
                  </w:r>
                </w:p>
              </w:tc>
              <w:tc>
                <w:tcPr>
                  <w:tcW w:w="1846" w:type="dxa"/>
                  <w:vAlign w:val="center"/>
                </w:tcPr>
                <w:p>
                  <w:pPr>
                    <w:spacing w:line="320" w:lineRule="exact"/>
                    <w:jc w:val="center"/>
                    <w:rPr>
                      <w:color w:val="000000" w:themeColor="text1"/>
                      <w:sz w:val="21"/>
                      <w:szCs w:val="21"/>
                    </w:rPr>
                  </w:pPr>
                  <w:r>
                    <w:rPr>
                      <w:color w:val="000000" w:themeColor="text1"/>
                      <w:sz w:val="21"/>
                      <w:szCs w:val="21"/>
                    </w:rPr>
                    <w:t>项目情况</w:t>
                  </w:r>
                </w:p>
              </w:tc>
              <w:tc>
                <w:tcPr>
                  <w:tcW w:w="801" w:type="dxa"/>
                  <w:vAlign w:val="center"/>
                </w:tcPr>
                <w:p>
                  <w:pPr>
                    <w:spacing w:line="320" w:lineRule="exact"/>
                    <w:jc w:val="center"/>
                    <w:rPr>
                      <w:color w:val="000000" w:themeColor="text1"/>
                      <w:sz w:val="21"/>
                      <w:szCs w:val="2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4585"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大力推进源头替代，有效减少 VOCs产生。大力推进低（无）VOCs含量原辅材料替代，采用符合国家有关低VOCs含量产品规定的涂料、油墨、胶粘剂等，排放浓度稳定达标且排放速率 满足相关规定的，相应生产工序可不要求建设末端治理设施</w:t>
                  </w:r>
                </w:p>
              </w:tc>
              <w:tc>
                <w:tcPr>
                  <w:tcW w:w="1846"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项目采用水性涂料</w:t>
                  </w:r>
                </w:p>
              </w:tc>
              <w:tc>
                <w:tcPr>
                  <w:tcW w:w="801"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全面落实标准要求，强化无组织排放控制，企业在无组织排放排查整治过中，在保证安全的前提下，加强含VOCs物料全方位、全链条、全环节密闭管理。储存环节应采用密闭容器、包装袋，高效密封储罐，封闭式储库、料仓等。装卸、转移和输送环节应采用密闭管道或密闭容器、罐车等。生产和使用环节应采用密闭设备，或在密闭空间中操作并有效收集废气，或进行局部气体收集；非取用状态时容器应密闭。处置环节应将盛装过VOCs物料的包装容器、含VOCs废料（渣、液）、废</w:t>
                  </w:r>
                  <w:r>
                    <w:rPr>
                      <w:rFonts w:hint="eastAsia" w:ascii="Times New Roman" w:hAnsi="Times New Roman" w:cs="Times New Roman"/>
                      <w:color w:val="000000" w:themeColor="text1"/>
                      <w:sz w:val="21"/>
                      <w:szCs w:val="21"/>
                    </w:rPr>
                    <w:t>吸附脱附</w:t>
                  </w:r>
                  <w:r>
                    <w:rPr>
                      <w:rFonts w:ascii="Times New Roman" w:hAnsi="Times New Roman" w:cs="Times New Roman"/>
                      <w:color w:val="000000" w:themeColor="text1"/>
                      <w:sz w:val="21"/>
                      <w:szCs w:val="21"/>
                    </w:rPr>
                    <w:t>剂等通过加盖、封装等方式密闭，妥善存放，不得随意丢弃，交有资质的单位处置</w:t>
                  </w:r>
                </w:p>
              </w:tc>
              <w:tc>
                <w:tcPr>
                  <w:tcW w:w="1846"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本项目含VOCs物料均密闭容器储存，所用的活性炭作为危险废物交有资质的单位代为处置。</w:t>
                  </w:r>
                </w:p>
              </w:tc>
              <w:tc>
                <w:tcPr>
                  <w:tcW w:w="801"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5"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聚焦治污设施“三率”，提升综合治理效率；组织企业对现有VOCs废气收集率、治理设施同步运行率和去除率开展自查，重点关注单一采用光氧化、光催化、低温等离子、一次性活性炭</w:t>
                  </w:r>
                  <w:r>
                    <w:rPr>
                      <w:rFonts w:hint="eastAsia" w:ascii="Times New Roman" w:hAnsi="Times New Roman" w:cs="Times New Roman"/>
                      <w:color w:val="000000" w:themeColor="text1"/>
                      <w:sz w:val="21"/>
                      <w:szCs w:val="21"/>
                    </w:rPr>
                    <w:t>吸附脱附</w:t>
                  </w:r>
                  <w:r>
                    <w:rPr>
                      <w:rFonts w:ascii="Times New Roman" w:hAnsi="Times New Roman" w:cs="Times New Roman"/>
                      <w:color w:val="000000" w:themeColor="text1"/>
                      <w:sz w:val="21"/>
                      <w:szCs w:val="21"/>
                    </w:rPr>
                    <w:t>、喷淋吸收等工艺的治理设施。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846"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本项目所采用方式为</w:t>
                  </w:r>
                  <w:r>
                    <w:rPr>
                      <w:rFonts w:hint="eastAsia" w:ascii="Times New Roman" w:hAnsi="Times New Roman" w:cs="Times New Roman"/>
                      <w:color w:val="000000" w:themeColor="text1"/>
                      <w:sz w:val="21"/>
                      <w:szCs w:val="21"/>
                    </w:rPr>
                    <w:t>预处理装置</w:t>
                  </w:r>
                  <w:r>
                    <w:rPr>
                      <w:rFonts w:ascii="Times New Roman" w:hAnsi="Times New Roman" w:cs="Times New Roman"/>
                      <w:color w:val="000000" w:themeColor="text1"/>
                      <w:sz w:val="21"/>
                      <w:szCs w:val="21"/>
                    </w:rPr>
                    <w:t>+活性炭</w:t>
                  </w:r>
                  <w:r>
                    <w:rPr>
                      <w:rFonts w:hint="eastAsia" w:ascii="Times New Roman" w:hAnsi="Times New Roman" w:cs="Times New Roman"/>
                      <w:color w:val="000000" w:themeColor="text1"/>
                      <w:sz w:val="21"/>
                      <w:szCs w:val="21"/>
                    </w:rPr>
                    <w:t>吸附</w:t>
                  </w:r>
                  <w:r>
                    <w:rPr>
                      <w:rFonts w:ascii="Times New Roman" w:hAnsi="Times New Roman" w:cs="Times New Roman"/>
                      <w:color w:val="000000" w:themeColor="text1"/>
                      <w:sz w:val="21"/>
                      <w:szCs w:val="21"/>
                    </w:rPr>
                    <w:t>脱附+催化燃烧工艺，可有效处理VOCs气体，废气经处理后满足</w:t>
                  </w:r>
                  <w:r>
                    <w:rPr>
                      <w:rFonts w:hint="eastAsia" w:ascii="Times New Roman" w:hAnsi="Times New Roman" w:cs="Times New Roman"/>
                      <w:color w:val="000000" w:themeColor="text1"/>
                      <w:sz w:val="21"/>
                      <w:szCs w:val="21"/>
                    </w:rPr>
                    <w:t>《长治市环境保护局关于进一步加强重点行业挥发性有机物（VOCS）污染治理的通知》中的要求</w:t>
                  </w:r>
                  <w:r>
                    <w:rPr>
                      <w:rFonts w:ascii="Times New Roman" w:hAnsi="Times New Roman" w:cs="Times New Roman"/>
                      <w:color w:val="000000" w:themeColor="text1"/>
                      <w:sz w:val="21"/>
                      <w:szCs w:val="21"/>
                    </w:rPr>
                    <w:t>。</w:t>
                  </w:r>
                </w:p>
              </w:tc>
              <w:tc>
                <w:tcPr>
                  <w:tcW w:w="801"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符合</w:t>
                  </w:r>
                </w:p>
              </w:tc>
            </w:tr>
          </w:tbl>
          <w:p>
            <w:pPr>
              <w:pStyle w:val="9"/>
              <w:spacing w:line="480" w:lineRule="exact"/>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与《</w:t>
            </w:r>
            <w:r>
              <w:rPr>
                <w:rFonts w:hint="eastAsia" w:ascii="Times New Roman" w:hAnsi="Times New Roman" w:cs="Times New Roman"/>
                <w:color w:val="000000" w:themeColor="text1"/>
                <w:sz w:val="24"/>
                <w:szCs w:val="24"/>
              </w:rPr>
              <w:t>长治市环境保护局关于进一步加强重点行业挥发性有机物（VOCS）污染治理的通知</w:t>
            </w:r>
            <w:r>
              <w:rPr>
                <w:rFonts w:ascii="Times New Roman" w:hAnsi="Times New Roman" w:cs="Times New Roman"/>
                <w:color w:val="000000" w:themeColor="text1"/>
                <w:sz w:val="24"/>
                <w:szCs w:val="24"/>
              </w:rPr>
              <w:t>》的符合性</w:t>
            </w:r>
            <w:r>
              <w:rPr>
                <w:rFonts w:hint="eastAsia" w:ascii="Times New Roman" w:hAnsi="Times New Roman" w:cs="Times New Roman"/>
                <w:color w:val="000000" w:themeColor="text1"/>
                <w:sz w:val="24"/>
                <w:szCs w:val="24"/>
              </w:rPr>
              <w:t>分析</w:t>
            </w:r>
          </w:p>
          <w:tbl>
            <w:tblPr>
              <w:tblStyle w:val="32"/>
              <w:tblW w:w="72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7"/>
              <w:gridCol w:w="2725"/>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vAlign w:val="center"/>
                </w:tcPr>
                <w:p>
                  <w:pPr>
                    <w:spacing w:line="320" w:lineRule="exact"/>
                    <w:jc w:val="center"/>
                    <w:rPr>
                      <w:color w:val="000000" w:themeColor="text1"/>
                    </w:rPr>
                  </w:pPr>
                  <w:r>
                    <w:rPr>
                      <w:rFonts w:hint="eastAsia"/>
                      <w:color w:val="000000" w:themeColor="text1"/>
                      <w:sz w:val="21"/>
                      <w:szCs w:val="21"/>
                    </w:rPr>
                    <w:t>治理要点</w:t>
                  </w:r>
                </w:p>
              </w:tc>
              <w:tc>
                <w:tcPr>
                  <w:tcW w:w="2725" w:type="dxa"/>
                  <w:vAlign w:val="center"/>
                </w:tcPr>
                <w:p>
                  <w:pPr>
                    <w:spacing w:line="320" w:lineRule="exact"/>
                    <w:jc w:val="center"/>
                    <w:rPr>
                      <w:color w:val="000000" w:themeColor="text1"/>
                    </w:rPr>
                  </w:pPr>
                  <w:r>
                    <w:rPr>
                      <w:color w:val="000000" w:themeColor="text1"/>
                      <w:sz w:val="21"/>
                      <w:szCs w:val="21"/>
                    </w:rPr>
                    <w:t>项目情况</w:t>
                  </w:r>
                </w:p>
              </w:tc>
              <w:tc>
                <w:tcPr>
                  <w:tcW w:w="710" w:type="dxa"/>
                  <w:vAlign w:val="center"/>
                </w:tcPr>
                <w:p>
                  <w:pPr>
                    <w:spacing w:line="320" w:lineRule="exact"/>
                    <w:jc w:val="center"/>
                    <w:rPr>
                      <w:color w:val="000000" w:themeColor="text1"/>
                    </w:rPr>
                  </w:pPr>
                  <w:r>
                    <w:rPr>
                      <w:color w:val="000000" w:themeColor="text1"/>
                      <w:sz w:val="21"/>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Pr>
                <w:p>
                  <w:pPr>
                    <w:pStyle w:val="27"/>
                    <w:spacing w:before="0" w:beforeAutospacing="0" w:after="0" w:afterAutospacing="0" w:line="320" w:lineRule="exact"/>
                    <w:rPr>
                      <w:rFonts w:ascii="Times New Roman" w:hAnsi="Times New Roman"/>
                      <w:color w:val="000000" w:themeColor="text1"/>
                      <w:kern w:val="2"/>
                      <w:sz w:val="21"/>
                      <w:szCs w:val="21"/>
                    </w:rPr>
                  </w:pPr>
                  <w:r>
                    <w:rPr>
                      <w:rFonts w:ascii="Times New Roman" w:hAnsi="Times New Roman"/>
                      <w:color w:val="000000" w:themeColor="text1"/>
                      <w:kern w:val="2"/>
                      <w:sz w:val="21"/>
                      <w:szCs w:val="21"/>
                    </w:rPr>
                    <w:t>提高低VOCs含量涂料使用比例。鼓励企业使用水性、高固份、粉末、紫外光固化等低VOCs含量的环保型涂料。限制使用施工状态下VOCs 含量大于420g/L的涂料，从工艺的源头减少原辅材料的VOCs 含量，实现VOCs减排目的。</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本项目采用水性涂料。</w:t>
                  </w:r>
                </w:p>
              </w:tc>
              <w:tc>
                <w:tcPr>
                  <w:tcW w:w="710" w:type="dxa"/>
                </w:tcPr>
                <w:p>
                  <w:pPr>
                    <w:pStyle w:val="9"/>
                    <w:spacing w:line="320" w:lineRule="exact"/>
                    <w:ind w:firstLine="0"/>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Pr>
                <w:p>
                  <w:pPr>
                    <w:pStyle w:val="27"/>
                    <w:spacing w:before="0" w:beforeAutospacing="0" w:after="0" w:afterAutospacing="0" w:line="320" w:lineRule="exact"/>
                    <w:rPr>
                      <w:rFonts w:ascii="Times New Roman" w:hAnsi="Times New Roman"/>
                      <w:color w:val="000000" w:themeColor="text1"/>
                      <w:kern w:val="2"/>
                      <w:sz w:val="21"/>
                      <w:szCs w:val="21"/>
                    </w:rPr>
                  </w:pPr>
                  <w:r>
                    <w:rPr>
                      <w:rFonts w:ascii="Times New Roman" w:hAnsi="Times New Roman"/>
                      <w:color w:val="000000" w:themeColor="text1"/>
                      <w:kern w:val="2"/>
                      <w:sz w:val="21"/>
                      <w:szCs w:val="21"/>
                    </w:rPr>
                    <w:t>规范原辅材料储存、调配与转运。涂料、稀释剂、清洗剂等含有机溶剂的原辅材料应密闭存放，调配作业应在独立密闭间内完成，宜采用集中供料系统，无集中供料系统时原辅料转运应采用密闭容器封存。</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本项目的水性漆统一放置于漆库内，水性漆统一放置于密闭的水性漆桶内；调配作业时在密闭的喷漆间内进行。在</w:t>
                  </w:r>
                  <w:r>
                    <w:rPr>
                      <w:rFonts w:ascii="Times New Roman" w:hAnsi="Times New Roman" w:cs="Times New Roman"/>
                      <w:color w:val="000000" w:themeColor="text1"/>
                      <w:sz w:val="21"/>
                      <w:szCs w:val="21"/>
                    </w:rPr>
                    <w:t>转运</w:t>
                  </w:r>
                  <w:r>
                    <w:rPr>
                      <w:rFonts w:hint="eastAsia" w:ascii="Times New Roman" w:hAnsi="Times New Roman" w:cs="Times New Roman"/>
                      <w:color w:val="000000" w:themeColor="text1"/>
                      <w:sz w:val="21"/>
                      <w:szCs w:val="21"/>
                    </w:rPr>
                    <w:t>时</w:t>
                  </w:r>
                  <w:r>
                    <w:rPr>
                      <w:rFonts w:ascii="Times New Roman" w:hAnsi="Times New Roman" w:cs="Times New Roman"/>
                      <w:color w:val="000000" w:themeColor="text1"/>
                      <w:sz w:val="21"/>
                      <w:szCs w:val="21"/>
                    </w:rPr>
                    <w:t>采用密闭容器封存</w:t>
                  </w:r>
                </w:p>
              </w:tc>
              <w:tc>
                <w:tcPr>
                  <w:tcW w:w="710" w:type="dxa"/>
                </w:tcPr>
                <w:p>
                  <w:pPr>
                    <w:pStyle w:val="9"/>
                    <w:spacing w:line="320" w:lineRule="exact"/>
                    <w:ind w:firstLine="0"/>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97"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完善废气收集。所有产生 VOCs 污染物的涂装生产工艺装置或区域必须配备有效的废气收集系统，喷漆室、流平室和烘干室应设置成完全封闭的围护结构，除工艺有特殊要求外禁止露天和敞开式喷涂作业。废气收集主要包括涂装废气和干燥（含烘干、晾干、风干等）废气，其中涂装废气和烘干废气宜分类收集。收集系统能与生产设备应自动同步启动。</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本项目的</w:t>
                  </w:r>
                  <w:r>
                    <w:rPr>
                      <w:rFonts w:ascii="Times New Roman" w:hAnsi="Times New Roman" w:cs="Times New Roman"/>
                      <w:color w:val="000000" w:themeColor="text1"/>
                      <w:sz w:val="21"/>
                      <w:szCs w:val="21"/>
                    </w:rPr>
                    <w:t>涂装生产工艺装置或区域</w:t>
                  </w:r>
                  <w:r>
                    <w:rPr>
                      <w:rFonts w:hint="eastAsia" w:ascii="Times New Roman" w:hAnsi="Times New Roman" w:cs="Times New Roman"/>
                      <w:color w:val="000000" w:themeColor="text1"/>
                      <w:sz w:val="21"/>
                      <w:szCs w:val="21"/>
                    </w:rPr>
                    <w:t>配备有</w:t>
                  </w:r>
                  <w:r>
                    <w:rPr>
                      <w:rFonts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预处理装置</w:t>
                  </w:r>
                  <w:r>
                    <w:rPr>
                      <w:rFonts w:ascii="Times New Roman" w:hAnsi="Times New Roman" w:cs="Times New Roman"/>
                      <w:color w:val="000000" w:themeColor="text1"/>
                      <w:sz w:val="21"/>
                      <w:szCs w:val="21"/>
                    </w:rPr>
                    <w:t>+活性炭</w:t>
                  </w:r>
                  <w:r>
                    <w:rPr>
                      <w:rFonts w:hint="eastAsia" w:ascii="Times New Roman" w:hAnsi="Times New Roman" w:cs="Times New Roman"/>
                      <w:color w:val="000000" w:themeColor="text1"/>
                      <w:sz w:val="21"/>
                      <w:szCs w:val="21"/>
                    </w:rPr>
                    <w:t>吸附脱附</w:t>
                  </w:r>
                  <w:r>
                    <w:rPr>
                      <w:rFonts w:ascii="Times New Roman" w:hAnsi="Times New Roman" w:cs="Times New Roman"/>
                      <w:color w:val="000000" w:themeColor="text1"/>
                      <w:sz w:val="21"/>
                      <w:szCs w:val="21"/>
                    </w:rPr>
                    <w:t>+催化燃烧”装置</w:t>
                  </w:r>
                  <w:r>
                    <w:rPr>
                      <w:rFonts w:hint="eastAsia"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喷漆室和烘干室</w:t>
                  </w:r>
                  <w:r>
                    <w:rPr>
                      <w:rFonts w:hint="eastAsia" w:ascii="Times New Roman" w:hAnsi="Times New Roman" w:cs="Times New Roman"/>
                      <w:color w:val="000000" w:themeColor="text1"/>
                      <w:sz w:val="21"/>
                      <w:szCs w:val="21"/>
                    </w:rPr>
                    <w:t>均</w:t>
                  </w:r>
                  <w:r>
                    <w:rPr>
                      <w:rFonts w:ascii="Times New Roman" w:hAnsi="Times New Roman" w:cs="Times New Roman"/>
                      <w:color w:val="000000" w:themeColor="text1"/>
                      <w:sz w:val="21"/>
                      <w:szCs w:val="21"/>
                    </w:rPr>
                    <w:t>设置</w:t>
                  </w:r>
                  <w:r>
                    <w:rPr>
                      <w:rFonts w:hint="eastAsia" w:ascii="Times New Roman" w:hAnsi="Times New Roman" w:cs="Times New Roman"/>
                      <w:color w:val="000000" w:themeColor="text1"/>
                      <w:sz w:val="21"/>
                      <w:szCs w:val="21"/>
                    </w:rPr>
                    <w:t>有</w:t>
                  </w:r>
                  <w:r>
                    <w:rPr>
                      <w:rFonts w:ascii="Times New Roman" w:hAnsi="Times New Roman" w:cs="Times New Roman"/>
                      <w:color w:val="000000" w:themeColor="text1"/>
                      <w:sz w:val="21"/>
                      <w:szCs w:val="21"/>
                    </w:rPr>
                    <w:t>完全封闭的围护结构</w:t>
                  </w:r>
                  <w:r>
                    <w:rPr>
                      <w:rFonts w:hint="eastAsia"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收集系统能与生产设备自动同步启动。</w:t>
                  </w:r>
                </w:p>
              </w:tc>
              <w:tc>
                <w:tcPr>
                  <w:tcW w:w="710" w:type="dxa"/>
                </w:tcPr>
                <w:p>
                  <w:pPr>
                    <w:pStyle w:val="9"/>
                    <w:spacing w:line="320" w:lineRule="exact"/>
                    <w:ind w:firstLine="0"/>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Pr>
                <w:p>
                  <w:pPr>
                    <w:pStyle w:val="27"/>
                    <w:spacing w:before="0" w:beforeAutospacing="0" w:after="0" w:afterAutospacing="0" w:line="320" w:lineRule="exact"/>
                    <w:rPr>
                      <w:rFonts w:ascii="Times New Roman" w:hAnsi="Times New Roman"/>
                      <w:color w:val="000000" w:themeColor="text1"/>
                      <w:kern w:val="2"/>
                      <w:sz w:val="21"/>
                      <w:szCs w:val="21"/>
                    </w:rPr>
                  </w:pPr>
                  <w:r>
                    <w:rPr>
                      <w:rFonts w:ascii="Times New Roman" w:hAnsi="Times New Roman"/>
                      <w:color w:val="000000" w:themeColor="text1"/>
                      <w:kern w:val="2"/>
                      <w:sz w:val="21"/>
                      <w:szCs w:val="21"/>
                    </w:rPr>
                    <w:t>加强废气处理。涂装废气应优先设置有效的漆雾预处理装置，鼓励采用干式过滤高效除漆雾、湿式水帘+多级过滤除湿联合装置、静电漆雾捕集等先进除漆雾装置，烘干废气宜采用蓄热式热力燃烧装置或催化燃烧装置单独处理。涂装废气、晾（风）干废气宜采用吸附浓缩+焚烧方式处理，在污染物总量规模不大且浓度低、周边环境不敏感的情况下也可联合采用活性炭吸附、低温等离子法等废气处理集成技术，低温等离子法、光催化法等干式氧化技术宜与吸收技术配套使用。</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本项目采用</w:t>
                  </w:r>
                  <w:r>
                    <w:rPr>
                      <w:rFonts w:ascii="Times New Roman" w:hAnsi="Times New Roman" w:cs="Times New Roman"/>
                      <w:color w:val="000000" w:themeColor="text1"/>
                      <w:sz w:val="21"/>
                      <w:szCs w:val="21"/>
                    </w:rPr>
                    <w:t>干式过滤高效除漆雾</w:t>
                  </w:r>
                  <w:r>
                    <w:rPr>
                      <w:rFonts w:hint="eastAsia" w:ascii="Times New Roman" w:hAnsi="Times New Roman" w:cs="Times New Roman"/>
                      <w:color w:val="000000" w:themeColor="text1"/>
                      <w:sz w:val="21"/>
                      <w:szCs w:val="21"/>
                    </w:rPr>
                    <w:t>装置，本项目的喷涂和烘干废气均通过</w:t>
                  </w:r>
                  <w:r>
                    <w:rPr>
                      <w:rFonts w:ascii="Times New Roman" w:hAnsi="Times New Roman" w:cs="Times New Roman"/>
                      <w:color w:val="000000" w:themeColor="text1"/>
                      <w:sz w:val="21"/>
                      <w:szCs w:val="21"/>
                    </w:rPr>
                    <w:t>“</w:t>
                  </w:r>
                  <w:r>
                    <w:rPr>
                      <w:rFonts w:hint="eastAsia" w:ascii="Times New Roman" w:hAnsi="Times New Roman" w:cs="Times New Roman"/>
                      <w:color w:val="000000" w:themeColor="text1"/>
                      <w:sz w:val="21"/>
                      <w:szCs w:val="21"/>
                    </w:rPr>
                    <w:t>预处理装置</w:t>
                  </w:r>
                  <w:r>
                    <w:rPr>
                      <w:rFonts w:ascii="Times New Roman" w:hAnsi="Times New Roman" w:cs="Times New Roman"/>
                      <w:color w:val="000000" w:themeColor="text1"/>
                      <w:sz w:val="21"/>
                      <w:szCs w:val="21"/>
                    </w:rPr>
                    <w:t>+活性炭</w:t>
                  </w:r>
                  <w:r>
                    <w:rPr>
                      <w:rFonts w:hint="eastAsia" w:ascii="Times New Roman" w:hAnsi="Times New Roman" w:cs="Times New Roman"/>
                      <w:color w:val="000000" w:themeColor="text1"/>
                      <w:sz w:val="21"/>
                      <w:szCs w:val="21"/>
                    </w:rPr>
                    <w:t>吸附脱附</w:t>
                  </w:r>
                  <w:r>
                    <w:rPr>
                      <w:rFonts w:ascii="Times New Roman" w:hAnsi="Times New Roman" w:cs="Times New Roman"/>
                      <w:color w:val="000000" w:themeColor="text1"/>
                      <w:sz w:val="21"/>
                      <w:szCs w:val="21"/>
                    </w:rPr>
                    <w:t>+催化燃烧”装置</w:t>
                  </w:r>
                  <w:r>
                    <w:rPr>
                      <w:rFonts w:hint="eastAsia" w:ascii="Times New Roman" w:hAnsi="Times New Roman" w:cs="Times New Roman"/>
                      <w:color w:val="000000" w:themeColor="text1"/>
                      <w:sz w:val="21"/>
                      <w:szCs w:val="21"/>
                    </w:rPr>
                    <w:t>处理。</w:t>
                  </w:r>
                </w:p>
              </w:tc>
              <w:tc>
                <w:tcPr>
                  <w:tcW w:w="710" w:type="dxa"/>
                </w:tcPr>
                <w:p>
                  <w:pPr>
                    <w:pStyle w:val="9"/>
                    <w:spacing w:line="320" w:lineRule="exact"/>
                    <w:ind w:firstLine="0"/>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Pr>
                <w:p>
                  <w:pPr>
                    <w:pStyle w:val="9"/>
                    <w:spacing w:line="320" w:lineRule="exact"/>
                    <w:ind w:firstLine="0"/>
                    <w:rPr>
                      <w:rFonts w:ascii="Times New Roman" w:hAnsi="Times New Roman" w:cs="Times New Roman"/>
                      <w:color w:val="000000" w:themeColor="text1"/>
                      <w:sz w:val="21"/>
                      <w:szCs w:val="21"/>
                    </w:rPr>
                  </w:pPr>
                  <w:r>
                    <w:rPr>
                      <w:rFonts w:ascii="Times New Roman" w:hAnsi="Times New Roman" w:cs="Times New Roman"/>
                      <w:color w:val="000000" w:themeColor="text1"/>
                      <w:sz w:val="21"/>
                      <w:szCs w:val="21"/>
                    </w:rPr>
                    <w:t>妥善、及时处置次生污染物。废气处理产生的废水应定期更换和处理</w:t>
                  </w:r>
                  <w:r>
                    <w:rPr>
                      <w:rFonts w:hint="eastAsia" w:ascii="Times New Roman" w:hAnsi="Times New Roman" w:cs="Times New Roman"/>
                      <w:color w:val="000000" w:themeColor="text1"/>
                      <w:sz w:val="21"/>
                      <w:szCs w:val="21"/>
                    </w:rPr>
                    <w:t>；</w:t>
                  </w:r>
                  <w:r>
                    <w:rPr>
                      <w:rFonts w:ascii="Times New Roman" w:hAnsi="Times New Roman" w:cs="Times New Roman"/>
                      <w:color w:val="000000" w:themeColor="text1"/>
                      <w:sz w:val="21"/>
                      <w:szCs w:val="21"/>
                    </w:rPr>
                    <w:t>更换产生的废过滤棉、废吸附剂应按照相关管理要求规范处置，防范二次污染。</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本项目的过滤棉定期进行更换，并暂存于危废暂存间内，定期交由有资质单位处理。</w:t>
                  </w:r>
                </w:p>
              </w:tc>
              <w:tc>
                <w:tcPr>
                  <w:tcW w:w="710" w:type="dxa"/>
                </w:tcPr>
                <w:p>
                  <w:pPr>
                    <w:pStyle w:val="9"/>
                    <w:spacing w:line="320" w:lineRule="exact"/>
                    <w:ind w:firstLine="0"/>
                    <w:rPr>
                      <w:rFonts w:ascii="Times New Roman" w:hAnsi="Times New Roman" w:cs="Times New Roman"/>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97" w:type="dxa"/>
                </w:tcPr>
                <w:p>
                  <w:pPr>
                    <w:pStyle w:val="27"/>
                    <w:spacing w:before="0" w:beforeAutospacing="0" w:after="0" w:afterAutospacing="0"/>
                    <w:rPr>
                      <w:rFonts w:ascii="Times New Roman" w:hAnsi="Times New Roman"/>
                      <w:color w:val="000000" w:themeColor="text1"/>
                      <w:kern w:val="2"/>
                      <w:sz w:val="21"/>
                      <w:szCs w:val="21"/>
                    </w:rPr>
                  </w:pPr>
                  <w:r>
                    <w:rPr>
                      <w:rFonts w:ascii="Times New Roman" w:hAnsi="Times New Roman"/>
                      <w:color w:val="000000" w:themeColor="text1"/>
                      <w:kern w:val="2"/>
                      <w:sz w:val="21"/>
                      <w:szCs w:val="21"/>
                    </w:rPr>
                    <w:t>健全各类</w:t>
                  </w:r>
                  <w:r>
                    <w:rPr>
                      <w:rFonts w:hint="eastAsia" w:ascii="Times New Roman" w:hAnsi="Times New Roman"/>
                      <w:color w:val="000000" w:themeColor="text1"/>
                      <w:kern w:val="2"/>
                      <w:sz w:val="21"/>
                      <w:szCs w:val="21"/>
                    </w:rPr>
                    <w:t>台</w:t>
                  </w:r>
                  <w:r>
                    <w:rPr>
                      <w:rFonts w:ascii="Times New Roman" w:hAnsi="Times New Roman"/>
                      <w:color w:val="000000" w:themeColor="text1"/>
                      <w:kern w:val="2"/>
                      <w:sz w:val="21"/>
                      <w:szCs w:val="21"/>
                    </w:rPr>
                    <w:t>账并严格管理，包括废气处理设施运行台账，含有机溶剂原辅料的消耗台账（使用量、废弃量、去向以及挥发性有机物含量），废气处理耗材（吸附剂、催化剂）的用量和更换及转移处置台账。台账保存期限不得少于3年。</w:t>
                  </w:r>
                </w:p>
              </w:tc>
              <w:tc>
                <w:tcPr>
                  <w:tcW w:w="2725" w:type="dxa"/>
                </w:tcPr>
                <w:p>
                  <w:pPr>
                    <w:pStyle w:val="9"/>
                    <w:spacing w:line="320" w:lineRule="exact"/>
                    <w:ind w:firstLine="0"/>
                    <w:rPr>
                      <w:rFonts w:ascii="Times New Roman" w:hAnsi="Times New Roman" w:cs="Times New Roman"/>
                      <w:color w:val="000000" w:themeColor="text1"/>
                      <w:sz w:val="21"/>
                      <w:szCs w:val="21"/>
                    </w:rPr>
                  </w:pPr>
                  <w:r>
                    <w:rPr>
                      <w:rFonts w:hint="eastAsia" w:ascii="Times New Roman" w:hAnsi="Times New Roman" w:cs="Times New Roman"/>
                      <w:color w:val="000000" w:themeColor="text1"/>
                      <w:sz w:val="21"/>
                      <w:szCs w:val="21"/>
                    </w:rPr>
                    <w:t>本项目严格建立健全各类台账并严格管理。</w:t>
                  </w:r>
                </w:p>
              </w:tc>
              <w:tc>
                <w:tcPr>
                  <w:tcW w:w="710" w:type="dxa"/>
                </w:tcPr>
                <w:p>
                  <w:pPr>
                    <w:pStyle w:val="9"/>
                    <w:spacing w:line="320" w:lineRule="exact"/>
                    <w:ind w:firstLine="0"/>
                    <w:rPr>
                      <w:rFonts w:ascii="Times New Roman" w:hAnsi="Times New Roman" w:cs="Times New Roman"/>
                      <w:color w:val="000000" w:themeColor="text1"/>
                      <w:sz w:val="21"/>
                      <w:szCs w:val="21"/>
                    </w:rPr>
                  </w:pPr>
                </w:p>
              </w:tc>
            </w:tr>
          </w:tbl>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4、水源地符合性情况</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规划范围内现状水源为地下水及再生水，地下水主要来自宋村集聚区供水站，取自当地地下水，水井位于康宝集团二期北约50米，深1036米，供水站占地面积3亩，用于生活用水和浇洒用水，现状供水规模1500立方米/日。本项目距宋村集聚区供水站约740m，不在水源地保护区内。</w:t>
            </w:r>
          </w:p>
          <w:p>
            <w:pPr>
              <w:widowControl/>
              <w:spacing w:line="528" w:lineRule="atLeast"/>
              <w:ind w:firstLine="480" w:firstLineChars="200"/>
              <w:rPr>
                <w:color w:val="000000" w:themeColor="text1"/>
              </w:rPr>
            </w:pPr>
            <w:r>
              <w:rPr>
                <w:rFonts w:hint="eastAsia"/>
                <w:color w:val="000000" w:themeColor="text1"/>
              </w:rPr>
              <w:t>5、与《山西省人民政府关于坚决打赢汾河流域治理攻坚战的决定》山西省人民政府令第262号的符合性分析</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根据《山西省人民政府关于坚决打赢汾河流域治理攻坚战的决定》的相关规定。</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第四条各级河长应当担负起治理的主体责任，对所有河渠内垃圾淤泥、入河排污口、排污企业全面排查，实行清单式管理，严格监测排污口达标情况，制定排污口管理标准，封堵非法排污口，确保源头污染治理到位。</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第十一条在汾河干流河道水岸线以外原则上不小于一百米、支流原则上不小于五十米，划定生态功能保护线，建设缓冲隔离防护林带和水源涵养林带，改变农防段种植结构，提高汾河流域河流自净能力。</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本项目严格监测排污口达标情况，制定排污口管理标准，确保污水达标排放。本项目距漳河2.1km，满足支流原则上不小于50m的规定。</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6、与晋政办发〔2020〕19号《山西省人民政府办公厅关于印发山西省黄河（汾河）流域水污染治理攻坚方案的通知》符合性分析</w:t>
            </w:r>
          </w:p>
          <w:p>
            <w:pPr>
              <w:pStyle w:val="9"/>
              <w:spacing w:line="480" w:lineRule="exact"/>
              <w:ind w:firstLine="480" w:firstLineChars="200"/>
              <w:rPr>
                <w:rFonts w:ascii="Times New Roman" w:hAnsi="Times New Roman" w:cs="Times New Roman"/>
                <w:color w:val="000000" w:themeColor="text1"/>
                <w:sz w:val="24"/>
                <w:szCs w:val="24"/>
              </w:rPr>
            </w:pPr>
            <w:r>
              <w:rPr>
                <w:rFonts w:ascii="宋体" w:hAnsi="宋体" w:cs="宋体"/>
                <w:sz w:val="24"/>
                <w:szCs w:val="24"/>
              </w:rPr>
              <w:t>加强工业企业达标排放监管。工业废水排放口、清净水排口直接排放的废水化学需氧量、氨氮、总磷三项污染物达地表水</w:t>
            </w:r>
            <w:r>
              <w:rPr>
                <w:rFonts w:ascii="Times New Roman" w:hAnsi="Times New Roman" w:cs="Times New Roman"/>
                <w:sz w:val="24"/>
                <w:szCs w:val="24"/>
              </w:rPr>
              <w:t>Ⅴ</w:t>
            </w:r>
            <w:r>
              <w:rPr>
                <w:rFonts w:ascii="宋体" w:hAnsi="宋体" w:cs="宋体"/>
                <w:sz w:val="24"/>
                <w:szCs w:val="24"/>
              </w:rPr>
              <w:t>类标准,其他指标达行业特别排放限值。落实水环境应急监测措施,配套建设排水口生态鱼监测池。建设初期雨水收集储蓄水池,加强处理回用,工业雨水排口非汛期严格封堵。充分发挥第三方治理机构专业化优势,鼓励工业企业购买第三方废水治理专业服务。</w:t>
            </w:r>
          </w:p>
          <w:p>
            <w:pPr>
              <w:pStyle w:val="9"/>
              <w:spacing w:line="480" w:lineRule="exact"/>
              <w:ind w:firstLine="480" w:firstLineChars="200"/>
              <w:rPr>
                <w:rFonts w:ascii="Times New Roman" w:hAnsi="Times New Roman" w:cs="Times New Roman"/>
                <w:color w:val="000000" w:themeColor="text1"/>
                <w:sz w:val="24"/>
                <w:szCs w:val="24"/>
              </w:rPr>
            </w:pPr>
            <w:r>
              <w:rPr>
                <w:rFonts w:hint="eastAsia" w:ascii="Times New Roman" w:hAnsi="Times New Roman" w:cs="Times New Roman"/>
                <w:color w:val="000000" w:themeColor="text1"/>
                <w:sz w:val="24"/>
                <w:szCs w:val="24"/>
              </w:rPr>
              <w:t>本项目的污水主要为生活污水，在厂区建有10m3的化粪池，经化粪池处理后，可以满足污水排入城镇污水处理厂的相关要求。</w:t>
            </w:r>
          </w:p>
          <w:p>
            <w:pPr>
              <w:pStyle w:val="9"/>
              <w:spacing w:line="480" w:lineRule="exact"/>
              <w:ind w:firstLine="480" w:firstLineChars="200"/>
              <w:rPr>
                <w:rFonts w:ascii="Times New Roman" w:hAnsi="Times New Roman" w:cs="Times New Roman"/>
                <w:color w:val="000000" w:themeColor="text1"/>
                <w:sz w:val="24"/>
                <w:szCs w:val="24"/>
              </w:rPr>
            </w:pPr>
          </w:p>
          <w:p>
            <w:pPr>
              <w:pStyle w:val="9"/>
              <w:spacing w:line="480" w:lineRule="exact"/>
              <w:ind w:firstLine="480" w:firstLineChars="200"/>
              <w:rPr>
                <w:rFonts w:ascii="Times New Roman" w:hAnsi="Times New Roman" w:cs="Times New Roman"/>
                <w:color w:val="000000" w:themeColor="text1"/>
                <w:sz w:val="24"/>
                <w:szCs w:val="24"/>
              </w:rPr>
            </w:pPr>
          </w:p>
          <w:p>
            <w:pPr>
              <w:pStyle w:val="9"/>
              <w:spacing w:line="480" w:lineRule="exact"/>
              <w:ind w:firstLine="480" w:firstLineChars="200"/>
              <w:rPr>
                <w:rFonts w:ascii="Times New Roman" w:hAnsi="Times New Roman" w:cs="Times New Roman"/>
                <w:color w:val="000000" w:themeColor="text1"/>
                <w:sz w:val="24"/>
                <w:szCs w:val="24"/>
              </w:rPr>
            </w:pPr>
          </w:p>
          <w:p>
            <w:pPr>
              <w:pStyle w:val="9"/>
              <w:spacing w:line="480" w:lineRule="exact"/>
              <w:ind w:firstLine="480" w:firstLineChars="200"/>
              <w:rPr>
                <w:rFonts w:ascii="Times New Roman" w:hAnsi="Times New Roman" w:cs="Times New Roman"/>
                <w:color w:val="000000" w:themeColor="text1"/>
                <w:sz w:val="24"/>
                <w:szCs w:val="24"/>
              </w:rPr>
            </w:pPr>
          </w:p>
          <w:p>
            <w:pPr>
              <w:pStyle w:val="9"/>
              <w:spacing w:line="480" w:lineRule="exact"/>
              <w:ind w:firstLine="480" w:firstLineChars="200"/>
              <w:rPr>
                <w:rFonts w:ascii="Times New Roman" w:hAnsi="Times New Roman" w:cs="Times New Roman"/>
                <w:color w:val="000000" w:themeColor="text1"/>
                <w:sz w:val="24"/>
                <w:szCs w:val="24"/>
              </w:rPr>
            </w:pPr>
          </w:p>
          <w:p>
            <w:pPr>
              <w:pStyle w:val="9"/>
              <w:spacing w:line="480" w:lineRule="exact"/>
              <w:ind w:firstLine="0"/>
              <w:rPr>
                <w:rFonts w:ascii="Times New Roman" w:hAnsi="Times New Roman" w:cs="Times New Roman"/>
                <w:b/>
                <w:bCs/>
                <w:color w:val="000000" w:themeColor="text1"/>
                <w:sz w:val="24"/>
                <w:szCs w:val="24"/>
              </w:rPr>
            </w:pPr>
          </w:p>
        </w:tc>
      </w:tr>
    </w:tbl>
    <w:p>
      <w:pPr>
        <w:spacing w:line="360" w:lineRule="auto"/>
        <w:outlineLvl w:val="0"/>
        <w:rPr>
          <w:rFonts w:eastAsia="黑体"/>
          <w:color w:val="000000"/>
          <w:sz w:val="30"/>
        </w:rPr>
        <w:sectPr>
          <w:footerReference r:id="rId5" w:type="default"/>
          <w:pgSz w:w="11906" w:h="16838"/>
          <w:pgMar w:top="1701" w:right="1531" w:bottom="1701" w:left="1531" w:header="851" w:footer="1077" w:gutter="0"/>
          <w:pgNumType w:start="1"/>
          <w:cols w:space="720" w:num="1"/>
          <w:docGrid w:linePitch="312" w:charSpace="0"/>
        </w:sectPr>
      </w:pPr>
    </w:p>
    <w:p>
      <w:pPr>
        <w:pStyle w:val="27"/>
        <w:spacing w:before="0" w:beforeAutospacing="0" w:after="40" w:afterAutospacing="0"/>
        <w:jc w:val="center"/>
        <w:outlineLvl w:val="0"/>
        <w:rPr>
          <w:rFonts w:ascii="Times New Roman" w:hAnsi="Times New Roman" w:eastAsia="黑体"/>
          <w:snapToGrid w:val="0"/>
          <w:color w:val="000000"/>
          <w:sz w:val="30"/>
          <w:szCs w:val="30"/>
        </w:rPr>
      </w:pPr>
      <w:bookmarkStart w:id="2" w:name="_Toc32242"/>
      <w:r>
        <w:rPr>
          <w:rFonts w:ascii="Times New Roman" w:hAnsi="Times New Roman" w:eastAsia="黑体"/>
          <w:snapToGrid w:val="0"/>
          <w:color w:val="000000"/>
          <w:sz w:val="30"/>
          <w:szCs w:val="30"/>
        </w:rPr>
        <w:t>二、建设项目工程分析</w:t>
      </w:r>
      <w:bookmarkEnd w:id="2"/>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7"/>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Cs w:val="24"/>
              </w:rPr>
              <w:t>建设内容</w:t>
            </w:r>
          </w:p>
        </w:tc>
        <w:tc>
          <w:tcPr>
            <w:tcW w:w="8161" w:type="dxa"/>
            <w:vAlign w:val="center"/>
          </w:tcPr>
          <w:p>
            <w:pPr>
              <w:adjustRightInd w:val="0"/>
              <w:snapToGrid w:val="0"/>
              <w:spacing w:line="480" w:lineRule="exact"/>
              <w:ind w:firstLine="480" w:firstLineChars="200"/>
              <w:rPr>
                <w:bCs/>
                <w:color w:val="000000"/>
                <w:szCs w:val="21"/>
              </w:rPr>
            </w:pPr>
            <w:r>
              <w:rPr>
                <w:rFonts w:hint="eastAsia"/>
                <w:bCs/>
                <w:color w:val="000000"/>
                <w:szCs w:val="21"/>
              </w:rPr>
              <w:t>一</w:t>
            </w:r>
            <w:r>
              <w:rPr>
                <w:bCs/>
                <w:color w:val="000000"/>
                <w:szCs w:val="21"/>
              </w:rPr>
              <w:t>、</w:t>
            </w:r>
            <w:r>
              <w:rPr>
                <w:rFonts w:hint="eastAsia"/>
                <w:bCs/>
                <w:color w:val="000000"/>
                <w:szCs w:val="21"/>
              </w:rPr>
              <w:t>本项目建设内容</w:t>
            </w:r>
          </w:p>
          <w:p>
            <w:pPr>
              <w:adjustRightInd w:val="0"/>
              <w:snapToGrid w:val="0"/>
              <w:spacing w:line="480" w:lineRule="exact"/>
              <w:rPr>
                <w:bCs/>
                <w:color w:val="000000"/>
              </w:rPr>
            </w:pPr>
            <w:r>
              <w:rPr>
                <w:rFonts w:hint="eastAsia"/>
                <w:bCs/>
                <w:color w:val="000000"/>
              </w:rPr>
              <w:t>1、</w:t>
            </w:r>
            <w:r>
              <w:rPr>
                <w:bCs/>
                <w:color w:val="000000"/>
              </w:rPr>
              <w:t>建设规模</w:t>
            </w:r>
          </w:p>
          <w:p>
            <w:pPr>
              <w:adjustRightInd w:val="0"/>
              <w:snapToGrid w:val="0"/>
              <w:spacing w:line="480" w:lineRule="exact"/>
              <w:ind w:firstLine="480" w:firstLineChars="200"/>
              <w:rPr>
                <w:bCs/>
                <w:color w:val="000000"/>
              </w:rPr>
            </w:pPr>
            <w:r>
              <w:rPr>
                <w:rFonts w:hint="eastAsia"/>
                <w:bCs/>
                <w:color w:val="000000"/>
              </w:rPr>
              <w:t>本项目为新建项目，</w:t>
            </w:r>
            <w:r>
              <w:rPr>
                <w:bCs/>
                <w:color w:val="000000"/>
              </w:rPr>
              <w:t>本项目新建联合厂房</w:t>
            </w:r>
            <w:r>
              <w:rPr>
                <w:rFonts w:hint="eastAsia"/>
                <w:bCs/>
                <w:color w:val="000000"/>
              </w:rPr>
              <w:t>（</w:t>
            </w:r>
            <w:r>
              <w:rPr>
                <w:bCs/>
                <w:color w:val="000000"/>
              </w:rPr>
              <w:t>一</w:t>
            </w:r>
            <w:r>
              <w:rPr>
                <w:rFonts w:hint="eastAsia"/>
                <w:bCs/>
                <w:color w:val="000000"/>
              </w:rPr>
              <w:t>）</w:t>
            </w:r>
            <w:r>
              <w:rPr>
                <w:bCs/>
                <w:color w:val="000000"/>
              </w:rPr>
              <w:t>、联合厂房</w:t>
            </w:r>
            <w:r>
              <w:rPr>
                <w:rFonts w:hint="eastAsia"/>
                <w:bCs/>
                <w:color w:val="000000"/>
              </w:rPr>
              <w:t>（</w:t>
            </w:r>
            <w:r>
              <w:rPr>
                <w:bCs/>
                <w:color w:val="000000"/>
              </w:rPr>
              <w:t>二</w:t>
            </w:r>
            <w:r>
              <w:rPr>
                <w:rFonts w:hint="eastAsia"/>
                <w:bCs/>
                <w:color w:val="000000"/>
              </w:rPr>
              <w:t>）</w:t>
            </w:r>
            <w:r>
              <w:rPr>
                <w:bCs/>
                <w:color w:val="000000"/>
              </w:rPr>
              <w:t>、</w:t>
            </w:r>
            <w:r>
              <w:rPr>
                <w:rFonts w:hint="eastAsia"/>
                <w:bCs/>
                <w:color w:val="000000"/>
              </w:rPr>
              <w:t>喷漆车间及门卫等建构筑物，总建筑面积约为10946m</w:t>
            </w:r>
            <w:r>
              <w:rPr>
                <w:rFonts w:hint="eastAsia"/>
                <w:bCs/>
                <w:color w:val="000000"/>
                <w:vertAlign w:val="superscript"/>
              </w:rPr>
              <w:t>2</w:t>
            </w:r>
            <w:r>
              <w:rPr>
                <w:rFonts w:hint="eastAsia"/>
                <w:bCs/>
                <w:color w:val="000000"/>
              </w:rPr>
              <w:t>，购置数控激光切割机、折弯机、摇臂钻床、二氧化碳保护焊机等主要生产工艺设备及辅助检测研发设备，配套必要的公用动力设施。</w:t>
            </w:r>
          </w:p>
          <w:p>
            <w:pPr>
              <w:pStyle w:val="9"/>
              <w:widowControl/>
              <w:spacing w:line="480" w:lineRule="exact"/>
              <w:ind w:firstLine="0"/>
              <w:jc w:val="center"/>
              <w:textAlignment w:val="baseline"/>
              <w:rPr>
                <w:rFonts w:ascii="Times New Roman" w:hAnsi="Times New Roman" w:cs="Times New Roman"/>
                <w:b/>
                <w:color w:val="000000"/>
                <w:sz w:val="24"/>
                <w:szCs w:val="24"/>
              </w:rPr>
            </w:pPr>
            <w:r>
              <w:rPr>
                <w:rFonts w:hint="eastAsia" w:ascii="Times New Roman" w:hAnsi="Times New Roman" w:cs="Times New Roman"/>
                <w:b/>
                <w:color w:val="000000"/>
                <w:sz w:val="24"/>
                <w:szCs w:val="24"/>
              </w:rPr>
              <w:t xml:space="preserve">表2-1  </w:t>
            </w:r>
            <w:r>
              <w:rPr>
                <w:rFonts w:ascii="Times New Roman" w:hAnsi="Times New Roman" w:cs="Times New Roman"/>
                <w:b/>
                <w:color w:val="000000"/>
                <w:sz w:val="24"/>
                <w:szCs w:val="24"/>
              </w:rPr>
              <w:t>工程建设内容一览表</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396"/>
              <w:gridCol w:w="1215"/>
              <w:gridCol w:w="4612"/>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689"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工程类别</w:t>
                  </w:r>
                </w:p>
              </w:tc>
              <w:tc>
                <w:tcPr>
                  <w:tcW w:w="1611" w:type="dxa"/>
                  <w:gridSpan w:val="2"/>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工程名称</w:t>
                  </w:r>
                </w:p>
              </w:tc>
              <w:tc>
                <w:tcPr>
                  <w:tcW w:w="4612"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建设内容</w:t>
                  </w:r>
                </w:p>
              </w:tc>
              <w:tc>
                <w:tcPr>
                  <w:tcW w:w="1006"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89"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主体工程</w:t>
                  </w:r>
                </w:p>
              </w:tc>
              <w:tc>
                <w:tcPr>
                  <w:tcW w:w="1611" w:type="dxa"/>
                  <w:gridSpan w:val="2"/>
                  <w:vAlign w:val="center"/>
                </w:tcPr>
                <w:p>
                  <w:pPr>
                    <w:jc w:val="center"/>
                    <w:rPr>
                      <w:color w:val="000000"/>
                      <w:sz w:val="21"/>
                      <w:szCs w:val="21"/>
                    </w:rPr>
                  </w:pPr>
                  <w:r>
                    <w:rPr>
                      <w:rFonts w:hint="eastAsia"/>
                      <w:color w:val="000000"/>
                      <w:sz w:val="21"/>
                      <w:szCs w:val="21"/>
                    </w:rPr>
                    <w:t>联合厂房（一）</w:t>
                  </w:r>
                </w:p>
              </w:tc>
              <w:tc>
                <w:tcPr>
                  <w:tcW w:w="4612"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建设一个联合厂房，建筑面积为7500m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，车间内设数控等离子切割机、激光切割机、龙门焊、锯床、折弯机、校直机、钻床、二氧化碳保护焊机</w:t>
                  </w:r>
                </w:p>
              </w:tc>
              <w:tc>
                <w:tcPr>
                  <w:tcW w:w="1006"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611" w:type="dxa"/>
                  <w:gridSpan w:val="2"/>
                  <w:vAlign w:val="center"/>
                </w:tcPr>
                <w:p>
                  <w:pPr>
                    <w:jc w:val="center"/>
                    <w:rPr>
                      <w:color w:val="000000"/>
                      <w:sz w:val="21"/>
                      <w:szCs w:val="21"/>
                    </w:rPr>
                  </w:pPr>
                  <w:r>
                    <w:rPr>
                      <w:rFonts w:hint="eastAsia"/>
                      <w:color w:val="000000"/>
                      <w:sz w:val="21"/>
                      <w:szCs w:val="21"/>
                    </w:rPr>
                    <w:t>联合厂房（二）</w:t>
                  </w:r>
                </w:p>
              </w:tc>
              <w:tc>
                <w:tcPr>
                  <w:tcW w:w="4612"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建设一个联合厂房，建筑面积为900m</w:t>
                  </w:r>
                  <w:r>
                    <w:rPr>
                      <w:rFonts w:hint="eastAsia" w:ascii="Times New Roman" w:hAnsi="Times New Roman" w:cs="Times New Roman"/>
                      <w:color w:val="000000"/>
                      <w:sz w:val="21"/>
                      <w:szCs w:val="21"/>
                      <w:vertAlign w:val="superscript"/>
                    </w:rPr>
                    <w:t>2</w:t>
                  </w:r>
                  <w:r>
                    <w:rPr>
                      <w:rFonts w:hint="eastAsia" w:ascii="Times New Roman" w:hAnsi="Times New Roman" w:cs="Times New Roman"/>
                      <w:color w:val="000000"/>
                      <w:sz w:val="21"/>
                      <w:szCs w:val="21"/>
                    </w:rPr>
                    <w:t>，在本车间内建设喷砂房、喷漆房和挂车装配和检测。</w:t>
                  </w:r>
                </w:p>
              </w:tc>
              <w:tc>
                <w:tcPr>
                  <w:tcW w:w="1006"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辅助工程</w:t>
                  </w:r>
                </w:p>
              </w:tc>
              <w:tc>
                <w:tcPr>
                  <w:tcW w:w="1611" w:type="dxa"/>
                  <w:gridSpan w:val="2"/>
                  <w:vAlign w:val="center"/>
                </w:tcPr>
                <w:p>
                  <w:pPr>
                    <w:jc w:val="center"/>
                    <w:rPr>
                      <w:color w:val="000000"/>
                      <w:sz w:val="21"/>
                      <w:szCs w:val="21"/>
                    </w:rPr>
                  </w:pPr>
                  <w:r>
                    <w:rPr>
                      <w:rFonts w:hint="eastAsia"/>
                      <w:color w:val="000000"/>
                      <w:sz w:val="21"/>
                      <w:szCs w:val="21"/>
                    </w:rPr>
                    <w:t>办公区</w:t>
                  </w:r>
                </w:p>
              </w:tc>
              <w:tc>
                <w:tcPr>
                  <w:tcW w:w="4612" w:type="dxa"/>
                  <w:vAlign w:val="center"/>
                </w:tcPr>
                <w:p>
                  <w:pPr>
                    <w:widowControl/>
                    <w:spacing w:line="320" w:lineRule="exact"/>
                    <w:jc w:val="center"/>
                    <w:rPr>
                      <w:sz w:val="21"/>
                      <w:szCs w:val="21"/>
                    </w:rPr>
                  </w:pPr>
                  <w:r>
                    <w:rPr>
                      <w:rFonts w:hint="eastAsia"/>
                      <w:sz w:val="21"/>
                      <w:szCs w:val="21"/>
                    </w:rPr>
                    <w:t>建设一栋3层办公楼，建筑面积为500m</w:t>
                  </w:r>
                  <w:r>
                    <w:rPr>
                      <w:rFonts w:hint="eastAsia"/>
                      <w:sz w:val="21"/>
                      <w:szCs w:val="21"/>
                      <w:vertAlign w:val="superscript"/>
                    </w:rPr>
                    <w:t>2</w:t>
                  </w:r>
                  <w:r>
                    <w:rPr>
                      <w:rFonts w:hint="eastAsia"/>
                      <w:sz w:val="21"/>
                      <w:szCs w:val="21"/>
                    </w:rPr>
                    <w:t>，占地面积200m</w:t>
                  </w:r>
                  <w:r>
                    <w:rPr>
                      <w:rFonts w:hint="eastAsia"/>
                      <w:sz w:val="21"/>
                      <w:szCs w:val="21"/>
                      <w:vertAlign w:val="superscript"/>
                    </w:rPr>
                    <w:t>2</w:t>
                  </w:r>
                  <w:r>
                    <w:rPr>
                      <w:rFonts w:hint="eastAsia"/>
                      <w:sz w:val="21"/>
                      <w:szCs w:val="21"/>
                    </w:rPr>
                    <w:t>。</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611" w:type="dxa"/>
                  <w:gridSpan w:val="2"/>
                  <w:vAlign w:val="center"/>
                </w:tcPr>
                <w:p>
                  <w:pPr>
                    <w:jc w:val="center"/>
                    <w:rPr>
                      <w:color w:val="000000"/>
                      <w:sz w:val="21"/>
                      <w:szCs w:val="21"/>
                    </w:rPr>
                  </w:pPr>
                  <w:r>
                    <w:rPr>
                      <w:rFonts w:hint="eastAsia"/>
                      <w:color w:val="000000"/>
                      <w:sz w:val="21"/>
                      <w:szCs w:val="21"/>
                    </w:rPr>
                    <w:t>食堂</w:t>
                  </w:r>
                </w:p>
              </w:tc>
              <w:tc>
                <w:tcPr>
                  <w:tcW w:w="4612" w:type="dxa"/>
                  <w:vAlign w:val="center"/>
                </w:tcPr>
                <w:p>
                  <w:pPr>
                    <w:widowControl/>
                    <w:spacing w:line="320" w:lineRule="exact"/>
                    <w:jc w:val="center"/>
                    <w:rPr>
                      <w:sz w:val="21"/>
                      <w:szCs w:val="21"/>
                    </w:rPr>
                  </w:pPr>
                  <w:r>
                    <w:rPr>
                      <w:rFonts w:hint="eastAsia"/>
                      <w:sz w:val="21"/>
                      <w:szCs w:val="21"/>
                    </w:rPr>
                    <w:t>建设一间食堂，砖混结构占地面积为105m</w:t>
                  </w:r>
                  <w:r>
                    <w:rPr>
                      <w:rFonts w:hint="eastAsia"/>
                      <w:sz w:val="21"/>
                      <w:szCs w:val="21"/>
                      <w:vertAlign w:val="superscript"/>
                    </w:rPr>
                    <w:t>2</w:t>
                  </w:r>
                  <w:r>
                    <w:rPr>
                      <w:rFonts w:hint="eastAsia"/>
                      <w:sz w:val="21"/>
                      <w:szCs w:val="21"/>
                    </w:rPr>
                    <w:t>。其中25m</w:t>
                  </w:r>
                  <w:r>
                    <w:rPr>
                      <w:rFonts w:hint="eastAsia"/>
                      <w:sz w:val="21"/>
                      <w:szCs w:val="21"/>
                      <w:vertAlign w:val="superscript"/>
                    </w:rPr>
                    <w:t>2</w:t>
                  </w:r>
                  <w:r>
                    <w:rPr>
                      <w:rFonts w:hint="eastAsia"/>
                      <w:sz w:val="21"/>
                      <w:szCs w:val="21"/>
                    </w:rPr>
                    <w:t>的厨房，80m</w:t>
                  </w:r>
                  <w:r>
                    <w:rPr>
                      <w:rFonts w:hint="eastAsia"/>
                      <w:sz w:val="21"/>
                      <w:szCs w:val="21"/>
                      <w:vertAlign w:val="superscript"/>
                    </w:rPr>
                    <w:t>2</w:t>
                  </w:r>
                  <w:r>
                    <w:rPr>
                      <w:rFonts w:hint="eastAsia"/>
                      <w:sz w:val="21"/>
                      <w:szCs w:val="21"/>
                    </w:rPr>
                    <w:t>的用餐区。</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611" w:type="dxa"/>
                  <w:gridSpan w:val="2"/>
                  <w:vAlign w:val="center"/>
                </w:tcPr>
                <w:p>
                  <w:pPr>
                    <w:jc w:val="center"/>
                    <w:rPr>
                      <w:color w:val="000000"/>
                      <w:sz w:val="21"/>
                      <w:szCs w:val="21"/>
                    </w:rPr>
                  </w:pPr>
                  <w:r>
                    <w:rPr>
                      <w:rFonts w:hint="eastAsia"/>
                      <w:color w:val="000000"/>
                      <w:sz w:val="21"/>
                      <w:szCs w:val="21"/>
                    </w:rPr>
                    <w:t>门卫室</w:t>
                  </w:r>
                </w:p>
              </w:tc>
              <w:tc>
                <w:tcPr>
                  <w:tcW w:w="4612" w:type="dxa"/>
                  <w:vAlign w:val="center"/>
                </w:tcPr>
                <w:p>
                  <w:pPr>
                    <w:widowControl/>
                    <w:spacing w:line="320" w:lineRule="exact"/>
                    <w:jc w:val="center"/>
                    <w:rPr>
                      <w:sz w:val="21"/>
                      <w:szCs w:val="21"/>
                    </w:rPr>
                  </w:pPr>
                  <w:r>
                    <w:rPr>
                      <w:rFonts w:hint="eastAsia"/>
                      <w:sz w:val="21"/>
                      <w:szCs w:val="21"/>
                    </w:rPr>
                    <w:t>建设一间砖混结构的门卫室，建筑面积为20m</w:t>
                  </w:r>
                  <w:r>
                    <w:rPr>
                      <w:rFonts w:hint="eastAsia"/>
                      <w:sz w:val="21"/>
                      <w:szCs w:val="21"/>
                      <w:vertAlign w:val="superscript"/>
                    </w:rPr>
                    <w:t>2</w:t>
                  </w:r>
                  <w:r>
                    <w:rPr>
                      <w:rFonts w:hint="eastAsia"/>
                      <w:sz w:val="21"/>
                      <w:szCs w:val="21"/>
                    </w:rPr>
                    <w:t>。</w:t>
                  </w:r>
                </w:p>
              </w:tc>
              <w:tc>
                <w:tcPr>
                  <w:tcW w:w="1006" w:type="dxa"/>
                  <w:vAlign w:val="center"/>
                </w:tcPr>
                <w:p>
                  <w:pPr>
                    <w:widowControl/>
                    <w:spacing w:line="320" w:lineRule="exact"/>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公用工程</w:t>
                  </w:r>
                </w:p>
              </w:tc>
              <w:tc>
                <w:tcPr>
                  <w:tcW w:w="1611" w:type="dxa"/>
                  <w:gridSpan w:val="2"/>
                  <w:vAlign w:val="center"/>
                </w:tcPr>
                <w:p>
                  <w:pPr>
                    <w:jc w:val="center"/>
                    <w:rPr>
                      <w:color w:val="000000"/>
                      <w:sz w:val="21"/>
                      <w:szCs w:val="21"/>
                    </w:rPr>
                  </w:pPr>
                  <w:r>
                    <w:rPr>
                      <w:rFonts w:hint="eastAsia"/>
                      <w:color w:val="000000"/>
                      <w:sz w:val="21"/>
                      <w:szCs w:val="21"/>
                    </w:rPr>
                    <w:t>供水</w:t>
                  </w:r>
                </w:p>
              </w:tc>
              <w:tc>
                <w:tcPr>
                  <w:tcW w:w="4612" w:type="dxa"/>
                  <w:vAlign w:val="center"/>
                </w:tcPr>
                <w:p>
                  <w:pPr>
                    <w:widowControl/>
                    <w:spacing w:line="320" w:lineRule="exact"/>
                    <w:jc w:val="center"/>
                    <w:rPr>
                      <w:sz w:val="21"/>
                      <w:szCs w:val="21"/>
                    </w:rPr>
                  </w:pPr>
                  <w:r>
                    <w:rPr>
                      <w:sz w:val="21"/>
                      <w:szCs w:val="21"/>
                    </w:rPr>
                    <w:t>用水由</w:t>
                  </w:r>
                  <w:r>
                    <w:rPr>
                      <w:rFonts w:hint="eastAsia"/>
                      <w:sz w:val="21"/>
                      <w:szCs w:val="21"/>
                    </w:rPr>
                    <w:t>区域自来水管网</w:t>
                  </w:r>
                  <w:r>
                    <w:rPr>
                      <w:sz w:val="21"/>
                      <w:szCs w:val="21"/>
                    </w:rPr>
                    <w:t>提供</w:t>
                  </w:r>
                  <w:r>
                    <w:rPr>
                      <w:rFonts w:hint="eastAsia"/>
                      <w:sz w:val="21"/>
                      <w:szCs w:val="21"/>
                    </w:rPr>
                    <w:t>，</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611" w:type="dxa"/>
                  <w:gridSpan w:val="2"/>
                  <w:vAlign w:val="center"/>
                </w:tcPr>
                <w:p>
                  <w:pPr>
                    <w:jc w:val="center"/>
                    <w:rPr>
                      <w:color w:val="000000"/>
                      <w:sz w:val="21"/>
                      <w:szCs w:val="21"/>
                    </w:rPr>
                  </w:pPr>
                  <w:r>
                    <w:rPr>
                      <w:rFonts w:hint="eastAsia"/>
                      <w:color w:val="000000"/>
                      <w:sz w:val="21"/>
                      <w:szCs w:val="21"/>
                    </w:rPr>
                    <w:t>供电</w:t>
                  </w:r>
                </w:p>
              </w:tc>
              <w:tc>
                <w:tcPr>
                  <w:tcW w:w="4612" w:type="dxa"/>
                  <w:vAlign w:val="center"/>
                </w:tcPr>
                <w:p>
                  <w:pPr>
                    <w:widowControl/>
                    <w:spacing w:line="320" w:lineRule="exact"/>
                    <w:jc w:val="center"/>
                    <w:rPr>
                      <w:sz w:val="21"/>
                      <w:szCs w:val="21"/>
                    </w:rPr>
                  </w:pPr>
                  <w:r>
                    <w:rPr>
                      <w:rFonts w:hint="eastAsia"/>
                      <w:sz w:val="21"/>
                      <w:szCs w:val="21"/>
                    </w:rPr>
                    <w:t>本项目建设一台500</w:t>
                  </w:r>
                  <w:r>
                    <w:rPr>
                      <w:sz w:val="21"/>
                      <w:szCs w:val="21"/>
                    </w:rPr>
                    <w:t>KVA</w:t>
                  </w:r>
                  <w:r>
                    <w:rPr>
                      <w:rFonts w:hint="eastAsia"/>
                      <w:sz w:val="21"/>
                      <w:szCs w:val="21"/>
                    </w:rPr>
                    <w:t>的变压器</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2" w:hRule="atLeast"/>
              </w:trPr>
              <w:tc>
                <w:tcPr>
                  <w:tcW w:w="689"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环保工程</w:t>
                  </w:r>
                </w:p>
              </w:tc>
              <w:tc>
                <w:tcPr>
                  <w:tcW w:w="396"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废气</w:t>
                  </w:r>
                </w:p>
              </w:tc>
              <w:tc>
                <w:tcPr>
                  <w:tcW w:w="1215" w:type="dxa"/>
                  <w:vAlign w:val="center"/>
                </w:tcPr>
                <w:p>
                  <w:pPr>
                    <w:widowControl/>
                    <w:spacing w:line="320" w:lineRule="exact"/>
                    <w:jc w:val="center"/>
                    <w:rPr>
                      <w:color w:val="000000"/>
                      <w:sz w:val="21"/>
                      <w:szCs w:val="21"/>
                    </w:rPr>
                  </w:pPr>
                  <w:r>
                    <w:rPr>
                      <w:rFonts w:hint="eastAsia"/>
                      <w:color w:val="000000"/>
                      <w:sz w:val="21"/>
                      <w:szCs w:val="21"/>
                    </w:rPr>
                    <w:t>联合厂房（一）产生的废气</w:t>
                  </w:r>
                </w:p>
              </w:tc>
              <w:tc>
                <w:tcPr>
                  <w:tcW w:w="4612" w:type="dxa"/>
                  <w:vAlign w:val="center"/>
                </w:tcPr>
                <w:p>
                  <w:pPr>
                    <w:widowControl/>
                    <w:spacing w:line="320" w:lineRule="exact"/>
                    <w:rPr>
                      <w:color w:val="000000"/>
                      <w:sz w:val="21"/>
                      <w:szCs w:val="21"/>
                    </w:rPr>
                  </w:pPr>
                  <w:r>
                    <w:rPr>
                      <w:rFonts w:hint="eastAsia"/>
                      <w:color w:val="000000"/>
                      <w:sz w:val="21"/>
                      <w:szCs w:val="21"/>
                    </w:rPr>
                    <w:t>本项目在联合厂房（一）内设一套中央除尘系统，对联合厂房（一）的各生产环节产生的烟尘进行收集和处理。在1台数控等离子切割机和2台激光切割机的侧面设侧吸式集气罩（4×0.4m），周围设围挡，废气经集气罩收集后通入布袋除尘器中处理；3台锯床的顶部分别设顶吸式集气罩（1×0.5m），周围设围挡，废气经集气罩收集后通入布袋除尘器中处理；在</w:t>
                  </w:r>
                  <w:r>
                    <w:rPr>
                      <w:color w:val="000000"/>
                      <w:sz w:val="21"/>
                      <w:szCs w:val="21"/>
                    </w:rPr>
                    <w:t>1台</w:t>
                  </w:r>
                  <w:r>
                    <w:rPr>
                      <w:rFonts w:hint="eastAsia"/>
                      <w:color w:val="000000"/>
                      <w:sz w:val="21"/>
                      <w:szCs w:val="21"/>
                    </w:rPr>
                    <w:t>龙门焊和1台门扇自动焊的焊接机上设顶吸式集气罩，周围设围挡废气经集气罩收集后通入布袋除尘器处理；对35台二保</w:t>
                  </w:r>
                  <w:r>
                    <w:rPr>
                      <w:color w:val="000000"/>
                      <w:sz w:val="21"/>
                      <w:szCs w:val="21"/>
                    </w:rPr>
                    <w:t>焊机</w:t>
                  </w:r>
                  <w:r>
                    <w:rPr>
                      <w:rFonts w:hint="eastAsia"/>
                      <w:color w:val="000000"/>
                      <w:sz w:val="21"/>
                      <w:szCs w:val="21"/>
                    </w:rPr>
                    <w:t>产生的废气，设18台顶吸式集气罩，其中2台二保焊机共用一台集气罩，集气罩的周围设围挡，废气经集气罩收集后通入布袋除尘器处理。废气经处理后经15m高排气筒（DA001）排放。</w:t>
                  </w:r>
                </w:p>
              </w:tc>
              <w:tc>
                <w:tcPr>
                  <w:tcW w:w="1006" w:type="dxa"/>
                  <w:vAlign w:val="center"/>
                </w:tcPr>
                <w:p>
                  <w:pPr>
                    <w:widowControl/>
                    <w:spacing w:line="320" w:lineRule="exact"/>
                    <w:jc w:val="center"/>
                    <w:rPr>
                      <w:bCs/>
                      <w:color w:val="000000"/>
                      <w:sz w:val="21"/>
                      <w:szCs w:val="21"/>
                    </w:rPr>
                  </w:pPr>
                  <w:r>
                    <w:rPr>
                      <w:rFonts w:hint="eastAsia"/>
                      <w:color w:val="000000"/>
                      <w:sz w:val="21"/>
                      <w:szCs w:val="21"/>
                    </w:rPr>
                    <w:t>联合厂房（一）共用一套布袋除尘器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color w:val="000000"/>
                      <w:sz w:val="21"/>
                      <w:szCs w:val="21"/>
                    </w:rPr>
                  </w:pPr>
                  <w:r>
                    <w:rPr>
                      <w:rFonts w:hint="eastAsia"/>
                      <w:color w:val="000000"/>
                      <w:sz w:val="21"/>
                      <w:szCs w:val="21"/>
                    </w:rPr>
                    <w:t>喷砂房</w:t>
                  </w:r>
                </w:p>
              </w:tc>
              <w:tc>
                <w:tcPr>
                  <w:tcW w:w="4612" w:type="dxa"/>
                  <w:vAlign w:val="center"/>
                </w:tcPr>
                <w:p>
                  <w:pPr>
                    <w:widowControl/>
                    <w:spacing w:line="320" w:lineRule="exact"/>
                    <w:jc w:val="center"/>
                    <w:rPr>
                      <w:color w:val="000000"/>
                      <w:sz w:val="21"/>
                      <w:szCs w:val="21"/>
                    </w:rPr>
                  </w:pPr>
                  <w:r>
                    <w:rPr>
                      <w:rFonts w:hint="eastAsia"/>
                      <w:color w:val="000000"/>
                      <w:sz w:val="21"/>
                      <w:szCs w:val="21"/>
                    </w:rPr>
                    <w:t>设置一座喷砂房，喷砂房为封闭的空间，喷砂时内部为负压状态，产生的废气经排气口通入一套布袋除尘器中处理，处理后的废气经15m高的排气筒（DA002）排放。</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color w:val="000000"/>
                      <w:sz w:val="21"/>
                      <w:szCs w:val="21"/>
                    </w:rPr>
                  </w:pPr>
                  <w:r>
                    <w:rPr>
                      <w:rFonts w:hint="eastAsia"/>
                      <w:color w:val="000000"/>
                      <w:sz w:val="21"/>
                      <w:szCs w:val="21"/>
                    </w:rPr>
                    <w:t>喷漆烤漆房</w:t>
                  </w:r>
                </w:p>
              </w:tc>
              <w:tc>
                <w:tcPr>
                  <w:tcW w:w="4612" w:type="dxa"/>
                  <w:vAlign w:val="center"/>
                </w:tcPr>
                <w:p>
                  <w:pPr>
                    <w:widowControl/>
                    <w:spacing w:line="320" w:lineRule="exact"/>
                    <w:jc w:val="center"/>
                    <w:rPr>
                      <w:color w:val="000000"/>
                      <w:sz w:val="21"/>
                      <w:szCs w:val="21"/>
                    </w:rPr>
                  </w:pPr>
                  <w:r>
                    <w:rPr>
                      <w:rFonts w:hint="eastAsia"/>
                      <w:color w:val="000000"/>
                      <w:sz w:val="21"/>
                      <w:szCs w:val="21"/>
                    </w:rPr>
                    <w:t>设置一个喷漆房，喷漆房为封闭的空间，喷漆时内部为负压状态，</w:t>
                  </w:r>
                  <w:r>
                    <w:rPr>
                      <w:color w:val="000000"/>
                      <w:sz w:val="21"/>
                      <w:szCs w:val="21"/>
                    </w:rPr>
                    <w:t>喷漆工序</w:t>
                  </w:r>
                  <w:r>
                    <w:rPr>
                      <w:rFonts w:hint="eastAsia"/>
                      <w:color w:val="000000"/>
                      <w:sz w:val="21"/>
                      <w:szCs w:val="21"/>
                    </w:rPr>
                    <w:t>、烘干工序</w:t>
                  </w:r>
                  <w:r>
                    <w:rPr>
                      <w:color w:val="000000"/>
                      <w:sz w:val="21"/>
                      <w:szCs w:val="21"/>
                    </w:rPr>
                    <w:t>产生的有机废气经</w:t>
                  </w:r>
                  <w:r>
                    <w:rPr>
                      <w:rFonts w:hint="eastAsia"/>
                      <w:color w:val="000000"/>
                      <w:sz w:val="21"/>
                      <w:szCs w:val="21"/>
                    </w:rPr>
                    <w:t>排气口通入预处理装置</w:t>
                  </w:r>
                  <w:r>
                    <w:rPr>
                      <w:color w:val="000000"/>
                      <w:sz w:val="21"/>
                      <w:szCs w:val="21"/>
                    </w:rPr>
                    <w:t>+</w:t>
                  </w:r>
                  <w:r>
                    <w:rPr>
                      <w:rFonts w:hint="eastAsia"/>
                      <w:color w:val="000000"/>
                      <w:sz w:val="21"/>
                      <w:szCs w:val="21"/>
                    </w:rPr>
                    <w:t>活性炭吸附脱附+催化燃烧</w:t>
                  </w:r>
                  <w:r>
                    <w:rPr>
                      <w:color w:val="000000"/>
                      <w:sz w:val="21"/>
                      <w:szCs w:val="21"/>
                    </w:rPr>
                    <w:t>处理后，经1</w:t>
                  </w:r>
                  <w:r>
                    <w:rPr>
                      <w:rFonts w:hint="eastAsia"/>
                      <w:color w:val="000000"/>
                      <w:sz w:val="21"/>
                      <w:szCs w:val="21"/>
                    </w:rPr>
                    <w:t>5</w:t>
                  </w:r>
                  <w:r>
                    <w:rPr>
                      <w:color w:val="000000"/>
                      <w:sz w:val="21"/>
                      <w:szCs w:val="21"/>
                    </w:rPr>
                    <w:t>m</w:t>
                  </w:r>
                  <w:r>
                    <w:rPr>
                      <w:rFonts w:hint="eastAsia"/>
                      <w:color w:val="000000"/>
                      <w:sz w:val="21"/>
                      <w:szCs w:val="21"/>
                    </w:rPr>
                    <w:t>高的</w:t>
                  </w:r>
                  <w:r>
                    <w:rPr>
                      <w:color w:val="000000"/>
                      <w:sz w:val="21"/>
                      <w:szCs w:val="21"/>
                    </w:rPr>
                    <w:t>排气筒</w:t>
                  </w:r>
                  <w:r>
                    <w:rPr>
                      <w:rFonts w:hint="eastAsia"/>
                      <w:color w:val="000000"/>
                      <w:sz w:val="21"/>
                      <w:szCs w:val="21"/>
                    </w:rPr>
                    <w:t>（DA003）</w:t>
                  </w:r>
                  <w:r>
                    <w:rPr>
                      <w:color w:val="000000"/>
                      <w:sz w:val="21"/>
                      <w:szCs w:val="21"/>
                    </w:rPr>
                    <w:t>排放</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color w:val="000000"/>
                      <w:sz w:val="21"/>
                      <w:szCs w:val="21"/>
                    </w:rPr>
                  </w:pPr>
                  <w:r>
                    <w:rPr>
                      <w:rFonts w:hint="eastAsia"/>
                      <w:color w:val="000000"/>
                      <w:sz w:val="21"/>
                      <w:szCs w:val="21"/>
                    </w:rPr>
                    <w:t>食堂废气</w:t>
                  </w:r>
                </w:p>
              </w:tc>
              <w:tc>
                <w:tcPr>
                  <w:tcW w:w="4612" w:type="dxa"/>
                  <w:vAlign w:val="center"/>
                </w:tcPr>
                <w:p>
                  <w:pPr>
                    <w:widowControl/>
                    <w:spacing w:line="320" w:lineRule="exact"/>
                    <w:jc w:val="center"/>
                    <w:rPr>
                      <w:color w:val="000000"/>
                      <w:sz w:val="21"/>
                      <w:szCs w:val="21"/>
                    </w:rPr>
                  </w:pPr>
                  <w:r>
                    <w:rPr>
                      <w:rFonts w:hint="eastAsia"/>
                      <w:color w:val="000000"/>
                      <w:sz w:val="21"/>
                      <w:szCs w:val="21"/>
                    </w:rPr>
                    <w:t>在办公区的一楼西侧建设一间食堂，食堂产生的废气经处理效率为60%的油烟净化器处理后经排气筒排放</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废水</w:t>
                  </w:r>
                </w:p>
              </w:tc>
              <w:tc>
                <w:tcPr>
                  <w:tcW w:w="1215" w:type="dxa"/>
                  <w:vAlign w:val="center"/>
                </w:tcPr>
                <w:p>
                  <w:pPr>
                    <w:widowControl/>
                    <w:spacing w:line="320" w:lineRule="exact"/>
                    <w:jc w:val="center"/>
                    <w:rPr>
                      <w:color w:val="000000"/>
                      <w:sz w:val="21"/>
                      <w:szCs w:val="21"/>
                    </w:rPr>
                  </w:pPr>
                  <w:r>
                    <w:rPr>
                      <w:color w:val="000000"/>
                      <w:sz w:val="21"/>
                      <w:szCs w:val="21"/>
                    </w:rPr>
                    <w:t>生活污水</w:t>
                  </w:r>
                </w:p>
              </w:tc>
              <w:tc>
                <w:tcPr>
                  <w:tcW w:w="4612" w:type="dxa"/>
                  <w:vAlign w:val="center"/>
                </w:tcPr>
                <w:p>
                  <w:pPr>
                    <w:widowControl/>
                    <w:spacing w:line="320" w:lineRule="exact"/>
                    <w:jc w:val="center"/>
                    <w:rPr>
                      <w:color w:val="000000"/>
                      <w:sz w:val="21"/>
                      <w:szCs w:val="21"/>
                    </w:rPr>
                  </w:pPr>
                  <w:r>
                    <w:rPr>
                      <w:rFonts w:hint="eastAsia"/>
                      <w:sz w:val="21"/>
                      <w:szCs w:val="21"/>
                    </w:rPr>
                    <w:t>生活污水经3m</w:t>
                  </w:r>
                  <w:r>
                    <w:rPr>
                      <w:rFonts w:hint="eastAsia"/>
                      <w:sz w:val="21"/>
                      <w:szCs w:val="21"/>
                      <w:vertAlign w:val="superscript"/>
                    </w:rPr>
                    <w:t>3</w:t>
                  </w:r>
                  <w:r>
                    <w:rPr>
                      <w:rFonts w:hint="eastAsia"/>
                      <w:sz w:val="21"/>
                      <w:szCs w:val="21"/>
                    </w:rPr>
                    <w:t>化粪池处理后通过市政管网排入长子县城东污水处理厂</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color w:val="000000"/>
                      <w:sz w:val="21"/>
                      <w:szCs w:val="21"/>
                    </w:rPr>
                  </w:pPr>
                  <w:r>
                    <w:rPr>
                      <w:rFonts w:hint="eastAsia"/>
                      <w:color w:val="000000"/>
                      <w:sz w:val="21"/>
                      <w:szCs w:val="21"/>
                    </w:rPr>
                    <w:t>食堂废水</w:t>
                  </w:r>
                </w:p>
              </w:tc>
              <w:tc>
                <w:tcPr>
                  <w:tcW w:w="4612" w:type="dxa"/>
                  <w:vAlign w:val="center"/>
                </w:tcPr>
                <w:p>
                  <w:pPr>
                    <w:widowControl/>
                    <w:spacing w:line="320" w:lineRule="exact"/>
                    <w:jc w:val="center"/>
                    <w:rPr>
                      <w:sz w:val="21"/>
                      <w:szCs w:val="21"/>
                    </w:rPr>
                  </w:pPr>
                  <w:r>
                    <w:rPr>
                      <w:rFonts w:hint="eastAsia"/>
                      <w:sz w:val="21"/>
                      <w:szCs w:val="21"/>
                    </w:rPr>
                    <w:t>食堂废水经3m</w:t>
                  </w:r>
                  <w:r>
                    <w:rPr>
                      <w:rFonts w:hint="eastAsia"/>
                      <w:sz w:val="21"/>
                      <w:szCs w:val="21"/>
                      <w:vertAlign w:val="superscript"/>
                    </w:rPr>
                    <w:t>3</w:t>
                  </w:r>
                  <w:r>
                    <w:rPr>
                      <w:rFonts w:hint="eastAsia"/>
                      <w:sz w:val="21"/>
                      <w:szCs w:val="21"/>
                    </w:rPr>
                    <w:t>隔油池处理后进入厂区化粪池，最后通过市政管网排入长子县城东污水处理厂</w:t>
                  </w:r>
                </w:p>
              </w:tc>
              <w:tc>
                <w:tcPr>
                  <w:tcW w:w="1006" w:type="dxa"/>
                  <w:vAlign w:val="center"/>
                </w:tcPr>
                <w:p>
                  <w:pPr>
                    <w:widowControl/>
                    <w:spacing w:line="320" w:lineRule="exact"/>
                    <w:jc w:val="center"/>
                    <w:rPr>
                      <w:color w:val="000000"/>
                      <w:sz w:val="21"/>
                      <w:szCs w:val="21"/>
                    </w:rPr>
                  </w:pPr>
                  <w:r>
                    <w:rPr>
                      <w:rFonts w:hint="eastAsia"/>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噪声</w:t>
                  </w:r>
                </w:p>
              </w:tc>
              <w:tc>
                <w:tcPr>
                  <w:tcW w:w="1215" w:type="dxa"/>
                  <w:vAlign w:val="center"/>
                </w:tcPr>
                <w:p>
                  <w:pPr>
                    <w:widowControl/>
                    <w:spacing w:line="320" w:lineRule="exact"/>
                    <w:jc w:val="center"/>
                    <w:rPr>
                      <w:color w:val="000000"/>
                      <w:sz w:val="21"/>
                      <w:szCs w:val="21"/>
                    </w:rPr>
                  </w:pPr>
                  <w:r>
                    <w:rPr>
                      <w:color w:val="000000"/>
                      <w:sz w:val="21"/>
                      <w:szCs w:val="21"/>
                    </w:rPr>
                    <w:t>主要生产设备</w:t>
                  </w:r>
                </w:p>
              </w:tc>
              <w:tc>
                <w:tcPr>
                  <w:tcW w:w="4612" w:type="dxa"/>
                  <w:vAlign w:val="center"/>
                </w:tcPr>
                <w:p>
                  <w:pPr>
                    <w:widowControl/>
                    <w:spacing w:line="320" w:lineRule="exact"/>
                    <w:jc w:val="center"/>
                    <w:rPr>
                      <w:color w:val="000000"/>
                      <w:sz w:val="21"/>
                      <w:szCs w:val="21"/>
                    </w:rPr>
                  </w:pPr>
                  <w:r>
                    <w:rPr>
                      <w:rFonts w:hint="eastAsia"/>
                      <w:color w:val="000000"/>
                      <w:sz w:val="21"/>
                      <w:szCs w:val="21"/>
                    </w:rPr>
                    <w:t>优先选用低噪声设备，基础减震，生产设备需按时检修</w:t>
                  </w:r>
                  <w:r>
                    <w:rPr>
                      <w:color w:val="000000"/>
                      <w:sz w:val="21"/>
                      <w:szCs w:val="21"/>
                    </w:rPr>
                    <w:t>。</w:t>
                  </w:r>
                </w:p>
              </w:tc>
              <w:tc>
                <w:tcPr>
                  <w:tcW w:w="1006" w:type="dxa"/>
                  <w:vAlign w:val="center"/>
                </w:tcPr>
                <w:p>
                  <w:pPr>
                    <w:widowControl/>
                    <w:spacing w:line="320" w:lineRule="exact"/>
                    <w:jc w:val="center"/>
                    <w:rPr>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restar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固体废物</w:t>
                  </w:r>
                </w:p>
              </w:tc>
              <w:tc>
                <w:tcPr>
                  <w:tcW w:w="1215" w:type="dxa"/>
                  <w:vAlign w:val="center"/>
                </w:tcPr>
                <w:p>
                  <w:pPr>
                    <w:widowControl/>
                    <w:spacing w:line="320" w:lineRule="exact"/>
                    <w:jc w:val="center"/>
                    <w:rPr>
                      <w:color w:val="000000"/>
                      <w:sz w:val="21"/>
                      <w:szCs w:val="21"/>
                    </w:rPr>
                  </w:pPr>
                  <w:r>
                    <w:rPr>
                      <w:bCs/>
                      <w:color w:val="000000"/>
                      <w:sz w:val="21"/>
                      <w:szCs w:val="21"/>
                    </w:rPr>
                    <w:t>生活垃圾</w:t>
                  </w:r>
                </w:p>
              </w:tc>
              <w:tc>
                <w:tcPr>
                  <w:tcW w:w="4612" w:type="dxa"/>
                  <w:vAlign w:val="center"/>
                </w:tcPr>
                <w:p>
                  <w:pPr>
                    <w:widowControl/>
                    <w:spacing w:line="320" w:lineRule="exact"/>
                    <w:jc w:val="center"/>
                    <w:rPr>
                      <w:color w:val="000000"/>
                      <w:sz w:val="21"/>
                      <w:szCs w:val="21"/>
                    </w:rPr>
                  </w:pPr>
                  <w:r>
                    <w:rPr>
                      <w:bCs/>
                      <w:color w:val="000000"/>
                      <w:sz w:val="21"/>
                      <w:szCs w:val="21"/>
                    </w:rPr>
                    <w:t>集中收集后由环卫部门定期清运。</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bCs/>
                      <w:color w:val="000000"/>
                      <w:sz w:val="21"/>
                      <w:szCs w:val="21"/>
                    </w:rPr>
                  </w:pPr>
                  <w:r>
                    <w:rPr>
                      <w:bCs/>
                      <w:color w:val="000000"/>
                      <w:sz w:val="21"/>
                      <w:szCs w:val="21"/>
                    </w:rPr>
                    <w:t>除尘器除尘灰</w:t>
                  </w:r>
                </w:p>
              </w:tc>
              <w:tc>
                <w:tcPr>
                  <w:tcW w:w="4612" w:type="dxa"/>
                  <w:vAlign w:val="center"/>
                </w:tcPr>
                <w:p>
                  <w:pPr>
                    <w:widowControl/>
                    <w:spacing w:line="320" w:lineRule="exact"/>
                    <w:jc w:val="center"/>
                    <w:rPr>
                      <w:bCs/>
                      <w:color w:val="000000"/>
                      <w:sz w:val="21"/>
                      <w:szCs w:val="21"/>
                    </w:rPr>
                  </w:pPr>
                  <w:r>
                    <w:rPr>
                      <w:rFonts w:hint="eastAsia"/>
                      <w:bCs/>
                      <w:color w:val="000000"/>
                      <w:sz w:val="21"/>
                      <w:szCs w:val="21"/>
                    </w:rPr>
                    <w:t>切割下料、焊接产生的除尘灰、焊渣和废铁屑、喷砂产生的除尘灰定期外售</w:t>
                  </w:r>
                  <w:r>
                    <w:rPr>
                      <w:bCs/>
                      <w:color w:val="000000"/>
                      <w:sz w:val="21"/>
                      <w:szCs w:val="21"/>
                    </w:rPr>
                    <w:t>。</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bCs/>
                      <w:color w:val="000000"/>
                      <w:sz w:val="21"/>
                      <w:szCs w:val="21"/>
                    </w:rPr>
                  </w:pPr>
                  <w:r>
                    <w:rPr>
                      <w:bCs/>
                      <w:color w:val="000000"/>
                      <w:sz w:val="21"/>
                      <w:szCs w:val="21"/>
                    </w:rPr>
                    <w:t>废弃边角料</w:t>
                  </w:r>
                </w:p>
              </w:tc>
              <w:tc>
                <w:tcPr>
                  <w:tcW w:w="4612" w:type="dxa"/>
                  <w:vAlign w:val="center"/>
                </w:tcPr>
                <w:p>
                  <w:pPr>
                    <w:widowControl/>
                    <w:spacing w:line="320" w:lineRule="exact"/>
                    <w:jc w:val="center"/>
                    <w:rPr>
                      <w:bCs/>
                      <w:color w:val="000000"/>
                      <w:sz w:val="21"/>
                      <w:szCs w:val="21"/>
                    </w:rPr>
                  </w:pPr>
                  <w:r>
                    <w:rPr>
                      <w:bCs/>
                      <w:color w:val="000000"/>
                      <w:sz w:val="21"/>
                      <w:szCs w:val="21"/>
                    </w:rPr>
                    <w:t>在生产过程中产生的废弃边角料外售，得到合理处置</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3" w:hRule="atLeast"/>
              </w:trPr>
              <w:tc>
                <w:tcPr>
                  <w:tcW w:w="689"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396" w:type="dxa"/>
                  <w:vMerge w:val="continue"/>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15" w:type="dxa"/>
                  <w:vAlign w:val="center"/>
                </w:tcPr>
                <w:p>
                  <w:pPr>
                    <w:widowControl/>
                    <w:spacing w:line="320" w:lineRule="exact"/>
                    <w:jc w:val="center"/>
                    <w:rPr>
                      <w:bCs/>
                      <w:color w:val="000000"/>
                      <w:sz w:val="21"/>
                      <w:szCs w:val="21"/>
                    </w:rPr>
                  </w:pPr>
                  <w:r>
                    <w:rPr>
                      <w:bCs/>
                      <w:color w:val="000000"/>
                      <w:sz w:val="21"/>
                      <w:szCs w:val="21"/>
                    </w:rPr>
                    <w:t>危险废物</w:t>
                  </w:r>
                </w:p>
              </w:tc>
              <w:tc>
                <w:tcPr>
                  <w:tcW w:w="4612" w:type="dxa"/>
                  <w:vAlign w:val="center"/>
                </w:tcPr>
                <w:p>
                  <w:pPr>
                    <w:pStyle w:val="10"/>
                    <w:rPr>
                      <w:color w:val="000000"/>
                      <w:sz w:val="21"/>
                      <w:szCs w:val="21"/>
                    </w:rPr>
                  </w:pPr>
                  <w:r>
                    <w:rPr>
                      <w:rFonts w:hint="eastAsia"/>
                      <w:bCs/>
                      <w:color w:val="000000"/>
                      <w:kern w:val="2"/>
                      <w:sz w:val="21"/>
                      <w:szCs w:val="21"/>
                    </w:rPr>
                    <w:t>在厂区的东南侧，即联合厂房（一）的东侧，</w:t>
                  </w:r>
                  <w:r>
                    <w:rPr>
                      <w:bCs/>
                      <w:color w:val="000000"/>
                      <w:kern w:val="2"/>
                      <w:sz w:val="21"/>
                      <w:szCs w:val="21"/>
                    </w:rPr>
                    <w:t>设置一</w:t>
                  </w:r>
                  <w:r>
                    <w:rPr>
                      <w:rFonts w:hint="eastAsia"/>
                      <w:bCs/>
                      <w:color w:val="000000"/>
                      <w:kern w:val="2"/>
                      <w:sz w:val="21"/>
                      <w:szCs w:val="21"/>
                    </w:rPr>
                    <w:t>间10</w:t>
                  </w:r>
                  <w:r>
                    <w:rPr>
                      <w:bCs/>
                      <w:color w:val="000000"/>
                      <w:kern w:val="2"/>
                      <w:sz w:val="21"/>
                      <w:szCs w:val="21"/>
                    </w:rPr>
                    <w:t>m</w:t>
                  </w:r>
                  <w:r>
                    <w:rPr>
                      <w:bCs/>
                      <w:color w:val="000000"/>
                      <w:kern w:val="2"/>
                      <w:sz w:val="21"/>
                      <w:szCs w:val="21"/>
                      <w:vertAlign w:val="superscript"/>
                    </w:rPr>
                    <w:t>2</w:t>
                  </w:r>
                  <w:r>
                    <w:rPr>
                      <w:bCs/>
                      <w:color w:val="000000"/>
                      <w:kern w:val="2"/>
                      <w:sz w:val="21"/>
                      <w:szCs w:val="21"/>
                    </w:rPr>
                    <w:t>危废暂存间，</w:t>
                  </w:r>
                  <w:r>
                    <w:rPr>
                      <w:rFonts w:hint="eastAsia"/>
                      <w:bCs/>
                      <w:color w:val="000000"/>
                      <w:kern w:val="2"/>
                      <w:sz w:val="21"/>
                      <w:szCs w:val="21"/>
                    </w:rPr>
                    <w:t>废液压油、废液压油桶、废乳化液、废水性漆桶、废活性炭、废棉纱、废漆渣、废催化剂、废过滤棉等收集到危废暂存间内暂存，</w:t>
                  </w:r>
                  <w:r>
                    <w:rPr>
                      <w:bCs/>
                      <w:color w:val="000000"/>
                      <w:kern w:val="2"/>
                      <w:sz w:val="21"/>
                      <w:szCs w:val="21"/>
                    </w:rPr>
                    <w:t>委托有资质单位定期处置。要求危废暂存间进行防渗处理，并设置围堰</w:t>
                  </w:r>
                  <w:r>
                    <w:rPr>
                      <w:rFonts w:hint="eastAsia"/>
                      <w:bCs/>
                      <w:color w:val="000000"/>
                      <w:kern w:val="2"/>
                      <w:sz w:val="21"/>
                      <w:szCs w:val="21"/>
                    </w:rPr>
                    <w:t>、刷地坪漆和设导流渠</w:t>
                  </w:r>
                  <w:r>
                    <w:rPr>
                      <w:bCs/>
                      <w:color w:val="000000"/>
                      <w:kern w:val="2"/>
                      <w:sz w:val="21"/>
                      <w:szCs w:val="21"/>
                    </w:rPr>
                    <w:t>以防溢流。</w:t>
                  </w:r>
                </w:p>
              </w:tc>
              <w:tc>
                <w:tcPr>
                  <w:tcW w:w="1006" w:type="dxa"/>
                  <w:vAlign w:val="center"/>
                </w:tcPr>
                <w:p>
                  <w:pPr>
                    <w:widowControl/>
                    <w:spacing w:line="320" w:lineRule="exact"/>
                    <w:jc w:val="center"/>
                    <w:rPr>
                      <w:bCs/>
                      <w:color w:val="000000"/>
                      <w:sz w:val="21"/>
                      <w:szCs w:val="21"/>
                    </w:rPr>
                  </w:pPr>
                  <w:r>
                    <w:rPr>
                      <w:rFonts w:hint="eastAsia"/>
                      <w:bCs/>
                      <w:color w:val="000000"/>
                      <w:sz w:val="21"/>
                      <w:szCs w:val="21"/>
                    </w:rPr>
                    <w:t>新建</w:t>
                  </w:r>
                </w:p>
              </w:tc>
            </w:tr>
          </w:tbl>
          <w:p>
            <w:pPr>
              <w:adjustRightInd w:val="0"/>
              <w:snapToGrid w:val="0"/>
              <w:spacing w:line="480" w:lineRule="exact"/>
              <w:rPr>
                <w:bCs/>
                <w:color w:val="000000"/>
              </w:rPr>
            </w:pPr>
            <w:r>
              <w:rPr>
                <w:rFonts w:hint="eastAsia"/>
                <w:bCs/>
                <w:color w:val="000000"/>
              </w:rPr>
              <w:t>2</w:t>
            </w:r>
            <w:r>
              <w:rPr>
                <w:bCs/>
                <w:color w:val="000000"/>
              </w:rPr>
              <w:t>、主要设备</w:t>
            </w:r>
          </w:p>
          <w:p>
            <w:pPr>
              <w:pStyle w:val="9"/>
              <w:widowControl/>
              <w:spacing w:line="480" w:lineRule="exact"/>
              <w:ind w:firstLine="0"/>
              <w:jc w:val="center"/>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表2-</w:t>
            </w:r>
            <w:r>
              <w:rPr>
                <w:rFonts w:hint="eastAsia" w:ascii="Times New Roman" w:hAnsi="Times New Roman" w:cs="Times New Roman"/>
                <w:b/>
                <w:color w:val="000000"/>
                <w:sz w:val="24"/>
                <w:szCs w:val="24"/>
              </w:rPr>
              <w:t>2</w:t>
            </w:r>
            <w:r>
              <w:rPr>
                <w:rFonts w:ascii="Times New Roman" w:hAnsi="Times New Roman" w:cs="Times New Roman"/>
                <w:b/>
                <w:color w:val="000000"/>
                <w:sz w:val="24"/>
                <w:szCs w:val="24"/>
              </w:rPr>
              <w:t xml:space="preserve">  主要及辅助生产设备表</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972"/>
              <w:gridCol w:w="1974"/>
              <w:gridCol w:w="1562"/>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exact"/>
                <w:tblHeader/>
                <w:jc w:val="center"/>
              </w:trPr>
              <w:tc>
                <w:tcPr>
                  <w:tcW w:w="655" w:type="pct"/>
                  <w:shd w:val="clear" w:color="000000" w:fill="auto"/>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序号</w:t>
                  </w:r>
                </w:p>
              </w:tc>
              <w:tc>
                <w:tcPr>
                  <w:tcW w:w="1242" w:type="pct"/>
                  <w:shd w:val="clear" w:color="000000" w:fill="auto"/>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名称</w:t>
                  </w:r>
                </w:p>
              </w:tc>
              <w:tc>
                <w:tcPr>
                  <w:tcW w:w="1243" w:type="pct"/>
                  <w:shd w:val="clear" w:color="000000" w:fill="auto"/>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规格</w:t>
                  </w:r>
                </w:p>
              </w:tc>
              <w:tc>
                <w:tcPr>
                  <w:tcW w:w="983" w:type="pct"/>
                  <w:shd w:val="clear" w:color="000000" w:fill="auto"/>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数量</w:t>
                  </w:r>
                </w:p>
              </w:tc>
              <w:tc>
                <w:tcPr>
                  <w:tcW w:w="874" w:type="pct"/>
                  <w:shd w:val="clear" w:color="000000" w:fill="auto"/>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等离子数控切割机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r>
                    <w:rPr>
                      <w:rFonts w:hint="eastAsia" w:ascii="Times New Roman" w:hAnsi="Times New Roman" w:cs="Times New Roman"/>
                      <w:bCs/>
                      <w:color w:val="000000"/>
                      <w:sz w:val="21"/>
                      <w:szCs w:val="21"/>
                    </w:rPr>
                    <w:t>GS11-5000DH</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2</w:t>
                  </w:r>
                </w:p>
              </w:tc>
              <w:tc>
                <w:tcPr>
                  <w:tcW w:w="1242" w:type="pct"/>
                  <w:vAlign w:val="center"/>
                </w:tcPr>
                <w:p>
                  <w:pPr>
                    <w:adjustRightInd w:val="0"/>
                    <w:snapToGrid w:val="0"/>
                    <w:spacing w:line="320" w:lineRule="exact"/>
                    <w:jc w:val="center"/>
                    <w:rPr>
                      <w:color w:val="000000"/>
                      <w:sz w:val="21"/>
                      <w:szCs w:val="21"/>
                    </w:rPr>
                  </w:pPr>
                  <w:r>
                    <w:rPr>
                      <w:bCs/>
                      <w:color w:val="000000"/>
                      <w:sz w:val="21"/>
                      <w:szCs w:val="21"/>
                    </w:rPr>
                    <w:t>激光切割机</w:t>
                  </w:r>
                </w:p>
              </w:tc>
              <w:tc>
                <w:tcPr>
                  <w:tcW w:w="1243" w:type="pct"/>
                  <w:vAlign w:val="center"/>
                </w:tcPr>
                <w:p>
                  <w:pPr>
                    <w:adjustRightInd w:val="0"/>
                    <w:snapToGrid w:val="0"/>
                    <w:spacing w:line="320" w:lineRule="exact"/>
                    <w:jc w:val="center"/>
                    <w:rPr>
                      <w:bCs/>
                      <w:color w:val="000000"/>
                      <w:sz w:val="21"/>
                      <w:szCs w:val="21"/>
                    </w:rPr>
                  </w:pPr>
                  <w:r>
                    <w:rPr>
                      <w:rFonts w:hint="eastAsia"/>
                      <w:bCs/>
                      <w:color w:val="000000"/>
                      <w:sz w:val="21"/>
                      <w:szCs w:val="21"/>
                    </w:rPr>
                    <w:t>LD6025S-3000W</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2</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3</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龙门焊</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r>
                    <w:rPr>
                      <w:rFonts w:hint="eastAsia" w:ascii="Times New Roman" w:hAnsi="Times New Roman" w:cs="Times New Roman"/>
                      <w:bCs/>
                      <w:color w:val="000000"/>
                      <w:sz w:val="21"/>
                      <w:szCs w:val="21"/>
                    </w:rPr>
                    <w:t>SSLMH-2-1000S</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4</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大梁组对工装</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widowControl/>
                    <w:spacing w:line="320" w:lineRule="exact"/>
                    <w:jc w:val="center"/>
                    <w:textAlignment w:val="baseline"/>
                    <w:rPr>
                      <w:color w:val="000000"/>
                      <w:sz w:val="21"/>
                      <w:szCs w:val="21"/>
                    </w:rPr>
                  </w:pPr>
                  <w:r>
                    <w:rPr>
                      <w:rFonts w:hint="eastAsia"/>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5</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车架组对工装</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widowControl/>
                    <w:spacing w:line="320" w:lineRule="exact"/>
                    <w:jc w:val="center"/>
                    <w:textAlignment w:val="baseline"/>
                    <w:rPr>
                      <w:color w:val="000000"/>
                      <w:sz w:val="21"/>
                      <w:szCs w:val="21"/>
                    </w:rPr>
                  </w:pPr>
                  <w:r>
                    <w:rPr>
                      <w:rFonts w:hint="eastAsia"/>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6</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封边梁工装</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7</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锯床</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8</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数控剪板机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r>
                    <w:rPr>
                      <w:rFonts w:hint="eastAsia" w:ascii="Times New Roman" w:hAnsi="Times New Roman" w:cs="Times New Roman"/>
                      <w:bCs/>
                      <w:color w:val="000000"/>
                      <w:sz w:val="21"/>
                      <w:szCs w:val="21"/>
                    </w:rPr>
                    <w:t>QC11Y-12X4m</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9</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数控折弯机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r>
                    <w:rPr>
                      <w:rFonts w:hint="eastAsia" w:ascii="Times New Roman" w:hAnsi="Times New Roman" w:cs="Times New Roman"/>
                      <w:bCs/>
                      <w:color w:val="000000"/>
                      <w:sz w:val="21"/>
                      <w:szCs w:val="21"/>
                    </w:rPr>
                    <w:t>wchy-300T/4m</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翻转平台</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校直机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1242" w:type="pct"/>
                  <w:vAlign w:val="center"/>
                </w:tcPr>
                <w:p>
                  <w:pPr>
                    <w:adjustRightInd w:val="0"/>
                    <w:snapToGrid w:val="0"/>
                    <w:spacing w:line="320" w:lineRule="exact"/>
                    <w:jc w:val="center"/>
                    <w:rPr>
                      <w:bCs/>
                      <w:color w:val="000000"/>
                      <w:sz w:val="21"/>
                      <w:szCs w:val="21"/>
                    </w:rPr>
                  </w:pPr>
                  <w:r>
                    <w:rPr>
                      <w:bCs/>
                      <w:color w:val="000000"/>
                      <w:sz w:val="21"/>
                      <w:szCs w:val="21"/>
                    </w:rPr>
                    <w:t>板簧压力机</w:t>
                  </w:r>
                </w:p>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4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打气泵</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喷烤漆房</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15</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喷砂打磨房</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16</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喷砂机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17</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环保设备</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18</w:t>
                  </w:r>
                </w:p>
              </w:tc>
              <w:tc>
                <w:tcPr>
                  <w:tcW w:w="1242" w:type="pct"/>
                  <w:vAlign w:val="center"/>
                </w:tcPr>
                <w:p>
                  <w:pPr>
                    <w:adjustRightInd w:val="0"/>
                    <w:snapToGrid w:val="0"/>
                    <w:spacing w:line="320" w:lineRule="exact"/>
                    <w:jc w:val="center"/>
                    <w:rPr>
                      <w:bCs/>
                      <w:color w:val="000000"/>
                      <w:sz w:val="21"/>
                      <w:szCs w:val="21"/>
                    </w:rPr>
                  </w:pPr>
                  <w:r>
                    <w:rPr>
                      <w:bCs/>
                      <w:color w:val="000000"/>
                      <w:sz w:val="21"/>
                      <w:szCs w:val="21"/>
                    </w:rPr>
                    <w:t>门扇自动焊</w:t>
                  </w:r>
                </w:p>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4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19</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切割机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3</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20</w:t>
                  </w:r>
                </w:p>
              </w:tc>
              <w:tc>
                <w:tcPr>
                  <w:tcW w:w="1242" w:type="pct"/>
                  <w:vAlign w:val="center"/>
                </w:tcPr>
                <w:p>
                  <w:pPr>
                    <w:adjustRightInd w:val="0"/>
                    <w:snapToGrid w:val="0"/>
                    <w:spacing w:line="320" w:lineRule="exact"/>
                    <w:jc w:val="center"/>
                    <w:rPr>
                      <w:bCs/>
                      <w:color w:val="000000"/>
                      <w:sz w:val="21"/>
                      <w:szCs w:val="21"/>
                    </w:rPr>
                  </w:pPr>
                  <w:r>
                    <w:rPr>
                      <w:bCs/>
                      <w:color w:val="000000"/>
                      <w:sz w:val="21"/>
                      <w:szCs w:val="21"/>
                    </w:rPr>
                    <w:t>瓦楞成型机</w:t>
                  </w:r>
                </w:p>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4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JQ-6000-JS270</w:t>
                  </w: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21</w:t>
                  </w:r>
                </w:p>
              </w:tc>
              <w:tc>
                <w:tcPr>
                  <w:tcW w:w="1242" w:type="pct"/>
                  <w:vAlign w:val="center"/>
                </w:tcPr>
                <w:p>
                  <w:pPr>
                    <w:adjustRightInd w:val="0"/>
                    <w:snapToGrid w:val="0"/>
                    <w:spacing w:line="320" w:lineRule="exact"/>
                    <w:jc w:val="center"/>
                    <w:rPr>
                      <w:bCs/>
                      <w:color w:val="000000"/>
                      <w:sz w:val="21"/>
                      <w:szCs w:val="21"/>
                    </w:rPr>
                  </w:pPr>
                  <w:r>
                    <w:rPr>
                      <w:bCs/>
                      <w:color w:val="000000"/>
                      <w:sz w:val="21"/>
                      <w:szCs w:val="21"/>
                    </w:rPr>
                    <w:t>叉车</w:t>
                  </w:r>
                </w:p>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4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22</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行车</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12</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23</w:t>
                  </w:r>
                </w:p>
              </w:tc>
              <w:tc>
                <w:tcPr>
                  <w:tcW w:w="1242" w:type="pct"/>
                  <w:vAlign w:val="center"/>
                </w:tcPr>
                <w:p>
                  <w:pPr>
                    <w:adjustRightInd w:val="0"/>
                    <w:snapToGrid w:val="0"/>
                    <w:spacing w:line="320" w:lineRule="exact"/>
                    <w:jc w:val="center"/>
                    <w:rPr>
                      <w:bCs/>
                      <w:color w:val="000000"/>
                      <w:sz w:val="21"/>
                      <w:szCs w:val="21"/>
                    </w:rPr>
                  </w:pPr>
                  <w:r>
                    <w:rPr>
                      <w:bCs/>
                      <w:color w:val="000000"/>
                      <w:sz w:val="21"/>
                      <w:szCs w:val="21"/>
                    </w:rPr>
                    <w:t>车桥组对工装</w:t>
                  </w:r>
                </w:p>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124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24</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ascii="Times New Roman" w:hAnsi="Times New Roman" w:cs="Times New Roman"/>
                      <w:bCs/>
                      <w:color w:val="000000"/>
                      <w:sz w:val="21"/>
                      <w:szCs w:val="21"/>
                    </w:rPr>
                    <w:t>二保焊机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35</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exact"/>
                <w:jc w:val="center"/>
              </w:trPr>
              <w:tc>
                <w:tcPr>
                  <w:tcW w:w="655"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25</w:t>
                  </w:r>
                </w:p>
              </w:tc>
              <w:tc>
                <w:tcPr>
                  <w:tcW w:w="1242"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bCs/>
                      <w:color w:val="000000"/>
                      <w:sz w:val="21"/>
                      <w:szCs w:val="21"/>
                    </w:rPr>
                    <w:t>便携式</w:t>
                  </w:r>
                  <w:r>
                    <w:rPr>
                      <w:rFonts w:ascii="Times New Roman" w:hAnsi="Times New Roman" w:cs="Times New Roman"/>
                      <w:bCs/>
                      <w:color w:val="000000"/>
                      <w:sz w:val="21"/>
                      <w:szCs w:val="21"/>
                    </w:rPr>
                    <w:t>等离子切割机</w:t>
                  </w:r>
                </w:p>
              </w:tc>
              <w:tc>
                <w:tcPr>
                  <w:tcW w:w="1243" w:type="pct"/>
                  <w:vAlign w:val="center"/>
                </w:tcPr>
                <w:p>
                  <w:pPr>
                    <w:pStyle w:val="9"/>
                    <w:widowControl/>
                    <w:spacing w:line="320" w:lineRule="exact"/>
                    <w:ind w:firstLine="0"/>
                    <w:jc w:val="center"/>
                    <w:textAlignment w:val="baseline"/>
                    <w:rPr>
                      <w:rFonts w:ascii="Times New Roman" w:hAnsi="Times New Roman" w:cs="Times New Roman"/>
                      <w:bCs/>
                      <w:color w:val="000000"/>
                      <w:sz w:val="21"/>
                      <w:szCs w:val="21"/>
                    </w:rPr>
                  </w:pPr>
                </w:p>
              </w:tc>
              <w:tc>
                <w:tcPr>
                  <w:tcW w:w="983"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10</w:t>
                  </w:r>
                </w:p>
              </w:tc>
              <w:tc>
                <w:tcPr>
                  <w:tcW w:w="874" w:type="pct"/>
                  <w:vAlign w:val="center"/>
                </w:tcPr>
                <w:p>
                  <w:pPr>
                    <w:pStyle w:val="9"/>
                    <w:widowControl/>
                    <w:spacing w:line="320" w:lineRule="exact"/>
                    <w:ind w:firstLine="0"/>
                    <w:jc w:val="center"/>
                    <w:textAlignment w:val="baseline"/>
                    <w:rPr>
                      <w:rFonts w:ascii="Times New Roman" w:hAnsi="Times New Roman" w:cs="Times New Roman"/>
                      <w:color w:val="000000"/>
                      <w:sz w:val="21"/>
                      <w:szCs w:val="21"/>
                    </w:rPr>
                  </w:pPr>
                  <w:r>
                    <w:rPr>
                      <w:rFonts w:hint="eastAsia" w:ascii="Times New Roman" w:hAnsi="Times New Roman" w:cs="Times New Roman"/>
                      <w:color w:val="000000"/>
                      <w:sz w:val="21"/>
                      <w:szCs w:val="21"/>
                    </w:rPr>
                    <w:t>台</w:t>
                  </w:r>
                </w:p>
              </w:tc>
            </w:tr>
          </w:tbl>
          <w:p>
            <w:pPr>
              <w:adjustRightInd w:val="0"/>
              <w:snapToGrid w:val="0"/>
              <w:spacing w:line="480" w:lineRule="exact"/>
              <w:ind w:firstLine="480" w:firstLineChars="200"/>
              <w:rPr>
                <w:bCs/>
                <w:color w:val="000000"/>
                <w:szCs w:val="21"/>
              </w:rPr>
            </w:pPr>
            <w:r>
              <w:rPr>
                <w:rFonts w:hint="eastAsia"/>
                <w:bCs/>
                <w:color w:val="000000"/>
                <w:szCs w:val="21"/>
              </w:rPr>
              <w:t>本项目的</w:t>
            </w:r>
            <w:r>
              <w:rPr>
                <w:bCs/>
                <w:color w:val="000000"/>
                <w:szCs w:val="21"/>
              </w:rPr>
              <w:t>等离子数控切割机</w:t>
            </w:r>
            <w:r>
              <w:rPr>
                <w:rFonts w:hint="eastAsia"/>
                <w:bCs/>
                <w:color w:val="000000"/>
                <w:szCs w:val="21"/>
              </w:rPr>
              <w:t>的产能为5t/a，每年工作320天，每天工作1h，年生产1600t，激光切割机的产能为2t/a，年工作320天，每天工作1h，2台激光切割机年生产1280t；锯床的生产能力为0.5t/a，年生产260天，每天工作1h，3台锯床年生产390t。综上年生产3270t，可以满足生产需求。</w:t>
            </w:r>
          </w:p>
          <w:p>
            <w:pPr>
              <w:adjustRightInd w:val="0"/>
              <w:snapToGrid w:val="0"/>
              <w:spacing w:line="480" w:lineRule="exact"/>
              <w:rPr>
                <w:bCs/>
                <w:color w:val="000000"/>
                <w:szCs w:val="21"/>
              </w:rPr>
            </w:pPr>
            <w:r>
              <w:rPr>
                <w:rFonts w:hint="eastAsia"/>
                <w:bCs/>
                <w:color w:val="000000"/>
                <w:szCs w:val="21"/>
              </w:rPr>
              <w:t>3</w:t>
            </w:r>
            <w:r>
              <w:rPr>
                <w:bCs/>
                <w:color w:val="000000"/>
                <w:szCs w:val="21"/>
              </w:rPr>
              <w:t>、总平面布置</w:t>
            </w:r>
          </w:p>
          <w:p>
            <w:pPr>
              <w:widowControl/>
              <w:spacing w:line="480" w:lineRule="exact"/>
              <w:ind w:firstLine="480" w:firstLineChars="200"/>
              <w:textAlignment w:val="baseline"/>
              <w:outlineLvl w:val="0"/>
              <w:rPr>
                <w:color w:val="000000" w:themeColor="text1"/>
              </w:rPr>
            </w:pPr>
            <w:r>
              <w:rPr>
                <w:color w:val="000000"/>
              </w:rPr>
              <w:t>项目厂区总</w:t>
            </w:r>
            <w:r>
              <w:rPr>
                <w:color w:val="000000" w:themeColor="text1"/>
              </w:rPr>
              <w:t>占地面积</w:t>
            </w:r>
            <w:r>
              <w:rPr>
                <w:rFonts w:hint="eastAsia"/>
                <w:color w:val="000000" w:themeColor="text1"/>
              </w:rPr>
              <w:t>21255.56</w:t>
            </w:r>
            <w:r>
              <w:rPr>
                <w:color w:val="000000" w:themeColor="text1"/>
              </w:rPr>
              <w:t>m</w:t>
            </w:r>
            <w:r>
              <w:rPr>
                <w:color w:val="000000" w:themeColor="text1"/>
                <w:vertAlign w:val="superscript"/>
              </w:rPr>
              <w:t>2</w:t>
            </w:r>
            <w:r>
              <w:rPr>
                <w:color w:val="000000" w:themeColor="text1"/>
              </w:rPr>
              <w:t>，</w:t>
            </w:r>
            <w:r>
              <w:rPr>
                <w:rFonts w:hint="eastAsia"/>
                <w:color w:val="000000" w:themeColor="text1"/>
              </w:rPr>
              <w:t>本次新建项目</w:t>
            </w:r>
            <w:r>
              <w:rPr>
                <w:rFonts w:hint="eastAsia"/>
                <w:bCs/>
                <w:color w:val="000000" w:themeColor="text1"/>
                <w:szCs w:val="21"/>
              </w:rPr>
              <w:t>联合厂房（一）</w:t>
            </w:r>
            <w:r>
              <w:rPr>
                <w:color w:val="000000" w:themeColor="text1"/>
              </w:rPr>
              <w:t>位于</w:t>
            </w:r>
            <w:r>
              <w:rPr>
                <w:rFonts w:hint="eastAsia"/>
                <w:color w:val="000000" w:themeColor="text1"/>
              </w:rPr>
              <w:t>厂区东</w:t>
            </w:r>
            <w:r>
              <w:rPr>
                <w:color w:val="000000" w:themeColor="text1"/>
              </w:rPr>
              <w:t>侧</w:t>
            </w:r>
            <w:r>
              <w:rPr>
                <w:rFonts w:hint="eastAsia"/>
                <w:color w:val="000000" w:themeColor="text1"/>
              </w:rPr>
              <w:t>，建筑面积为7500</w:t>
            </w:r>
            <w:r>
              <w:rPr>
                <w:color w:val="000000" w:themeColor="text1"/>
              </w:rPr>
              <w:t>m</w:t>
            </w:r>
            <w:r>
              <w:rPr>
                <w:color w:val="000000" w:themeColor="text1"/>
                <w:vertAlign w:val="superscript"/>
              </w:rPr>
              <w:t>2</w:t>
            </w:r>
            <w:r>
              <w:rPr>
                <w:rFonts w:hint="eastAsia"/>
                <w:color w:val="000000" w:themeColor="text1"/>
              </w:rPr>
              <w:t>；</w:t>
            </w:r>
            <w:r>
              <w:rPr>
                <w:rFonts w:hint="eastAsia"/>
                <w:bCs/>
                <w:color w:val="000000" w:themeColor="text1"/>
                <w:szCs w:val="21"/>
              </w:rPr>
              <w:t>联合厂房（二）</w:t>
            </w:r>
            <w:r>
              <w:rPr>
                <w:color w:val="000000" w:themeColor="text1"/>
              </w:rPr>
              <w:t>位于</w:t>
            </w:r>
            <w:r>
              <w:rPr>
                <w:rFonts w:hint="eastAsia"/>
                <w:color w:val="000000" w:themeColor="text1"/>
              </w:rPr>
              <w:t>厂区西北</w:t>
            </w:r>
            <w:r>
              <w:rPr>
                <w:color w:val="000000" w:themeColor="text1"/>
              </w:rPr>
              <w:t>侧</w:t>
            </w:r>
            <w:r>
              <w:rPr>
                <w:rFonts w:hint="eastAsia"/>
                <w:color w:val="000000" w:themeColor="text1"/>
              </w:rPr>
              <w:t>，建筑面积为900</w:t>
            </w:r>
            <w:r>
              <w:rPr>
                <w:color w:val="000000" w:themeColor="text1"/>
              </w:rPr>
              <w:t>m</w:t>
            </w:r>
            <w:r>
              <w:rPr>
                <w:color w:val="000000" w:themeColor="text1"/>
                <w:vertAlign w:val="superscript"/>
              </w:rPr>
              <w:t>2</w:t>
            </w:r>
            <w:r>
              <w:rPr>
                <w:rFonts w:hint="eastAsia"/>
                <w:color w:val="000000" w:themeColor="text1"/>
              </w:rPr>
              <w:t>；</w:t>
            </w:r>
            <w:r>
              <w:rPr>
                <w:rFonts w:hint="eastAsia"/>
                <w:color w:val="000000" w:themeColor="text1"/>
                <w:szCs w:val="28"/>
              </w:rPr>
              <w:t>办公楼</w:t>
            </w:r>
            <w:r>
              <w:rPr>
                <w:color w:val="000000" w:themeColor="text1"/>
              </w:rPr>
              <w:t>位于</w:t>
            </w:r>
            <w:r>
              <w:rPr>
                <w:rFonts w:hint="eastAsia"/>
                <w:color w:val="000000" w:themeColor="text1"/>
              </w:rPr>
              <w:t>厂区</w:t>
            </w:r>
            <w:r>
              <w:rPr>
                <w:color w:val="000000" w:themeColor="text1"/>
              </w:rPr>
              <w:t>西侧</w:t>
            </w:r>
            <w:r>
              <w:rPr>
                <w:rFonts w:hint="eastAsia"/>
                <w:color w:val="000000" w:themeColor="text1"/>
              </w:rPr>
              <w:t>，建筑面积为1500</w:t>
            </w:r>
            <w:r>
              <w:rPr>
                <w:color w:val="000000" w:themeColor="text1"/>
              </w:rPr>
              <w:t>m</w:t>
            </w:r>
            <w:r>
              <w:rPr>
                <w:color w:val="000000" w:themeColor="text1"/>
                <w:vertAlign w:val="superscript"/>
              </w:rPr>
              <w:t>2</w:t>
            </w:r>
            <w:r>
              <w:rPr>
                <w:rFonts w:hint="eastAsia"/>
                <w:color w:val="000000" w:themeColor="text1"/>
              </w:rPr>
              <w:t>；危废暂存间</w:t>
            </w:r>
            <w:r>
              <w:rPr>
                <w:rFonts w:hint="eastAsia"/>
                <w:color w:val="000000" w:themeColor="text1"/>
                <w:szCs w:val="28"/>
              </w:rPr>
              <w:t>位于厂区的联合厂房（一）内，建筑面积为10</w:t>
            </w:r>
            <w:r>
              <w:rPr>
                <w:color w:val="000000" w:themeColor="text1"/>
              </w:rPr>
              <w:t>m</w:t>
            </w:r>
            <w:r>
              <w:rPr>
                <w:color w:val="000000" w:themeColor="text1"/>
                <w:vertAlign w:val="superscript"/>
              </w:rPr>
              <w:t>2</w:t>
            </w:r>
            <w:r>
              <w:rPr>
                <w:rFonts w:hint="eastAsia"/>
                <w:color w:val="000000" w:themeColor="text1"/>
                <w:szCs w:val="28"/>
              </w:rPr>
              <w:t>。</w:t>
            </w:r>
            <w:r>
              <w:rPr>
                <w:color w:val="000000" w:themeColor="text1"/>
                <w:szCs w:val="28"/>
              </w:rPr>
              <w:t>详见附</w:t>
            </w:r>
            <w:r>
              <w:rPr>
                <w:color w:val="000000" w:themeColor="text1"/>
              </w:rPr>
              <w:t>图3厂区平面布置图。</w:t>
            </w:r>
          </w:p>
          <w:p>
            <w:pPr>
              <w:spacing w:line="480" w:lineRule="exact"/>
              <w:jc w:val="left"/>
              <w:rPr>
                <w:color w:val="000000" w:themeColor="text1"/>
              </w:rPr>
            </w:pPr>
            <w:r>
              <w:rPr>
                <w:rFonts w:hint="eastAsia"/>
                <w:color w:val="000000" w:themeColor="text1"/>
              </w:rPr>
              <w:t>4</w:t>
            </w:r>
            <w:r>
              <w:rPr>
                <w:color w:val="000000" w:themeColor="text1"/>
              </w:rPr>
              <w:t>、主要原辅材料</w:t>
            </w:r>
            <w:r>
              <w:rPr>
                <w:rFonts w:hint="eastAsia"/>
                <w:color w:val="000000" w:themeColor="text1"/>
              </w:rPr>
              <w:t>及原辅料主要成分的理化性质</w:t>
            </w:r>
          </w:p>
          <w:p>
            <w:pPr>
              <w:spacing w:line="480" w:lineRule="exact"/>
              <w:ind w:firstLine="480" w:firstLineChars="200"/>
              <w:jc w:val="left"/>
              <w:rPr>
                <w:color w:val="000000"/>
              </w:rPr>
            </w:pPr>
            <w:r>
              <w:rPr>
                <w:color w:val="000000"/>
              </w:rPr>
              <w:t>本项目主要原料为</w:t>
            </w:r>
            <w:r>
              <w:rPr>
                <w:rFonts w:hint="eastAsia"/>
                <w:color w:val="000000"/>
              </w:rPr>
              <w:t>钢板、方管、圆管、车桥、弹簧、轮圈、轮胎、气动系统、电路系统、大灯、焊丝、CO</w:t>
            </w:r>
            <w:r>
              <w:rPr>
                <w:rFonts w:hint="eastAsia"/>
                <w:color w:val="000000"/>
                <w:vertAlign w:val="subscript"/>
              </w:rPr>
              <w:t>2</w:t>
            </w:r>
            <w:r>
              <w:rPr>
                <w:rFonts w:hint="eastAsia"/>
                <w:color w:val="000000"/>
              </w:rPr>
              <w:t>、水性漆、螺丝、液压油、钢砂</w:t>
            </w:r>
            <w:r>
              <w:rPr>
                <w:color w:val="000000"/>
              </w:rPr>
              <w:t>等。</w:t>
            </w:r>
          </w:p>
          <w:p>
            <w:pPr>
              <w:widowControl/>
              <w:spacing w:line="480" w:lineRule="exact"/>
              <w:jc w:val="center"/>
              <w:rPr>
                <w:color w:val="000000"/>
              </w:rPr>
            </w:pPr>
            <w:r>
              <w:rPr>
                <w:b/>
                <w:bCs/>
                <w:color w:val="000000"/>
              </w:rPr>
              <w:t>表2-</w:t>
            </w:r>
            <w:r>
              <w:rPr>
                <w:rFonts w:hint="eastAsia"/>
                <w:b/>
                <w:bCs/>
                <w:color w:val="000000"/>
              </w:rPr>
              <w:t>3</w:t>
            </w:r>
            <w:r>
              <w:rPr>
                <w:b/>
                <w:bCs/>
                <w:color w:val="000000"/>
              </w:rPr>
              <w:t xml:space="preserve"> 主要原辅材料消耗表</w:t>
            </w:r>
          </w:p>
          <w:tbl>
            <w:tblPr>
              <w:tblStyle w:val="31"/>
              <w:tblW w:w="79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50"/>
              <w:gridCol w:w="900"/>
              <w:gridCol w:w="788"/>
              <w:gridCol w:w="887"/>
              <w:gridCol w:w="1188"/>
              <w:gridCol w:w="937"/>
              <w:gridCol w:w="1000"/>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0" w:hRule="atLeast"/>
              </w:trPr>
              <w:tc>
                <w:tcPr>
                  <w:tcW w:w="650"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序号</w:t>
                  </w:r>
                </w:p>
              </w:tc>
              <w:tc>
                <w:tcPr>
                  <w:tcW w:w="900"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原料</w:t>
                  </w:r>
                </w:p>
              </w:tc>
              <w:tc>
                <w:tcPr>
                  <w:tcW w:w="788"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数量</w:t>
                  </w:r>
                </w:p>
              </w:tc>
              <w:tc>
                <w:tcPr>
                  <w:tcW w:w="887"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单位</w:t>
                  </w:r>
                </w:p>
              </w:tc>
              <w:tc>
                <w:tcPr>
                  <w:tcW w:w="1188"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厂区最大存放量</w:t>
                  </w:r>
                </w:p>
              </w:tc>
              <w:tc>
                <w:tcPr>
                  <w:tcW w:w="937"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存放位</w:t>
                  </w:r>
                  <w:r>
                    <w:rPr>
                      <w:rFonts w:ascii="Times New Roman" w:hAnsi="Times New Roman" w:cs="Times New Roman"/>
                      <w:b/>
                      <w:color w:val="000000"/>
                      <w:w w:val="99"/>
                      <w:sz w:val="21"/>
                      <w:szCs w:val="21"/>
                    </w:rPr>
                    <w:t>置</w:t>
                  </w:r>
                </w:p>
              </w:tc>
              <w:tc>
                <w:tcPr>
                  <w:tcW w:w="1000"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包装规格</w:t>
                  </w:r>
                </w:p>
              </w:tc>
              <w:tc>
                <w:tcPr>
                  <w:tcW w:w="1626" w:type="dxa"/>
                  <w:vAlign w:val="center"/>
                </w:tcPr>
                <w:p>
                  <w:pPr>
                    <w:pStyle w:val="71"/>
                    <w:spacing w:line="320" w:lineRule="exact"/>
                    <w:jc w:val="center"/>
                    <w:rPr>
                      <w:rFonts w:ascii="Times New Roman" w:hAnsi="Times New Roman" w:cs="Times New Roman"/>
                      <w:b/>
                      <w:color w:val="000000"/>
                      <w:sz w:val="21"/>
                      <w:szCs w:val="21"/>
                    </w:rPr>
                  </w:pPr>
                  <w:r>
                    <w:rPr>
                      <w:rFonts w:ascii="Times New Roman" w:hAnsi="Times New Roman" w:cs="Times New Roman"/>
                      <w:b/>
                      <w:color w:val="00000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6"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1</w:t>
                  </w:r>
                </w:p>
              </w:tc>
              <w:tc>
                <w:tcPr>
                  <w:tcW w:w="9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钢板</w:t>
                  </w:r>
                </w:p>
              </w:tc>
              <w:tc>
                <w:tcPr>
                  <w:tcW w:w="788"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3000</w:t>
                  </w:r>
                </w:p>
              </w:tc>
              <w:tc>
                <w:tcPr>
                  <w:tcW w:w="887"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40t</w:t>
                  </w:r>
                </w:p>
              </w:tc>
              <w:tc>
                <w:tcPr>
                  <w:tcW w:w="937"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外购，厚度</w:t>
                  </w:r>
                </w:p>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1.5mm~12mm等离子切割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2</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方管</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15</w:t>
                  </w:r>
                  <w:r>
                    <w:rPr>
                      <w:rFonts w:ascii="Times New Roman" w:hAnsi="Times New Roman" w:cs="Times New Roman"/>
                      <w:color w:val="000000"/>
                      <w:sz w:val="21"/>
                      <w:szCs w:val="21"/>
                    </w:rPr>
                    <w:t>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widowControl/>
                    <w:spacing w:line="320" w:lineRule="exact"/>
                    <w:jc w:val="center"/>
                    <w:textAlignment w:val="top"/>
                    <w:rPr>
                      <w:color w:val="000000"/>
                      <w:sz w:val="21"/>
                      <w:szCs w:val="21"/>
                    </w:rPr>
                  </w:pPr>
                  <w:r>
                    <w:rPr>
                      <w:color w:val="000000"/>
                      <w:kern w:val="0"/>
                      <w:sz w:val="21"/>
                      <w:szCs w:val="21"/>
                    </w:rPr>
                    <w:t>外购,激光切割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3</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圆管</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w:t>
                  </w:r>
                  <w:r>
                    <w:rPr>
                      <w:rFonts w:ascii="Times New Roman" w:hAnsi="Times New Roman" w:cs="Times New Roman"/>
                      <w:color w:val="000000"/>
                      <w:sz w:val="21"/>
                      <w:szCs w:val="21"/>
                    </w:rPr>
                    <w:t>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10t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widowControl/>
                    <w:spacing w:line="320" w:lineRule="exact"/>
                    <w:jc w:val="center"/>
                    <w:textAlignment w:val="top"/>
                    <w:rPr>
                      <w:color w:val="000000"/>
                      <w:sz w:val="21"/>
                      <w:szCs w:val="21"/>
                    </w:rPr>
                  </w:pPr>
                  <w:r>
                    <w:rPr>
                      <w:color w:val="000000"/>
                      <w:kern w:val="0"/>
                      <w:sz w:val="21"/>
                      <w:szCs w:val="21"/>
                    </w:rPr>
                    <w:t>外购，激光切割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4</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车桥</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15</w:t>
                  </w:r>
                  <w:r>
                    <w:rPr>
                      <w:rFonts w:ascii="Times New Roman" w:hAnsi="Times New Roman" w:cs="Times New Roman"/>
                      <w:color w:val="000000"/>
                      <w:sz w:val="21"/>
                      <w:szCs w:val="21"/>
                    </w:rPr>
                    <w:t>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只/a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50只</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3"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5</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弹簧</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3</w:t>
                  </w:r>
                  <w:r>
                    <w:rPr>
                      <w:rFonts w:ascii="Times New Roman" w:hAnsi="Times New Roman" w:cs="Times New Roman"/>
                      <w:color w:val="000000"/>
                      <w:sz w:val="21"/>
                      <w:szCs w:val="21"/>
                    </w:rPr>
                    <w:t>000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架/a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100架</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6</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轮圈</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6</w:t>
                  </w:r>
                  <w:r>
                    <w:rPr>
                      <w:rFonts w:ascii="Times New Roman" w:hAnsi="Times New Roman" w:cs="Times New Roman"/>
                      <w:color w:val="000000"/>
                      <w:sz w:val="21"/>
                      <w:szCs w:val="21"/>
                    </w:rPr>
                    <w:t>000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只/a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200只</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7</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轮胎</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6</w:t>
                  </w:r>
                  <w:r>
                    <w:rPr>
                      <w:rFonts w:ascii="Times New Roman" w:hAnsi="Times New Roman" w:cs="Times New Roman"/>
                      <w:color w:val="000000"/>
                      <w:sz w:val="21"/>
                      <w:szCs w:val="21"/>
                    </w:rPr>
                    <w:t>000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只/a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200只</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8</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气动系统</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5</w:t>
                  </w:r>
                  <w:r>
                    <w:rPr>
                      <w:rFonts w:ascii="Times New Roman" w:hAnsi="Times New Roman" w:cs="Times New Roman"/>
                      <w:color w:val="000000"/>
                      <w:sz w:val="21"/>
                      <w:szCs w:val="21"/>
                    </w:rPr>
                    <w:t>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套/a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20套</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9</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电路系统</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5</w:t>
                  </w:r>
                  <w:r>
                    <w:rPr>
                      <w:rFonts w:ascii="Times New Roman" w:hAnsi="Times New Roman" w:cs="Times New Roman"/>
                      <w:color w:val="000000"/>
                      <w:sz w:val="21"/>
                      <w:szCs w:val="21"/>
                    </w:rPr>
                    <w:t>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套/a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20套</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灯</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w:t>
                  </w:r>
                  <w:r>
                    <w:rPr>
                      <w:rFonts w:ascii="Times New Roman" w:hAnsi="Times New Roman" w:cs="Times New Roman"/>
                      <w:color w:val="000000"/>
                      <w:sz w:val="21"/>
                      <w:szCs w:val="21"/>
                    </w:rPr>
                    <w:t>000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套/a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20套</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11</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焊丝</w:t>
                  </w:r>
                </w:p>
              </w:tc>
              <w:tc>
                <w:tcPr>
                  <w:tcW w:w="788" w:type="dxa"/>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15</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12</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position w:val="2"/>
                      <w:sz w:val="21"/>
                      <w:szCs w:val="21"/>
                    </w:rPr>
                    <w:t>CO</w:t>
                  </w:r>
                  <w:r>
                    <w:rPr>
                      <w:rFonts w:ascii="Times New Roman" w:hAnsi="Times New Roman" w:cs="Times New Roman"/>
                      <w:color w:val="000000"/>
                      <w:sz w:val="21"/>
                      <w:szCs w:val="21"/>
                      <w:vertAlign w:val="subscript"/>
                    </w:rPr>
                    <w:t>2</w:t>
                  </w:r>
                </w:p>
              </w:tc>
              <w:tc>
                <w:tcPr>
                  <w:tcW w:w="788"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1</w:t>
                  </w:r>
                  <w:r>
                    <w:rPr>
                      <w:rFonts w:ascii="Times New Roman" w:hAnsi="Times New Roman" w:cs="Times New Roman"/>
                      <w:color w:val="000000"/>
                      <w:sz w:val="21"/>
                      <w:szCs w:val="21"/>
                    </w:rPr>
                    <w:t>000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瓶/a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10</w:t>
                  </w:r>
                  <w:r>
                    <w:rPr>
                      <w:rFonts w:hint="eastAsia" w:ascii="Times New Roman" w:hAnsi="Times New Roman" w:cs="Times New Roman"/>
                      <w:color w:val="000000"/>
                      <w:sz w:val="21"/>
                      <w:szCs w:val="21"/>
                      <w:lang w:val="en-US"/>
                    </w:rPr>
                    <w:t>0</w:t>
                  </w:r>
                  <w:r>
                    <w:rPr>
                      <w:rFonts w:ascii="Times New Roman" w:hAnsi="Times New Roman" w:cs="Times New Roman"/>
                      <w:color w:val="000000"/>
                      <w:sz w:val="21"/>
                      <w:szCs w:val="21"/>
                    </w:rPr>
                    <w:t>瓶</w:t>
                  </w:r>
                </w:p>
              </w:tc>
              <w:tc>
                <w:tcPr>
                  <w:tcW w:w="937" w:type="dxa"/>
                </w:tcPr>
                <w:p>
                  <w:pPr>
                    <w:pStyle w:val="71"/>
                    <w:spacing w:line="320" w:lineRule="exact"/>
                    <w:jc w:val="center"/>
                    <w:rPr>
                      <w:rFonts w:ascii="Times New Roman" w:hAnsi="Times New Roman" w:cs="Times New Roman"/>
                      <w:color w:val="000000"/>
                      <w:sz w:val="21"/>
                      <w:szCs w:val="21"/>
                    </w:rPr>
                  </w:pPr>
                  <w:r>
                    <w:rPr>
                      <w:rFonts w:hint="eastAsia" w:ascii="Times New Roman" w:hAnsi="Times New Roman" w:cs="Times New Roman"/>
                      <w:color w:val="000000"/>
                      <w:sz w:val="21"/>
                      <w:szCs w:val="21"/>
                      <w:lang w:val="en-US"/>
                    </w:rPr>
                    <w:t>气瓶</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10L/瓶</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13</w:t>
                  </w:r>
                </w:p>
              </w:tc>
              <w:tc>
                <w:tcPr>
                  <w:tcW w:w="900" w:type="dxa"/>
                </w:tcPr>
                <w:p>
                  <w:pPr>
                    <w:pStyle w:val="71"/>
                    <w:spacing w:line="320" w:lineRule="exact"/>
                    <w:jc w:val="center"/>
                    <w:rPr>
                      <w:rFonts w:ascii="Times New Roman" w:hAnsi="Times New Roman" w:cs="Times New Roman"/>
                      <w:color w:val="000000"/>
                      <w:position w:val="2"/>
                      <w:sz w:val="21"/>
                      <w:szCs w:val="21"/>
                      <w:lang w:val="en-US"/>
                    </w:rPr>
                  </w:pPr>
                  <w:r>
                    <w:rPr>
                      <w:rFonts w:ascii="Times New Roman" w:hAnsi="Times New Roman" w:cs="Times New Roman"/>
                      <w:color w:val="000000"/>
                      <w:position w:val="2"/>
                      <w:sz w:val="21"/>
                      <w:szCs w:val="21"/>
                      <w:lang w:val="en-US"/>
                    </w:rPr>
                    <w:t>O</w:t>
                  </w:r>
                  <w:r>
                    <w:rPr>
                      <w:rFonts w:hint="eastAsia" w:ascii="Times New Roman" w:hAnsi="Times New Roman" w:cs="Times New Roman"/>
                      <w:color w:val="000000"/>
                      <w:position w:val="2"/>
                      <w:sz w:val="21"/>
                      <w:szCs w:val="21"/>
                      <w:vertAlign w:val="subscript"/>
                      <w:lang w:val="en-US"/>
                    </w:rPr>
                    <w:t>2</w:t>
                  </w:r>
                </w:p>
              </w:tc>
              <w:tc>
                <w:tcPr>
                  <w:tcW w:w="788" w:type="dxa"/>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14</w:t>
                  </w:r>
                  <w:r>
                    <w:rPr>
                      <w:rFonts w:ascii="Times New Roman" w:hAnsi="Times New Roman" w:cs="Times New Roman"/>
                      <w:color w:val="000000"/>
                      <w:sz w:val="21"/>
                      <w:szCs w:val="21"/>
                      <w:lang w:val="en-US"/>
                    </w:rPr>
                    <w:t>00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lang w:val="en-US"/>
                    </w:rPr>
                    <w:t>m</w:t>
                  </w:r>
                  <w:r>
                    <w:rPr>
                      <w:rFonts w:ascii="Times New Roman" w:hAnsi="Times New Roman" w:cs="Times New Roman"/>
                      <w:color w:val="000000"/>
                      <w:sz w:val="21"/>
                      <w:szCs w:val="21"/>
                      <w:vertAlign w:val="superscript"/>
                      <w:lang w:val="en-US"/>
                    </w:rPr>
                    <w:t>3</w:t>
                  </w:r>
                  <w:r>
                    <w:rPr>
                      <w:rFonts w:ascii="Times New Roman" w:hAnsi="Times New Roman" w:cs="Times New Roman"/>
                      <w:color w:val="000000"/>
                      <w:sz w:val="21"/>
                      <w:szCs w:val="21"/>
                    </w:rPr>
                    <w:t>/a</w:t>
                  </w:r>
                </w:p>
              </w:tc>
              <w:tc>
                <w:tcPr>
                  <w:tcW w:w="1188" w:type="dxa"/>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35瓶</w:t>
                  </w:r>
                </w:p>
              </w:tc>
              <w:tc>
                <w:tcPr>
                  <w:tcW w:w="937" w:type="dxa"/>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气瓶</w:t>
                  </w:r>
                </w:p>
              </w:tc>
              <w:tc>
                <w:tcPr>
                  <w:tcW w:w="1000" w:type="dxa"/>
                  <w:vAlign w:val="center"/>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40L</w:t>
                  </w:r>
                  <w:r>
                    <w:rPr>
                      <w:rFonts w:ascii="Times New Roman" w:hAnsi="Times New Roman" w:cs="Times New Roman"/>
                      <w:color w:val="000000"/>
                      <w:sz w:val="21"/>
                      <w:szCs w:val="21"/>
                    </w:rPr>
                    <w:t>/</w:t>
                  </w:r>
                  <w:r>
                    <w:rPr>
                      <w:rFonts w:hint="eastAsia" w:ascii="Times New Roman" w:hAnsi="Times New Roman" w:cs="Times New Roman"/>
                      <w:color w:val="000000"/>
                      <w:sz w:val="21"/>
                      <w:szCs w:val="21"/>
                      <w:lang w:val="en-US"/>
                    </w:rPr>
                    <w:t>瓶</w:t>
                  </w:r>
                </w:p>
              </w:tc>
              <w:tc>
                <w:tcPr>
                  <w:tcW w:w="1626" w:type="dxa"/>
                </w:tcPr>
                <w:p>
                  <w:pPr>
                    <w:pStyle w:val="71"/>
                    <w:spacing w:line="320" w:lineRule="exact"/>
                    <w:jc w:val="center"/>
                    <w:rPr>
                      <w:rFonts w:ascii="Times New Roman" w:hAnsi="Times New Roman" w:cs="Times New Roman"/>
                      <w:color w:val="000000"/>
                      <w:sz w:val="21"/>
                      <w:szCs w:val="21"/>
                      <w:lang w:val="en-US" w:bidi="ar-SA"/>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14</w:t>
                  </w:r>
                </w:p>
              </w:tc>
              <w:tc>
                <w:tcPr>
                  <w:tcW w:w="900" w:type="dxa"/>
                </w:tcPr>
                <w:p>
                  <w:pPr>
                    <w:pStyle w:val="71"/>
                    <w:spacing w:line="320" w:lineRule="exact"/>
                    <w:jc w:val="center"/>
                    <w:rPr>
                      <w:rFonts w:ascii="Times New Roman" w:hAnsi="Times New Roman" w:cs="Times New Roman"/>
                      <w:color w:val="000000"/>
                      <w:position w:val="2"/>
                      <w:sz w:val="21"/>
                      <w:szCs w:val="21"/>
                      <w:lang w:val="en-US"/>
                    </w:rPr>
                  </w:pPr>
                  <w:r>
                    <w:rPr>
                      <w:rFonts w:ascii="Times New Roman" w:hAnsi="Times New Roman" w:cs="Times New Roman"/>
                      <w:color w:val="000000"/>
                      <w:sz w:val="21"/>
                      <w:szCs w:val="21"/>
                    </w:rPr>
                    <w:t>水性底漆</w:t>
                  </w:r>
                </w:p>
              </w:tc>
              <w:tc>
                <w:tcPr>
                  <w:tcW w:w="788" w:type="dxa"/>
                  <w:vAlign w:val="center"/>
                </w:tcPr>
                <w:p>
                  <w:pPr>
                    <w:widowControl/>
                    <w:spacing w:line="320" w:lineRule="exact"/>
                    <w:jc w:val="center"/>
                    <w:textAlignment w:val="center"/>
                    <w:rPr>
                      <w:color w:val="000000"/>
                      <w:sz w:val="21"/>
                      <w:szCs w:val="21"/>
                    </w:rPr>
                  </w:pPr>
                  <w:r>
                    <w:rPr>
                      <w:rFonts w:hint="eastAsia"/>
                      <w:color w:val="000000"/>
                      <w:sz w:val="21"/>
                      <w:szCs w:val="21"/>
                    </w:rPr>
                    <w:t>8.78</w:t>
                  </w:r>
                </w:p>
              </w:tc>
              <w:tc>
                <w:tcPr>
                  <w:tcW w:w="887" w:type="dxa"/>
                </w:tcPr>
                <w:p>
                  <w:pPr>
                    <w:pStyle w:val="71"/>
                    <w:spacing w:line="320" w:lineRule="exact"/>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0.1t</w:t>
                  </w:r>
                </w:p>
              </w:tc>
              <w:tc>
                <w:tcPr>
                  <w:tcW w:w="937" w:type="dxa"/>
                </w:tcPr>
                <w:p>
                  <w:pPr>
                    <w:pStyle w:val="71"/>
                    <w:spacing w:line="320" w:lineRule="exact"/>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漆库</w:t>
                  </w:r>
                </w:p>
              </w:tc>
              <w:tc>
                <w:tcPr>
                  <w:tcW w:w="1000" w:type="dxa"/>
                  <w:vAlign w:val="center"/>
                </w:tcPr>
                <w:p>
                  <w:pPr>
                    <w:pStyle w:val="71"/>
                    <w:spacing w:line="320" w:lineRule="exact"/>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lang w:val="en-US"/>
                    </w:rPr>
                    <w:t>50</w:t>
                  </w:r>
                  <w:r>
                    <w:rPr>
                      <w:rFonts w:ascii="Times New Roman" w:hAnsi="Times New Roman" w:cs="Times New Roman"/>
                      <w:color w:val="000000"/>
                      <w:sz w:val="21"/>
                      <w:szCs w:val="21"/>
                    </w:rPr>
                    <w:t>kg/桶</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15</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水性面漆</w:t>
                  </w:r>
                </w:p>
              </w:tc>
              <w:tc>
                <w:tcPr>
                  <w:tcW w:w="788" w:type="dxa"/>
                  <w:vAlign w:val="center"/>
                </w:tcPr>
                <w:p>
                  <w:pPr>
                    <w:widowControl/>
                    <w:spacing w:line="320" w:lineRule="exact"/>
                    <w:jc w:val="center"/>
                    <w:textAlignment w:val="center"/>
                    <w:rPr>
                      <w:color w:val="000000"/>
                      <w:sz w:val="21"/>
                      <w:szCs w:val="21"/>
                    </w:rPr>
                  </w:pPr>
                  <w:r>
                    <w:rPr>
                      <w:rFonts w:hint="eastAsia"/>
                      <w:color w:val="000000"/>
                      <w:sz w:val="21"/>
                      <w:szCs w:val="21"/>
                    </w:rPr>
                    <w:t>6.58</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0.1t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漆库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lang w:val="en-US"/>
                    </w:rPr>
                    <w:t>50</w:t>
                  </w:r>
                  <w:r>
                    <w:rPr>
                      <w:rFonts w:ascii="Times New Roman" w:hAnsi="Times New Roman" w:cs="Times New Roman"/>
                      <w:color w:val="000000"/>
                      <w:sz w:val="21"/>
                      <w:szCs w:val="21"/>
                    </w:rPr>
                    <w:t>kg/桶</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16</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螺丝</w:t>
                  </w:r>
                </w:p>
              </w:tc>
              <w:tc>
                <w:tcPr>
                  <w:tcW w:w="788" w:type="dxa"/>
                </w:tcPr>
                <w:p>
                  <w:pPr>
                    <w:pStyle w:val="71"/>
                    <w:spacing w:line="320" w:lineRule="exact"/>
                    <w:jc w:val="center"/>
                    <w:rPr>
                      <w:rFonts w:ascii="Times New Roman" w:hAnsi="Times New Roman" w:cs="Times New Roman"/>
                      <w:color w:val="000000"/>
                      <w:sz w:val="21"/>
                      <w:szCs w:val="21"/>
                      <w:lang w:val="en-US"/>
                    </w:rPr>
                  </w:pPr>
                  <w:r>
                    <w:rPr>
                      <w:rFonts w:ascii="Times New Roman" w:hAnsi="Times New Roman" w:cs="Times New Roman"/>
                      <w:color w:val="000000"/>
                      <w:sz w:val="21"/>
                      <w:szCs w:val="21"/>
                    </w:rPr>
                    <w:t>30</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w w:val="99"/>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650" w:type="dxa"/>
                  <w:vAlign w:val="center"/>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17</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液压油</w:t>
                  </w:r>
                </w:p>
              </w:tc>
              <w:tc>
                <w:tcPr>
                  <w:tcW w:w="7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0.34</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0.34t</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170kg/桶</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4" w:hRule="atLeast"/>
              </w:trPr>
              <w:tc>
                <w:tcPr>
                  <w:tcW w:w="650" w:type="dxa"/>
                  <w:vAlign w:val="center"/>
                </w:tcPr>
                <w:p>
                  <w:pPr>
                    <w:pStyle w:val="71"/>
                    <w:spacing w:line="320" w:lineRule="exact"/>
                    <w:jc w:val="center"/>
                    <w:rPr>
                      <w:rFonts w:ascii="Times New Roman" w:hAnsi="Times New Roman" w:cs="Times New Roman"/>
                      <w:color w:val="000000"/>
                      <w:sz w:val="21"/>
                      <w:szCs w:val="21"/>
                      <w:lang w:val="en-US"/>
                    </w:rPr>
                  </w:pPr>
                  <w:r>
                    <w:rPr>
                      <w:rFonts w:hint="eastAsia" w:ascii="Times New Roman" w:hAnsi="Times New Roman" w:cs="Times New Roman"/>
                      <w:color w:val="000000"/>
                      <w:sz w:val="21"/>
                      <w:szCs w:val="21"/>
                      <w:lang w:val="en-US"/>
                    </w:rPr>
                    <w:t>18</w:t>
                  </w:r>
                </w:p>
              </w:tc>
              <w:tc>
                <w:tcPr>
                  <w:tcW w:w="900"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钢砂</w:t>
                  </w:r>
                </w:p>
              </w:tc>
              <w:tc>
                <w:tcPr>
                  <w:tcW w:w="7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3.75</w:t>
                  </w:r>
                </w:p>
              </w:tc>
              <w:tc>
                <w:tcPr>
                  <w:tcW w:w="88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t/a</w:t>
                  </w:r>
                </w:p>
              </w:tc>
              <w:tc>
                <w:tcPr>
                  <w:tcW w:w="1188"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3.75</w:t>
                  </w:r>
                </w:p>
              </w:tc>
              <w:tc>
                <w:tcPr>
                  <w:tcW w:w="937"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仓库</w:t>
                  </w:r>
                </w:p>
              </w:tc>
              <w:tc>
                <w:tcPr>
                  <w:tcW w:w="1000" w:type="dxa"/>
                  <w:vAlign w:val="center"/>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w:t>
                  </w:r>
                </w:p>
              </w:tc>
              <w:tc>
                <w:tcPr>
                  <w:tcW w:w="1626" w:type="dxa"/>
                </w:tcPr>
                <w:p>
                  <w:pPr>
                    <w:pStyle w:val="71"/>
                    <w:spacing w:line="320" w:lineRule="exact"/>
                    <w:jc w:val="center"/>
                    <w:rPr>
                      <w:rFonts w:ascii="Times New Roman" w:hAnsi="Times New Roman" w:cs="Times New Roman"/>
                      <w:color w:val="000000"/>
                      <w:sz w:val="21"/>
                      <w:szCs w:val="21"/>
                    </w:rPr>
                  </w:pPr>
                  <w:r>
                    <w:rPr>
                      <w:rFonts w:ascii="Times New Roman" w:hAnsi="Times New Roman" w:cs="Times New Roman"/>
                      <w:color w:val="000000"/>
                      <w:sz w:val="21"/>
                      <w:szCs w:val="21"/>
                    </w:rPr>
                    <w:t>外购</w:t>
                  </w:r>
                </w:p>
              </w:tc>
            </w:tr>
          </w:tbl>
          <w:p>
            <w:pPr>
              <w:pStyle w:val="7"/>
              <w:tabs>
                <w:tab w:val="left" w:pos="1039"/>
              </w:tabs>
              <w:spacing w:before="112" w:after="15"/>
              <w:ind w:right="103"/>
              <w:rPr>
                <w:rFonts w:ascii="Times New Roman" w:hAnsi="Times New Roman" w:cs="Times New Roman"/>
                <w:b w:val="0"/>
                <w:bCs w:val="0"/>
                <w:color w:val="000000"/>
              </w:rPr>
            </w:pPr>
            <w:r>
              <w:rPr>
                <w:rFonts w:ascii="Times New Roman" w:hAnsi="Times New Roman" w:cs="Times New Roman"/>
                <w:color w:val="000000"/>
              </w:rPr>
              <w:t>2-</w:t>
            </w:r>
            <w:r>
              <w:rPr>
                <w:rFonts w:hint="eastAsia" w:ascii="Times New Roman" w:hAnsi="Times New Roman" w:cs="Times New Roman"/>
                <w:color w:val="000000"/>
              </w:rPr>
              <w:t>4</w:t>
            </w:r>
            <w:r>
              <w:rPr>
                <w:rFonts w:ascii="Times New Roman" w:hAnsi="Times New Roman" w:cs="Times New Roman"/>
                <w:color w:val="000000"/>
              </w:rPr>
              <w:t xml:space="preserve"> </w:t>
            </w:r>
            <w:r>
              <w:rPr>
                <w:rFonts w:hint="eastAsia" w:ascii="Times New Roman" w:hAnsi="Times New Roman" w:cs="Times New Roman"/>
                <w:color w:val="000000"/>
              </w:rPr>
              <w:t xml:space="preserve"> </w:t>
            </w:r>
            <w:r>
              <w:rPr>
                <w:rFonts w:ascii="Times New Roman" w:hAnsi="Times New Roman" w:cs="Times New Roman"/>
                <w:color w:val="000000"/>
              </w:rPr>
              <w:t>该项目涂料成分组成表</w:t>
            </w:r>
          </w:p>
          <w:tbl>
            <w:tblPr>
              <w:tblStyle w:val="31"/>
              <w:tblW w:w="8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6"/>
              <w:gridCol w:w="1339"/>
              <w:gridCol w:w="849"/>
              <w:gridCol w:w="2642"/>
              <w:gridCol w:w="26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6" w:type="dxa"/>
                  <w:vAlign w:val="center"/>
                </w:tcPr>
                <w:p>
                  <w:pPr>
                    <w:adjustRightInd w:val="0"/>
                    <w:snapToGrid w:val="0"/>
                    <w:jc w:val="center"/>
                    <w:rPr>
                      <w:b/>
                      <w:bCs/>
                      <w:color w:val="000000" w:themeColor="text1"/>
                      <w:sz w:val="21"/>
                      <w:szCs w:val="21"/>
                    </w:rPr>
                  </w:pPr>
                  <w:r>
                    <w:rPr>
                      <w:b/>
                      <w:bCs/>
                      <w:color w:val="000000" w:themeColor="text1"/>
                      <w:sz w:val="21"/>
                      <w:szCs w:val="21"/>
                    </w:rPr>
                    <w:t>序号</w:t>
                  </w:r>
                </w:p>
              </w:tc>
              <w:tc>
                <w:tcPr>
                  <w:tcW w:w="1339" w:type="dxa"/>
                  <w:vAlign w:val="center"/>
                </w:tcPr>
                <w:p>
                  <w:pPr>
                    <w:adjustRightInd w:val="0"/>
                    <w:snapToGrid w:val="0"/>
                    <w:jc w:val="center"/>
                    <w:rPr>
                      <w:b/>
                      <w:bCs/>
                      <w:color w:val="000000" w:themeColor="text1"/>
                      <w:sz w:val="21"/>
                      <w:szCs w:val="21"/>
                    </w:rPr>
                  </w:pPr>
                  <w:r>
                    <w:rPr>
                      <w:b/>
                      <w:bCs/>
                      <w:color w:val="000000" w:themeColor="text1"/>
                      <w:sz w:val="21"/>
                      <w:szCs w:val="21"/>
                    </w:rPr>
                    <w:t>名称</w:t>
                  </w:r>
                </w:p>
              </w:tc>
              <w:tc>
                <w:tcPr>
                  <w:tcW w:w="849" w:type="dxa"/>
                  <w:vAlign w:val="center"/>
                </w:tcPr>
                <w:p>
                  <w:pPr>
                    <w:adjustRightInd w:val="0"/>
                    <w:snapToGrid w:val="0"/>
                    <w:jc w:val="center"/>
                    <w:rPr>
                      <w:b/>
                      <w:bCs/>
                      <w:color w:val="000000" w:themeColor="text1"/>
                      <w:sz w:val="21"/>
                      <w:szCs w:val="21"/>
                    </w:rPr>
                  </w:pPr>
                  <w:r>
                    <w:rPr>
                      <w:b/>
                      <w:bCs/>
                      <w:color w:val="000000" w:themeColor="text1"/>
                      <w:sz w:val="21"/>
                      <w:szCs w:val="21"/>
                    </w:rPr>
                    <w:t>类别</w:t>
                  </w:r>
                </w:p>
              </w:tc>
              <w:tc>
                <w:tcPr>
                  <w:tcW w:w="2642" w:type="dxa"/>
                  <w:vAlign w:val="center"/>
                </w:tcPr>
                <w:p>
                  <w:pPr>
                    <w:adjustRightInd w:val="0"/>
                    <w:snapToGrid w:val="0"/>
                    <w:jc w:val="center"/>
                    <w:rPr>
                      <w:b/>
                      <w:bCs/>
                      <w:color w:val="000000" w:themeColor="text1"/>
                      <w:sz w:val="21"/>
                      <w:szCs w:val="21"/>
                    </w:rPr>
                  </w:pPr>
                  <w:r>
                    <w:rPr>
                      <w:b/>
                      <w:bCs/>
                      <w:color w:val="000000" w:themeColor="text1"/>
                      <w:sz w:val="21"/>
                      <w:szCs w:val="21"/>
                    </w:rPr>
                    <w:t>组成</w:t>
                  </w:r>
                </w:p>
              </w:tc>
              <w:tc>
                <w:tcPr>
                  <w:tcW w:w="2642" w:type="dxa"/>
                  <w:vAlign w:val="center"/>
                </w:tcPr>
                <w:p>
                  <w:pPr>
                    <w:adjustRightInd w:val="0"/>
                    <w:snapToGrid w:val="0"/>
                    <w:jc w:val="center"/>
                    <w:rPr>
                      <w:b/>
                      <w:bCs/>
                      <w:color w:val="000000" w:themeColor="text1"/>
                      <w:sz w:val="21"/>
                      <w:szCs w:val="21"/>
                    </w:rPr>
                  </w:pPr>
                  <w:r>
                    <w:rPr>
                      <w:rFonts w:hint="eastAsia"/>
                      <w:b/>
                      <w:bCs/>
                      <w:color w:val="000000" w:themeColor="text1"/>
                      <w:sz w:val="21"/>
                      <w:szCs w:val="21"/>
                    </w:rPr>
                    <w:t>喷涂层数及厚度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46" w:type="dxa"/>
                  <w:vMerge w:val="restart"/>
                  <w:vAlign w:val="center"/>
                </w:tcPr>
                <w:p>
                  <w:pPr>
                    <w:adjustRightInd w:val="0"/>
                    <w:snapToGrid w:val="0"/>
                    <w:jc w:val="center"/>
                    <w:rPr>
                      <w:color w:val="000000" w:themeColor="text1"/>
                      <w:sz w:val="21"/>
                      <w:szCs w:val="21"/>
                    </w:rPr>
                  </w:pPr>
                  <w:r>
                    <w:rPr>
                      <w:color w:val="000000" w:themeColor="text1"/>
                      <w:sz w:val="21"/>
                      <w:szCs w:val="21"/>
                    </w:rPr>
                    <w:t>1</w:t>
                  </w:r>
                </w:p>
              </w:tc>
              <w:tc>
                <w:tcPr>
                  <w:tcW w:w="1339" w:type="dxa"/>
                  <w:vMerge w:val="restart"/>
                  <w:vAlign w:val="center"/>
                </w:tcPr>
                <w:p>
                  <w:pPr>
                    <w:adjustRightInd w:val="0"/>
                    <w:snapToGrid w:val="0"/>
                    <w:jc w:val="center"/>
                    <w:rPr>
                      <w:color w:val="000000" w:themeColor="text1"/>
                      <w:sz w:val="21"/>
                      <w:szCs w:val="21"/>
                    </w:rPr>
                  </w:pPr>
                  <w:r>
                    <w:rPr>
                      <w:rFonts w:hint="eastAsia"/>
                      <w:color w:val="000000" w:themeColor="text1"/>
                      <w:sz w:val="21"/>
                      <w:szCs w:val="21"/>
                    </w:rPr>
                    <w:t>水性底</w:t>
                  </w:r>
                  <w:r>
                    <w:rPr>
                      <w:color w:val="000000" w:themeColor="text1"/>
                      <w:sz w:val="21"/>
                      <w:szCs w:val="21"/>
                    </w:rPr>
                    <w:t>漆</w:t>
                  </w:r>
                </w:p>
              </w:tc>
              <w:tc>
                <w:tcPr>
                  <w:tcW w:w="849" w:type="dxa"/>
                  <w:vAlign w:val="center"/>
                </w:tcPr>
                <w:p>
                  <w:pPr>
                    <w:adjustRightInd w:val="0"/>
                    <w:snapToGrid w:val="0"/>
                    <w:jc w:val="center"/>
                    <w:rPr>
                      <w:color w:val="000000" w:themeColor="text1"/>
                      <w:sz w:val="21"/>
                      <w:szCs w:val="21"/>
                    </w:rPr>
                  </w:pPr>
                  <w:r>
                    <w:rPr>
                      <w:color w:val="000000" w:themeColor="text1"/>
                      <w:sz w:val="21"/>
                      <w:szCs w:val="21"/>
                    </w:rPr>
                    <w:t>固组分</w:t>
                  </w:r>
                </w:p>
              </w:tc>
              <w:tc>
                <w:tcPr>
                  <w:tcW w:w="2642" w:type="dxa"/>
                  <w:vAlign w:val="center"/>
                </w:tcPr>
                <w:p>
                  <w:pPr>
                    <w:adjustRightInd w:val="0"/>
                    <w:snapToGrid w:val="0"/>
                    <w:jc w:val="center"/>
                    <w:rPr>
                      <w:color w:val="000000" w:themeColor="text1"/>
                      <w:sz w:val="21"/>
                      <w:szCs w:val="21"/>
                    </w:rPr>
                  </w:pPr>
                  <w:r>
                    <w:rPr>
                      <w:bCs/>
                      <w:sz w:val="21"/>
                      <w:szCs w:val="21"/>
                    </w:rPr>
                    <w:t>水性丙烯酸+环氧树脂</w:t>
                  </w:r>
                  <w:r>
                    <w:rPr>
                      <w:color w:val="000000"/>
                      <w:sz w:val="21"/>
                      <w:szCs w:val="21"/>
                    </w:rPr>
                    <w:t>、颜料、填料</w:t>
                  </w:r>
                  <w:r>
                    <w:rPr>
                      <w:rFonts w:hint="eastAsia"/>
                      <w:color w:val="000000"/>
                      <w:sz w:val="21"/>
                      <w:szCs w:val="21"/>
                    </w:rPr>
                    <w:t>、助剂</w:t>
                  </w:r>
                  <w:r>
                    <w:rPr>
                      <w:color w:val="000000"/>
                      <w:sz w:val="21"/>
                      <w:szCs w:val="21"/>
                    </w:rPr>
                    <w:t>等</w:t>
                  </w:r>
                </w:p>
              </w:tc>
              <w:tc>
                <w:tcPr>
                  <w:tcW w:w="2642" w:type="dxa"/>
                  <w:vMerge w:val="restart"/>
                  <w:vAlign w:val="center"/>
                </w:tcPr>
                <w:p>
                  <w:pPr>
                    <w:adjustRightInd w:val="0"/>
                    <w:snapToGrid w:val="0"/>
                    <w:jc w:val="center"/>
                    <w:rPr>
                      <w:bCs/>
                      <w:sz w:val="21"/>
                      <w:szCs w:val="21"/>
                    </w:rPr>
                  </w:pPr>
                  <w:r>
                    <w:rPr>
                      <w:rFonts w:hint="eastAsia"/>
                      <w:bCs/>
                      <w:sz w:val="21"/>
                      <w:szCs w:val="21"/>
                    </w:rPr>
                    <w:t>喷涂2层，每次喷涂上漆20</w:t>
                  </w:r>
                  <w:r>
                    <w:rPr>
                      <w:bCs/>
                      <w:sz w:val="21"/>
                      <w:szCs w:val="21"/>
                    </w:rPr>
                    <w:t>µ</w:t>
                  </w:r>
                  <w:r>
                    <w:rPr>
                      <w:rFonts w:hint="eastAsia"/>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46" w:type="dxa"/>
                  <w:vMerge w:val="continue"/>
                  <w:vAlign w:val="center"/>
                </w:tcPr>
                <w:p>
                  <w:pPr>
                    <w:adjustRightInd w:val="0"/>
                    <w:snapToGrid w:val="0"/>
                    <w:jc w:val="center"/>
                    <w:rPr>
                      <w:color w:val="000000" w:themeColor="text1"/>
                      <w:sz w:val="21"/>
                      <w:szCs w:val="21"/>
                    </w:rPr>
                  </w:pPr>
                </w:p>
              </w:tc>
              <w:tc>
                <w:tcPr>
                  <w:tcW w:w="1339" w:type="dxa"/>
                  <w:vMerge w:val="continue"/>
                  <w:vAlign w:val="center"/>
                </w:tcPr>
                <w:p>
                  <w:pPr>
                    <w:adjustRightInd w:val="0"/>
                    <w:snapToGrid w:val="0"/>
                    <w:jc w:val="center"/>
                    <w:rPr>
                      <w:color w:val="000000" w:themeColor="text1"/>
                      <w:sz w:val="21"/>
                      <w:szCs w:val="21"/>
                    </w:rPr>
                  </w:pPr>
                </w:p>
              </w:tc>
              <w:tc>
                <w:tcPr>
                  <w:tcW w:w="849" w:type="dxa"/>
                  <w:vMerge w:val="restart"/>
                  <w:vAlign w:val="center"/>
                </w:tcPr>
                <w:p>
                  <w:pPr>
                    <w:adjustRightInd w:val="0"/>
                    <w:snapToGrid w:val="0"/>
                    <w:jc w:val="center"/>
                    <w:rPr>
                      <w:color w:val="000000" w:themeColor="text1"/>
                      <w:sz w:val="21"/>
                      <w:szCs w:val="21"/>
                    </w:rPr>
                  </w:pPr>
                  <w:r>
                    <w:rPr>
                      <w:color w:val="000000" w:themeColor="text1"/>
                      <w:sz w:val="21"/>
                      <w:szCs w:val="21"/>
                    </w:rPr>
                    <w:t>挥发分</w:t>
                  </w:r>
                </w:p>
              </w:tc>
              <w:tc>
                <w:tcPr>
                  <w:tcW w:w="2642" w:type="dxa"/>
                  <w:vAlign w:val="center"/>
                </w:tcPr>
                <w:p>
                  <w:pPr>
                    <w:adjustRightInd w:val="0"/>
                    <w:snapToGrid w:val="0"/>
                    <w:jc w:val="center"/>
                    <w:rPr>
                      <w:color w:val="000000" w:themeColor="text1"/>
                      <w:sz w:val="21"/>
                      <w:szCs w:val="21"/>
                    </w:rPr>
                  </w:pPr>
                  <w:r>
                    <w:rPr>
                      <w:color w:val="000000" w:themeColor="text1"/>
                      <w:sz w:val="21"/>
                      <w:szCs w:val="21"/>
                    </w:rPr>
                    <w:t>其他有机成分</w:t>
                  </w:r>
                </w:p>
              </w:tc>
              <w:tc>
                <w:tcPr>
                  <w:tcW w:w="2642" w:type="dxa"/>
                  <w:vMerge w:val="continue"/>
                  <w:vAlign w:val="center"/>
                </w:tcPr>
                <w:p>
                  <w:pPr>
                    <w:adjustRightInd w:val="0"/>
                    <w:snapToGrid w:val="0"/>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46" w:type="dxa"/>
                  <w:vMerge w:val="continue"/>
                  <w:vAlign w:val="center"/>
                </w:tcPr>
                <w:p>
                  <w:pPr>
                    <w:adjustRightInd w:val="0"/>
                    <w:snapToGrid w:val="0"/>
                    <w:jc w:val="center"/>
                    <w:rPr>
                      <w:color w:val="000000" w:themeColor="text1"/>
                      <w:sz w:val="21"/>
                      <w:szCs w:val="21"/>
                    </w:rPr>
                  </w:pPr>
                </w:p>
              </w:tc>
              <w:tc>
                <w:tcPr>
                  <w:tcW w:w="1339" w:type="dxa"/>
                  <w:vMerge w:val="continue"/>
                  <w:vAlign w:val="center"/>
                </w:tcPr>
                <w:p>
                  <w:pPr>
                    <w:adjustRightInd w:val="0"/>
                    <w:snapToGrid w:val="0"/>
                    <w:jc w:val="center"/>
                    <w:rPr>
                      <w:color w:val="000000" w:themeColor="text1"/>
                      <w:sz w:val="21"/>
                      <w:szCs w:val="21"/>
                    </w:rPr>
                  </w:pPr>
                </w:p>
              </w:tc>
              <w:tc>
                <w:tcPr>
                  <w:tcW w:w="849" w:type="dxa"/>
                  <w:vMerge w:val="continue"/>
                  <w:vAlign w:val="center"/>
                </w:tcPr>
                <w:p>
                  <w:pPr>
                    <w:adjustRightInd w:val="0"/>
                    <w:snapToGrid w:val="0"/>
                    <w:jc w:val="center"/>
                    <w:rPr>
                      <w:color w:val="000000" w:themeColor="text1"/>
                      <w:sz w:val="21"/>
                      <w:szCs w:val="21"/>
                    </w:rPr>
                  </w:pPr>
                </w:p>
              </w:tc>
              <w:tc>
                <w:tcPr>
                  <w:tcW w:w="2642" w:type="dxa"/>
                  <w:vAlign w:val="center"/>
                </w:tcPr>
                <w:p>
                  <w:pPr>
                    <w:adjustRightInd w:val="0"/>
                    <w:snapToGrid w:val="0"/>
                    <w:jc w:val="center"/>
                    <w:rPr>
                      <w:color w:val="000000" w:themeColor="text1"/>
                      <w:sz w:val="21"/>
                      <w:szCs w:val="21"/>
                    </w:rPr>
                  </w:pPr>
                  <w:r>
                    <w:rPr>
                      <w:rFonts w:hint="eastAsia"/>
                      <w:color w:val="000000" w:themeColor="text1"/>
                      <w:sz w:val="21"/>
                      <w:szCs w:val="21"/>
                    </w:rPr>
                    <w:t>水</w:t>
                  </w:r>
                </w:p>
              </w:tc>
              <w:tc>
                <w:tcPr>
                  <w:tcW w:w="2642" w:type="dxa"/>
                  <w:vMerge w:val="continue"/>
                  <w:vAlign w:val="center"/>
                </w:tcPr>
                <w:p>
                  <w:pPr>
                    <w:adjustRightInd w:val="0"/>
                    <w:snapToGrid w:val="0"/>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46" w:type="dxa"/>
                  <w:vMerge w:val="restart"/>
                  <w:vAlign w:val="center"/>
                </w:tcPr>
                <w:p>
                  <w:pPr>
                    <w:adjustRightInd w:val="0"/>
                    <w:snapToGrid w:val="0"/>
                    <w:jc w:val="center"/>
                    <w:rPr>
                      <w:color w:val="000000" w:themeColor="text1"/>
                      <w:sz w:val="21"/>
                      <w:szCs w:val="21"/>
                    </w:rPr>
                  </w:pPr>
                  <w:r>
                    <w:rPr>
                      <w:color w:val="000000" w:themeColor="text1"/>
                      <w:sz w:val="21"/>
                      <w:szCs w:val="21"/>
                    </w:rPr>
                    <w:t>2</w:t>
                  </w:r>
                </w:p>
              </w:tc>
              <w:tc>
                <w:tcPr>
                  <w:tcW w:w="1339" w:type="dxa"/>
                  <w:vMerge w:val="restart"/>
                  <w:vAlign w:val="center"/>
                </w:tcPr>
                <w:p>
                  <w:pPr>
                    <w:adjustRightInd w:val="0"/>
                    <w:snapToGrid w:val="0"/>
                    <w:jc w:val="center"/>
                    <w:rPr>
                      <w:color w:val="000000" w:themeColor="text1"/>
                      <w:sz w:val="21"/>
                      <w:szCs w:val="21"/>
                    </w:rPr>
                  </w:pPr>
                  <w:r>
                    <w:rPr>
                      <w:color w:val="000000" w:themeColor="text1"/>
                      <w:sz w:val="21"/>
                      <w:szCs w:val="21"/>
                    </w:rPr>
                    <w:t>水性</w:t>
                  </w:r>
                  <w:r>
                    <w:rPr>
                      <w:rFonts w:hint="eastAsia"/>
                      <w:color w:val="000000" w:themeColor="text1"/>
                      <w:sz w:val="21"/>
                      <w:szCs w:val="21"/>
                    </w:rPr>
                    <w:t>面</w:t>
                  </w:r>
                  <w:r>
                    <w:rPr>
                      <w:color w:val="000000" w:themeColor="text1"/>
                      <w:sz w:val="21"/>
                      <w:szCs w:val="21"/>
                    </w:rPr>
                    <w:t>漆</w:t>
                  </w:r>
                </w:p>
              </w:tc>
              <w:tc>
                <w:tcPr>
                  <w:tcW w:w="849" w:type="dxa"/>
                  <w:vAlign w:val="center"/>
                </w:tcPr>
                <w:p>
                  <w:pPr>
                    <w:adjustRightInd w:val="0"/>
                    <w:snapToGrid w:val="0"/>
                    <w:jc w:val="center"/>
                    <w:rPr>
                      <w:color w:val="000000" w:themeColor="text1"/>
                      <w:sz w:val="21"/>
                      <w:szCs w:val="21"/>
                    </w:rPr>
                  </w:pPr>
                  <w:r>
                    <w:rPr>
                      <w:color w:val="000000" w:themeColor="text1"/>
                      <w:sz w:val="21"/>
                      <w:szCs w:val="21"/>
                    </w:rPr>
                    <w:t>固组分</w:t>
                  </w:r>
                </w:p>
              </w:tc>
              <w:tc>
                <w:tcPr>
                  <w:tcW w:w="2642" w:type="dxa"/>
                  <w:vAlign w:val="center"/>
                </w:tcPr>
                <w:p>
                  <w:pPr>
                    <w:adjustRightInd w:val="0"/>
                    <w:snapToGrid w:val="0"/>
                    <w:jc w:val="center"/>
                    <w:rPr>
                      <w:color w:val="000000" w:themeColor="text1"/>
                      <w:sz w:val="21"/>
                      <w:szCs w:val="21"/>
                    </w:rPr>
                  </w:pPr>
                  <w:r>
                    <w:rPr>
                      <w:color w:val="000000" w:themeColor="text1"/>
                      <w:sz w:val="21"/>
                      <w:szCs w:val="21"/>
                    </w:rPr>
                    <w:t>聚氨酯、颜料、填料</w:t>
                  </w:r>
                  <w:r>
                    <w:rPr>
                      <w:rFonts w:hint="eastAsia"/>
                      <w:color w:val="000000" w:themeColor="text1"/>
                      <w:sz w:val="21"/>
                      <w:szCs w:val="21"/>
                    </w:rPr>
                    <w:t>、助剂</w:t>
                  </w:r>
                  <w:r>
                    <w:rPr>
                      <w:color w:val="000000" w:themeColor="text1"/>
                      <w:sz w:val="21"/>
                      <w:szCs w:val="21"/>
                    </w:rPr>
                    <w:t>等</w:t>
                  </w:r>
                </w:p>
              </w:tc>
              <w:tc>
                <w:tcPr>
                  <w:tcW w:w="2642" w:type="dxa"/>
                  <w:vMerge w:val="restart"/>
                  <w:vAlign w:val="center"/>
                </w:tcPr>
                <w:p>
                  <w:pPr>
                    <w:adjustRightInd w:val="0"/>
                    <w:snapToGrid w:val="0"/>
                    <w:jc w:val="center"/>
                    <w:rPr>
                      <w:color w:val="000000" w:themeColor="text1"/>
                      <w:sz w:val="21"/>
                      <w:szCs w:val="21"/>
                    </w:rPr>
                  </w:pPr>
                  <w:r>
                    <w:rPr>
                      <w:rFonts w:hint="eastAsia"/>
                      <w:bCs/>
                      <w:sz w:val="21"/>
                      <w:szCs w:val="21"/>
                    </w:rPr>
                    <w:t>喷涂1层，每次喷涂上漆30</w:t>
                  </w:r>
                  <w:r>
                    <w:rPr>
                      <w:bCs/>
                      <w:sz w:val="21"/>
                      <w:szCs w:val="21"/>
                    </w:rPr>
                    <w:t>µ</w:t>
                  </w:r>
                  <w:r>
                    <w:rPr>
                      <w:rFonts w:hint="eastAsia"/>
                      <w:bCs/>
                      <w:sz w:val="21"/>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46" w:type="dxa"/>
                  <w:vMerge w:val="continue"/>
                  <w:vAlign w:val="center"/>
                </w:tcPr>
                <w:p>
                  <w:pPr>
                    <w:adjustRightInd w:val="0"/>
                    <w:snapToGrid w:val="0"/>
                    <w:jc w:val="center"/>
                    <w:rPr>
                      <w:color w:val="000000" w:themeColor="text1"/>
                      <w:sz w:val="21"/>
                      <w:szCs w:val="21"/>
                    </w:rPr>
                  </w:pPr>
                </w:p>
              </w:tc>
              <w:tc>
                <w:tcPr>
                  <w:tcW w:w="1339" w:type="dxa"/>
                  <w:vMerge w:val="continue"/>
                  <w:vAlign w:val="center"/>
                </w:tcPr>
                <w:p>
                  <w:pPr>
                    <w:adjustRightInd w:val="0"/>
                    <w:snapToGrid w:val="0"/>
                    <w:jc w:val="center"/>
                    <w:rPr>
                      <w:color w:val="000000" w:themeColor="text1"/>
                      <w:sz w:val="21"/>
                      <w:szCs w:val="21"/>
                    </w:rPr>
                  </w:pPr>
                </w:p>
              </w:tc>
              <w:tc>
                <w:tcPr>
                  <w:tcW w:w="849" w:type="dxa"/>
                  <w:vMerge w:val="restart"/>
                  <w:vAlign w:val="center"/>
                </w:tcPr>
                <w:p>
                  <w:pPr>
                    <w:adjustRightInd w:val="0"/>
                    <w:snapToGrid w:val="0"/>
                    <w:jc w:val="center"/>
                    <w:rPr>
                      <w:color w:val="000000" w:themeColor="text1"/>
                      <w:sz w:val="21"/>
                      <w:szCs w:val="21"/>
                    </w:rPr>
                  </w:pPr>
                  <w:r>
                    <w:rPr>
                      <w:color w:val="000000" w:themeColor="text1"/>
                      <w:sz w:val="21"/>
                      <w:szCs w:val="21"/>
                    </w:rPr>
                    <w:t>挥发分</w:t>
                  </w:r>
                </w:p>
              </w:tc>
              <w:tc>
                <w:tcPr>
                  <w:tcW w:w="2642" w:type="dxa"/>
                  <w:vAlign w:val="center"/>
                </w:tcPr>
                <w:p>
                  <w:pPr>
                    <w:adjustRightInd w:val="0"/>
                    <w:snapToGrid w:val="0"/>
                    <w:jc w:val="center"/>
                    <w:rPr>
                      <w:color w:val="000000" w:themeColor="text1"/>
                      <w:sz w:val="21"/>
                      <w:szCs w:val="21"/>
                    </w:rPr>
                  </w:pPr>
                  <w:r>
                    <w:rPr>
                      <w:color w:val="000000" w:themeColor="text1"/>
                      <w:sz w:val="21"/>
                      <w:szCs w:val="21"/>
                    </w:rPr>
                    <w:t>其他有机成分</w:t>
                  </w:r>
                </w:p>
              </w:tc>
              <w:tc>
                <w:tcPr>
                  <w:tcW w:w="2642" w:type="dxa"/>
                  <w:vMerge w:val="continue"/>
                  <w:vAlign w:val="center"/>
                </w:tcPr>
                <w:p>
                  <w:pPr>
                    <w:adjustRightInd w:val="0"/>
                    <w:snapToGrid w:val="0"/>
                    <w:jc w:val="center"/>
                    <w:rPr>
                      <w:color w:val="000000" w:themeColor="text1"/>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546" w:type="dxa"/>
                  <w:vMerge w:val="continue"/>
                  <w:vAlign w:val="center"/>
                </w:tcPr>
                <w:p>
                  <w:pPr>
                    <w:adjustRightInd w:val="0"/>
                    <w:snapToGrid w:val="0"/>
                    <w:jc w:val="center"/>
                    <w:rPr>
                      <w:color w:val="000000" w:themeColor="text1"/>
                      <w:sz w:val="21"/>
                      <w:szCs w:val="21"/>
                    </w:rPr>
                  </w:pPr>
                </w:p>
              </w:tc>
              <w:tc>
                <w:tcPr>
                  <w:tcW w:w="1339" w:type="dxa"/>
                  <w:vMerge w:val="continue"/>
                  <w:vAlign w:val="center"/>
                </w:tcPr>
                <w:p>
                  <w:pPr>
                    <w:adjustRightInd w:val="0"/>
                    <w:snapToGrid w:val="0"/>
                    <w:jc w:val="center"/>
                    <w:rPr>
                      <w:color w:val="000000" w:themeColor="text1"/>
                      <w:sz w:val="21"/>
                      <w:szCs w:val="21"/>
                    </w:rPr>
                  </w:pPr>
                </w:p>
              </w:tc>
              <w:tc>
                <w:tcPr>
                  <w:tcW w:w="849" w:type="dxa"/>
                  <w:vMerge w:val="continue"/>
                  <w:vAlign w:val="center"/>
                </w:tcPr>
                <w:p>
                  <w:pPr>
                    <w:adjustRightInd w:val="0"/>
                    <w:snapToGrid w:val="0"/>
                    <w:jc w:val="center"/>
                    <w:rPr>
                      <w:color w:val="000000" w:themeColor="text1"/>
                      <w:sz w:val="21"/>
                      <w:szCs w:val="21"/>
                    </w:rPr>
                  </w:pPr>
                </w:p>
              </w:tc>
              <w:tc>
                <w:tcPr>
                  <w:tcW w:w="2642" w:type="dxa"/>
                  <w:vAlign w:val="center"/>
                </w:tcPr>
                <w:p>
                  <w:pPr>
                    <w:adjustRightInd w:val="0"/>
                    <w:snapToGrid w:val="0"/>
                    <w:jc w:val="center"/>
                    <w:rPr>
                      <w:color w:val="000000" w:themeColor="text1"/>
                      <w:sz w:val="21"/>
                      <w:szCs w:val="21"/>
                    </w:rPr>
                  </w:pPr>
                  <w:r>
                    <w:rPr>
                      <w:color w:val="000000" w:themeColor="text1"/>
                      <w:sz w:val="21"/>
                      <w:szCs w:val="21"/>
                    </w:rPr>
                    <w:t>水</w:t>
                  </w:r>
                </w:p>
              </w:tc>
              <w:tc>
                <w:tcPr>
                  <w:tcW w:w="2642" w:type="dxa"/>
                  <w:vMerge w:val="continue"/>
                  <w:vAlign w:val="center"/>
                </w:tcPr>
                <w:p>
                  <w:pPr>
                    <w:adjustRightInd w:val="0"/>
                    <w:snapToGrid w:val="0"/>
                    <w:jc w:val="center"/>
                    <w:rPr>
                      <w:color w:val="000000" w:themeColor="text1"/>
                      <w:sz w:val="21"/>
                      <w:szCs w:val="21"/>
                    </w:rPr>
                  </w:pPr>
                </w:p>
              </w:tc>
            </w:tr>
          </w:tbl>
          <w:p>
            <w:pPr>
              <w:widowControl/>
              <w:adjustRightInd w:val="0"/>
              <w:snapToGrid w:val="0"/>
              <w:spacing w:line="480" w:lineRule="exact"/>
              <w:ind w:firstLine="480" w:firstLineChars="200"/>
              <w:rPr>
                <w:bCs/>
              </w:rPr>
            </w:pPr>
            <w:r>
              <w:rPr>
                <w:bCs/>
              </w:rPr>
              <w:t>本项目喷漆配件主要为挂车表面等配件，根据产品方案及企业提供资料，喷漆面积计算如下：</w:t>
            </w:r>
          </w:p>
          <w:p>
            <w:pPr>
              <w:widowControl/>
              <w:adjustRightInd w:val="0"/>
              <w:snapToGrid w:val="0"/>
              <w:spacing w:line="480" w:lineRule="exact"/>
              <w:ind w:firstLine="480" w:firstLineChars="200"/>
              <w:rPr>
                <w:bCs/>
              </w:rPr>
            </w:pPr>
            <w:r>
              <w:rPr>
                <w:bCs/>
              </w:rPr>
              <w:t>13</w:t>
            </w:r>
            <w:r>
              <w:rPr>
                <w:rFonts w:hint="eastAsia"/>
                <w:bCs/>
              </w:rPr>
              <w:t>×</w:t>
            </w:r>
            <w:r>
              <w:rPr>
                <w:bCs/>
              </w:rPr>
              <w:t>1.8</w:t>
            </w:r>
            <w:r>
              <w:rPr>
                <w:rFonts w:hint="eastAsia"/>
                <w:bCs/>
              </w:rPr>
              <w:t>×</w:t>
            </w:r>
            <w:r>
              <w:rPr>
                <w:bCs/>
              </w:rPr>
              <w:t>2.55--200辆（表面积为89.13×2×200）</w:t>
            </w:r>
          </w:p>
          <w:p>
            <w:pPr>
              <w:widowControl/>
              <w:adjustRightInd w:val="0"/>
              <w:snapToGrid w:val="0"/>
              <w:spacing w:line="480" w:lineRule="exact"/>
              <w:ind w:firstLine="480" w:firstLineChars="200"/>
              <w:rPr>
                <w:bCs/>
              </w:rPr>
            </w:pPr>
            <w:r>
              <w:rPr>
                <w:bCs/>
              </w:rPr>
              <w:t>13</w:t>
            </w:r>
            <w:r>
              <w:rPr>
                <w:rFonts w:hint="eastAsia"/>
                <w:bCs/>
              </w:rPr>
              <w:t>×</w:t>
            </w:r>
            <w:r>
              <w:rPr>
                <w:bCs/>
              </w:rPr>
              <w:t>1.6</w:t>
            </w:r>
            <w:r>
              <w:rPr>
                <w:rFonts w:hint="eastAsia"/>
                <w:bCs/>
              </w:rPr>
              <w:t>×</w:t>
            </w:r>
            <w:r>
              <w:rPr>
                <w:bCs/>
              </w:rPr>
              <w:t>2.55--100辆（表面积为82.91×2×100）</w:t>
            </w:r>
          </w:p>
          <w:p>
            <w:pPr>
              <w:widowControl/>
              <w:adjustRightInd w:val="0"/>
              <w:snapToGrid w:val="0"/>
              <w:spacing w:line="480" w:lineRule="exact"/>
              <w:ind w:firstLine="480" w:firstLineChars="200"/>
              <w:rPr>
                <w:bCs/>
              </w:rPr>
            </w:pPr>
            <w:r>
              <w:rPr>
                <w:bCs/>
              </w:rPr>
              <w:t>12</w:t>
            </w:r>
            <w:r>
              <w:rPr>
                <w:rFonts w:hint="eastAsia"/>
                <w:bCs/>
              </w:rPr>
              <w:t>×</w:t>
            </w:r>
            <w:r>
              <w:rPr>
                <w:bCs/>
              </w:rPr>
              <w:t>1.8</w:t>
            </w:r>
            <w:r>
              <w:rPr>
                <w:rFonts w:hint="eastAsia"/>
                <w:bCs/>
              </w:rPr>
              <w:t>×</w:t>
            </w:r>
            <w:r>
              <w:rPr>
                <w:bCs/>
              </w:rPr>
              <w:t>2.55--100辆（表面积为82.98×2×100）</w:t>
            </w:r>
          </w:p>
          <w:p>
            <w:pPr>
              <w:widowControl/>
              <w:adjustRightInd w:val="0"/>
              <w:snapToGrid w:val="0"/>
              <w:spacing w:line="480" w:lineRule="exact"/>
              <w:ind w:firstLine="480" w:firstLineChars="200"/>
              <w:rPr>
                <w:bCs/>
              </w:rPr>
            </w:pPr>
            <w:r>
              <w:rPr>
                <w:bCs/>
              </w:rPr>
              <w:t>12</w:t>
            </w:r>
            <w:r>
              <w:rPr>
                <w:rFonts w:hint="eastAsia"/>
                <w:bCs/>
              </w:rPr>
              <w:t>×</w:t>
            </w:r>
            <w:r>
              <w:rPr>
                <w:bCs/>
              </w:rPr>
              <w:t>1.6</w:t>
            </w:r>
            <w:r>
              <w:rPr>
                <w:rFonts w:hint="eastAsia"/>
                <w:bCs/>
              </w:rPr>
              <w:t>×</w:t>
            </w:r>
            <w:r>
              <w:rPr>
                <w:bCs/>
              </w:rPr>
              <w:t>2.55--100辆（表面积为77.16×2×100）</w:t>
            </w:r>
          </w:p>
          <w:p>
            <w:pPr>
              <w:widowControl/>
              <w:adjustRightInd w:val="0"/>
              <w:snapToGrid w:val="0"/>
              <w:spacing w:line="480" w:lineRule="exact"/>
              <w:ind w:firstLine="480" w:firstLineChars="200"/>
              <w:rPr>
                <w:bCs/>
              </w:rPr>
            </w:pPr>
            <w:r>
              <w:rPr>
                <w:bCs/>
              </w:rPr>
              <w:t>总喷漆面积为84262m</w:t>
            </w:r>
            <w:r>
              <w:rPr>
                <w:bCs/>
                <w:vertAlign w:val="superscript"/>
              </w:rPr>
              <w:t>2</w:t>
            </w:r>
            <w:r>
              <w:rPr>
                <w:bCs/>
              </w:rPr>
              <w:t>。</w:t>
            </w:r>
          </w:p>
          <w:p>
            <w:pPr>
              <w:widowControl/>
              <w:adjustRightInd w:val="0"/>
              <w:snapToGrid w:val="0"/>
              <w:spacing w:line="480" w:lineRule="exact"/>
              <w:ind w:firstLine="480" w:firstLineChars="200"/>
              <w:rPr>
                <w:bCs/>
              </w:rPr>
            </w:pPr>
            <w:r>
              <w:rPr>
                <w:rFonts w:hint="eastAsia"/>
                <w:bCs/>
              </w:rPr>
              <w:t>喷</w:t>
            </w:r>
            <w:r>
              <w:rPr>
                <w:bCs/>
              </w:rPr>
              <w:t>漆用量参照以下计算公式</w:t>
            </w:r>
          </w:p>
          <w:p>
            <w:pPr>
              <w:widowControl/>
              <w:adjustRightInd w:val="0"/>
              <w:snapToGrid w:val="0"/>
              <w:spacing w:line="480" w:lineRule="exact"/>
              <w:ind w:firstLine="480" w:firstLineChars="200"/>
              <w:jc w:val="center"/>
              <w:rPr>
                <w:bCs/>
              </w:rPr>
            </w:pPr>
            <w:r>
              <w:rPr>
                <w:bCs/>
              </w:rPr>
              <w:t>m=ρδs×10</w:t>
            </w:r>
            <w:r>
              <w:rPr>
                <w:bCs/>
                <w:vertAlign w:val="superscript"/>
              </w:rPr>
              <w:t>-6</w:t>
            </w:r>
            <w:r>
              <w:rPr>
                <w:bCs/>
              </w:rPr>
              <w:t>/（NV·ε）=1.5×40×84262/（0.72×0.8）=8.78t/a</w:t>
            </w:r>
          </w:p>
          <w:p>
            <w:pPr>
              <w:widowControl/>
              <w:adjustRightInd w:val="0"/>
              <w:snapToGrid w:val="0"/>
              <w:spacing w:line="480" w:lineRule="exact"/>
              <w:ind w:firstLine="480" w:firstLineChars="200"/>
              <w:rPr>
                <w:bCs/>
              </w:rPr>
            </w:pPr>
            <w:r>
              <w:rPr>
                <w:bCs/>
              </w:rPr>
              <w:t>其中：m——单种油漆用量（t/a）；</w:t>
            </w:r>
          </w:p>
          <w:p>
            <w:pPr>
              <w:widowControl/>
              <w:adjustRightInd w:val="0"/>
              <w:snapToGrid w:val="0"/>
              <w:spacing w:line="480" w:lineRule="exact"/>
              <w:ind w:firstLine="480" w:firstLineChars="200"/>
              <w:rPr>
                <w:bCs/>
              </w:rPr>
            </w:pPr>
            <w:r>
              <w:rPr>
                <w:bCs/>
              </w:rPr>
              <w:t xml:space="preserve">      ρ——该油漆密度，单位：g/cm</w:t>
            </w:r>
            <w:r>
              <w:rPr>
                <w:bCs/>
                <w:vertAlign w:val="superscript"/>
              </w:rPr>
              <w:t>3</w:t>
            </w:r>
            <w:r>
              <w:rPr>
                <w:bCs/>
              </w:rPr>
              <w:t>，取1.5g/cm</w:t>
            </w:r>
            <w:r>
              <w:rPr>
                <w:bCs/>
                <w:vertAlign w:val="superscript"/>
              </w:rPr>
              <w:t>3</w:t>
            </w:r>
            <w:r>
              <w:rPr>
                <w:bCs/>
              </w:rPr>
              <w:t>；</w:t>
            </w:r>
          </w:p>
          <w:p>
            <w:pPr>
              <w:widowControl/>
              <w:adjustRightInd w:val="0"/>
              <w:snapToGrid w:val="0"/>
              <w:spacing w:line="480" w:lineRule="exact"/>
              <w:ind w:firstLine="480" w:firstLineChars="200"/>
              <w:rPr>
                <w:bCs/>
              </w:rPr>
            </w:pPr>
            <w:r>
              <w:rPr>
                <w:bCs/>
              </w:rPr>
              <w:t xml:space="preserve">      δ——涂层厚度（μm），取40μm；</w:t>
            </w:r>
          </w:p>
          <w:p>
            <w:pPr>
              <w:widowControl/>
              <w:adjustRightInd w:val="0"/>
              <w:snapToGrid w:val="0"/>
              <w:spacing w:line="480" w:lineRule="exact"/>
              <w:ind w:firstLine="480" w:firstLineChars="200"/>
              <w:rPr>
                <w:bCs/>
              </w:rPr>
            </w:pPr>
            <w:r>
              <w:rPr>
                <w:bCs/>
              </w:rPr>
              <w:t xml:space="preserve">      s——涂装面积（m</w:t>
            </w:r>
            <w:r>
              <w:rPr>
                <w:bCs/>
                <w:vertAlign w:val="superscript"/>
              </w:rPr>
              <w:t>2</w:t>
            </w:r>
            <w:r>
              <w:rPr>
                <w:bCs/>
              </w:rPr>
              <w:t>），经计算本项目涂装面积约为84262m</w:t>
            </w:r>
            <w:r>
              <w:rPr>
                <w:bCs/>
                <w:vertAlign w:val="superscript"/>
              </w:rPr>
              <w:t>2</w:t>
            </w:r>
            <w:r>
              <w:rPr>
                <w:bCs/>
              </w:rPr>
              <w:t>；</w:t>
            </w:r>
          </w:p>
          <w:p>
            <w:pPr>
              <w:widowControl/>
              <w:adjustRightInd w:val="0"/>
              <w:snapToGrid w:val="0"/>
              <w:spacing w:line="480" w:lineRule="exact"/>
              <w:ind w:firstLine="480" w:firstLineChars="200"/>
              <w:rPr>
                <w:bCs/>
              </w:rPr>
            </w:pPr>
            <w:r>
              <w:rPr>
                <w:bCs/>
              </w:rPr>
              <w:t xml:space="preserve">      NV——工作漆中的体积固体份（%），取72%；</w:t>
            </w:r>
          </w:p>
          <w:p>
            <w:pPr>
              <w:widowControl/>
              <w:adjustRightInd w:val="0"/>
              <w:snapToGrid w:val="0"/>
              <w:spacing w:line="480" w:lineRule="exact"/>
              <w:ind w:firstLine="480" w:firstLineChars="200"/>
              <w:rPr>
                <w:bCs/>
              </w:rPr>
            </w:pPr>
            <w:r>
              <w:rPr>
                <w:bCs/>
              </w:rPr>
              <w:t xml:space="preserve">      ε——上漆率（%），取80%。</w:t>
            </w:r>
          </w:p>
          <w:p>
            <w:pPr>
              <w:adjustRightInd w:val="0"/>
              <w:snapToGrid w:val="0"/>
              <w:spacing w:line="480" w:lineRule="exact"/>
              <w:ind w:firstLine="480" w:firstLineChars="200"/>
              <w:rPr>
                <w:bCs/>
              </w:rPr>
            </w:pPr>
            <w:r>
              <w:rPr>
                <w:bCs/>
              </w:rPr>
              <w:t>由上式计算结果，底漆用量为8.78t/a。</w:t>
            </w:r>
          </w:p>
          <w:p>
            <w:pPr>
              <w:widowControl/>
              <w:spacing w:line="480" w:lineRule="exact"/>
              <w:ind w:firstLine="480" w:firstLineChars="200"/>
              <w:rPr>
                <w:bCs/>
              </w:rPr>
            </w:pPr>
            <w:r>
              <w:rPr>
                <w:bCs/>
              </w:rPr>
              <w:t>根据企业提供资料，</w:t>
            </w:r>
            <w:r>
              <w:rPr>
                <w:rFonts w:hint="eastAsia"/>
                <w:bCs/>
              </w:rPr>
              <w:t>水性丙烯酸+环氧树脂</w:t>
            </w:r>
            <w:r>
              <w:rPr>
                <w:bCs/>
              </w:rPr>
              <w:t>：颜填料：</w:t>
            </w:r>
            <w:r>
              <w:rPr>
                <w:rFonts w:hint="eastAsia"/>
                <w:bCs/>
              </w:rPr>
              <w:t>去离子水：助</w:t>
            </w:r>
            <w:r>
              <w:rPr>
                <w:bCs/>
              </w:rPr>
              <w:t>剂=</w:t>
            </w:r>
            <w:r>
              <w:rPr>
                <w:rFonts w:hint="eastAsia"/>
                <w:bCs/>
              </w:rPr>
              <w:t>12</w:t>
            </w:r>
            <w:r>
              <w:rPr>
                <w:bCs/>
              </w:rPr>
              <w:t>：</w:t>
            </w:r>
            <w:r>
              <w:rPr>
                <w:rFonts w:hint="eastAsia"/>
                <w:bCs/>
              </w:rPr>
              <w:t>3</w:t>
            </w:r>
            <w:r>
              <w:rPr>
                <w:bCs/>
              </w:rPr>
              <w:t>：</w:t>
            </w:r>
            <w:r>
              <w:rPr>
                <w:rFonts w:hint="eastAsia"/>
                <w:bCs/>
              </w:rPr>
              <w:t>4：1</w:t>
            </w:r>
            <w:r>
              <w:rPr>
                <w:bCs/>
              </w:rPr>
              <w:t>，则需要颜填料</w:t>
            </w:r>
            <w:r>
              <w:rPr>
                <w:rFonts w:hint="eastAsia"/>
                <w:bCs/>
              </w:rPr>
              <w:t>2.19</w:t>
            </w:r>
            <w:r>
              <w:rPr>
                <w:bCs/>
              </w:rPr>
              <w:t>t/a</w:t>
            </w:r>
            <w:r>
              <w:rPr>
                <w:rFonts w:hint="eastAsia"/>
                <w:bCs/>
              </w:rPr>
              <w:t>，去离子水2.93t/a</w:t>
            </w:r>
            <w:r>
              <w:rPr>
                <w:bCs/>
              </w:rPr>
              <w:t>，</w:t>
            </w:r>
            <w:r>
              <w:rPr>
                <w:rFonts w:hint="eastAsia"/>
                <w:bCs/>
              </w:rPr>
              <w:t>助</w:t>
            </w:r>
            <w:r>
              <w:rPr>
                <w:bCs/>
              </w:rPr>
              <w:t>剂</w:t>
            </w:r>
            <w:r>
              <w:rPr>
                <w:rFonts w:hint="eastAsia"/>
                <w:bCs/>
              </w:rPr>
              <w:t>0.73</w:t>
            </w:r>
            <w:r>
              <w:rPr>
                <w:bCs/>
              </w:rPr>
              <w:t>t/a。</w:t>
            </w:r>
          </w:p>
          <w:p>
            <w:pPr>
              <w:adjustRightInd w:val="0"/>
              <w:snapToGrid w:val="0"/>
              <w:spacing w:line="480" w:lineRule="exact"/>
              <w:ind w:firstLine="480" w:firstLineChars="200"/>
              <w:rPr>
                <w:bCs/>
              </w:rPr>
            </w:pPr>
            <w:r>
              <w:rPr>
                <w:rFonts w:hint="eastAsia"/>
                <w:bCs/>
              </w:rPr>
              <w:t>面漆的涂装厚度取30</w:t>
            </w:r>
            <w:r>
              <w:rPr>
                <w:bCs/>
              </w:rPr>
              <w:t>μm</w:t>
            </w:r>
            <w:r>
              <w:rPr>
                <w:rFonts w:hint="eastAsia"/>
                <w:bCs/>
              </w:rPr>
              <w:t>；</w:t>
            </w:r>
          </w:p>
          <w:p>
            <w:pPr>
              <w:adjustRightInd w:val="0"/>
              <w:snapToGrid w:val="0"/>
              <w:spacing w:line="480" w:lineRule="exact"/>
              <w:ind w:firstLine="480" w:firstLineChars="200"/>
              <w:rPr>
                <w:bCs/>
              </w:rPr>
            </w:pPr>
            <w:r>
              <w:rPr>
                <w:bCs/>
              </w:rPr>
              <w:t>m=ρδs×10</w:t>
            </w:r>
            <w:r>
              <w:rPr>
                <w:bCs/>
                <w:vertAlign w:val="superscript"/>
              </w:rPr>
              <w:t>-6</w:t>
            </w:r>
            <w:r>
              <w:rPr>
                <w:bCs/>
              </w:rPr>
              <w:t>/（NV·ε）=1.5×</w:t>
            </w:r>
            <w:r>
              <w:rPr>
                <w:rFonts w:hint="eastAsia"/>
                <w:bCs/>
              </w:rPr>
              <w:t>30</w:t>
            </w:r>
            <w:r>
              <w:rPr>
                <w:bCs/>
              </w:rPr>
              <w:t>×84262/（0.72×0.8）=</w:t>
            </w:r>
            <w:r>
              <w:rPr>
                <w:rFonts w:hint="eastAsia"/>
                <w:bCs/>
              </w:rPr>
              <w:t>6.58</w:t>
            </w:r>
            <w:r>
              <w:rPr>
                <w:bCs/>
              </w:rPr>
              <w:t>t/a</w:t>
            </w:r>
          </w:p>
          <w:p>
            <w:pPr>
              <w:adjustRightInd w:val="0"/>
              <w:snapToGrid w:val="0"/>
              <w:spacing w:line="480" w:lineRule="exact"/>
              <w:ind w:firstLine="480" w:firstLineChars="200"/>
              <w:rPr>
                <w:bCs/>
              </w:rPr>
            </w:pPr>
            <w:r>
              <w:rPr>
                <w:rFonts w:hint="eastAsia"/>
                <w:bCs/>
              </w:rPr>
              <w:t>则面漆的用量为6.58</w:t>
            </w:r>
            <w:r>
              <w:rPr>
                <w:bCs/>
              </w:rPr>
              <w:t>t/a。</w:t>
            </w:r>
          </w:p>
          <w:p>
            <w:pPr>
              <w:widowControl/>
              <w:spacing w:line="480" w:lineRule="exact"/>
              <w:ind w:firstLine="480" w:firstLineChars="200"/>
              <w:rPr>
                <w:bCs/>
              </w:rPr>
            </w:pPr>
            <w:r>
              <w:rPr>
                <w:bCs/>
              </w:rPr>
              <w:t>根据企业提供资料，漆料：颜填料：</w:t>
            </w:r>
            <w:r>
              <w:rPr>
                <w:rFonts w:hint="eastAsia"/>
                <w:bCs/>
              </w:rPr>
              <w:t>助</w:t>
            </w:r>
            <w:r>
              <w:rPr>
                <w:bCs/>
              </w:rPr>
              <w:t>剂</w:t>
            </w:r>
            <w:r>
              <w:rPr>
                <w:rFonts w:hint="eastAsia"/>
                <w:bCs/>
              </w:rPr>
              <w:t>：去离子水</w:t>
            </w:r>
            <w:r>
              <w:rPr>
                <w:bCs/>
              </w:rPr>
              <w:t>=</w:t>
            </w:r>
            <w:r>
              <w:rPr>
                <w:rFonts w:hint="eastAsia"/>
                <w:bCs/>
              </w:rPr>
              <w:t>7</w:t>
            </w:r>
            <w:r>
              <w:rPr>
                <w:bCs/>
              </w:rPr>
              <w:t>：</w:t>
            </w:r>
            <w:r>
              <w:rPr>
                <w:rFonts w:hint="eastAsia"/>
                <w:bCs/>
              </w:rPr>
              <w:t>2</w:t>
            </w:r>
            <w:r>
              <w:rPr>
                <w:bCs/>
              </w:rPr>
              <w:t>：</w:t>
            </w:r>
            <w:r>
              <w:rPr>
                <w:rFonts w:hint="eastAsia"/>
                <w:bCs/>
              </w:rPr>
              <w:t>1：3</w:t>
            </w:r>
            <w:r>
              <w:rPr>
                <w:bCs/>
              </w:rPr>
              <w:t>，则需要颜填料</w:t>
            </w:r>
            <w:r>
              <w:rPr>
                <w:rFonts w:hint="eastAsia"/>
                <w:bCs/>
              </w:rPr>
              <w:t>1.88</w:t>
            </w:r>
            <w:r>
              <w:rPr>
                <w:bCs/>
              </w:rPr>
              <w:t>t/a，</w:t>
            </w:r>
            <w:r>
              <w:rPr>
                <w:rFonts w:hint="eastAsia"/>
                <w:bCs/>
              </w:rPr>
              <w:t>助</w:t>
            </w:r>
            <w:r>
              <w:rPr>
                <w:bCs/>
              </w:rPr>
              <w:t>剂</w:t>
            </w:r>
            <w:r>
              <w:rPr>
                <w:rFonts w:hint="eastAsia"/>
                <w:bCs/>
              </w:rPr>
              <w:t>0.94</w:t>
            </w:r>
            <w:r>
              <w:rPr>
                <w:bCs/>
              </w:rPr>
              <w:t>t/a</w:t>
            </w:r>
            <w:r>
              <w:rPr>
                <w:rFonts w:hint="eastAsia"/>
                <w:bCs/>
              </w:rPr>
              <w:t>，去离子水2.82</w:t>
            </w:r>
            <w:r>
              <w:rPr>
                <w:bCs/>
              </w:rPr>
              <w:t>t/a。</w:t>
            </w:r>
          </w:p>
          <w:p>
            <w:pPr>
              <w:widowControl/>
              <w:spacing w:line="480" w:lineRule="exact"/>
              <w:jc w:val="center"/>
              <w:rPr>
                <w:b/>
                <w:bCs/>
                <w:color w:val="000000"/>
              </w:rPr>
            </w:pPr>
            <w:r>
              <w:rPr>
                <w:rFonts w:hint="eastAsia"/>
                <w:b/>
                <w:bCs/>
                <w:color w:val="000000"/>
              </w:rPr>
              <w:t>表2-5  丙烯酸乳液的理化性质</w:t>
            </w:r>
          </w:p>
          <w:tbl>
            <w:tblPr>
              <w:tblStyle w:val="32"/>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
              <w:gridCol w:w="1537"/>
              <w:gridCol w:w="600"/>
              <w:gridCol w:w="611"/>
              <w:gridCol w:w="658"/>
              <w:gridCol w:w="481"/>
              <w:gridCol w:w="72"/>
              <w:gridCol w:w="278"/>
              <w:gridCol w:w="288"/>
              <w:gridCol w:w="645"/>
              <w:gridCol w:w="330"/>
              <w:gridCol w:w="881"/>
              <w:gridCol w:w="306"/>
              <w:gridCol w:w="9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restart"/>
                  <w:vAlign w:val="center"/>
                </w:tcPr>
                <w:p>
                  <w:pPr>
                    <w:widowControl/>
                    <w:spacing w:line="320" w:lineRule="exact"/>
                    <w:jc w:val="center"/>
                    <w:rPr>
                      <w:color w:val="000000"/>
                      <w:sz w:val="21"/>
                      <w:szCs w:val="21"/>
                    </w:rPr>
                  </w:pPr>
                  <w:r>
                    <w:rPr>
                      <w:rFonts w:hint="eastAsia"/>
                      <w:color w:val="000000"/>
                      <w:sz w:val="21"/>
                      <w:szCs w:val="21"/>
                    </w:rPr>
                    <w:t>标识</w:t>
                  </w:r>
                </w:p>
              </w:tc>
              <w:tc>
                <w:tcPr>
                  <w:tcW w:w="4237" w:type="dxa"/>
                  <w:gridSpan w:val="7"/>
                  <w:vAlign w:val="center"/>
                </w:tcPr>
                <w:p>
                  <w:pPr>
                    <w:widowControl/>
                    <w:spacing w:line="320" w:lineRule="exact"/>
                    <w:jc w:val="center"/>
                    <w:rPr>
                      <w:color w:val="000000"/>
                      <w:sz w:val="21"/>
                      <w:szCs w:val="21"/>
                    </w:rPr>
                  </w:pPr>
                  <w:r>
                    <w:rPr>
                      <w:rFonts w:hint="eastAsia"/>
                      <w:color w:val="000000"/>
                      <w:sz w:val="21"/>
                      <w:szCs w:val="21"/>
                    </w:rPr>
                    <w:t>中文名：丙烯酸</w:t>
                  </w:r>
                </w:p>
              </w:tc>
              <w:tc>
                <w:tcPr>
                  <w:tcW w:w="3358" w:type="dxa"/>
                  <w:gridSpan w:val="6"/>
                  <w:vAlign w:val="center"/>
                </w:tcPr>
                <w:p>
                  <w:pPr>
                    <w:widowControl/>
                    <w:spacing w:line="320" w:lineRule="exact"/>
                    <w:jc w:val="center"/>
                    <w:rPr>
                      <w:color w:val="000000"/>
                      <w:sz w:val="21"/>
                      <w:szCs w:val="21"/>
                    </w:rPr>
                  </w:pPr>
                  <w:r>
                    <w:rPr>
                      <w:rFonts w:hint="eastAsia"/>
                      <w:color w:val="000000"/>
                      <w:sz w:val="21"/>
                      <w:szCs w:val="21"/>
                    </w:rPr>
                    <w:t>危险货物编号：81617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4237" w:type="dxa"/>
                  <w:gridSpan w:val="7"/>
                  <w:vAlign w:val="center"/>
                </w:tcPr>
                <w:p>
                  <w:pPr>
                    <w:widowControl/>
                    <w:spacing w:line="320" w:lineRule="exact"/>
                    <w:jc w:val="center"/>
                    <w:rPr>
                      <w:color w:val="000000"/>
                      <w:sz w:val="21"/>
                      <w:szCs w:val="21"/>
                    </w:rPr>
                  </w:pPr>
                  <w:r>
                    <w:rPr>
                      <w:rFonts w:hint="eastAsia"/>
                      <w:color w:val="000000"/>
                      <w:sz w:val="21"/>
                      <w:szCs w:val="21"/>
                    </w:rPr>
                    <w:t>英文名：acrylic acid propenoic acid</w:t>
                  </w:r>
                </w:p>
              </w:tc>
              <w:tc>
                <w:tcPr>
                  <w:tcW w:w="3358" w:type="dxa"/>
                  <w:gridSpan w:val="6"/>
                  <w:vAlign w:val="center"/>
                </w:tcPr>
                <w:p>
                  <w:pPr>
                    <w:widowControl/>
                    <w:spacing w:line="320" w:lineRule="exact"/>
                    <w:jc w:val="center"/>
                    <w:rPr>
                      <w:color w:val="000000"/>
                      <w:sz w:val="21"/>
                      <w:szCs w:val="21"/>
                    </w:rPr>
                  </w:pPr>
                  <w:r>
                    <w:rPr>
                      <w:rFonts w:hint="eastAsia"/>
                      <w:color w:val="000000"/>
                      <w:sz w:val="21"/>
                      <w:szCs w:val="21"/>
                    </w:rPr>
                    <w:t>UN编号：2218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2137" w:type="dxa"/>
                  <w:gridSpan w:val="2"/>
                  <w:vAlign w:val="center"/>
                </w:tcPr>
                <w:p>
                  <w:pPr>
                    <w:widowControl/>
                    <w:spacing w:line="320" w:lineRule="exact"/>
                    <w:jc w:val="center"/>
                    <w:rPr>
                      <w:color w:val="000000"/>
                      <w:sz w:val="21"/>
                      <w:szCs w:val="21"/>
                    </w:rPr>
                  </w:pPr>
                  <w:r>
                    <w:rPr>
                      <w:rFonts w:hint="eastAsia"/>
                      <w:color w:val="000000"/>
                      <w:sz w:val="21"/>
                      <w:szCs w:val="21"/>
                    </w:rPr>
                    <w:t>分子式：C</w:t>
                  </w:r>
                  <w:r>
                    <w:rPr>
                      <w:rFonts w:hint="eastAsia"/>
                      <w:color w:val="000000"/>
                      <w:sz w:val="21"/>
                      <w:szCs w:val="21"/>
                      <w:vertAlign w:val="subscript"/>
                    </w:rPr>
                    <w:t>3</w:t>
                  </w:r>
                  <w:r>
                    <w:rPr>
                      <w:rFonts w:hint="eastAsia"/>
                      <w:color w:val="000000"/>
                      <w:sz w:val="21"/>
                      <w:szCs w:val="21"/>
                    </w:rPr>
                    <w:t>H</w:t>
                  </w:r>
                  <w:r>
                    <w:rPr>
                      <w:rFonts w:hint="eastAsia"/>
                      <w:color w:val="000000"/>
                      <w:sz w:val="21"/>
                      <w:szCs w:val="21"/>
                      <w:vertAlign w:val="subscript"/>
                    </w:rPr>
                    <w:t>4</w:t>
                  </w:r>
                  <w:r>
                    <w:rPr>
                      <w:rFonts w:hint="eastAsia"/>
                      <w:color w:val="000000"/>
                      <w:sz w:val="21"/>
                      <w:szCs w:val="21"/>
                    </w:rPr>
                    <w:t>O</w:t>
                  </w:r>
                  <w:r>
                    <w:rPr>
                      <w:rFonts w:hint="eastAsia"/>
                      <w:color w:val="000000"/>
                      <w:sz w:val="21"/>
                      <w:szCs w:val="21"/>
                      <w:vertAlign w:val="subscript"/>
                    </w:rPr>
                    <w:t>2</w:t>
                  </w:r>
                </w:p>
              </w:tc>
              <w:tc>
                <w:tcPr>
                  <w:tcW w:w="2100" w:type="dxa"/>
                  <w:gridSpan w:val="5"/>
                  <w:vAlign w:val="center"/>
                </w:tcPr>
                <w:p>
                  <w:pPr>
                    <w:widowControl/>
                    <w:spacing w:line="320" w:lineRule="exact"/>
                    <w:jc w:val="center"/>
                    <w:rPr>
                      <w:color w:val="000000"/>
                      <w:sz w:val="21"/>
                      <w:szCs w:val="21"/>
                    </w:rPr>
                  </w:pPr>
                  <w:r>
                    <w:rPr>
                      <w:rFonts w:hint="eastAsia"/>
                      <w:color w:val="000000"/>
                      <w:sz w:val="21"/>
                      <w:szCs w:val="21"/>
                    </w:rPr>
                    <w:t>分子量：72.06</w:t>
                  </w:r>
                </w:p>
              </w:tc>
              <w:tc>
                <w:tcPr>
                  <w:tcW w:w="3358" w:type="dxa"/>
                  <w:gridSpan w:val="6"/>
                  <w:vAlign w:val="center"/>
                </w:tcPr>
                <w:p>
                  <w:pPr>
                    <w:widowControl/>
                    <w:spacing w:line="320" w:lineRule="exact"/>
                    <w:jc w:val="center"/>
                    <w:rPr>
                      <w:color w:val="000000"/>
                      <w:sz w:val="21"/>
                      <w:szCs w:val="21"/>
                    </w:rPr>
                  </w:pPr>
                  <w:r>
                    <w:rPr>
                      <w:rFonts w:hint="eastAsia"/>
                      <w:color w:val="000000"/>
                      <w:sz w:val="21"/>
                      <w:szCs w:val="21"/>
                    </w:rPr>
                    <w:t>CAS编号：79-10-7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 w:type="dxa"/>
                  <w:vMerge w:val="restart"/>
                  <w:vAlign w:val="center"/>
                </w:tcPr>
                <w:p>
                  <w:pPr>
                    <w:widowControl/>
                    <w:spacing w:line="320" w:lineRule="exact"/>
                    <w:jc w:val="center"/>
                    <w:rPr>
                      <w:color w:val="000000"/>
                      <w:sz w:val="21"/>
                      <w:szCs w:val="21"/>
                    </w:rPr>
                  </w:pPr>
                  <w:r>
                    <w:rPr>
                      <w:rFonts w:hint="eastAsia"/>
                      <w:color w:val="000000"/>
                      <w:sz w:val="21"/>
                      <w:szCs w:val="21"/>
                    </w:rPr>
                    <w:t>理化性质</w:t>
                  </w:r>
                </w:p>
              </w:tc>
              <w:tc>
                <w:tcPr>
                  <w:tcW w:w="1537" w:type="dxa"/>
                  <w:vAlign w:val="center"/>
                </w:tcPr>
                <w:p>
                  <w:pPr>
                    <w:widowControl/>
                    <w:spacing w:line="320" w:lineRule="exact"/>
                    <w:jc w:val="center"/>
                    <w:rPr>
                      <w:color w:val="000000"/>
                      <w:sz w:val="21"/>
                      <w:szCs w:val="21"/>
                    </w:rPr>
                  </w:pPr>
                  <w:r>
                    <w:rPr>
                      <w:rFonts w:hint="eastAsia"/>
                      <w:color w:val="000000"/>
                      <w:sz w:val="21"/>
                      <w:szCs w:val="21"/>
                    </w:rPr>
                    <w:t>外观与性状</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无色液体，有刺激性气味。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熔点（℃）</w:t>
                  </w:r>
                </w:p>
              </w:tc>
              <w:tc>
                <w:tcPr>
                  <w:tcW w:w="600" w:type="dxa"/>
                  <w:vAlign w:val="center"/>
                </w:tcPr>
                <w:p>
                  <w:pPr>
                    <w:widowControl/>
                    <w:spacing w:line="320" w:lineRule="exact"/>
                    <w:jc w:val="center"/>
                    <w:rPr>
                      <w:color w:val="000000"/>
                      <w:sz w:val="21"/>
                      <w:szCs w:val="21"/>
                    </w:rPr>
                  </w:pPr>
                  <w:r>
                    <w:rPr>
                      <w:rFonts w:hint="eastAsia"/>
                      <w:color w:val="000000"/>
                      <w:sz w:val="21"/>
                      <w:szCs w:val="21"/>
                    </w:rPr>
                    <w:t>14</w:t>
                  </w:r>
                </w:p>
              </w:tc>
              <w:tc>
                <w:tcPr>
                  <w:tcW w:w="1750" w:type="dxa"/>
                  <w:gridSpan w:val="3"/>
                  <w:vAlign w:val="center"/>
                </w:tcPr>
                <w:p>
                  <w:pPr>
                    <w:widowControl/>
                    <w:spacing w:line="320" w:lineRule="exact"/>
                    <w:jc w:val="center"/>
                    <w:rPr>
                      <w:color w:val="000000"/>
                      <w:sz w:val="21"/>
                      <w:szCs w:val="21"/>
                    </w:rPr>
                  </w:pPr>
                  <w:r>
                    <w:rPr>
                      <w:rFonts w:hint="eastAsia"/>
                      <w:color w:val="000000"/>
                      <w:sz w:val="21"/>
                      <w:szCs w:val="21"/>
                    </w:rPr>
                    <w:t>相对密度（水=1）</w:t>
                  </w:r>
                </w:p>
              </w:tc>
              <w:tc>
                <w:tcPr>
                  <w:tcW w:w="638" w:type="dxa"/>
                  <w:gridSpan w:val="3"/>
                  <w:vAlign w:val="center"/>
                </w:tcPr>
                <w:p>
                  <w:pPr>
                    <w:widowControl/>
                    <w:spacing w:line="320" w:lineRule="exact"/>
                    <w:jc w:val="center"/>
                    <w:rPr>
                      <w:color w:val="000000"/>
                      <w:sz w:val="21"/>
                      <w:szCs w:val="21"/>
                    </w:rPr>
                  </w:pPr>
                  <w:r>
                    <w:rPr>
                      <w:rFonts w:hint="eastAsia"/>
                      <w:color w:val="000000"/>
                      <w:sz w:val="21"/>
                      <w:szCs w:val="21"/>
                    </w:rPr>
                    <w:t>1.05</w:t>
                  </w:r>
                </w:p>
              </w:tc>
              <w:tc>
                <w:tcPr>
                  <w:tcW w:w="2162" w:type="dxa"/>
                  <w:gridSpan w:val="4"/>
                  <w:vAlign w:val="center"/>
                </w:tcPr>
                <w:p>
                  <w:pPr>
                    <w:widowControl/>
                    <w:spacing w:line="320" w:lineRule="exact"/>
                    <w:jc w:val="center"/>
                    <w:rPr>
                      <w:color w:val="000000"/>
                      <w:sz w:val="21"/>
                      <w:szCs w:val="21"/>
                    </w:rPr>
                  </w:pPr>
                  <w:r>
                    <w:rPr>
                      <w:rFonts w:hint="eastAsia"/>
                      <w:color w:val="000000"/>
                      <w:sz w:val="21"/>
                      <w:szCs w:val="21"/>
                    </w:rPr>
                    <w:t>相对密度（空气=1）</w:t>
                  </w:r>
                </w:p>
              </w:tc>
              <w:tc>
                <w:tcPr>
                  <w:tcW w:w="908" w:type="dxa"/>
                  <w:vAlign w:val="center"/>
                </w:tcPr>
                <w:p>
                  <w:pPr>
                    <w:widowControl/>
                    <w:spacing w:line="320" w:lineRule="exact"/>
                    <w:jc w:val="center"/>
                    <w:rPr>
                      <w:color w:val="000000"/>
                      <w:sz w:val="21"/>
                      <w:szCs w:val="21"/>
                    </w:rPr>
                  </w:pPr>
                  <w:r>
                    <w:rPr>
                      <w:rFonts w:hint="eastAsia"/>
                      <w:color w:val="000000"/>
                      <w:sz w:val="21"/>
                      <w:szCs w:val="21"/>
                    </w:rPr>
                    <w:t>2.45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沸点（℃）</w:t>
                  </w:r>
                </w:p>
              </w:tc>
              <w:tc>
                <w:tcPr>
                  <w:tcW w:w="600" w:type="dxa"/>
                  <w:vAlign w:val="center"/>
                </w:tcPr>
                <w:p>
                  <w:pPr>
                    <w:widowControl/>
                    <w:spacing w:line="320" w:lineRule="exact"/>
                    <w:jc w:val="center"/>
                    <w:rPr>
                      <w:color w:val="000000"/>
                      <w:sz w:val="21"/>
                      <w:szCs w:val="21"/>
                    </w:rPr>
                  </w:pPr>
                  <w:r>
                    <w:rPr>
                      <w:rFonts w:hint="eastAsia"/>
                      <w:color w:val="000000"/>
                      <w:sz w:val="21"/>
                      <w:szCs w:val="21"/>
                    </w:rPr>
                    <w:t>141</w:t>
                  </w:r>
                </w:p>
              </w:tc>
              <w:tc>
                <w:tcPr>
                  <w:tcW w:w="2388" w:type="dxa"/>
                  <w:gridSpan w:val="6"/>
                  <w:vAlign w:val="center"/>
                </w:tcPr>
                <w:p>
                  <w:pPr>
                    <w:widowControl/>
                    <w:spacing w:line="320" w:lineRule="exact"/>
                    <w:jc w:val="center"/>
                    <w:rPr>
                      <w:color w:val="000000"/>
                      <w:sz w:val="21"/>
                      <w:szCs w:val="21"/>
                    </w:rPr>
                  </w:pPr>
                  <w:r>
                    <w:rPr>
                      <w:rFonts w:hint="eastAsia"/>
                      <w:color w:val="000000"/>
                      <w:sz w:val="21"/>
                      <w:szCs w:val="21"/>
                    </w:rPr>
                    <w:t>饱和蒸气压（kpa）</w:t>
                  </w:r>
                </w:p>
              </w:tc>
              <w:tc>
                <w:tcPr>
                  <w:tcW w:w="3070" w:type="dxa"/>
                  <w:gridSpan w:val="5"/>
                  <w:vAlign w:val="center"/>
                </w:tcPr>
                <w:p>
                  <w:pPr>
                    <w:widowControl/>
                    <w:spacing w:line="320" w:lineRule="exact"/>
                    <w:jc w:val="center"/>
                    <w:rPr>
                      <w:color w:val="000000"/>
                      <w:sz w:val="21"/>
                      <w:szCs w:val="21"/>
                    </w:rPr>
                  </w:pPr>
                  <w:r>
                    <w:rPr>
                      <w:rFonts w:hint="eastAsia"/>
                      <w:color w:val="000000"/>
                      <w:sz w:val="21"/>
                      <w:szCs w:val="21"/>
                    </w:rPr>
                    <w:t>1.33（39.9℃）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溶解性</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与水混溶，可混溶于乙醇、乙醚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 w:type="dxa"/>
                  <w:vMerge w:val="restart"/>
                  <w:vAlign w:val="center"/>
                </w:tcPr>
                <w:p>
                  <w:pPr>
                    <w:widowControl/>
                    <w:spacing w:line="320" w:lineRule="exact"/>
                    <w:jc w:val="center"/>
                    <w:rPr>
                      <w:color w:val="000000"/>
                      <w:sz w:val="21"/>
                      <w:szCs w:val="21"/>
                    </w:rPr>
                  </w:pPr>
                  <w:r>
                    <w:rPr>
                      <w:rFonts w:hint="eastAsia"/>
                      <w:color w:val="000000"/>
                      <w:sz w:val="21"/>
                      <w:szCs w:val="21"/>
                    </w:rPr>
                    <w:t>毒性及健康危害</w:t>
                  </w:r>
                </w:p>
              </w:tc>
              <w:tc>
                <w:tcPr>
                  <w:tcW w:w="1537" w:type="dxa"/>
                  <w:vAlign w:val="center"/>
                </w:tcPr>
                <w:p>
                  <w:pPr>
                    <w:widowControl/>
                    <w:spacing w:line="320" w:lineRule="exact"/>
                    <w:jc w:val="center"/>
                    <w:rPr>
                      <w:color w:val="000000"/>
                      <w:sz w:val="21"/>
                      <w:szCs w:val="21"/>
                    </w:rPr>
                  </w:pPr>
                  <w:r>
                    <w:rPr>
                      <w:rFonts w:hint="eastAsia"/>
                      <w:color w:val="000000"/>
                      <w:sz w:val="21"/>
                      <w:szCs w:val="21"/>
                    </w:rPr>
                    <w:t>侵入途径</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毒性</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LD</w:t>
                  </w:r>
                  <w:r>
                    <w:rPr>
                      <w:rFonts w:hint="eastAsia"/>
                      <w:color w:val="000000"/>
                      <w:sz w:val="21"/>
                      <w:szCs w:val="21"/>
                      <w:vertAlign w:val="subscript"/>
                    </w:rPr>
                    <w:t>50</w:t>
                  </w:r>
                  <w:r>
                    <w:rPr>
                      <w:rFonts w:hint="eastAsia"/>
                      <w:color w:val="000000"/>
                      <w:sz w:val="21"/>
                      <w:szCs w:val="21"/>
                    </w:rPr>
                    <w:t>：2520mg/kg（大鼠经口）；950mg/m</w:t>
                  </w:r>
                  <w:r>
                    <w:rPr>
                      <w:rFonts w:hint="eastAsia"/>
                      <w:color w:val="000000"/>
                      <w:sz w:val="21"/>
                      <w:szCs w:val="21"/>
                      <w:vertAlign w:val="superscript"/>
                    </w:rPr>
                    <w:t>3</w:t>
                  </w:r>
                  <w:r>
                    <w:rPr>
                      <w:rFonts w:hint="eastAsia"/>
                      <w:color w:val="000000"/>
                      <w:sz w:val="21"/>
                      <w:szCs w:val="21"/>
                    </w:rPr>
                    <w:t>（兔经皮）</w:t>
                  </w:r>
                </w:p>
                <w:p>
                  <w:pPr>
                    <w:widowControl/>
                    <w:spacing w:line="320" w:lineRule="exact"/>
                    <w:jc w:val="center"/>
                    <w:rPr>
                      <w:color w:val="000000"/>
                      <w:sz w:val="21"/>
                      <w:szCs w:val="21"/>
                    </w:rPr>
                  </w:pPr>
                  <w:r>
                    <w:rPr>
                      <w:rFonts w:hint="eastAsia"/>
                      <w:color w:val="000000"/>
                      <w:sz w:val="21"/>
                      <w:szCs w:val="21"/>
                    </w:rPr>
                    <w:t>LC</w:t>
                  </w:r>
                  <w:r>
                    <w:rPr>
                      <w:rFonts w:hint="eastAsia"/>
                      <w:color w:val="000000"/>
                      <w:sz w:val="21"/>
                      <w:szCs w:val="21"/>
                      <w:vertAlign w:val="subscript"/>
                    </w:rPr>
                    <w:t>50</w:t>
                  </w:r>
                  <w:r>
                    <w:rPr>
                      <w:rFonts w:hint="eastAsia"/>
                      <w:color w:val="000000"/>
                      <w:sz w:val="21"/>
                      <w:szCs w:val="21"/>
                    </w:rPr>
                    <w:t>：53000mg/m</w:t>
                  </w:r>
                  <w:r>
                    <w:rPr>
                      <w:rFonts w:hint="eastAsia"/>
                      <w:color w:val="000000"/>
                      <w:sz w:val="21"/>
                      <w:szCs w:val="21"/>
                      <w:vertAlign w:val="superscript"/>
                    </w:rPr>
                    <w:t>3</w:t>
                  </w:r>
                  <w:r>
                    <w:rPr>
                      <w:rFonts w:hint="eastAsia"/>
                      <w:color w:val="000000"/>
                      <w:sz w:val="21"/>
                      <w:szCs w:val="21"/>
                    </w:rPr>
                    <w:t>，2小时（小鼠吸入）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健康危害</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本品对皮肤、眼睛和呼吸道有强烈刺激作用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急救办法</w:t>
                  </w:r>
                </w:p>
              </w:tc>
              <w:tc>
                <w:tcPr>
                  <w:tcW w:w="6058" w:type="dxa"/>
                  <w:gridSpan w:val="12"/>
                  <w:vAlign w:val="center"/>
                </w:tcPr>
                <w:p>
                  <w:pPr>
                    <w:widowControl/>
                    <w:spacing w:line="320" w:lineRule="exact"/>
                    <w:jc w:val="center"/>
                    <w:rPr>
                      <w:color w:val="000000"/>
                      <w:sz w:val="21"/>
                      <w:szCs w:val="21"/>
                    </w:rPr>
                  </w:pPr>
                  <w:r>
                    <w:rPr>
                      <w:color w:val="000000"/>
                      <w:sz w:val="21"/>
                      <w:szCs w:val="21"/>
                    </w:rPr>
                    <w:t>皮肤接触</w:t>
                  </w:r>
                  <w:r>
                    <w:rPr>
                      <w:rFonts w:hint="eastAsia"/>
                      <w:color w:val="000000"/>
                      <w:sz w:val="21"/>
                      <w:szCs w:val="21"/>
                    </w:rPr>
                    <w:t>：</w:t>
                  </w:r>
                  <w:r>
                    <w:rPr>
                      <w:color w:val="000000"/>
                      <w:sz w:val="21"/>
                      <w:szCs w:val="21"/>
                    </w:rPr>
                    <w:t>脱去污染的衣着，用肥皂水或流动清水彻底冲洗15分钟。眼睛接触</w:t>
                  </w:r>
                  <w:r>
                    <w:rPr>
                      <w:rFonts w:hint="eastAsia"/>
                      <w:color w:val="000000"/>
                      <w:sz w:val="21"/>
                      <w:szCs w:val="21"/>
                    </w:rPr>
                    <w:t>：</w:t>
                  </w:r>
                  <w:r>
                    <w:rPr>
                      <w:color w:val="000000"/>
                      <w:sz w:val="21"/>
                      <w:szCs w:val="21"/>
                    </w:rPr>
                    <w:t>立即提起眼脸，用流动清水或生理盐水冲洗至少15分钟</w:t>
                  </w:r>
                  <w:r>
                    <w:rPr>
                      <w:rFonts w:hint="eastAsia"/>
                      <w:color w:val="000000"/>
                      <w:sz w:val="21"/>
                      <w:szCs w:val="21"/>
                    </w:rPr>
                    <w:t>；</w:t>
                  </w:r>
                  <w:r>
                    <w:rPr>
                      <w:color w:val="000000"/>
                      <w:sz w:val="21"/>
                      <w:szCs w:val="21"/>
                    </w:rPr>
                    <w:t>就医。吸入</w:t>
                  </w:r>
                  <w:r>
                    <w:rPr>
                      <w:rFonts w:hint="eastAsia"/>
                      <w:color w:val="000000"/>
                      <w:sz w:val="21"/>
                      <w:szCs w:val="21"/>
                    </w:rPr>
                    <w:t>：</w:t>
                  </w:r>
                  <w:r>
                    <w:rPr>
                      <w:color w:val="000000"/>
                      <w:sz w:val="21"/>
                      <w:szCs w:val="21"/>
                    </w:rPr>
                    <w:t>脱离现场至空气新鲜处，保持呼吸道通畅</w:t>
                  </w:r>
                  <w:r>
                    <w:rPr>
                      <w:rFonts w:hint="eastAsia"/>
                      <w:color w:val="000000"/>
                      <w:sz w:val="21"/>
                      <w:szCs w:val="21"/>
                    </w:rPr>
                    <w:t>；</w:t>
                  </w:r>
                  <w:r>
                    <w:rPr>
                      <w:color w:val="000000"/>
                      <w:sz w:val="21"/>
                      <w:szCs w:val="21"/>
                    </w:rPr>
                    <w:t>必要时进行人工呼吸</w:t>
                  </w:r>
                  <w:r>
                    <w:rPr>
                      <w:rFonts w:hint="eastAsia"/>
                      <w:color w:val="000000"/>
                      <w:sz w:val="21"/>
                      <w:szCs w:val="21"/>
                    </w:rPr>
                    <w:t>；</w:t>
                  </w:r>
                  <w:r>
                    <w:rPr>
                      <w:color w:val="000000"/>
                      <w:sz w:val="21"/>
                      <w:szCs w:val="21"/>
                    </w:rPr>
                    <w:t>就医。食入</w:t>
                  </w:r>
                  <w:r>
                    <w:rPr>
                      <w:rFonts w:hint="eastAsia"/>
                      <w:color w:val="000000"/>
                      <w:sz w:val="21"/>
                      <w:szCs w:val="21"/>
                    </w:rPr>
                    <w:t>：</w:t>
                  </w:r>
                  <w:r>
                    <w:rPr>
                      <w:color w:val="000000"/>
                      <w:sz w:val="21"/>
                      <w:szCs w:val="21"/>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 w:type="dxa"/>
                  <w:vMerge w:val="restart"/>
                  <w:vAlign w:val="center"/>
                </w:tcPr>
                <w:p>
                  <w:pPr>
                    <w:widowControl/>
                    <w:spacing w:line="320" w:lineRule="exact"/>
                    <w:jc w:val="center"/>
                    <w:rPr>
                      <w:color w:val="000000"/>
                      <w:sz w:val="21"/>
                      <w:szCs w:val="21"/>
                    </w:rPr>
                  </w:pPr>
                  <w:r>
                    <w:rPr>
                      <w:rFonts w:hint="eastAsia"/>
                      <w:color w:val="000000"/>
                      <w:sz w:val="21"/>
                      <w:szCs w:val="21"/>
                    </w:rPr>
                    <w:t>燃烧爆炸危险性</w:t>
                  </w:r>
                </w:p>
              </w:tc>
              <w:tc>
                <w:tcPr>
                  <w:tcW w:w="1537" w:type="dxa"/>
                  <w:vAlign w:val="center"/>
                </w:tcPr>
                <w:p>
                  <w:pPr>
                    <w:widowControl/>
                    <w:spacing w:line="320" w:lineRule="exact"/>
                    <w:jc w:val="center"/>
                    <w:rPr>
                      <w:color w:val="000000"/>
                      <w:sz w:val="21"/>
                      <w:szCs w:val="21"/>
                    </w:rPr>
                  </w:pPr>
                  <w:r>
                    <w:rPr>
                      <w:rFonts w:hint="eastAsia"/>
                      <w:color w:val="000000"/>
                      <w:sz w:val="21"/>
                      <w:szCs w:val="21"/>
                    </w:rPr>
                    <w:t>燃烧性</w:t>
                  </w:r>
                </w:p>
              </w:tc>
              <w:tc>
                <w:tcPr>
                  <w:tcW w:w="1869" w:type="dxa"/>
                  <w:gridSpan w:val="3"/>
                  <w:vAlign w:val="center"/>
                </w:tcPr>
                <w:p>
                  <w:pPr>
                    <w:widowControl/>
                    <w:spacing w:line="320" w:lineRule="exact"/>
                    <w:jc w:val="center"/>
                    <w:rPr>
                      <w:color w:val="000000"/>
                      <w:sz w:val="21"/>
                      <w:szCs w:val="21"/>
                    </w:rPr>
                  </w:pPr>
                  <w:r>
                    <w:rPr>
                      <w:rFonts w:hint="eastAsia"/>
                      <w:color w:val="000000"/>
                      <w:sz w:val="21"/>
                      <w:szCs w:val="21"/>
                    </w:rPr>
                    <w:t>易燃</w:t>
                  </w:r>
                </w:p>
              </w:tc>
              <w:tc>
                <w:tcPr>
                  <w:tcW w:w="2094" w:type="dxa"/>
                  <w:gridSpan w:val="6"/>
                  <w:vAlign w:val="center"/>
                </w:tcPr>
                <w:p>
                  <w:pPr>
                    <w:widowControl/>
                    <w:spacing w:line="320" w:lineRule="exact"/>
                    <w:jc w:val="center"/>
                    <w:rPr>
                      <w:color w:val="000000"/>
                      <w:sz w:val="21"/>
                      <w:szCs w:val="21"/>
                    </w:rPr>
                  </w:pPr>
                  <w:r>
                    <w:rPr>
                      <w:rFonts w:hint="eastAsia"/>
                      <w:color w:val="000000"/>
                      <w:sz w:val="21"/>
                      <w:szCs w:val="21"/>
                    </w:rPr>
                    <w:t>燃烧分解物</w:t>
                  </w:r>
                </w:p>
              </w:tc>
              <w:tc>
                <w:tcPr>
                  <w:tcW w:w="2095" w:type="dxa"/>
                  <w:gridSpan w:val="3"/>
                  <w:vAlign w:val="center"/>
                </w:tcPr>
                <w:p>
                  <w:pPr>
                    <w:widowControl/>
                    <w:spacing w:line="320" w:lineRule="exact"/>
                    <w:jc w:val="center"/>
                    <w:rPr>
                      <w:color w:val="000000"/>
                      <w:sz w:val="21"/>
                      <w:szCs w:val="21"/>
                    </w:rPr>
                  </w:pPr>
                  <w:r>
                    <w:rPr>
                      <w:rFonts w:hint="eastAsia"/>
                      <w:color w:val="00000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闪点（℃）</w:t>
                  </w:r>
                </w:p>
              </w:tc>
              <w:tc>
                <w:tcPr>
                  <w:tcW w:w="1869" w:type="dxa"/>
                  <w:gridSpan w:val="3"/>
                  <w:vAlign w:val="center"/>
                </w:tcPr>
                <w:p>
                  <w:pPr>
                    <w:widowControl/>
                    <w:spacing w:line="320" w:lineRule="exact"/>
                    <w:jc w:val="center"/>
                    <w:rPr>
                      <w:color w:val="000000"/>
                      <w:sz w:val="21"/>
                      <w:szCs w:val="21"/>
                    </w:rPr>
                  </w:pPr>
                  <w:r>
                    <w:rPr>
                      <w:rFonts w:hint="eastAsia"/>
                      <w:color w:val="000000"/>
                      <w:sz w:val="21"/>
                      <w:szCs w:val="21"/>
                    </w:rPr>
                    <w:t>50</w:t>
                  </w:r>
                </w:p>
              </w:tc>
              <w:tc>
                <w:tcPr>
                  <w:tcW w:w="2094" w:type="dxa"/>
                  <w:gridSpan w:val="6"/>
                  <w:vAlign w:val="center"/>
                </w:tcPr>
                <w:p>
                  <w:pPr>
                    <w:widowControl/>
                    <w:spacing w:line="320" w:lineRule="exact"/>
                    <w:jc w:val="center"/>
                    <w:rPr>
                      <w:color w:val="000000"/>
                      <w:sz w:val="21"/>
                      <w:szCs w:val="21"/>
                    </w:rPr>
                  </w:pPr>
                  <w:r>
                    <w:rPr>
                      <w:rFonts w:hint="eastAsia"/>
                      <w:color w:val="000000"/>
                      <w:sz w:val="21"/>
                      <w:szCs w:val="21"/>
                    </w:rPr>
                    <w:t>爆炸上限（v%）</w:t>
                  </w:r>
                </w:p>
              </w:tc>
              <w:tc>
                <w:tcPr>
                  <w:tcW w:w="2095" w:type="dxa"/>
                  <w:gridSpan w:val="3"/>
                  <w:vAlign w:val="center"/>
                </w:tcPr>
                <w:p>
                  <w:pPr>
                    <w:widowControl/>
                    <w:spacing w:line="320" w:lineRule="exact"/>
                    <w:jc w:val="center"/>
                    <w:rPr>
                      <w:color w:val="000000"/>
                      <w:sz w:val="21"/>
                      <w:szCs w:val="21"/>
                    </w:rPr>
                  </w:pPr>
                  <w:r>
                    <w:rPr>
                      <w:rFonts w:hint="eastAsia"/>
                      <w:color w:val="000000"/>
                      <w:sz w:val="21"/>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引燃温度（℃）</w:t>
                  </w:r>
                </w:p>
              </w:tc>
              <w:tc>
                <w:tcPr>
                  <w:tcW w:w="1869" w:type="dxa"/>
                  <w:gridSpan w:val="3"/>
                  <w:vAlign w:val="center"/>
                </w:tcPr>
                <w:p>
                  <w:pPr>
                    <w:widowControl/>
                    <w:spacing w:line="320" w:lineRule="exact"/>
                    <w:jc w:val="center"/>
                    <w:rPr>
                      <w:color w:val="000000"/>
                      <w:sz w:val="21"/>
                      <w:szCs w:val="21"/>
                    </w:rPr>
                  </w:pPr>
                  <w:r>
                    <w:rPr>
                      <w:rFonts w:hint="eastAsia"/>
                      <w:color w:val="000000"/>
                      <w:sz w:val="21"/>
                      <w:szCs w:val="21"/>
                    </w:rPr>
                    <w:t>438</w:t>
                  </w:r>
                </w:p>
              </w:tc>
              <w:tc>
                <w:tcPr>
                  <w:tcW w:w="2094" w:type="dxa"/>
                  <w:gridSpan w:val="6"/>
                  <w:vAlign w:val="center"/>
                </w:tcPr>
                <w:p>
                  <w:pPr>
                    <w:widowControl/>
                    <w:spacing w:line="320" w:lineRule="exact"/>
                    <w:jc w:val="center"/>
                    <w:rPr>
                      <w:color w:val="000000"/>
                      <w:sz w:val="21"/>
                      <w:szCs w:val="21"/>
                    </w:rPr>
                  </w:pPr>
                  <w:r>
                    <w:rPr>
                      <w:rFonts w:hint="eastAsia"/>
                      <w:color w:val="000000"/>
                      <w:sz w:val="21"/>
                      <w:szCs w:val="21"/>
                    </w:rPr>
                    <w:t>爆炸下限（v%）</w:t>
                  </w:r>
                </w:p>
              </w:tc>
              <w:tc>
                <w:tcPr>
                  <w:tcW w:w="2095" w:type="dxa"/>
                  <w:gridSpan w:val="3"/>
                  <w:vAlign w:val="center"/>
                </w:tcPr>
                <w:p>
                  <w:pPr>
                    <w:widowControl/>
                    <w:spacing w:line="320" w:lineRule="exact"/>
                    <w:jc w:val="center"/>
                    <w:rPr>
                      <w:color w:val="000000"/>
                      <w:sz w:val="21"/>
                      <w:szCs w:val="21"/>
                    </w:rPr>
                  </w:pPr>
                  <w:r>
                    <w:rPr>
                      <w:rFonts w:hint="eastAsia"/>
                      <w:color w:val="000000"/>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危险特性</w:t>
                  </w:r>
                </w:p>
              </w:tc>
              <w:tc>
                <w:tcPr>
                  <w:tcW w:w="6058" w:type="dxa"/>
                  <w:gridSpan w:val="12"/>
                  <w:vAlign w:val="center"/>
                </w:tcPr>
                <w:p>
                  <w:pPr>
                    <w:widowControl/>
                    <w:spacing w:line="320" w:lineRule="exact"/>
                    <w:jc w:val="center"/>
                    <w:rPr>
                      <w:color w:val="000000"/>
                      <w:sz w:val="21"/>
                      <w:szCs w:val="21"/>
                    </w:rPr>
                  </w:pPr>
                  <w:r>
                    <w:rPr>
                      <w:color w:val="000000"/>
                      <w:sz w:val="21"/>
                      <w:szCs w:val="21"/>
                    </w:rPr>
                    <w:t>易燃，其蒸气与空气可形成爆炸性混合物</w:t>
                  </w:r>
                  <w:r>
                    <w:rPr>
                      <w:rFonts w:hint="eastAsia"/>
                      <w:color w:val="000000"/>
                      <w:sz w:val="21"/>
                      <w:szCs w:val="21"/>
                    </w:rPr>
                    <w:t>。</w:t>
                  </w:r>
                  <w:r>
                    <w:rPr>
                      <w:color w:val="000000"/>
                      <w:sz w:val="21"/>
                      <w:szCs w:val="21"/>
                    </w:rPr>
                    <w:t>遇明火、高热能引起燃烧爆炸。与氧化剂能发生强烈反应</w:t>
                  </w:r>
                  <w:r>
                    <w:rPr>
                      <w:rFonts w:hint="eastAsia"/>
                      <w:color w:val="000000"/>
                      <w:sz w:val="21"/>
                      <w:szCs w:val="21"/>
                    </w:rPr>
                    <w:t>，</w:t>
                  </w:r>
                  <w:r>
                    <w:rPr>
                      <w:color w:val="000000"/>
                      <w:sz w:val="21"/>
                      <w:szCs w:val="21"/>
                    </w:rPr>
                    <w:t>在受热、光和紫外线的作用下易发生聚合，放出大量热量而引起容器破裂和爆炸事故，遇热、光、水分、过氧化物及铁质易自聚而引起爆炸。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建规分级</w:t>
                  </w:r>
                </w:p>
              </w:tc>
              <w:tc>
                <w:tcPr>
                  <w:tcW w:w="1211" w:type="dxa"/>
                  <w:gridSpan w:val="2"/>
                  <w:vAlign w:val="center"/>
                </w:tcPr>
                <w:p>
                  <w:pPr>
                    <w:widowControl/>
                    <w:spacing w:line="320" w:lineRule="exact"/>
                    <w:jc w:val="center"/>
                    <w:rPr>
                      <w:color w:val="000000"/>
                      <w:sz w:val="21"/>
                      <w:szCs w:val="21"/>
                    </w:rPr>
                  </w:pPr>
                  <w:r>
                    <w:rPr>
                      <w:rFonts w:hint="eastAsia"/>
                      <w:color w:val="000000"/>
                      <w:sz w:val="21"/>
                      <w:szCs w:val="21"/>
                    </w:rPr>
                    <w:t>乙</w:t>
                  </w:r>
                </w:p>
              </w:tc>
              <w:tc>
                <w:tcPr>
                  <w:tcW w:w="1211" w:type="dxa"/>
                  <w:gridSpan w:val="3"/>
                  <w:vAlign w:val="center"/>
                </w:tcPr>
                <w:p>
                  <w:pPr>
                    <w:widowControl/>
                    <w:spacing w:line="320" w:lineRule="exact"/>
                    <w:jc w:val="center"/>
                    <w:rPr>
                      <w:color w:val="000000"/>
                      <w:sz w:val="21"/>
                      <w:szCs w:val="21"/>
                    </w:rPr>
                  </w:pPr>
                  <w:r>
                    <w:rPr>
                      <w:rFonts w:hint="eastAsia"/>
                      <w:color w:val="000000"/>
                      <w:sz w:val="21"/>
                      <w:szCs w:val="21"/>
                    </w:rPr>
                    <w:t>稳定性</w:t>
                  </w:r>
                </w:p>
              </w:tc>
              <w:tc>
                <w:tcPr>
                  <w:tcW w:w="1211" w:type="dxa"/>
                  <w:gridSpan w:val="3"/>
                  <w:vAlign w:val="center"/>
                </w:tcPr>
                <w:p>
                  <w:pPr>
                    <w:widowControl/>
                    <w:spacing w:line="320" w:lineRule="exact"/>
                    <w:jc w:val="center"/>
                    <w:rPr>
                      <w:color w:val="000000"/>
                      <w:sz w:val="21"/>
                      <w:szCs w:val="21"/>
                    </w:rPr>
                  </w:pPr>
                  <w:r>
                    <w:rPr>
                      <w:rFonts w:hint="eastAsia"/>
                      <w:color w:val="000000"/>
                      <w:sz w:val="21"/>
                      <w:szCs w:val="21"/>
                    </w:rPr>
                    <w:t>稳定</w:t>
                  </w:r>
                </w:p>
              </w:tc>
              <w:tc>
                <w:tcPr>
                  <w:tcW w:w="1211" w:type="dxa"/>
                  <w:gridSpan w:val="2"/>
                  <w:vAlign w:val="center"/>
                </w:tcPr>
                <w:p>
                  <w:pPr>
                    <w:widowControl/>
                    <w:spacing w:line="320" w:lineRule="exact"/>
                    <w:jc w:val="center"/>
                    <w:rPr>
                      <w:color w:val="000000"/>
                      <w:sz w:val="21"/>
                      <w:szCs w:val="21"/>
                    </w:rPr>
                  </w:pPr>
                  <w:r>
                    <w:rPr>
                      <w:rFonts w:hint="eastAsia"/>
                      <w:color w:val="000000"/>
                      <w:sz w:val="21"/>
                      <w:szCs w:val="21"/>
                    </w:rPr>
                    <w:t>聚合危害</w:t>
                  </w:r>
                </w:p>
              </w:tc>
              <w:tc>
                <w:tcPr>
                  <w:tcW w:w="1214" w:type="dxa"/>
                  <w:gridSpan w:val="2"/>
                  <w:vAlign w:val="center"/>
                </w:tcPr>
                <w:p>
                  <w:pPr>
                    <w:widowControl/>
                    <w:spacing w:line="320" w:lineRule="exact"/>
                    <w:jc w:val="center"/>
                    <w:rPr>
                      <w:color w:val="000000"/>
                      <w:sz w:val="21"/>
                      <w:szCs w:val="21"/>
                    </w:rPr>
                  </w:pPr>
                  <w:r>
                    <w:rPr>
                      <w:rFonts w:hint="eastAsia"/>
                      <w:color w:val="000000"/>
                      <w:sz w:val="21"/>
                      <w:szCs w:val="21"/>
                    </w:rPr>
                    <w:t>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禁忌物</w:t>
                  </w:r>
                </w:p>
              </w:tc>
              <w:tc>
                <w:tcPr>
                  <w:tcW w:w="6058" w:type="dxa"/>
                  <w:gridSpan w:val="12"/>
                  <w:vAlign w:val="center"/>
                </w:tcPr>
                <w:p>
                  <w:pPr>
                    <w:widowControl/>
                    <w:spacing w:line="320" w:lineRule="exact"/>
                    <w:jc w:val="center"/>
                    <w:rPr>
                      <w:color w:val="000000"/>
                      <w:sz w:val="21"/>
                      <w:szCs w:val="21"/>
                    </w:rPr>
                  </w:pPr>
                  <w:r>
                    <w:rPr>
                      <w:rFonts w:hint="eastAsia"/>
                      <w:color w:val="000000"/>
                      <w:sz w:val="21"/>
                      <w:szCs w:val="21"/>
                    </w:rPr>
                    <w:t>强氧化剂、强碱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储运条件与泄漏处理</w:t>
                  </w:r>
                </w:p>
              </w:tc>
              <w:tc>
                <w:tcPr>
                  <w:tcW w:w="6058" w:type="dxa"/>
                  <w:gridSpan w:val="12"/>
                  <w:vAlign w:val="center"/>
                </w:tcPr>
                <w:p>
                  <w:pPr>
                    <w:widowControl/>
                    <w:spacing w:line="320" w:lineRule="exact"/>
                    <w:jc w:val="center"/>
                    <w:rPr>
                      <w:color w:val="000000"/>
                      <w:sz w:val="21"/>
                      <w:szCs w:val="21"/>
                    </w:rPr>
                  </w:pPr>
                  <w:r>
                    <w:rPr>
                      <w:color w:val="000000"/>
                      <w:sz w:val="21"/>
                      <w:szCs w:val="21"/>
                    </w:rPr>
                    <w:t>储运条件</w:t>
                  </w:r>
                  <w:r>
                    <w:rPr>
                      <w:rFonts w:hint="eastAsia"/>
                      <w:color w:val="000000"/>
                      <w:sz w:val="21"/>
                      <w:szCs w:val="21"/>
                    </w:rPr>
                    <w:t>：</w:t>
                  </w:r>
                  <w:r>
                    <w:rPr>
                      <w:color w:val="000000"/>
                      <w:sz w:val="21"/>
                      <w:szCs w:val="21"/>
                    </w:rPr>
                    <w:t>储存于阴凉、通风仓间内。远离火种、热源。仓内温度不宜超过5</w:t>
                  </w:r>
                  <w:r>
                    <w:rPr>
                      <w:rFonts w:hint="eastAsia"/>
                      <w:color w:val="000000"/>
                      <w:sz w:val="21"/>
                      <w:szCs w:val="21"/>
                    </w:rPr>
                    <w:t>℃</w:t>
                  </w:r>
                  <w:r>
                    <w:rPr>
                      <w:color w:val="000000"/>
                      <w:sz w:val="21"/>
                      <w:szCs w:val="21"/>
                    </w:rPr>
                    <w:t>。防止阳光直射。包装要求密封，不可与空气接触。不宜大量或久存，应与氧化剂分开存放。储存间内的照明、通风等设施应采用防爆型，开关设在仓外，配备相应品种和数量的消防器材，罐储时要有防火防爆技术措施。禁止使用易产生火花的机械设备和工具。充装要控制流速，注意防止静电积聚，搬运时要轻装轻卸，防止包装及容器损伤。泄漏处理</w:t>
                  </w:r>
                  <w:r>
                    <w:rPr>
                      <w:rFonts w:hint="eastAsia"/>
                      <w:color w:val="000000"/>
                      <w:sz w:val="21"/>
                      <w:szCs w:val="21"/>
                    </w:rPr>
                    <w:t>：</w:t>
                  </w:r>
                  <w:r>
                    <w:rPr>
                      <w:color w:val="000000"/>
                      <w:sz w:val="21"/>
                      <w:szCs w:val="21"/>
                    </w:rPr>
                    <w:t>疏散泄漏污染区人员至安全区，禁止无关人员进入污染区，切断火源。建议应急处理人员戴好</w:t>
                  </w:r>
                  <w:r>
                    <w:rPr>
                      <w:rFonts w:hint="eastAsia"/>
                      <w:color w:val="000000"/>
                      <w:sz w:val="21"/>
                      <w:szCs w:val="21"/>
                    </w:rPr>
                    <w:t>防</w:t>
                  </w:r>
                  <w:r>
                    <w:rPr>
                      <w:color w:val="000000"/>
                      <w:sz w:val="21"/>
                      <w:szCs w:val="21"/>
                    </w:rPr>
                    <w:t>毒面具，穿化学防护服。少量泄漏</w:t>
                  </w:r>
                  <w:r>
                    <w:rPr>
                      <w:rFonts w:hint="eastAsia"/>
                      <w:color w:val="000000"/>
                      <w:sz w:val="21"/>
                      <w:szCs w:val="21"/>
                    </w:rPr>
                    <w:t>：</w:t>
                  </w:r>
                  <w:r>
                    <w:rPr>
                      <w:color w:val="000000"/>
                      <w:sz w:val="21"/>
                      <w:szCs w:val="21"/>
                    </w:rPr>
                    <w:t>用不燃性分散剂制成的乳液刷洗，洗液稀释后放入废水系统。大量泄漏</w:t>
                  </w:r>
                  <w:r>
                    <w:rPr>
                      <w:rFonts w:hint="eastAsia"/>
                      <w:color w:val="000000"/>
                      <w:sz w:val="21"/>
                      <w:szCs w:val="21"/>
                    </w:rPr>
                    <w:t>：</w:t>
                  </w:r>
                  <w:r>
                    <w:rPr>
                      <w:color w:val="000000"/>
                      <w:sz w:val="21"/>
                      <w:szCs w:val="21"/>
                    </w:rPr>
                    <w:t>构筑围堤或挖坑收容，用泡沫覆盖，降低蒸气灾害。用防爆泵转移至专用收集器，回收或运到废物处理场所处置。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0" w:type="dxa"/>
                  <w:vMerge w:val="continue"/>
                  <w:vAlign w:val="center"/>
                </w:tcPr>
                <w:p>
                  <w:pPr>
                    <w:widowControl/>
                    <w:spacing w:line="320" w:lineRule="exact"/>
                    <w:jc w:val="center"/>
                    <w:rPr>
                      <w:color w:val="000000"/>
                      <w:sz w:val="21"/>
                      <w:szCs w:val="21"/>
                    </w:rPr>
                  </w:pPr>
                </w:p>
              </w:tc>
              <w:tc>
                <w:tcPr>
                  <w:tcW w:w="1537" w:type="dxa"/>
                  <w:vAlign w:val="center"/>
                </w:tcPr>
                <w:p>
                  <w:pPr>
                    <w:widowControl/>
                    <w:spacing w:line="320" w:lineRule="exact"/>
                    <w:jc w:val="center"/>
                    <w:rPr>
                      <w:color w:val="000000"/>
                      <w:sz w:val="21"/>
                      <w:szCs w:val="21"/>
                    </w:rPr>
                  </w:pPr>
                  <w:r>
                    <w:rPr>
                      <w:rFonts w:hint="eastAsia"/>
                      <w:color w:val="000000"/>
                      <w:sz w:val="21"/>
                      <w:szCs w:val="21"/>
                    </w:rPr>
                    <w:t>灭火方法</w:t>
                  </w:r>
                </w:p>
              </w:tc>
              <w:tc>
                <w:tcPr>
                  <w:tcW w:w="6058" w:type="dxa"/>
                  <w:gridSpan w:val="12"/>
                  <w:vAlign w:val="center"/>
                </w:tcPr>
                <w:p>
                  <w:pPr>
                    <w:widowControl/>
                    <w:spacing w:line="320" w:lineRule="exact"/>
                    <w:jc w:val="center"/>
                    <w:rPr>
                      <w:color w:val="000000"/>
                      <w:sz w:val="21"/>
                      <w:szCs w:val="21"/>
                    </w:rPr>
                  </w:pPr>
                  <w:r>
                    <w:rPr>
                      <w:color w:val="000000"/>
                      <w:sz w:val="21"/>
                      <w:szCs w:val="21"/>
                    </w:rPr>
                    <w:t>消防人员须戴好防毒面具，在安全距离以外，在上风向灭火。用水喷射逸出液体，使其稀释成不燃性混合物，并用雾状水保护消防人员。灭火剂</w:t>
                  </w:r>
                  <w:r>
                    <w:rPr>
                      <w:rFonts w:hint="eastAsia"/>
                      <w:color w:val="000000"/>
                      <w:sz w:val="21"/>
                      <w:szCs w:val="21"/>
                    </w:rPr>
                    <w:t>：</w:t>
                  </w:r>
                  <w:r>
                    <w:rPr>
                      <w:color w:val="000000"/>
                      <w:sz w:val="21"/>
                      <w:szCs w:val="21"/>
                    </w:rPr>
                    <w:t>雾状水、抗溶性泡沫、干粉、二氧化碳。</w:t>
                  </w:r>
                </w:p>
              </w:tc>
            </w:tr>
          </w:tbl>
          <w:p>
            <w:pPr>
              <w:spacing w:line="480" w:lineRule="exact"/>
              <w:jc w:val="center"/>
              <w:rPr>
                <w:b/>
                <w:color w:val="000000"/>
                <w:szCs w:val="21"/>
              </w:rPr>
            </w:pPr>
            <w:r>
              <w:rPr>
                <w:rFonts w:hint="eastAsia"/>
                <w:b/>
                <w:color w:val="000000"/>
                <w:szCs w:val="21"/>
              </w:rPr>
              <w:t>表2-6  环氧树脂的理化性质</w:t>
            </w:r>
          </w:p>
          <w:tbl>
            <w:tblPr>
              <w:tblStyle w:val="32"/>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7"/>
              <w:gridCol w:w="1350"/>
              <w:gridCol w:w="1087"/>
              <w:gridCol w:w="154"/>
              <w:gridCol w:w="828"/>
              <w:gridCol w:w="413"/>
              <w:gridCol w:w="818"/>
              <w:gridCol w:w="423"/>
              <w:gridCol w:w="415"/>
              <w:gridCol w:w="826"/>
              <w:gridCol w:w="1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restart"/>
                  <w:vAlign w:val="center"/>
                </w:tcPr>
                <w:p>
                  <w:pPr>
                    <w:spacing w:line="320" w:lineRule="exact"/>
                    <w:jc w:val="center"/>
                    <w:rPr>
                      <w:bCs/>
                      <w:color w:val="000000"/>
                      <w:sz w:val="21"/>
                      <w:szCs w:val="21"/>
                    </w:rPr>
                  </w:pPr>
                  <w:r>
                    <w:rPr>
                      <w:rFonts w:hint="eastAsia"/>
                      <w:bCs/>
                      <w:color w:val="000000"/>
                      <w:sz w:val="21"/>
                      <w:szCs w:val="21"/>
                    </w:rPr>
                    <w:t>标识</w:t>
                  </w:r>
                </w:p>
              </w:tc>
              <w:tc>
                <w:tcPr>
                  <w:tcW w:w="4650" w:type="dxa"/>
                  <w:gridSpan w:val="6"/>
                  <w:vAlign w:val="center"/>
                </w:tcPr>
                <w:p>
                  <w:pPr>
                    <w:spacing w:line="320" w:lineRule="exact"/>
                    <w:jc w:val="center"/>
                    <w:rPr>
                      <w:bCs/>
                      <w:color w:val="000000"/>
                      <w:sz w:val="21"/>
                      <w:szCs w:val="21"/>
                    </w:rPr>
                  </w:pPr>
                  <w:r>
                    <w:rPr>
                      <w:rFonts w:hint="eastAsia"/>
                      <w:bCs/>
                      <w:color w:val="000000"/>
                      <w:sz w:val="21"/>
                      <w:szCs w:val="21"/>
                    </w:rPr>
                    <w:t>中文名：环氧树脂</w:t>
                  </w:r>
                </w:p>
              </w:tc>
              <w:tc>
                <w:tcPr>
                  <w:tcW w:w="2908" w:type="dxa"/>
                  <w:gridSpan w:val="4"/>
                  <w:vAlign w:val="center"/>
                </w:tcPr>
                <w:p>
                  <w:pPr>
                    <w:spacing w:line="320" w:lineRule="exact"/>
                    <w:jc w:val="center"/>
                    <w:rPr>
                      <w:bCs/>
                      <w:color w:val="000000"/>
                      <w:sz w:val="21"/>
                      <w:szCs w:val="21"/>
                    </w:rPr>
                  </w:pPr>
                  <w:r>
                    <w:rPr>
                      <w:rFonts w:hint="eastAsia"/>
                      <w:bCs/>
                      <w:color w:val="000000"/>
                      <w:sz w:val="21"/>
                      <w:szCs w:val="21"/>
                    </w:rPr>
                    <w:t>危险货物编号：32061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4650" w:type="dxa"/>
                  <w:gridSpan w:val="6"/>
                  <w:vAlign w:val="center"/>
                </w:tcPr>
                <w:p>
                  <w:pPr>
                    <w:spacing w:line="320" w:lineRule="exact"/>
                    <w:jc w:val="center"/>
                    <w:rPr>
                      <w:bCs/>
                      <w:color w:val="000000"/>
                      <w:sz w:val="21"/>
                      <w:szCs w:val="21"/>
                    </w:rPr>
                  </w:pPr>
                  <w:r>
                    <w:rPr>
                      <w:rFonts w:hint="eastAsia"/>
                      <w:bCs/>
                      <w:color w:val="000000"/>
                      <w:sz w:val="21"/>
                      <w:szCs w:val="21"/>
                    </w:rPr>
                    <w:t>英文名：Epoxy resin</w:t>
                  </w:r>
                </w:p>
              </w:tc>
              <w:tc>
                <w:tcPr>
                  <w:tcW w:w="2908" w:type="dxa"/>
                  <w:gridSpan w:val="4"/>
                  <w:vAlign w:val="center"/>
                </w:tcPr>
                <w:p>
                  <w:pPr>
                    <w:spacing w:line="320" w:lineRule="exact"/>
                    <w:jc w:val="center"/>
                    <w:rPr>
                      <w:bCs/>
                      <w:color w:val="000000"/>
                      <w:sz w:val="21"/>
                      <w:szCs w:val="21"/>
                    </w:rPr>
                  </w:pPr>
                  <w:r>
                    <w:rPr>
                      <w:rFonts w:hint="eastAsia"/>
                      <w:bCs/>
                      <w:color w:val="000000"/>
                      <w:sz w:val="21"/>
                      <w:szCs w:val="21"/>
                    </w:rPr>
                    <w:t>UN编号：1866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2437" w:type="dxa"/>
                  <w:gridSpan w:val="2"/>
                  <w:vAlign w:val="center"/>
                </w:tcPr>
                <w:p>
                  <w:pPr>
                    <w:spacing w:line="320" w:lineRule="exact"/>
                    <w:jc w:val="center"/>
                    <w:rPr>
                      <w:bCs/>
                      <w:color w:val="000000"/>
                      <w:sz w:val="21"/>
                      <w:szCs w:val="21"/>
                    </w:rPr>
                  </w:pPr>
                  <w:r>
                    <w:rPr>
                      <w:rFonts w:hint="eastAsia"/>
                      <w:bCs/>
                      <w:color w:val="000000"/>
                      <w:sz w:val="21"/>
                      <w:szCs w:val="21"/>
                    </w:rPr>
                    <w:t>分子式：/</w:t>
                  </w:r>
                </w:p>
              </w:tc>
              <w:tc>
                <w:tcPr>
                  <w:tcW w:w="2213" w:type="dxa"/>
                  <w:gridSpan w:val="4"/>
                  <w:vAlign w:val="center"/>
                </w:tcPr>
                <w:p>
                  <w:pPr>
                    <w:spacing w:line="320" w:lineRule="exact"/>
                    <w:jc w:val="center"/>
                    <w:rPr>
                      <w:bCs/>
                      <w:color w:val="000000"/>
                      <w:sz w:val="21"/>
                      <w:szCs w:val="21"/>
                    </w:rPr>
                  </w:pPr>
                  <w:r>
                    <w:rPr>
                      <w:rFonts w:hint="eastAsia"/>
                      <w:bCs/>
                      <w:color w:val="000000"/>
                      <w:sz w:val="21"/>
                      <w:szCs w:val="21"/>
                    </w:rPr>
                    <w:t>分子量：/</w:t>
                  </w:r>
                </w:p>
              </w:tc>
              <w:tc>
                <w:tcPr>
                  <w:tcW w:w="2908" w:type="dxa"/>
                  <w:gridSpan w:val="4"/>
                  <w:vAlign w:val="center"/>
                </w:tcPr>
                <w:p>
                  <w:pPr>
                    <w:spacing w:line="320" w:lineRule="exact"/>
                    <w:jc w:val="center"/>
                    <w:rPr>
                      <w:bCs/>
                      <w:color w:val="000000"/>
                      <w:sz w:val="21"/>
                      <w:szCs w:val="21"/>
                    </w:rPr>
                  </w:pPr>
                  <w:r>
                    <w:rPr>
                      <w:rFonts w:hint="eastAsia"/>
                      <w:bCs/>
                      <w:color w:val="000000"/>
                      <w:sz w:val="21"/>
                      <w:szCs w:val="21"/>
                    </w:rPr>
                    <w:t>CAS号：67763-03-5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dxa"/>
                  <w:vMerge w:val="restart"/>
                  <w:vAlign w:val="center"/>
                </w:tcPr>
                <w:p>
                  <w:pPr>
                    <w:spacing w:line="320" w:lineRule="exact"/>
                    <w:jc w:val="center"/>
                    <w:rPr>
                      <w:bCs/>
                      <w:color w:val="000000"/>
                      <w:sz w:val="21"/>
                      <w:szCs w:val="21"/>
                    </w:rPr>
                  </w:pPr>
                  <w:r>
                    <w:rPr>
                      <w:rFonts w:hint="eastAsia"/>
                      <w:bCs/>
                      <w:color w:val="000000"/>
                      <w:sz w:val="21"/>
                      <w:szCs w:val="21"/>
                    </w:rPr>
                    <w:t>理化性质</w:t>
                  </w:r>
                </w:p>
              </w:tc>
              <w:tc>
                <w:tcPr>
                  <w:tcW w:w="1350" w:type="dxa"/>
                  <w:vAlign w:val="center"/>
                </w:tcPr>
                <w:p>
                  <w:pPr>
                    <w:spacing w:line="320" w:lineRule="exact"/>
                    <w:jc w:val="center"/>
                    <w:rPr>
                      <w:bCs/>
                      <w:color w:val="000000"/>
                      <w:sz w:val="21"/>
                      <w:szCs w:val="21"/>
                    </w:rPr>
                  </w:pPr>
                  <w:r>
                    <w:rPr>
                      <w:rFonts w:hint="eastAsia"/>
                      <w:bCs/>
                      <w:color w:val="000000"/>
                      <w:sz w:val="21"/>
                      <w:szCs w:val="21"/>
                    </w:rPr>
                    <w:t>外观与形状</w:t>
                  </w:r>
                </w:p>
              </w:tc>
              <w:tc>
                <w:tcPr>
                  <w:tcW w:w="6208" w:type="dxa"/>
                  <w:gridSpan w:val="9"/>
                  <w:vAlign w:val="center"/>
                </w:tcPr>
                <w:p>
                  <w:pPr>
                    <w:spacing w:line="320" w:lineRule="exact"/>
                    <w:jc w:val="center"/>
                    <w:rPr>
                      <w:bCs/>
                      <w:color w:val="000000"/>
                      <w:sz w:val="21"/>
                      <w:szCs w:val="21"/>
                    </w:rPr>
                  </w:pPr>
                  <w:r>
                    <w:rPr>
                      <w:rFonts w:hint="eastAsia"/>
                      <w:bCs/>
                      <w:color w:val="000000"/>
                      <w:sz w:val="21"/>
                      <w:szCs w:val="21"/>
                    </w:rPr>
                    <w:t>根据分子结构和分子量大小的不同，其形态可从无臭无味、黄色透明液体至固体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熔点（℃）</w:t>
                  </w:r>
                </w:p>
              </w:tc>
              <w:tc>
                <w:tcPr>
                  <w:tcW w:w="2069" w:type="dxa"/>
                  <w:gridSpan w:val="3"/>
                  <w:vAlign w:val="center"/>
                </w:tcPr>
                <w:p>
                  <w:pPr>
                    <w:spacing w:line="320" w:lineRule="exact"/>
                    <w:jc w:val="center"/>
                    <w:rPr>
                      <w:bCs/>
                      <w:color w:val="000000"/>
                      <w:sz w:val="21"/>
                      <w:szCs w:val="21"/>
                    </w:rPr>
                  </w:pPr>
                  <w:r>
                    <w:rPr>
                      <w:rFonts w:hint="eastAsia"/>
                      <w:bCs/>
                      <w:color w:val="000000"/>
                      <w:sz w:val="21"/>
                      <w:szCs w:val="21"/>
                    </w:rPr>
                    <w:t>145-155</w:t>
                  </w:r>
                </w:p>
              </w:tc>
              <w:tc>
                <w:tcPr>
                  <w:tcW w:w="2069" w:type="dxa"/>
                  <w:gridSpan w:val="4"/>
                  <w:vAlign w:val="center"/>
                </w:tcPr>
                <w:p>
                  <w:pPr>
                    <w:spacing w:line="320" w:lineRule="exact"/>
                    <w:jc w:val="center"/>
                    <w:rPr>
                      <w:bCs/>
                      <w:color w:val="000000"/>
                      <w:sz w:val="21"/>
                      <w:szCs w:val="21"/>
                    </w:rPr>
                  </w:pPr>
                  <w:r>
                    <w:rPr>
                      <w:rFonts w:hint="eastAsia"/>
                      <w:bCs/>
                      <w:color w:val="000000"/>
                      <w:sz w:val="21"/>
                      <w:szCs w:val="21"/>
                    </w:rPr>
                    <w:t>相对密度（水=1）</w:t>
                  </w:r>
                </w:p>
              </w:tc>
              <w:tc>
                <w:tcPr>
                  <w:tcW w:w="2070" w:type="dxa"/>
                  <w:gridSpan w:val="2"/>
                  <w:vAlign w:val="center"/>
                </w:tcPr>
                <w:p>
                  <w:pPr>
                    <w:spacing w:line="320" w:lineRule="exact"/>
                    <w:jc w:val="center"/>
                    <w:rPr>
                      <w:bCs/>
                      <w:color w:val="000000"/>
                      <w:sz w:val="21"/>
                      <w:szCs w:val="21"/>
                    </w:rPr>
                  </w:pPr>
                  <w:r>
                    <w:rPr>
                      <w:rFonts w:hint="eastAsia"/>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沸点（℃）</w:t>
                  </w:r>
                </w:p>
              </w:tc>
              <w:tc>
                <w:tcPr>
                  <w:tcW w:w="2069" w:type="dxa"/>
                  <w:gridSpan w:val="3"/>
                  <w:vAlign w:val="center"/>
                </w:tcPr>
                <w:p>
                  <w:pPr>
                    <w:spacing w:line="320" w:lineRule="exact"/>
                    <w:jc w:val="center"/>
                    <w:rPr>
                      <w:bCs/>
                      <w:color w:val="000000"/>
                      <w:sz w:val="21"/>
                      <w:szCs w:val="21"/>
                    </w:rPr>
                  </w:pPr>
                  <w:r>
                    <w:rPr>
                      <w:rFonts w:hint="eastAsia"/>
                      <w:bCs/>
                      <w:color w:val="000000"/>
                      <w:sz w:val="21"/>
                      <w:szCs w:val="21"/>
                    </w:rPr>
                    <w:t>/</w:t>
                  </w:r>
                </w:p>
              </w:tc>
              <w:tc>
                <w:tcPr>
                  <w:tcW w:w="2069" w:type="dxa"/>
                  <w:gridSpan w:val="4"/>
                  <w:vAlign w:val="center"/>
                </w:tcPr>
                <w:p>
                  <w:pPr>
                    <w:spacing w:line="320" w:lineRule="exact"/>
                    <w:jc w:val="center"/>
                    <w:rPr>
                      <w:bCs/>
                      <w:color w:val="000000"/>
                      <w:sz w:val="21"/>
                      <w:szCs w:val="21"/>
                    </w:rPr>
                  </w:pPr>
                  <w:r>
                    <w:rPr>
                      <w:rFonts w:hint="eastAsia"/>
                      <w:bCs/>
                      <w:color w:val="000000"/>
                      <w:sz w:val="21"/>
                      <w:szCs w:val="21"/>
                    </w:rPr>
                    <w:t>饱和蒸气压</w:t>
                  </w:r>
                </w:p>
              </w:tc>
              <w:tc>
                <w:tcPr>
                  <w:tcW w:w="2070" w:type="dxa"/>
                  <w:gridSpan w:val="2"/>
                  <w:vAlign w:val="center"/>
                </w:tcPr>
                <w:p>
                  <w:pPr>
                    <w:spacing w:line="320" w:lineRule="exact"/>
                    <w:jc w:val="center"/>
                    <w:rPr>
                      <w:bCs/>
                      <w:color w:val="000000"/>
                      <w:sz w:val="21"/>
                      <w:szCs w:val="21"/>
                    </w:rPr>
                  </w:pPr>
                  <w:r>
                    <w:rPr>
                      <w:rFonts w:hint="eastAsia"/>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溶解性</w:t>
                  </w:r>
                </w:p>
              </w:tc>
              <w:tc>
                <w:tcPr>
                  <w:tcW w:w="6208" w:type="dxa"/>
                  <w:gridSpan w:val="9"/>
                  <w:vAlign w:val="center"/>
                </w:tcPr>
                <w:p>
                  <w:pPr>
                    <w:spacing w:line="320" w:lineRule="exact"/>
                    <w:jc w:val="center"/>
                    <w:rPr>
                      <w:bCs/>
                      <w:color w:val="000000"/>
                      <w:sz w:val="21"/>
                      <w:szCs w:val="21"/>
                    </w:rPr>
                  </w:pPr>
                  <w:r>
                    <w:rPr>
                      <w:rFonts w:hint="eastAsia"/>
                      <w:bCs/>
                      <w:color w:val="000000"/>
                      <w:sz w:val="21"/>
                      <w:szCs w:val="21"/>
                    </w:rPr>
                    <w:t>溶于丙酮、乙二醇、甲苯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dxa"/>
                  <w:vMerge w:val="restart"/>
                  <w:vAlign w:val="center"/>
                </w:tcPr>
                <w:p>
                  <w:pPr>
                    <w:spacing w:line="320" w:lineRule="exact"/>
                    <w:jc w:val="center"/>
                    <w:rPr>
                      <w:bCs/>
                      <w:color w:val="000000"/>
                      <w:sz w:val="21"/>
                      <w:szCs w:val="21"/>
                    </w:rPr>
                  </w:pPr>
                  <w:r>
                    <w:rPr>
                      <w:rFonts w:hint="eastAsia"/>
                      <w:bCs/>
                      <w:color w:val="000000"/>
                      <w:sz w:val="21"/>
                      <w:szCs w:val="21"/>
                    </w:rPr>
                    <w:t>毒性及健康危害</w:t>
                  </w:r>
                </w:p>
              </w:tc>
              <w:tc>
                <w:tcPr>
                  <w:tcW w:w="1350" w:type="dxa"/>
                  <w:vAlign w:val="center"/>
                </w:tcPr>
                <w:p>
                  <w:pPr>
                    <w:spacing w:line="320" w:lineRule="exact"/>
                    <w:jc w:val="center"/>
                    <w:rPr>
                      <w:bCs/>
                      <w:color w:val="000000"/>
                      <w:sz w:val="21"/>
                      <w:szCs w:val="21"/>
                    </w:rPr>
                  </w:pPr>
                  <w:r>
                    <w:rPr>
                      <w:rFonts w:hint="eastAsia"/>
                      <w:bCs/>
                      <w:color w:val="000000"/>
                      <w:sz w:val="21"/>
                      <w:szCs w:val="21"/>
                    </w:rPr>
                    <w:t>侵入途径</w:t>
                  </w:r>
                </w:p>
              </w:tc>
              <w:tc>
                <w:tcPr>
                  <w:tcW w:w="6208" w:type="dxa"/>
                  <w:gridSpan w:val="9"/>
                  <w:vAlign w:val="center"/>
                </w:tcPr>
                <w:p>
                  <w:pPr>
                    <w:spacing w:line="320" w:lineRule="exact"/>
                    <w:jc w:val="center"/>
                    <w:rPr>
                      <w:bCs/>
                      <w:color w:val="000000"/>
                      <w:sz w:val="21"/>
                      <w:szCs w:val="21"/>
                    </w:rPr>
                  </w:pPr>
                  <w:r>
                    <w:rPr>
                      <w:rFonts w:hint="eastAsia"/>
                      <w:bCs/>
                      <w:color w:val="000000"/>
                      <w:sz w:val="21"/>
                      <w:szCs w:val="21"/>
                    </w:rPr>
                    <w:t>吸入、食入、经皮吸收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毒性</w:t>
                  </w:r>
                </w:p>
              </w:tc>
              <w:tc>
                <w:tcPr>
                  <w:tcW w:w="6208" w:type="dxa"/>
                  <w:gridSpan w:val="9"/>
                  <w:vAlign w:val="center"/>
                </w:tcPr>
                <w:p>
                  <w:pPr>
                    <w:spacing w:line="320" w:lineRule="exact"/>
                    <w:jc w:val="center"/>
                    <w:rPr>
                      <w:bCs/>
                      <w:color w:val="000000"/>
                      <w:sz w:val="21"/>
                      <w:szCs w:val="21"/>
                    </w:rPr>
                  </w:pPr>
                  <w:r>
                    <w:rPr>
                      <w:rFonts w:hint="eastAsia"/>
                      <w:bCs/>
                      <w:color w:val="000000"/>
                      <w:sz w:val="21"/>
                      <w:szCs w:val="21"/>
                    </w:rPr>
                    <w:t>LD50：11400mg/kg（大鼠经口）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健康危害</w:t>
                  </w:r>
                </w:p>
              </w:tc>
              <w:tc>
                <w:tcPr>
                  <w:tcW w:w="6208" w:type="dxa"/>
                  <w:gridSpan w:val="9"/>
                  <w:vAlign w:val="center"/>
                </w:tcPr>
                <w:p>
                  <w:pPr>
                    <w:spacing w:line="320" w:lineRule="exact"/>
                    <w:jc w:val="center"/>
                    <w:rPr>
                      <w:bCs/>
                      <w:color w:val="000000"/>
                      <w:sz w:val="21"/>
                      <w:szCs w:val="21"/>
                    </w:rPr>
                  </w:pPr>
                  <w:r>
                    <w:rPr>
                      <w:bCs/>
                      <w:color w:val="000000"/>
                      <w:sz w:val="21"/>
                      <w:szCs w:val="21"/>
                    </w:rPr>
                    <w:t>制备和使用环氧树脂的工人，可有头痛、恶心、食欲不振、眼灼痛、眼睑水肿、上呼吸道刺激、皮肤病症等。本品的主要危害为引起过敏性皮肤病，其表现形式为瘙痒性红斑、丘疹、疱疹、湿疹性皮炎等。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restart"/>
                  <w:vAlign w:val="center"/>
                </w:tcPr>
                <w:p>
                  <w:pPr>
                    <w:spacing w:line="320" w:lineRule="exact"/>
                    <w:jc w:val="center"/>
                    <w:rPr>
                      <w:bCs/>
                      <w:color w:val="000000"/>
                      <w:sz w:val="21"/>
                      <w:szCs w:val="21"/>
                    </w:rPr>
                  </w:pPr>
                  <w:r>
                    <w:rPr>
                      <w:rFonts w:hint="eastAsia"/>
                      <w:bCs/>
                      <w:color w:val="000000"/>
                      <w:sz w:val="21"/>
                      <w:szCs w:val="21"/>
                    </w:rPr>
                    <w:t>燃烧爆炸危险性</w:t>
                  </w:r>
                </w:p>
              </w:tc>
              <w:tc>
                <w:tcPr>
                  <w:tcW w:w="1350" w:type="dxa"/>
                  <w:vAlign w:val="center"/>
                </w:tcPr>
                <w:p>
                  <w:pPr>
                    <w:spacing w:line="320" w:lineRule="exact"/>
                    <w:jc w:val="center"/>
                    <w:rPr>
                      <w:bCs/>
                      <w:color w:val="000000"/>
                      <w:sz w:val="21"/>
                      <w:szCs w:val="21"/>
                    </w:rPr>
                  </w:pPr>
                  <w:r>
                    <w:rPr>
                      <w:rFonts w:hint="eastAsia"/>
                      <w:bCs/>
                      <w:color w:val="000000"/>
                      <w:sz w:val="21"/>
                      <w:szCs w:val="21"/>
                    </w:rPr>
                    <w:t>燃烧性</w:t>
                  </w:r>
                </w:p>
              </w:tc>
              <w:tc>
                <w:tcPr>
                  <w:tcW w:w="2069" w:type="dxa"/>
                  <w:gridSpan w:val="3"/>
                  <w:vAlign w:val="center"/>
                </w:tcPr>
                <w:p>
                  <w:pPr>
                    <w:spacing w:line="320" w:lineRule="exact"/>
                    <w:jc w:val="center"/>
                    <w:rPr>
                      <w:bCs/>
                      <w:color w:val="000000"/>
                      <w:sz w:val="21"/>
                      <w:szCs w:val="21"/>
                    </w:rPr>
                  </w:pPr>
                  <w:r>
                    <w:rPr>
                      <w:rFonts w:hint="eastAsia"/>
                      <w:bCs/>
                      <w:color w:val="000000"/>
                      <w:sz w:val="21"/>
                      <w:szCs w:val="21"/>
                    </w:rPr>
                    <w:t>易燃</w:t>
                  </w:r>
                </w:p>
              </w:tc>
              <w:tc>
                <w:tcPr>
                  <w:tcW w:w="2069" w:type="dxa"/>
                  <w:gridSpan w:val="4"/>
                  <w:vAlign w:val="center"/>
                </w:tcPr>
                <w:p>
                  <w:pPr>
                    <w:spacing w:line="320" w:lineRule="exact"/>
                    <w:jc w:val="center"/>
                    <w:rPr>
                      <w:bCs/>
                      <w:color w:val="000000"/>
                      <w:sz w:val="21"/>
                      <w:szCs w:val="21"/>
                    </w:rPr>
                  </w:pPr>
                  <w:r>
                    <w:rPr>
                      <w:rFonts w:hint="eastAsia"/>
                      <w:bCs/>
                      <w:color w:val="000000"/>
                      <w:sz w:val="21"/>
                      <w:szCs w:val="21"/>
                    </w:rPr>
                    <w:t>燃烧分解物</w:t>
                  </w:r>
                </w:p>
              </w:tc>
              <w:tc>
                <w:tcPr>
                  <w:tcW w:w="2070" w:type="dxa"/>
                  <w:gridSpan w:val="2"/>
                  <w:vAlign w:val="center"/>
                </w:tcPr>
                <w:p>
                  <w:pPr>
                    <w:spacing w:line="320" w:lineRule="exact"/>
                    <w:jc w:val="center"/>
                    <w:rPr>
                      <w:bCs/>
                      <w:color w:val="000000"/>
                      <w:sz w:val="21"/>
                      <w:szCs w:val="21"/>
                    </w:rPr>
                  </w:pPr>
                  <w:r>
                    <w:rPr>
                      <w:rFonts w:hint="eastAsia"/>
                      <w:bCs/>
                      <w:color w:val="000000"/>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闪点（℃）</w:t>
                  </w:r>
                </w:p>
              </w:tc>
              <w:tc>
                <w:tcPr>
                  <w:tcW w:w="2069" w:type="dxa"/>
                  <w:gridSpan w:val="3"/>
                  <w:vAlign w:val="center"/>
                </w:tcPr>
                <w:p>
                  <w:pPr>
                    <w:spacing w:line="320" w:lineRule="exact"/>
                    <w:jc w:val="center"/>
                    <w:rPr>
                      <w:bCs/>
                      <w:color w:val="000000"/>
                      <w:sz w:val="21"/>
                      <w:szCs w:val="21"/>
                    </w:rPr>
                  </w:pPr>
                  <w:r>
                    <w:rPr>
                      <w:rFonts w:hint="eastAsia"/>
                      <w:bCs/>
                      <w:color w:val="000000"/>
                      <w:sz w:val="21"/>
                      <w:szCs w:val="21"/>
                    </w:rPr>
                    <w:t>-18℃≤闪点＜23℃</w:t>
                  </w:r>
                </w:p>
              </w:tc>
              <w:tc>
                <w:tcPr>
                  <w:tcW w:w="2069" w:type="dxa"/>
                  <w:gridSpan w:val="4"/>
                  <w:vAlign w:val="center"/>
                </w:tcPr>
                <w:p>
                  <w:pPr>
                    <w:spacing w:line="320" w:lineRule="exact"/>
                    <w:jc w:val="center"/>
                    <w:rPr>
                      <w:bCs/>
                      <w:color w:val="000000"/>
                      <w:sz w:val="21"/>
                      <w:szCs w:val="21"/>
                    </w:rPr>
                  </w:pPr>
                  <w:r>
                    <w:rPr>
                      <w:rFonts w:hint="eastAsia"/>
                      <w:bCs/>
                      <w:color w:val="000000"/>
                      <w:sz w:val="21"/>
                      <w:szCs w:val="21"/>
                    </w:rPr>
                    <w:t>爆炸上限（v%）</w:t>
                  </w:r>
                </w:p>
              </w:tc>
              <w:tc>
                <w:tcPr>
                  <w:tcW w:w="2070" w:type="dxa"/>
                  <w:gridSpan w:val="2"/>
                  <w:vAlign w:val="center"/>
                </w:tcPr>
                <w:p>
                  <w:pPr>
                    <w:spacing w:line="320" w:lineRule="exact"/>
                    <w:jc w:val="center"/>
                    <w:rPr>
                      <w:bCs/>
                      <w:color w:val="000000"/>
                      <w:sz w:val="21"/>
                      <w:szCs w:val="21"/>
                    </w:rPr>
                  </w:pPr>
                  <w:r>
                    <w:rPr>
                      <w:rFonts w:hint="eastAsia"/>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自燃温度（摄氏度）</w:t>
                  </w:r>
                </w:p>
              </w:tc>
              <w:tc>
                <w:tcPr>
                  <w:tcW w:w="2069" w:type="dxa"/>
                  <w:gridSpan w:val="3"/>
                  <w:vAlign w:val="center"/>
                </w:tcPr>
                <w:p>
                  <w:pPr>
                    <w:spacing w:line="320" w:lineRule="exact"/>
                    <w:jc w:val="center"/>
                    <w:rPr>
                      <w:bCs/>
                      <w:color w:val="000000"/>
                      <w:sz w:val="21"/>
                      <w:szCs w:val="21"/>
                    </w:rPr>
                  </w:pPr>
                  <w:r>
                    <w:rPr>
                      <w:rFonts w:hint="eastAsia"/>
                      <w:bCs/>
                      <w:color w:val="000000"/>
                      <w:sz w:val="21"/>
                      <w:szCs w:val="21"/>
                    </w:rPr>
                    <w:t>490</w:t>
                  </w:r>
                </w:p>
              </w:tc>
              <w:tc>
                <w:tcPr>
                  <w:tcW w:w="2069" w:type="dxa"/>
                  <w:gridSpan w:val="4"/>
                  <w:vAlign w:val="center"/>
                </w:tcPr>
                <w:p>
                  <w:pPr>
                    <w:spacing w:line="320" w:lineRule="exact"/>
                    <w:jc w:val="center"/>
                    <w:rPr>
                      <w:bCs/>
                      <w:color w:val="000000"/>
                      <w:sz w:val="21"/>
                      <w:szCs w:val="21"/>
                    </w:rPr>
                  </w:pPr>
                  <w:r>
                    <w:rPr>
                      <w:rFonts w:hint="eastAsia"/>
                      <w:bCs/>
                      <w:color w:val="000000"/>
                      <w:sz w:val="21"/>
                      <w:szCs w:val="21"/>
                    </w:rPr>
                    <w:t>爆炸下限（v%）</w:t>
                  </w:r>
                </w:p>
              </w:tc>
              <w:tc>
                <w:tcPr>
                  <w:tcW w:w="2070" w:type="dxa"/>
                  <w:gridSpan w:val="2"/>
                  <w:vAlign w:val="center"/>
                </w:tcPr>
                <w:p>
                  <w:pPr>
                    <w:spacing w:line="320" w:lineRule="exact"/>
                    <w:jc w:val="center"/>
                    <w:rPr>
                      <w:bCs/>
                      <w:color w:val="000000"/>
                      <w:sz w:val="21"/>
                      <w:szCs w:val="21"/>
                    </w:rPr>
                  </w:pPr>
                  <w:r>
                    <w:rPr>
                      <w:rFonts w:hint="eastAsia"/>
                      <w:bCs/>
                      <w:color w:val="000000"/>
                      <w:sz w:val="21"/>
                      <w:szCs w:val="21"/>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危险特性</w:t>
                  </w:r>
                </w:p>
              </w:tc>
              <w:tc>
                <w:tcPr>
                  <w:tcW w:w="6208" w:type="dxa"/>
                  <w:gridSpan w:val="9"/>
                  <w:vAlign w:val="center"/>
                </w:tcPr>
                <w:p>
                  <w:pPr>
                    <w:spacing w:line="320" w:lineRule="exact"/>
                    <w:jc w:val="center"/>
                    <w:rPr>
                      <w:bCs/>
                      <w:color w:val="000000"/>
                      <w:sz w:val="21"/>
                      <w:szCs w:val="21"/>
                    </w:rPr>
                  </w:pPr>
                  <w:r>
                    <w:rPr>
                      <w:bCs/>
                      <w:color w:val="000000"/>
                      <w:sz w:val="21"/>
                      <w:szCs w:val="21"/>
                    </w:rPr>
                    <w:t>易燃，遇明火、高热能燃烧。受高热分解放出有毒的气体。粉体与空气可形成爆炸性混合物，当达到一定的浓度时，遇火星会发生爆炸。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建规火险分级</w:t>
                  </w:r>
                </w:p>
              </w:tc>
              <w:tc>
                <w:tcPr>
                  <w:tcW w:w="1241" w:type="dxa"/>
                  <w:gridSpan w:val="2"/>
                  <w:vAlign w:val="center"/>
                </w:tcPr>
                <w:p>
                  <w:pPr>
                    <w:spacing w:line="320" w:lineRule="exact"/>
                    <w:jc w:val="center"/>
                    <w:rPr>
                      <w:bCs/>
                      <w:color w:val="000000"/>
                      <w:sz w:val="21"/>
                      <w:szCs w:val="21"/>
                    </w:rPr>
                  </w:pPr>
                  <w:r>
                    <w:rPr>
                      <w:rFonts w:hint="eastAsia"/>
                      <w:bCs/>
                      <w:color w:val="000000"/>
                      <w:sz w:val="21"/>
                      <w:szCs w:val="21"/>
                    </w:rPr>
                    <w:t>甲</w:t>
                  </w:r>
                </w:p>
              </w:tc>
              <w:tc>
                <w:tcPr>
                  <w:tcW w:w="1241" w:type="dxa"/>
                  <w:gridSpan w:val="2"/>
                  <w:vAlign w:val="center"/>
                </w:tcPr>
                <w:p>
                  <w:pPr>
                    <w:spacing w:line="320" w:lineRule="exact"/>
                    <w:jc w:val="center"/>
                    <w:rPr>
                      <w:bCs/>
                      <w:color w:val="000000"/>
                      <w:sz w:val="21"/>
                      <w:szCs w:val="21"/>
                    </w:rPr>
                  </w:pPr>
                  <w:r>
                    <w:rPr>
                      <w:rFonts w:hint="eastAsia"/>
                      <w:bCs/>
                      <w:color w:val="000000"/>
                      <w:sz w:val="21"/>
                      <w:szCs w:val="21"/>
                    </w:rPr>
                    <w:t>稳定性</w:t>
                  </w:r>
                </w:p>
              </w:tc>
              <w:tc>
                <w:tcPr>
                  <w:tcW w:w="1241" w:type="dxa"/>
                  <w:gridSpan w:val="2"/>
                  <w:vAlign w:val="center"/>
                </w:tcPr>
                <w:p>
                  <w:pPr>
                    <w:spacing w:line="320" w:lineRule="exact"/>
                    <w:jc w:val="center"/>
                    <w:rPr>
                      <w:bCs/>
                      <w:color w:val="000000"/>
                      <w:sz w:val="21"/>
                      <w:szCs w:val="21"/>
                    </w:rPr>
                  </w:pPr>
                  <w:r>
                    <w:rPr>
                      <w:rFonts w:hint="eastAsia"/>
                      <w:bCs/>
                      <w:color w:val="000000"/>
                      <w:sz w:val="21"/>
                      <w:szCs w:val="21"/>
                    </w:rPr>
                    <w:t>稳定</w:t>
                  </w:r>
                </w:p>
              </w:tc>
              <w:tc>
                <w:tcPr>
                  <w:tcW w:w="1241" w:type="dxa"/>
                  <w:gridSpan w:val="2"/>
                  <w:vAlign w:val="center"/>
                </w:tcPr>
                <w:p>
                  <w:pPr>
                    <w:spacing w:line="320" w:lineRule="exact"/>
                    <w:jc w:val="center"/>
                    <w:rPr>
                      <w:bCs/>
                      <w:color w:val="000000"/>
                      <w:sz w:val="21"/>
                      <w:szCs w:val="21"/>
                    </w:rPr>
                  </w:pPr>
                  <w:r>
                    <w:rPr>
                      <w:rFonts w:hint="eastAsia"/>
                      <w:bCs/>
                      <w:color w:val="000000"/>
                      <w:sz w:val="21"/>
                      <w:szCs w:val="21"/>
                    </w:rPr>
                    <w:t>聚合危害</w:t>
                  </w:r>
                </w:p>
              </w:tc>
              <w:tc>
                <w:tcPr>
                  <w:tcW w:w="1244" w:type="dxa"/>
                  <w:vAlign w:val="center"/>
                </w:tcPr>
                <w:p>
                  <w:pPr>
                    <w:spacing w:line="320" w:lineRule="exact"/>
                    <w:jc w:val="center"/>
                    <w:rPr>
                      <w:bCs/>
                      <w:color w:val="000000"/>
                      <w:sz w:val="21"/>
                      <w:szCs w:val="21"/>
                    </w:rPr>
                  </w:pPr>
                  <w:r>
                    <w:rPr>
                      <w:rFonts w:hint="eastAsia"/>
                      <w:bCs/>
                      <w:color w:val="000000"/>
                      <w:sz w:val="21"/>
                      <w:szCs w:val="21"/>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禁忌物</w:t>
                  </w:r>
                </w:p>
              </w:tc>
              <w:tc>
                <w:tcPr>
                  <w:tcW w:w="6208" w:type="dxa"/>
                  <w:gridSpan w:val="9"/>
                  <w:vAlign w:val="center"/>
                </w:tcPr>
                <w:p>
                  <w:pPr>
                    <w:spacing w:line="320" w:lineRule="exact"/>
                    <w:jc w:val="center"/>
                    <w:rPr>
                      <w:bCs/>
                      <w:color w:val="000000"/>
                      <w:sz w:val="21"/>
                      <w:szCs w:val="21"/>
                    </w:rPr>
                  </w:pPr>
                  <w:r>
                    <w:rPr>
                      <w:rFonts w:hint="eastAsia"/>
                      <w:bCs/>
                      <w:color w:val="000000"/>
                      <w:sz w:val="21"/>
                      <w:szCs w:val="21"/>
                    </w:rPr>
                    <w:t>强氧化剂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Merge w:val="continue"/>
                  <w:vAlign w:val="center"/>
                </w:tcPr>
                <w:p>
                  <w:pPr>
                    <w:spacing w:line="320" w:lineRule="exact"/>
                    <w:jc w:val="center"/>
                    <w:rPr>
                      <w:bCs/>
                      <w:color w:val="000000"/>
                      <w:sz w:val="21"/>
                      <w:szCs w:val="21"/>
                    </w:rPr>
                  </w:pPr>
                </w:p>
              </w:tc>
              <w:tc>
                <w:tcPr>
                  <w:tcW w:w="1350" w:type="dxa"/>
                  <w:vAlign w:val="center"/>
                </w:tcPr>
                <w:p>
                  <w:pPr>
                    <w:spacing w:line="320" w:lineRule="exact"/>
                    <w:jc w:val="center"/>
                    <w:rPr>
                      <w:bCs/>
                      <w:color w:val="000000"/>
                      <w:sz w:val="21"/>
                      <w:szCs w:val="21"/>
                    </w:rPr>
                  </w:pPr>
                  <w:r>
                    <w:rPr>
                      <w:rFonts w:hint="eastAsia"/>
                      <w:bCs/>
                      <w:color w:val="000000"/>
                      <w:sz w:val="21"/>
                      <w:szCs w:val="21"/>
                    </w:rPr>
                    <w:t>灭火方法</w:t>
                  </w:r>
                </w:p>
              </w:tc>
              <w:tc>
                <w:tcPr>
                  <w:tcW w:w="6208" w:type="dxa"/>
                  <w:gridSpan w:val="9"/>
                  <w:vAlign w:val="center"/>
                </w:tcPr>
                <w:p>
                  <w:pPr>
                    <w:spacing w:line="320" w:lineRule="exact"/>
                    <w:jc w:val="center"/>
                    <w:rPr>
                      <w:bCs/>
                      <w:color w:val="000000"/>
                      <w:sz w:val="21"/>
                      <w:szCs w:val="21"/>
                    </w:rPr>
                  </w:pPr>
                  <w:r>
                    <w:rPr>
                      <w:bCs/>
                      <w:color w:val="000000"/>
                      <w:sz w:val="21"/>
                      <w:szCs w:val="21"/>
                    </w:rPr>
                    <w:t>喷水冷却容器，可能的话将容器从火场移至空旷处。灭火剂</w:t>
                  </w:r>
                  <w:r>
                    <w:rPr>
                      <w:rFonts w:hint="eastAsia"/>
                      <w:bCs/>
                      <w:color w:val="000000"/>
                      <w:sz w:val="21"/>
                      <w:szCs w:val="21"/>
                    </w:rPr>
                    <w:t>：</w:t>
                  </w:r>
                  <w:r>
                    <w:rPr>
                      <w:bCs/>
                      <w:color w:val="000000"/>
                      <w:sz w:val="21"/>
                      <w:szCs w:val="21"/>
                    </w:rPr>
                    <w:t>雾状水、泡沫、二氧化碳、干粉、砂土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Align w:val="center"/>
                </w:tcPr>
                <w:p>
                  <w:pPr>
                    <w:spacing w:line="320" w:lineRule="exact"/>
                    <w:jc w:val="center"/>
                    <w:rPr>
                      <w:bCs/>
                      <w:color w:val="000000"/>
                      <w:sz w:val="21"/>
                      <w:szCs w:val="21"/>
                    </w:rPr>
                  </w:pPr>
                  <w:r>
                    <w:rPr>
                      <w:rFonts w:hint="eastAsia"/>
                      <w:bCs/>
                      <w:color w:val="000000"/>
                      <w:sz w:val="21"/>
                      <w:szCs w:val="21"/>
                    </w:rPr>
                    <w:t>急救措施</w:t>
                  </w:r>
                </w:p>
              </w:tc>
              <w:tc>
                <w:tcPr>
                  <w:tcW w:w="7558" w:type="dxa"/>
                  <w:gridSpan w:val="10"/>
                  <w:vAlign w:val="center"/>
                </w:tcPr>
                <w:p>
                  <w:pPr>
                    <w:spacing w:line="320" w:lineRule="exact"/>
                    <w:jc w:val="center"/>
                    <w:rPr>
                      <w:bCs/>
                      <w:color w:val="000000"/>
                      <w:sz w:val="21"/>
                      <w:szCs w:val="21"/>
                    </w:rPr>
                  </w:pPr>
                  <w:r>
                    <w:rPr>
                      <w:bCs/>
                      <w:color w:val="000000"/>
                      <w:sz w:val="21"/>
                      <w:szCs w:val="21"/>
                    </w:rPr>
                    <w:t>①皮肤接触</w:t>
                  </w:r>
                  <w:r>
                    <w:rPr>
                      <w:rFonts w:hint="eastAsia"/>
                      <w:bCs/>
                      <w:color w:val="000000"/>
                      <w:sz w:val="21"/>
                      <w:szCs w:val="21"/>
                    </w:rPr>
                    <w:t>：</w:t>
                  </w:r>
                  <w:r>
                    <w:rPr>
                      <w:bCs/>
                      <w:color w:val="000000"/>
                      <w:sz w:val="21"/>
                      <w:szCs w:val="21"/>
                    </w:rPr>
                    <w:t>脱去被污染的衣着，用肥皂水和清水彻底冲洗皮肤。②眼睛接触</w:t>
                  </w:r>
                  <w:r>
                    <w:rPr>
                      <w:rFonts w:hint="eastAsia"/>
                      <w:bCs/>
                      <w:color w:val="000000"/>
                      <w:sz w:val="21"/>
                      <w:szCs w:val="21"/>
                    </w:rPr>
                    <w:t>：</w:t>
                  </w:r>
                  <w:r>
                    <w:rPr>
                      <w:bCs/>
                      <w:color w:val="000000"/>
                      <w:sz w:val="21"/>
                      <w:szCs w:val="21"/>
                    </w:rPr>
                    <w:t>提起眼睑，用流动清水或生理盐水冲洗。就医。③吸入</w:t>
                  </w:r>
                  <w:r>
                    <w:rPr>
                      <w:rFonts w:hint="eastAsia"/>
                      <w:bCs/>
                      <w:color w:val="000000"/>
                      <w:sz w:val="21"/>
                      <w:szCs w:val="21"/>
                    </w:rPr>
                    <w:t>：</w:t>
                  </w:r>
                  <w:r>
                    <w:rPr>
                      <w:bCs/>
                      <w:color w:val="000000"/>
                      <w:sz w:val="21"/>
                      <w:szCs w:val="21"/>
                    </w:rPr>
                    <w:t>脱离现场至空气新鲜处。就医。④食入</w:t>
                  </w:r>
                  <w:r>
                    <w:rPr>
                      <w:rFonts w:hint="eastAsia"/>
                      <w:bCs/>
                      <w:color w:val="000000"/>
                      <w:sz w:val="21"/>
                      <w:szCs w:val="21"/>
                    </w:rPr>
                    <w:t>：</w:t>
                  </w:r>
                  <w:r>
                    <w:rPr>
                      <w:bCs/>
                      <w:color w:val="000000"/>
                      <w:sz w:val="21"/>
                      <w:szCs w:val="21"/>
                    </w:rPr>
                    <w:t>饮足量温水，催吐，就医。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7" w:type="dxa"/>
                  <w:vAlign w:val="center"/>
                </w:tcPr>
                <w:p>
                  <w:pPr>
                    <w:spacing w:line="320" w:lineRule="exact"/>
                    <w:jc w:val="center"/>
                    <w:rPr>
                      <w:bCs/>
                      <w:color w:val="000000"/>
                      <w:sz w:val="21"/>
                      <w:szCs w:val="21"/>
                    </w:rPr>
                  </w:pPr>
                  <w:r>
                    <w:rPr>
                      <w:rFonts w:hint="eastAsia"/>
                      <w:bCs/>
                      <w:color w:val="000000"/>
                      <w:sz w:val="21"/>
                      <w:szCs w:val="21"/>
                    </w:rPr>
                    <w:t>泄漏措施</w:t>
                  </w:r>
                </w:p>
              </w:tc>
              <w:tc>
                <w:tcPr>
                  <w:tcW w:w="7558" w:type="dxa"/>
                  <w:gridSpan w:val="10"/>
                  <w:vAlign w:val="center"/>
                </w:tcPr>
                <w:p>
                  <w:pPr>
                    <w:spacing w:line="320" w:lineRule="exact"/>
                    <w:jc w:val="center"/>
                    <w:rPr>
                      <w:bCs/>
                      <w:color w:val="000000"/>
                      <w:sz w:val="21"/>
                      <w:szCs w:val="21"/>
                    </w:rPr>
                  </w:pPr>
                  <w:r>
                    <w:rPr>
                      <w:bCs/>
                      <w:color w:val="000000"/>
                      <w:sz w:val="21"/>
                      <w:szCs w:val="21"/>
                    </w:rPr>
                    <w:t>迅速撤离泄漏污染区人员至安全区，并进行隔离，严格限制出入。切断火源。建议应急处理人员戴自给正压式呼吸器，穿消防防护服。若是液体，尽可能切断泄漏源，防止进入下水道、排洪沟等限制性空间。小量泄漏</w:t>
                  </w:r>
                  <w:r>
                    <w:rPr>
                      <w:rFonts w:hint="eastAsia"/>
                      <w:bCs/>
                      <w:color w:val="000000"/>
                      <w:sz w:val="21"/>
                      <w:szCs w:val="21"/>
                    </w:rPr>
                    <w:t>：</w:t>
                  </w:r>
                  <w:r>
                    <w:rPr>
                      <w:bCs/>
                      <w:color w:val="000000"/>
                      <w:sz w:val="21"/>
                      <w:szCs w:val="21"/>
                    </w:rPr>
                    <w:t>用干燥的砂土或类似物质吸收。大量泄漏</w:t>
                  </w:r>
                  <w:r>
                    <w:rPr>
                      <w:rFonts w:hint="eastAsia"/>
                      <w:bCs/>
                      <w:color w:val="000000"/>
                      <w:sz w:val="21"/>
                      <w:szCs w:val="21"/>
                    </w:rPr>
                    <w:t>：</w:t>
                  </w:r>
                  <w:r>
                    <w:rPr>
                      <w:bCs/>
                      <w:color w:val="000000"/>
                      <w:sz w:val="21"/>
                      <w:szCs w:val="21"/>
                    </w:rPr>
                    <w:t>构筑围堤或挖坑收容。用泡沫覆盖，降低蒸气灾害。用防爆泵转移至槽车或专用收集器内，回收或运至废物处理场所处置。若是固体，收集于干燥、洁净、有盖的容器中。若大量泄漏，收集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87" w:type="dxa"/>
                  <w:vAlign w:val="center"/>
                </w:tcPr>
                <w:p>
                  <w:pPr>
                    <w:spacing w:line="320" w:lineRule="exact"/>
                    <w:jc w:val="center"/>
                    <w:rPr>
                      <w:bCs/>
                      <w:color w:val="000000"/>
                      <w:sz w:val="21"/>
                      <w:szCs w:val="21"/>
                    </w:rPr>
                  </w:pPr>
                  <w:r>
                    <w:rPr>
                      <w:rFonts w:hint="eastAsia"/>
                      <w:bCs/>
                      <w:color w:val="000000"/>
                      <w:sz w:val="21"/>
                      <w:szCs w:val="21"/>
                    </w:rPr>
                    <w:t>储运注意事项</w:t>
                  </w:r>
                </w:p>
              </w:tc>
              <w:tc>
                <w:tcPr>
                  <w:tcW w:w="7558" w:type="dxa"/>
                  <w:gridSpan w:val="10"/>
                  <w:vAlign w:val="center"/>
                </w:tcPr>
                <w:p>
                  <w:pPr>
                    <w:spacing w:line="320" w:lineRule="exact"/>
                    <w:jc w:val="center"/>
                    <w:rPr>
                      <w:bCs/>
                      <w:color w:val="000000"/>
                      <w:sz w:val="21"/>
                      <w:szCs w:val="21"/>
                    </w:rPr>
                  </w:pPr>
                  <w:r>
                    <w:rPr>
                      <w:bCs/>
                      <w:color w:val="000000"/>
                      <w:sz w:val="21"/>
                      <w:szCs w:val="21"/>
                    </w:rPr>
                    <w:t>①储存注意事项</w:t>
                  </w:r>
                  <w:r>
                    <w:rPr>
                      <w:rFonts w:hint="eastAsia"/>
                      <w:bCs/>
                      <w:color w:val="000000"/>
                      <w:sz w:val="21"/>
                      <w:szCs w:val="21"/>
                    </w:rPr>
                    <w:t>：</w:t>
                  </w:r>
                  <w:r>
                    <w:rPr>
                      <w:bCs/>
                      <w:color w:val="000000"/>
                      <w:sz w:val="21"/>
                      <w:szCs w:val="21"/>
                    </w:rPr>
                    <w:t>储存于阴凉、通风</w:t>
                  </w:r>
                  <w:r>
                    <w:rPr>
                      <w:rFonts w:hint="eastAsia"/>
                      <w:bCs/>
                      <w:color w:val="000000"/>
                      <w:sz w:val="21"/>
                      <w:szCs w:val="21"/>
                    </w:rPr>
                    <w:t>空</w:t>
                  </w:r>
                  <w:r>
                    <w:rPr>
                      <w:bCs/>
                      <w:color w:val="000000"/>
                      <w:sz w:val="21"/>
                      <w:szCs w:val="21"/>
                    </w:rPr>
                    <w:t>间内。远离火种、热源，防止阳光直射。包装必须密封，切勿受潮。应与氧化剂分开存放。搬运时要轻装轻卸，防止包装及容器损坏。②运输注意事项</w:t>
                  </w:r>
                  <w:r>
                    <w:rPr>
                      <w:rFonts w:hint="eastAsia"/>
                      <w:bCs/>
                      <w:color w:val="000000"/>
                      <w:sz w:val="21"/>
                      <w:szCs w:val="21"/>
                    </w:rPr>
                    <w:t>：</w:t>
                  </w:r>
                  <w:r>
                    <w:rPr>
                      <w:bCs/>
                      <w:color w:val="000000"/>
                      <w:sz w:val="21"/>
                      <w:szCs w:val="21"/>
                    </w:rPr>
                    <w:t>运输时运输车辆应配备相应品种和数量的消防器材及泄漏应急处理设备。夏季最好早晚运输。运输时所用的槽(罐)车应有接地链，槽内可设孔隔板以减少震荡产生静电。严禁与氧化剂、食用化学品等混装混运。运输途中应防曝晒、雨淋，防高温。中途停留时应远离火种、热源、高温区。装运该物品的车辆排气管必须配备阻火装置，禁止使用易产生火花的机械设备和工具装卸。公路运输时要按规定路线行驶，勿在居民区和人口稠密区停留。铁路运输时要禁止溜放。严禁用木船、水泥船散装运输。</w:t>
                  </w:r>
                </w:p>
              </w:tc>
            </w:tr>
          </w:tbl>
          <w:p>
            <w:pPr>
              <w:pStyle w:val="8"/>
              <w:tabs>
                <w:tab w:val="left" w:pos="3943"/>
              </w:tabs>
              <w:spacing w:line="480" w:lineRule="exact"/>
              <w:jc w:val="center"/>
              <w:rPr>
                <w:rFonts w:ascii="Times New Roman" w:hAnsi="Times New Roman" w:cs="Times New Roman"/>
                <w:color w:val="000000"/>
              </w:rPr>
            </w:pPr>
            <w:r>
              <w:rPr>
                <w:rFonts w:ascii="Times New Roman" w:hAnsi="Times New Roman" w:cs="Times New Roman"/>
                <w:color w:val="000000"/>
              </w:rPr>
              <w:t>表2-</w:t>
            </w:r>
            <w:r>
              <w:rPr>
                <w:rFonts w:hint="eastAsia" w:ascii="Times New Roman" w:hAnsi="Times New Roman" w:cs="Times New Roman"/>
                <w:color w:val="000000"/>
              </w:rPr>
              <w:t>7其他</w:t>
            </w:r>
            <w:r>
              <w:rPr>
                <w:rFonts w:ascii="Times New Roman" w:hAnsi="Times New Roman" w:cs="Times New Roman"/>
                <w:color w:val="000000"/>
              </w:rPr>
              <w:t>主要原辅材料理化特性及危险特性</w:t>
            </w:r>
          </w:p>
          <w:tbl>
            <w:tblPr>
              <w:tblStyle w:val="31"/>
              <w:tblW w:w="7936" w:type="dxa"/>
              <w:tblInd w:w="0" w:type="dxa"/>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6"/>
              <w:gridCol w:w="587"/>
              <w:gridCol w:w="4041"/>
              <w:gridCol w:w="660"/>
              <w:gridCol w:w="1502"/>
            </w:tblGrid>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1146" w:type="dxa"/>
                  <w:tcMar>
                    <w:left w:w="0" w:type="dxa"/>
                    <w:right w:w="0" w:type="dxa"/>
                  </w:tcMar>
                  <w:vAlign w:val="center"/>
                </w:tcPr>
                <w:p>
                  <w:pPr>
                    <w:adjustRightInd w:val="0"/>
                    <w:snapToGrid w:val="0"/>
                    <w:jc w:val="center"/>
                    <w:rPr>
                      <w:bCs/>
                      <w:color w:val="000000"/>
                      <w:sz w:val="21"/>
                      <w:szCs w:val="21"/>
                    </w:rPr>
                  </w:pPr>
                  <w:r>
                    <w:rPr>
                      <w:bCs/>
                      <w:color w:val="000000"/>
                      <w:sz w:val="21"/>
                      <w:szCs w:val="21"/>
                    </w:rPr>
                    <w:t>原料及分子式</w:t>
                  </w:r>
                </w:p>
              </w:tc>
              <w:tc>
                <w:tcPr>
                  <w:tcW w:w="587" w:type="dxa"/>
                  <w:tcMar>
                    <w:left w:w="0" w:type="dxa"/>
                    <w:right w:w="0" w:type="dxa"/>
                  </w:tcMar>
                  <w:vAlign w:val="center"/>
                </w:tcPr>
                <w:p>
                  <w:pPr>
                    <w:adjustRightInd w:val="0"/>
                    <w:snapToGrid w:val="0"/>
                    <w:jc w:val="center"/>
                    <w:rPr>
                      <w:bCs/>
                      <w:color w:val="000000"/>
                      <w:sz w:val="21"/>
                      <w:szCs w:val="21"/>
                    </w:rPr>
                  </w:pPr>
                  <w:r>
                    <w:rPr>
                      <w:bCs/>
                      <w:color w:val="000000"/>
                      <w:sz w:val="21"/>
                      <w:szCs w:val="21"/>
                    </w:rPr>
                    <w:t>危规号</w:t>
                  </w:r>
                </w:p>
              </w:tc>
              <w:tc>
                <w:tcPr>
                  <w:tcW w:w="4041" w:type="dxa"/>
                  <w:tcMar>
                    <w:left w:w="0" w:type="dxa"/>
                    <w:right w:w="0" w:type="dxa"/>
                  </w:tcMar>
                  <w:vAlign w:val="center"/>
                </w:tcPr>
                <w:p>
                  <w:pPr>
                    <w:adjustRightInd w:val="0"/>
                    <w:snapToGrid w:val="0"/>
                    <w:jc w:val="center"/>
                    <w:rPr>
                      <w:bCs/>
                      <w:color w:val="000000"/>
                      <w:sz w:val="21"/>
                      <w:szCs w:val="21"/>
                    </w:rPr>
                  </w:pPr>
                  <w:r>
                    <w:rPr>
                      <w:bCs/>
                      <w:color w:val="000000"/>
                      <w:sz w:val="21"/>
                      <w:szCs w:val="21"/>
                    </w:rPr>
                    <w:t>理化特性</w:t>
                  </w:r>
                </w:p>
              </w:tc>
              <w:tc>
                <w:tcPr>
                  <w:tcW w:w="660" w:type="dxa"/>
                  <w:tcMar>
                    <w:left w:w="0" w:type="dxa"/>
                    <w:right w:w="0" w:type="dxa"/>
                  </w:tcMar>
                  <w:vAlign w:val="center"/>
                </w:tcPr>
                <w:p>
                  <w:pPr>
                    <w:adjustRightInd w:val="0"/>
                    <w:snapToGrid w:val="0"/>
                    <w:jc w:val="center"/>
                    <w:rPr>
                      <w:bCs/>
                      <w:color w:val="000000"/>
                      <w:sz w:val="21"/>
                      <w:szCs w:val="21"/>
                    </w:rPr>
                  </w:pPr>
                  <w:r>
                    <w:rPr>
                      <w:bCs/>
                      <w:color w:val="000000"/>
                      <w:sz w:val="21"/>
                      <w:szCs w:val="21"/>
                    </w:rPr>
                    <w:t>燃烧爆炸性</w:t>
                  </w:r>
                </w:p>
              </w:tc>
              <w:tc>
                <w:tcPr>
                  <w:tcW w:w="1502" w:type="dxa"/>
                  <w:tcMar>
                    <w:left w:w="0" w:type="dxa"/>
                    <w:right w:w="0" w:type="dxa"/>
                  </w:tcMar>
                  <w:vAlign w:val="center"/>
                </w:tcPr>
                <w:p>
                  <w:pPr>
                    <w:adjustRightInd w:val="0"/>
                    <w:snapToGrid w:val="0"/>
                    <w:jc w:val="center"/>
                    <w:rPr>
                      <w:bCs/>
                      <w:color w:val="000000"/>
                      <w:sz w:val="21"/>
                      <w:szCs w:val="21"/>
                    </w:rPr>
                  </w:pPr>
                  <w:r>
                    <w:rPr>
                      <w:bCs/>
                      <w:color w:val="000000"/>
                      <w:sz w:val="21"/>
                      <w:szCs w:val="21"/>
                    </w:rPr>
                    <w:t>毒性毒理</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6" w:hRule="atLeast"/>
              </w:trPr>
              <w:tc>
                <w:tcPr>
                  <w:tcW w:w="1146" w:type="dxa"/>
                  <w:tcMar>
                    <w:left w:w="0" w:type="dxa"/>
                    <w:right w:w="0" w:type="dxa"/>
                  </w:tcMar>
                  <w:vAlign w:val="center"/>
                </w:tcPr>
                <w:p>
                  <w:pPr>
                    <w:widowControl/>
                    <w:jc w:val="center"/>
                    <w:rPr>
                      <w:bCs/>
                      <w:color w:val="000000"/>
                      <w:sz w:val="21"/>
                      <w:szCs w:val="21"/>
                    </w:rPr>
                  </w:pPr>
                  <w:r>
                    <w:fldChar w:fldCharType="begin"/>
                  </w:r>
                  <w:r>
                    <w:instrText xml:space="preserve"> HYPERLINK "https://baike.so.com/doc/26564-27666.html" \t "https://baike.so.com/doc/_blank" </w:instrText>
                  </w:r>
                  <w:r>
                    <w:fldChar w:fldCharType="separate"/>
                  </w:r>
                  <w:r>
                    <w:rPr>
                      <w:bCs/>
                      <w:color w:val="000000"/>
                      <w:sz w:val="21"/>
                      <w:szCs w:val="21"/>
                    </w:rPr>
                    <w:t>水性</w:t>
                  </w:r>
                  <w:r>
                    <w:rPr>
                      <w:bCs/>
                      <w:color w:val="000000"/>
                      <w:sz w:val="21"/>
                      <w:szCs w:val="21"/>
                    </w:rPr>
                    <w:fldChar w:fldCharType="end"/>
                  </w:r>
                  <w:r>
                    <w:rPr>
                      <w:bCs/>
                      <w:color w:val="000000"/>
                      <w:sz w:val="21"/>
                      <w:szCs w:val="21"/>
                    </w:rPr>
                    <w:t>聚氨酯</w:t>
                  </w:r>
                </w:p>
              </w:tc>
              <w:tc>
                <w:tcPr>
                  <w:tcW w:w="587" w:type="dxa"/>
                  <w:tcMar>
                    <w:left w:w="0" w:type="dxa"/>
                    <w:right w:w="0" w:type="dxa"/>
                  </w:tcMar>
                  <w:vAlign w:val="center"/>
                </w:tcPr>
                <w:p>
                  <w:pPr>
                    <w:jc w:val="center"/>
                    <w:rPr>
                      <w:color w:val="000000"/>
                      <w:sz w:val="21"/>
                      <w:szCs w:val="21"/>
                    </w:rPr>
                  </w:pPr>
                  <w:r>
                    <w:rPr>
                      <w:color w:val="000000"/>
                      <w:sz w:val="21"/>
                      <w:szCs w:val="21"/>
                    </w:rPr>
                    <w:t>--</w:t>
                  </w:r>
                </w:p>
              </w:tc>
              <w:tc>
                <w:tcPr>
                  <w:tcW w:w="4041" w:type="dxa"/>
                  <w:tcMar>
                    <w:left w:w="0" w:type="dxa"/>
                    <w:right w:w="0" w:type="dxa"/>
                  </w:tcMar>
                  <w:vAlign w:val="center"/>
                </w:tcPr>
                <w:p>
                  <w:pPr>
                    <w:widowControl/>
                    <w:jc w:val="center"/>
                    <w:rPr>
                      <w:color w:val="000000"/>
                      <w:sz w:val="21"/>
                      <w:szCs w:val="21"/>
                    </w:rPr>
                  </w:pPr>
                  <w:r>
                    <w:rPr>
                      <w:color w:val="000000"/>
                      <w:sz w:val="21"/>
                      <w:szCs w:val="21"/>
                    </w:rPr>
                    <w:t>水性聚氨酯是以水代替有机溶剂作为分散介质的新型聚氨酯体系，也称水分散聚氨酯、水系聚氨酯或水基聚氨酯。水性聚氨酯以水为溶剂，无污染、安全可靠、机械性能优良、相容性好、易于改性等优点。</w:t>
                  </w:r>
                </w:p>
              </w:tc>
              <w:tc>
                <w:tcPr>
                  <w:tcW w:w="660" w:type="dxa"/>
                  <w:tcMar>
                    <w:left w:w="0" w:type="dxa"/>
                    <w:right w:w="0" w:type="dxa"/>
                  </w:tcMar>
                  <w:vAlign w:val="center"/>
                </w:tcPr>
                <w:p>
                  <w:pPr>
                    <w:jc w:val="center"/>
                    <w:rPr>
                      <w:color w:val="000000"/>
                      <w:sz w:val="21"/>
                      <w:szCs w:val="21"/>
                    </w:rPr>
                  </w:pPr>
                  <w:r>
                    <w:rPr>
                      <w:color w:val="000000"/>
                      <w:sz w:val="21"/>
                      <w:szCs w:val="21"/>
                    </w:rPr>
                    <w:t>易燃</w:t>
                  </w:r>
                </w:p>
              </w:tc>
              <w:tc>
                <w:tcPr>
                  <w:tcW w:w="1502" w:type="dxa"/>
                  <w:tcMar>
                    <w:left w:w="0" w:type="dxa"/>
                    <w:right w:w="0" w:type="dxa"/>
                  </w:tcMar>
                  <w:vAlign w:val="center"/>
                </w:tcPr>
                <w:p>
                  <w:pPr>
                    <w:jc w:val="center"/>
                    <w:rPr>
                      <w:color w:val="000000"/>
                      <w:sz w:val="21"/>
                      <w:szCs w:val="21"/>
                    </w:rPr>
                  </w:pPr>
                  <w:r>
                    <w:rPr>
                      <w:color w:val="000000"/>
                      <w:sz w:val="21"/>
                      <w:szCs w:val="21"/>
                    </w:rPr>
                    <w:t>无资料</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7" w:hRule="atLeast"/>
              </w:trPr>
              <w:tc>
                <w:tcPr>
                  <w:tcW w:w="1146" w:type="dxa"/>
                  <w:tcMar>
                    <w:left w:w="0" w:type="dxa"/>
                    <w:right w:w="0" w:type="dxa"/>
                  </w:tcMar>
                  <w:vAlign w:val="center"/>
                </w:tcPr>
                <w:p>
                  <w:pPr>
                    <w:widowControl/>
                    <w:jc w:val="center"/>
                    <w:rPr>
                      <w:bCs/>
                      <w:color w:val="000000"/>
                      <w:sz w:val="21"/>
                      <w:szCs w:val="21"/>
                    </w:rPr>
                  </w:pPr>
                  <w:r>
                    <w:rPr>
                      <w:bCs/>
                      <w:color w:val="000000"/>
                      <w:sz w:val="21"/>
                      <w:szCs w:val="21"/>
                    </w:rPr>
                    <w:t>颜料</w:t>
                  </w:r>
                </w:p>
              </w:tc>
              <w:tc>
                <w:tcPr>
                  <w:tcW w:w="587" w:type="dxa"/>
                  <w:tcMar>
                    <w:left w:w="0" w:type="dxa"/>
                    <w:right w:w="0" w:type="dxa"/>
                  </w:tcMar>
                  <w:vAlign w:val="center"/>
                </w:tcPr>
                <w:p>
                  <w:pPr>
                    <w:jc w:val="center"/>
                    <w:rPr>
                      <w:color w:val="000000"/>
                      <w:sz w:val="21"/>
                      <w:szCs w:val="21"/>
                    </w:rPr>
                  </w:pPr>
                  <w:r>
                    <w:rPr>
                      <w:color w:val="000000"/>
                      <w:sz w:val="21"/>
                      <w:szCs w:val="21"/>
                    </w:rPr>
                    <w:t>--</w:t>
                  </w:r>
                </w:p>
              </w:tc>
              <w:tc>
                <w:tcPr>
                  <w:tcW w:w="4041" w:type="dxa"/>
                  <w:tcMar>
                    <w:left w:w="0" w:type="dxa"/>
                    <w:right w:w="0" w:type="dxa"/>
                  </w:tcMar>
                  <w:vAlign w:val="center"/>
                </w:tcPr>
                <w:p>
                  <w:pPr>
                    <w:pStyle w:val="71"/>
                    <w:spacing w:before="20"/>
                    <w:ind w:right="74"/>
                    <w:rPr>
                      <w:rFonts w:ascii="Times New Roman" w:hAnsi="Times New Roman" w:cs="Times New Roman"/>
                      <w:color w:val="000000"/>
                      <w:sz w:val="21"/>
                      <w:szCs w:val="21"/>
                    </w:rPr>
                  </w:pPr>
                  <w:r>
                    <w:rPr>
                      <w:rFonts w:ascii="Times New Roman" w:hAnsi="Times New Roman" w:cs="Times New Roman"/>
                      <w:color w:val="000000"/>
                      <w:sz w:val="21"/>
                      <w:szCs w:val="21"/>
                    </w:rPr>
                    <w:t>颜料须与树脂配合使用，在涂料中的主要作用是使涂膜着色，颜料比例不同会影响涂膜硬度、光泽度以及耐蚀性等。</w:t>
                  </w:r>
                </w:p>
              </w:tc>
              <w:tc>
                <w:tcPr>
                  <w:tcW w:w="660" w:type="dxa"/>
                  <w:tcMar>
                    <w:left w:w="0" w:type="dxa"/>
                    <w:right w:w="0" w:type="dxa"/>
                  </w:tcMar>
                  <w:vAlign w:val="center"/>
                </w:tcPr>
                <w:p>
                  <w:pPr>
                    <w:jc w:val="center"/>
                    <w:rPr>
                      <w:color w:val="000000"/>
                      <w:sz w:val="21"/>
                      <w:szCs w:val="21"/>
                    </w:rPr>
                  </w:pPr>
                  <w:r>
                    <w:rPr>
                      <w:color w:val="000000"/>
                      <w:sz w:val="21"/>
                      <w:szCs w:val="21"/>
                    </w:rPr>
                    <w:t>可燃</w:t>
                  </w:r>
                </w:p>
              </w:tc>
              <w:tc>
                <w:tcPr>
                  <w:tcW w:w="1502" w:type="dxa"/>
                  <w:tcMar>
                    <w:left w:w="0" w:type="dxa"/>
                    <w:right w:w="0" w:type="dxa"/>
                  </w:tcMar>
                  <w:vAlign w:val="center"/>
                </w:tcPr>
                <w:p>
                  <w:pPr>
                    <w:ind w:firstLine="420" w:firstLineChars="200"/>
                    <w:rPr>
                      <w:color w:val="000000"/>
                      <w:sz w:val="21"/>
                      <w:szCs w:val="21"/>
                    </w:rPr>
                  </w:pPr>
                  <w:r>
                    <w:rPr>
                      <w:color w:val="000000"/>
                      <w:sz w:val="21"/>
                      <w:szCs w:val="21"/>
                    </w:rPr>
                    <w:t>无资料</w:t>
                  </w:r>
                </w:p>
              </w:tc>
            </w:tr>
            <w:tr>
              <w:tblPrEx>
                <w:tblBorders>
                  <w:top w:val="single" w:color="auto" w:sz="4" w:space="0"/>
                  <w:left w:val="single" w:color="auto" w:sz="4" w:space="0"/>
                  <w:bottom w:val="single" w:color="auto" w:sz="12"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6" w:hRule="atLeast"/>
              </w:trPr>
              <w:tc>
                <w:tcPr>
                  <w:tcW w:w="1146" w:type="dxa"/>
                  <w:tcMar>
                    <w:left w:w="0" w:type="dxa"/>
                    <w:right w:w="0" w:type="dxa"/>
                  </w:tcMar>
                  <w:vAlign w:val="center"/>
                </w:tcPr>
                <w:p>
                  <w:pPr>
                    <w:widowControl/>
                    <w:jc w:val="center"/>
                    <w:rPr>
                      <w:bCs/>
                      <w:color w:val="000000"/>
                      <w:sz w:val="21"/>
                      <w:szCs w:val="21"/>
                    </w:rPr>
                  </w:pPr>
                  <w:r>
                    <w:rPr>
                      <w:bCs/>
                      <w:color w:val="000000"/>
                      <w:sz w:val="21"/>
                      <w:szCs w:val="21"/>
                    </w:rPr>
                    <w:t>助剂</w:t>
                  </w:r>
                </w:p>
              </w:tc>
              <w:tc>
                <w:tcPr>
                  <w:tcW w:w="587" w:type="dxa"/>
                  <w:tcMar>
                    <w:left w:w="0" w:type="dxa"/>
                    <w:right w:w="0" w:type="dxa"/>
                  </w:tcMar>
                  <w:vAlign w:val="center"/>
                </w:tcPr>
                <w:p>
                  <w:pPr>
                    <w:jc w:val="center"/>
                    <w:rPr>
                      <w:color w:val="000000"/>
                      <w:sz w:val="21"/>
                      <w:szCs w:val="21"/>
                    </w:rPr>
                  </w:pPr>
                  <w:r>
                    <w:rPr>
                      <w:color w:val="000000"/>
                      <w:sz w:val="21"/>
                      <w:szCs w:val="21"/>
                    </w:rPr>
                    <w:t>--</w:t>
                  </w:r>
                </w:p>
              </w:tc>
              <w:tc>
                <w:tcPr>
                  <w:tcW w:w="4041" w:type="dxa"/>
                  <w:tcMar>
                    <w:left w:w="0" w:type="dxa"/>
                    <w:right w:w="0" w:type="dxa"/>
                  </w:tcMar>
                  <w:vAlign w:val="center"/>
                </w:tcPr>
                <w:p>
                  <w:pPr>
                    <w:widowControl/>
                    <w:jc w:val="center"/>
                    <w:rPr>
                      <w:color w:val="000000"/>
                      <w:sz w:val="21"/>
                      <w:szCs w:val="21"/>
                    </w:rPr>
                  </w:pPr>
                  <w:r>
                    <w:rPr>
                      <w:color w:val="000000"/>
                      <w:sz w:val="21"/>
                      <w:szCs w:val="21"/>
                    </w:rPr>
                    <w:t>助剂是为改善涂料性能而加入的少量添加剂。助剂在涂料中用量极少，作用却显著，如有的能改进涂料和涂膜的性能，有的能改善烘干时间、有的能防止涂膜产生病态等</w:t>
                  </w:r>
                </w:p>
              </w:tc>
              <w:tc>
                <w:tcPr>
                  <w:tcW w:w="660" w:type="dxa"/>
                  <w:tcMar>
                    <w:left w:w="0" w:type="dxa"/>
                    <w:right w:w="0" w:type="dxa"/>
                  </w:tcMar>
                  <w:vAlign w:val="center"/>
                </w:tcPr>
                <w:p>
                  <w:pPr>
                    <w:jc w:val="center"/>
                    <w:rPr>
                      <w:color w:val="000000"/>
                      <w:sz w:val="21"/>
                      <w:szCs w:val="21"/>
                    </w:rPr>
                  </w:pPr>
                  <w:r>
                    <w:rPr>
                      <w:color w:val="000000"/>
                      <w:sz w:val="21"/>
                      <w:szCs w:val="21"/>
                    </w:rPr>
                    <w:t>可燃</w:t>
                  </w:r>
                </w:p>
              </w:tc>
              <w:tc>
                <w:tcPr>
                  <w:tcW w:w="1502" w:type="dxa"/>
                  <w:tcMar>
                    <w:left w:w="0" w:type="dxa"/>
                    <w:right w:w="0" w:type="dxa"/>
                  </w:tcMar>
                  <w:vAlign w:val="center"/>
                </w:tcPr>
                <w:p>
                  <w:pPr>
                    <w:pStyle w:val="71"/>
                    <w:spacing w:before="88"/>
                    <w:ind w:right="92" w:firstLine="420" w:firstLineChars="200"/>
                    <w:rPr>
                      <w:rFonts w:ascii="Times New Roman" w:hAnsi="Times New Roman" w:cs="Times New Roman"/>
                      <w:color w:val="000000"/>
                      <w:sz w:val="21"/>
                      <w:szCs w:val="21"/>
                    </w:rPr>
                  </w:pPr>
                  <w:r>
                    <w:rPr>
                      <w:rFonts w:ascii="Times New Roman" w:hAnsi="Times New Roman" w:cs="Times New Roman"/>
                      <w:color w:val="000000"/>
                      <w:sz w:val="21"/>
                      <w:szCs w:val="21"/>
                    </w:rPr>
                    <w:t>无资料</w:t>
                  </w:r>
                </w:p>
              </w:tc>
            </w:tr>
          </w:tbl>
          <w:p>
            <w:pPr>
              <w:widowControl/>
              <w:spacing w:line="480" w:lineRule="exact"/>
              <w:jc w:val="left"/>
              <w:textAlignment w:val="baseline"/>
              <w:outlineLvl w:val="0"/>
              <w:rPr>
                <w:color w:val="000000"/>
              </w:rPr>
            </w:pPr>
            <w:r>
              <w:rPr>
                <w:rFonts w:hint="eastAsia"/>
                <w:color w:val="000000"/>
              </w:rPr>
              <w:t>5</w:t>
            </w:r>
            <w:r>
              <w:rPr>
                <w:color w:val="000000"/>
              </w:rPr>
              <w:t>、产品方案</w:t>
            </w:r>
          </w:p>
          <w:p>
            <w:pPr>
              <w:spacing w:line="480" w:lineRule="exact"/>
              <w:ind w:firstLine="480" w:firstLineChars="200"/>
              <w:rPr>
                <w:b/>
                <w:color w:val="000000"/>
                <w:szCs w:val="21"/>
              </w:rPr>
            </w:pPr>
            <w:r>
              <w:rPr>
                <w:rFonts w:hint="eastAsia"/>
                <w:bCs/>
                <w:color w:val="000000"/>
                <w:szCs w:val="21"/>
              </w:rPr>
              <w:t>本项目的主要产品为挂车，仅加工车架，不进行加工轮胎及电气路等其他配置设备，本项目生产的挂车不包含车头的发动机部分，仅加工后面的挂车部分。</w:t>
            </w:r>
          </w:p>
          <w:p>
            <w:pPr>
              <w:spacing w:line="480" w:lineRule="exact"/>
              <w:jc w:val="center"/>
              <w:rPr>
                <w:b/>
                <w:color w:val="000000"/>
                <w:szCs w:val="21"/>
              </w:rPr>
            </w:pPr>
            <w:r>
              <w:rPr>
                <w:b/>
                <w:color w:val="000000"/>
                <w:szCs w:val="21"/>
              </w:rPr>
              <w:t>表</w:t>
            </w:r>
            <w:r>
              <w:rPr>
                <w:rFonts w:hint="eastAsia"/>
                <w:b/>
                <w:color w:val="000000"/>
                <w:szCs w:val="21"/>
              </w:rPr>
              <w:t>2-8</w:t>
            </w:r>
            <w:r>
              <w:rPr>
                <w:b/>
                <w:color w:val="000000"/>
                <w:szCs w:val="21"/>
              </w:rPr>
              <w:t xml:space="preserve">  本项目产品生产方案一览表</w:t>
            </w:r>
          </w:p>
          <w:tbl>
            <w:tblPr>
              <w:tblStyle w:val="31"/>
              <w:tblW w:w="7918"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967"/>
              <w:gridCol w:w="2100"/>
              <w:gridCol w:w="2650"/>
              <w:gridCol w:w="1075"/>
              <w:gridCol w:w="1126"/>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7" w:hRule="exact"/>
                <w:jc w:val="center"/>
              </w:trPr>
              <w:tc>
                <w:tcPr>
                  <w:tcW w:w="967" w:type="dxa"/>
                  <w:tcBorders>
                    <w:tl2br w:val="nil"/>
                    <w:tr2bl w:val="nil"/>
                  </w:tcBorders>
                  <w:vAlign w:val="center"/>
                </w:tcPr>
                <w:p>
                  <w:pPr>
                    <w:spacing w:line="320" w:lineRule="exact"/>
                    <w:jc w:val="center"/>
                    <w:rPr>
                      <w:color w:val="000000"/>
                      <w:sz w:val="21"/>
                      <w:szCs w:val="21"/>
                    </w:rPr>
                  </w:pPr>
                  <w:r>
                    <w:rPr>
                      <w:color w:val="000000"/>
                      <w:sz w:val="21"/>
                      <w:szCs w:val="21"/>
                    </w:rPr>
                    <w:t>序号</w:t>
                  </w:r>
                </w:p>
              </w:tc>
              <w:tc>
                <w:tcPr>
                  <w:tcW w:w="2100" w:type="dxa"/>
                  <w:tcBorders>
                    <w:tl2br w:val="nil"/>
                    <w:tr2bl w:val="nil"/>
                  </w:tcBorders>
                  <w:vAlign w:val="center"/>
                </w:tcPr>
                <w:p>
                  <w:pPr>
                    <w:spacing w:line="320" w:lineRule="exact"/>
                    <w:jc w:val="center"/>
                    <w:rPr>
                      <w:color w:val="000000"/>
                      <w:sz w:val="21"/>
                      <w:szCs w:val="21"/>
                    </w:rPr>
                  </w:pPr>
                  <w:r>
                    <w:rPr>
                      <w:color w:val="000000"/>
                      <w:sz w:val="21"/>
                      <w:szCs w:val="21"/>
                    </w:rPr>
                    <w:t>名称</w:t>
                  </w:r>
                </w:p>
              </w:tc>
              <w:tc>
                <w:tcPr>
                  <w:tcW w:w="2650" w:type="dxa"/>
                  <w:tcBorders>
                    <w:tl2br w:val="nil"/>
                    <w:tr2bl w:val="nil"/>
                  </w:tcBorders>
                  <w:vAlign w:val="center"/>
                </w:tcPr>
                <w:p>
                  <w:pPr>
                    <w:spacing w:line="320" w:lineRule="exact"/>
                    <w:jc w:val="center"/>
                    <w:rPr>
                      <w:color w:val="000000"/>
                      <w:sz w:val="21"/>
                      <w:szCs w:val="21"/>
                    </w:rPr>
                  </w:pPr>
                  <w:r>
                    <w:rPr>
                      <w:rFonts w:hint="eastAsia"/>
                      <w:color w:val="000000"/>
                      <w:sz w:val="21"/>
                      <w:szCs w:val="21"/>
                    </w:rPr>
                    <w:t>规格（米）</w:t>
                  </w:r>
                </w:p>
              </w:tc>
              <w:tc>
                <w:tcPr>
                  <w:tcW w:w="1075" w:type="dxa"/>
                  <w:tcBorders>
                    <w:tl2br w:val="nil"/>
                    <w:tr2bl w:val="nil"/>
                  </w:tcBorders>
                  <w:vAlign w:val="center"/>
                </w:tcPr>
                <w:p>
                  <w:pPr>
                    <w:spacing w:line="320" w:lineRule="exact"/>
                    <w:jc w:val="center"/>
                    <w:rPr>
                      <w:color w:val="000000"/>
                      <w:sz w:val="21"/>
                      <w:szCs w:val="21"/>
                    </w:rPr>
                  </w:pPr>
                  <w:r>
                    <w:rPr>
                      <w:color w:val="000000"/>
                      <w:sz w:val="21"/>
                      <w:szCs w:val="21"/>
                    </w:rPr>
                    <w:t>年产量</w:t>
                  </w:r>
                </w:p>
              </w:tc>
              <w:tc>
                <w:tcPr>
                  <w:tcW w:w="1126" w:type="dxa"/>
                  <w:tcBorders>
                    <w:tl2br w:val="nil"/>
                    <w:tr2bl w:val="nil"/>
                  </w:tcBorders>
                  <w:vAlign w:val="center"/>
                </w:tcPr>
                <w:p>
                  <w:pPr>
                    <w:spacing w:line="320" w:lineRule="exact"/>
                    <w:jc w:val="center"/>
                    <w:rPr>
                      <w:color w:val="000000"/>
                      <w:sz w:val="21"/>
                      <w:szCs w:val="21"/>
                    </w:rPr>
                  </w:pPr>
                  <w:r>
                    <w:rPr>
                      <w:color w:val="000000"/>
                      <w:sz w:val="21"/>
                      <w:szCs w:val="21"/>
                    </w:rPr>
                    <w:t>单位</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0" w:hRule="exact"/>
                <w:jc w:val="center"/>
              </w:trPr>
              <w:tc>
                <w:tcPr>
                  <w:tcW w:w="967" w:type="dxa"/>
                  <w:tcBorders>
                    <w:tl2br w:val="nil"/>
                    <w:tr2bl w:val="nil"/>
                  </w:tcBorders>
                  <w:vAlign w:val="center"/>
                </w:tcPr>
                <w:p>
                  <w:pPr>
                    <w:spacing w:line="320" w:lineRule="exact"/>
                    <w:jc w:val="center"/>
                    <w:rPr>
                      <w:color w:val="000000"/>
                      <w:sz w:val="21"/>
                      <w:szCs w:val="21"/>
                    </w:rPr>
                  </w:pPr>
                  <w:r>
                    <w:rPr>
                      <w:rFonts w:hint="eastAsia"/>
                      <w:color w:val="000000"/>
                      <w:sz w:val="21"/>
                      <w:szCs w:val="21"/>
                    </w:rPr>
                    <w:t>1</w:t>
                  </w:r>
                </w:p>
              </w:tc>
              <w:tc>
                <w:tcPr>
                  <w:tcW w:w="2100" w:type="dxa"/>
                  <w:vMerge w:val="restart"/>
                  <w:tcBorders>
                    <w:tl2br w:val="nil"/>
                    <w:tr2bl w:val="nil"/>
                  </w:tcBorders>
                  <w:vAlign w:val="center"/>
                </w:tcPr>
                <w:p>
                  <w:pPr>
                    <w:spacing w:line="320" w:lineRule="exact"/>
                    <w:jc w:val="center"/>
                    <w:rPr>
                      <w:color w:val="000000"/>
                      <w:sz w:val="21"/>
                      <w:szCs w:val="21"/>
                    </w:rPr>
                  </w:pPr>
                  <w:r>
                    <w:rPr>
                      <w:rFonts w:hint="eastAsia"/>
                      <w:color w:val="000000"/>
                      <w:sz w:val="21"/>
                      <w:szCs w:val="21"/>
                    </w:rPr>
                    <w:t>挂车</w:t>
                  </w:r>
                </w:p>
              </w:tc>
              <w:tc>
                <w:tcPr>
                  <w:tcW w:w="2650" w:type="dxa"/>
                  <w:tcBorders>
                    <w:tl2br w:val="nil"/>
                    <w:tr2bl w:val="nil"/>
                  </w:tcBorders>
                  <w:vAlign w:val="center"/>
                </w:tcPr>
                <w:p>
                  <w:pPr>
                    <w:spacing w:line="320" w:lineRule="exact"/>
                    <w:jc w:val="center"/>
                    <w:rPr>
                      <w:color w:val="000000"/>
                      <w:sz w:val="21"/>
                      <w:szCs w:val="21"/>
                    </w:rPr>
                  </w:pPr>
                  <w:r>
                    <w:rPr>
                      <w:color w:val="000000"/>
                      <w:sz w:val="21"/>
                      <w:szCs w:val="21"/>
                    </w:rPr>
                    <w:t>13</w:t>
                  </w:r>
                  <w:r>
                    <w:rPr>
                      <w:rFonts w:hint="eastAsia"/>
                      <w:color w:val="000000"/>
                      <w:sz w:val="21"/>
                      <w:szCs w:val="21"/>
                    </w:rPr>
                    <w:t>×</w:t>
                  </w:r>
                  <w:r>
                    <w:rPr>
                      <w:color w:val="000000"/>
                      <w:sz w:val="21"/>
                      <w:szCs w:val="21"/>
                    </w:rPr>
                    <w:t>1.8</w:t>
                  </w:r>
                  <w:r>
                    <w:rPr>
                      <w:rFonts w:hint="eastAsia"/>
                      <w:color w:val="000000"/>
                      <w:sz w:val="21"/>
                      <w:szCs w:val="21"/>
                    </w:rPr>
                    <w:t>×</w:t>
                  </w:r>
                  <w:r>
                    <w:rPr>
                      <w:color w:val="000000"/>
                      <w:sz w:val="21"/>
                      <w:szCs w:val="21"/>
                    </w:rPr>
                    <w:t>2.55</w:t>
                  </w:r>
                </w:p>
              </w:tc>
              <w:tc>
                <w:tcPr>
                  <w:tcW w:w="1075" w:type="dxa"/>
                  <w:tcBorders>
                    <w:tl2br w:val="nil"/>
                    <w:tr2bl w:val="nil"/>
                  </w:tcBorders>
                  <w:vAlign w:val="center"/>
                </w:tcPr>
                <w:p>
                  <w:pPr>
                    <w:spacing w:line="320" w:lineRule="exact"/>
                    <w:jc w:val="center"/>
                    <w:rPr>
                      <w:color w:val="000000"/>
                      <w:sz w:val="21"/>
                      <w:szCs w:val="21"/>
                    </w:rPr>
                  </w:pPr>
                  <w:r>
                    <w:rPr>
                      <w:rFonts w:hint="eastAsia"/>
                      <w:color w:val="000000"/>
                      <w:sz w:val="21"/>
                      <w:szCs w:val="21"/>
                    </w:rPr>
                    <w:t>200</w:t>
                  </w:r>
                </w:p>
              </w:tc>
              <w:tc>
                <w:tcPr>
                  <w:tcW w:w="1126" w:type="dxa"/>
                  <w:tcBorders>
                    <w:tl2br w:val="nil"/>
                    <w:tr2bl w:val="nil"/>
                  </w:tcBorders>
                  <w:vAlign w:val="center"/>
                </w:tcPr>
                <w:p>
                  <w:pPr>
                    <w:spacing w:line="320" w:lineRule="exact"/>
                    <w:jc w:val="center"/>
                    <w:rPr>
                      <w:color w:val="000000"/>
                      <w:sz w:val="21"/>
                      <w:szCs w:val="21"/>
                    </w:rPr>
                  </w:pPr>
                  <w:r>
                    <w:rPr>
                      <w:rFonts w:hint="eastAsia"/>
                      <w:color w:val="000000"/>
                      <w:sz w:val="21"/>
                      <w:szCs w:val="21"/>
                    </w:rPr>
                    <w:t>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17" w:hRule="exact"/>
                <w:jc w:val="center"/>
              </w:trPr>
              <w:tc>
                <w:tcPr>
                  <w:tcW w:w="967" w:type="dxa"/>
                  <w:tcBorders>
                    <w:tl2br w:val="nil"/>
                    <w:tr2bl w:val="nil"/>
                  </w:tcBorders>
                  <w:vAlign w:val="center"/>
                </w:tcPr>
                <w:p>
                  <w:pPr>
                    <w:spacing w:line="320" w:lineRule="exact"/>
                    <w:jc w:val="center"/>
                    <w:rPr>
                      <w:color w:val="000000"/>
                      <w:sz w:val="21"/>
                      <w:szCs w:val="21"/>
                    </w:rPr>
                  </w:pPr>
                  <w:r>
                    <w:rPr>
                      <w:rFonts w:hint="eastAsia"/>
                      <w:color w:val="000000"/>
                      <w:sz w:val="21"/>
                      <w:szCs w:val="21"/>
                    </w:rPr>
                    <w:t>2</w:t>
                  </w:r>
                </w:p>
              </w:tc>
              <w:tc>
                <w:tcPr>
                  <w:tcW w:w="2100" w:type="dxa"/>
                  <w:vMerge w:val="continue"/>
                  <w:tcBorders>
                    <w:tl2br w:val="nil"/>
                    <w:tr2bl w:val="nil"/>
                  </w:tcBorders>
                  <w:vAlign w:val="center"/>
                </w:tcPr>
                <w:p>
                  <w:pPr>
                    <w:spacing w:line="320" w:lineRule="exact"/>
                    <w:jc w:val="center"/>
                    <w:rPr>
                      <w:color w:val="000000"/>
                      <w:sz w:val="21"/>
                      <w:szCs w:val="21"/>
                    </w:rPr>
                  </w:pPr>
                </w:p>
              </w:tc>
              <w:tc>
                <w:tcPr>
                  <w:tcW w:w="2650" w:type="dxa"/>
                  <w:tcBorders>
                    <w:tl2br w:val="nil"/>
                    <w:tr2bl w:val="nil"/>
                  </w:tcBorders>
                  <w:vAlign w:val="center"/>
                </w:tcPr>
                <w:p>
                  <w:pPr>
                    <w:spacing w:line="320" w:lineRule="exact"/>
                    <w:jc w:val="center"/>
                    <w:rPr>
                      <w:color w:val="000000"/>
                      <w:sz w:val="21"/>
                      <w:szCs w:val="21"/>
                    </w:rPr>
                  </w:pPr>
                  <w:r>
                    <w:rPr>
                      <w:color w:val="000000"/>
                      <w:sz w:val="21"/>
                      <w:szCs w:val="21"/>
                    </w:rPr>
                    <w:t>13</w:t>
                  </w:r>
                  <w:r>
                    <w:rPr>
                      <w:rFonts w:hint="eastAsia"/>
                      <w:color w:val="000000"/>
                      <w:sz w:val="21"/>
                      <w:szCs w:val="21"/>
                    </w:rPr>
                    <w:t>×</w:t>
                  </w:r>
                  <w:r>
                    <w:rPr>
                      <w:color w:val="000000"/>
                      <w:sz w:val="21"/>
                      <w:szCs w:val="21"/>
                    </w:rPr>
                    <w:t>1.6</w:t>
                  </w:r>
                  <w:r>
                    <w:rPr>
                      <w:rFonts w:hint="eastAsia"/>
                      <w:color w:val="000000"/>
                      <w:sz w:val="21"/>
                      <w:szCs w:val="21"/>
                    </w:rPr>
                    <w:t>×</w:t>
                  </w:r>
                  <w:r>
                    <w:rPr>
                      <w:color w:val="000000"/>
                      <w:sz w:val="21"/>
                      <w:szCs w:val="21"/>
                    </w:rPr>
                    <w:t>2.55</w:t>
                  </w:r>
                </w:p>
              </w:tc>
              <w:tc>
                <w:tcPr>
                  <w:tcW w:w="1075" w:type="dxa"/>
                  <w:tcBorders>
                    <w:tl2br w:val="nil"/>
                    <w:tr2bl w:val="nil"/>
                  </w:tcBorders>
                  <w:vAlign w:val="center"/>
                </w:tcPr>
                <w:p>
                  <w:pPr>
                    <w:spacing w:line="320" w:lineRule="exact"/>
                    <w:jc w:val="center"/>
                    <w:rPr>
                      <w:color w:val="000000"/>
                      <w:sz w:val="21"/>
                      <w:szCs w:val="21"/>
                    </w:rPr>
                  </w:pPr>
                  <w:r>
                    <w:rPr>
                      <w:rFonts w:hint="eastAsia"/>
                      <w:color w:val="000000"/>
                      <w:sz w:val="21"/>
                      <w:szCs w:val="21"/>
                    </w:rPr>
                    <w:t>100</w:t>
                  </w:r>
                </w:p>
              </w:tc>
              <w:tc>
                <w:tcPr>
                  <w:tcW w:w="1126" w:type="dxa"/>
                  <w:tcBorders>
                    <w:tl2br w:val="nil"/>
                    <w:tr2bl w:val="nil"/>
                  </w:tcBorders>
                  <w:vAlign w:val="center"/>
                </w:tcPr>
                <w:p>
                  <w:pPr>
                    <w:spacing w:line="320" w:lineRule="exact"/>
                    <w:jc w:val="center"/>
                    <w:rPr>
                      <w:color w:val="000000"/>
                      <w:sz w:val="21"/>
                      <w:szCs w:val="21"/>
                    </w:rPr>
                  </w:pPr>
                  <w:r>
                    <w:rPr>
                      <w:rFonts w:hint="eastAsia"/>
                      <w:color w:val="000000"/>
                      <w:sz w:val="21"/>
                      <w:szCs w:val="21"/>
                    </w:rPr>
                    <w:t>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78" w:hRule="exact"/>
                <w:jc w:val="center"/>
              </w:trPr>
              <w:tc>
                <w:tcPr>
                  <w:tcW w:w="967" w:type="dxa"/>
                  <w:tcBorders>
                    <w:tl2br w:val="nil"/>
                    <w:tr2bl w:val="nil"/>
                  </w:tcBorders>
                  <w:vAlign w:val="center"/>
                </w:tcPr>
                <w:p>
                  <w:pPr>
                    <w:spacing w:line="320" w:lineRule="exact"/>
                    <w:jc w:val="center"/>
                    <w:rPr>
                      <w:color w:val="000000"/>
                      <w:sz w:val="21"/>
                      <w:szCs w:val="21"/>
                    </w:rPr>
                  </w:pPr>
                  <w:r>
                    <w:rPr>
                      <w:rFonts w:hint="eastAsia"/>
                      <w:color w:val="000000"/>
                      <w:sz w:val="21"/>
                      <w:szCs w:val="21"/>
                    </w:rPr>
                    <w:t>3</w:t>
                  </w:r>
                </w:p>
              </w:tc>
              <w:tc>
                <w:tcPr>
                  <w:tcW w:w="2100" w:type="dxa"/>
                  <w:vMerge w:val="continue"/>
                  <w:tcBorders>
                    <w:tl2br w:val="nil"/>
                    <w:tr2bl w:val="nil"/>
                  </w:tcBorders>
                  <w:vAlign w:val="center"/>
                </w:tcPr>
                <w:p>
                  <w:pPr>
                    <w:spacing w:line="320" w:lineRule="exact"/>
                    <w:jc w:val="center"/>
                    <w:rPr>
                      <w:color w:val="000000"/>
                      <w:sz w:val="21"/>
                      <w:szCs w:val="21"/>
                    </w:rPr>
                  </w:pPr>
                </w:p>
              </w:tc>
              <w:tc>
                <w:tcPr>
                  <w:tcW w:w="2650" w:type="dxa"/>
                  <w:tcBorders>
                    <w:tl2br w:val="nil"/>
                    <w:tr2bl w:val="nil"/>
                  </w:tcBorders>
                  <w:vAlign w:val="center"/>
                </w:tcPr>
                <w:p>
                  <w:pPr>
                    <w:spacing w:line="320" w:lineRule="exact"/>
                    <w:jc w:val="center"/>
                    <w:rPr>
                      <w:color w:val="000000"/>
                      <w:sz w:val="21"/>
                      <w:szCs w:val="21"/>
                    </w:rPr>
                  </w:pPr>
                  <w:r>
                    <w:rPr>
                      <w:color w:val="000000"/>
                      <w:sz w:val="21"/>
                      <w:szCs w:val="21"/>
                    </w:rPr>
                    <w:t>12</w:t>
                  </w:r>
                  <w:r>
                    <w:rPr>
                      <w:rFonts w:hint="eastAsia"/>
                      <w:color w:val="000000"/>
                      <w:sz w:val="21"/>
                      <w:szCs w:val="21"/>
                    </w:rPr>
                    <w:t>×</w:t>
                  </w:r>
                  <w:r>
                    <w:rPr>
                      <w:color w:val="000000"/>
                      <w:sz w:val="21"/>
                      <w:szCs w:val="21"/>
                    </w:rPr>
                    <w:t>1.8</w:t>
                  </w:r>
                  <w:r>
                    <w:rPr>
                      <w:rFonts w:hint="eastAsia"/>
                      <w:color w:val="000000"/>
                      <w:sz w:val="21"/>
                      <w:szCs w:val="21"/>
                    </w:rPr>
                    <w:t>×</w:t>
                  </w:r>
                  <w:r>
                    <w:rPr>
                      <w:color w:val="000000"/>
                      <w:sz w:val="21"/>
                      <w:szCs w:val="21"/>
                    </w:rPr>
                    <w:t>2.55</w:t>
                  </w:r>
                </w:p>
              </w:tc>
              <w:tc>
                <w:tcPr>
                  <w:tcW w:w="1075" w:type="dxa"/>
                  <w:tcBorders>
                    <w:tl2br w:val="nil"/>
                    <w:tr2bl w:val="nil"/>
                  </w:tcBorders>
                  <w:vAlign w:val="center"/>
                </w:tcPr>
                <w:p>
                  <w:pPr>
                    <w:spacing w:line="320" w:lineRule="exact"/>
                    <w:jc w:val="center"/>
                    <w:rPr>
                      <w:color w:val="000000"/>
                      <w:sz w:val="21"/>
                      <w:szCs w:val="21"/>
                    </w:rPr>
                  </w:pPr>
                  <w:r>
                    <w:rPr>
                      <w:rFonts w:hint="eastAsia"/>
                      <w:color w:val="000000"/>
                      <w:sz w:val="21"/>
                      <w:szCs w:val="21"/>
                    </w:rPr>
                    <w:t>100</w:t>
                  </w:r>
                </w:p>
              </w:tc>
              <w:tc>
                <w:tcPr>
                  <w:tcW w:w="1126" w:type="dxa"/>
                  <w:tcBorders>
                    <w:tl2br w:val="nil"/>
                    <w:tr2bl w:val="nil"/>
                  </w:tcBorders>
                  <w:vAlign w:val="center"/>
                </w:tcPr>
                <w:p>
                  <w:pPr>
                    <w:spacing w:line="320" w:lineRule="exact"/>
                    <w:jc w:val="center"/>
                    <w:rPr>
                      <w:color w:val="000000"/>
                      <w:sz w:val="21"/>
                      <w:szCs w:val="21"/>
                    </w:rPr>
                  </w:pPr>
                  <w:r>
                    <w:rPr>
                      <w:rFonts w:hint="eastAsia"/>
                      <w:color w:val="000000"/>
                      <w:sz w:val="21"/>
                      <w:szCs w:val="21"/>
                    </w:rPr>
                    <w:t>辆</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392" w:hRule="exact"/>
                <w:jc w:val="center"/>
              </w:trPr>
              <w:tc>
                <w:tcPr>
                  <w:tcW w:w="967" w:type="dxa"/>
                  <w:tcBorders>
                    <w:tl2br w:val="nil"/>
                    <w:tr2bl w:val="nil"/>
                  </w:tcBorders>
                  <w:vAlign w:val="center"/>
                </w:tcPr>
                <w:p>
                  <w:pPr>
                    <w:spacing w:line="320" w:lineRule="exact"/>
                    <w:jc w:val="center"/>
                    <w:rPr>
                      <w:color w:val="000000"/>
                      <w:sz w:val="21"/>
                      <w:szCs w:val="21"/>
                    </w:rPr>
                  </w:pPr>
                  <w:r>
                    <w:rPr>
                      <w:rFonts w:hint="eastAsia"/>
                      <w:color w:val="000000"/>
                      <w:sz w:val="21"/>
                      <w:szCs w:val="21"/>
                    </w:rPr>
                    <w:t>4</w:t>
                  </w:r>
                </w:p>
              </w:tc>
              <w:tc>
                <w:tcPr>
                  <w:tcW w:w="2100" w:type="dxa"/>
                  <w:vMerge w:val="continue"/>
                  <w:tcBorders>
                    <w:tl2br w:val="nil"/>
                    <w:tr2bl w:val="nil"/>
                  </w:tcBorders>
                  <w:vAlign w:val="center"/>
                </w:tcPr>
                <w:p>
                  <w:pPr>
                    <w:spacing w:line="320" w:lineRule="exact"/>
                    <w:jc w:val="center"/>
                    <w:rPr>
                      <w:color w:val="000000"/>
                      <w:sz w:val="21"/>
                      <w:szCs w:val="21"/>
                    </w:rPr>
                  </w:pPr>
                </w:p>
              </w:tc>
              <w:tc>
                <w:tcPr>
                  <w:tcW w:w="2650" w:type="dxa"/>
                  <w:tcBorders>
                    <w:tl2br w:val="nil"/>
                    <w:tr2bl w:val="nil"/>
                  </w:tcBorders>
                  <w:vAlign w:val="center"/>
                </w:tcPr>
                <w:p>
                  <w:pPr>
                    <w:spacing w:line="320" w:lineRule="exact"/>
                    <w:jc w:val="center"/>
                    <w:rPr>
                      <w:color w:val="000000"/>
                      <w:sz w:val="21"/>
                      <w:szCs w:val="21"/>
                    </w:rPr>
                  </w:pPr>
                  <w:r>
                    <w:rPr>
                      <w:color w:val="000000"/>
                      <w:sz w:val="21"/>
                      <w:szCs w:val="21"/>
                    </w:rPr>
                    <w:t>12</w:t>
                  </w:r>
                  <w:r>
                    <w:rPr>
                      <w:rFonts w:hint="eastAsia"/>
                      <w:color w:val="000000"/>
                      <w:sz w:val="21"/>
                      <w:szCs w:val="21"/>
                    </w:rPr>
                    <w:t>×</w:t>
                  </w:r>
                  <w:r>
                    <w:rPr>
                      <w:color w:val="000000"/>
                      <w:sz w:val="21"/>
                      <w:szCs w:val="21"/>
                    </w:rPr>
                    <w:t>1.6</w:t>
                  </w:r>
                  <w:r>
                    <w:rPr>
                      <w:rFonts w:hint="eastAsia"/>
                      <w:color w:val="000000"/>
                      <w:sz w:val="21"/>
                      <w:szCs w:val="21"/>
                    </w:rPr>
                    <w:t>×</w:t>
                  </w:r>
                  <w:r>
                    <w:rPr>
                      <w:color w:val="000000"/>
                      <w:sz w:val="21"/>
                      <w:szCs w:val="21"/>
                    </w:rPr>
                    <w:t>2.55</w:t>
                  </w:r>
                </w:p>
              </w:tc>
              <w:tc>
                <w:tcPr>
                  <w:tcW w:w="1075" w:type="dxa"/>
                  <w:tcBorders>
                    <w:tl2br w:val="nil"/>
                    <w:tr2bl w:val="nil"/>
                  </w:tcBorders>
                  <w:vAlign w:val="center"/>
                </w:tcPr>
                <w:p>
                  <w:pPr>
                    <w:spacing w:line="320" w:lineRule="exact"/>
                    <w:jc w:val="center"/>
                    <w:rPr>
                      <w:color w:val="000000"/>
                      <w:sz w:val="21"/>
                      <w:szCs w:val="21"/>
                    </w:rPr>
                  </w:pPr>
                  <w:r>
                    <w:rPr>
                      <w:rFonts w:hint="eastAsia"/>
                      <w:color w:val="000000"/>
                      <w:sz w:val="21"/>
                      <w:szCs w:val="21"/>
                    </w:rPr>
                    <w:t>100</w:t>
                  </w:r>
                </w:p>
              </w:tc>
              <w:tc>
                <w:tcPr>
                  <w:tcW w:w="1126" w:type="dxa"/>
                  <w:tcBorders>
                    <w:tl2br w:val="nil"/>
                    <w:tr2bl w:val="nil"/>
                  </w:tcBorders>
                  <w:vAlign w:val="center"/>
                </w:tcPr>
                <w:p>
                  <w:pPr>
                    <w:spacing w:line="320" w:lineRule="exact"/>
                    <w:jc w:val="center"/>
                    <w:rPr>
                      <w:color w:val="000000"/>
                      <w:sz w:val="21"/>
                      <w:szCs w:val="21"/>
                    </w:rPr>
                  </w:pPr>
                  <w:r>
                    <w:rPr>
                      <w:rFonts w:hint="eastAsia"/>
                      <w:color w:val="000000"/>
                      <w:sz w:val="21"/>
                      <w:szCs w:val="21"/>
                    </w:rPr>
                    <w:t>辆</w:t>
                  </w:r>
                </w:p>
              </w:tc>
            </w:tr>
          </w:tbl>
          <w:p>
            <w:pPr>
              <w:widowControl/>
              <w:spacing w:line="480" w:lineRule="exact"/>
              <w:jc w:val="left"/>
              <w:textAlignment w:val="baseline"/>
              <w:outlineLvl w:val="0"/>
              <w:rPr>
                <w:color w:val="000000"/>
              </w:rPr>
            </w:pPr>
            <w:r>
              <w:rPr>
                <w:rFonts w:hint="eastAsia"/>
                <w:color w:val="000000"/>
              </w:rPr>
              <w:t>6</w:t>
            </w:r>
            <w:r>
              <w:rPr>
                <w:color w:val="000000"/>
              </w:rPr>
              <w:t>、工作制度及总定员人数</w:t>
            </w:r>
          </w:p>
          <w:p>
            <w:pPr>
              <w:widowControl/>
              <w:spacing w:line="480" w:lineRule="exact"/>
              <w:ind w:firstLine="480" w:firstLineChars="200"/>
              <w:jc w:val="left"/>
              <w:textAlignment w:val="baseline"/>
              <w:outlineLvl w:val="0"/>
              <w:rPr>
                <w:color w:val="000000"/>
              </w:rPr>
            </w:pPr>
            <w:r>
              <w:rPr>
                <w:rFonts w:hint="eastAsia"/>
                <w:color w:val="000000"/>
              </w:rPr>
              <w:t>（1）</w:t>
            </w:r>
            <w:r>
              <w:rPr>
                <w:color w:val="000000"/>
              </w:rPr>
              <w:t>职工定员</w:t>
            </w:r>
          </w:p>
          <w:p>
            <w:pPr>
              <w:widowControl/>
              <w:spacing w:line="480" w:lineRule="exact"/>
              <w:ind w:firstLine="480" w:firstLineChars="200"/>
              <w:jc w:val="left"/>
              <w:textAlignment w:val="baseline"/>
              <w:outlineLvl w:val="0"/>
              <w:rPr>
                <w:color w:val="000000"/>
              </w:rPr>
            </w:pPr>
            <w:r>
              <w:rPr>
                <w:color w:val="000000"/>
              </w:rPr>
              <w:t>本项目劳动定员</w:t>
            </w:r>
            <w:r>
              <w:rPr>
                <w:rFonts w:hint="eastAsia"/>
                <w:color w:val="000000"/>
              </w:rPr>
              <w:t>35</w:t>
            </w:r>
            <w:r>
              <w:rPr>
                <w:color w:val="000000"/>
              </w:rPr>
              <w:t>人，其中工人</w:t>
            </w:r>
            <w:r>
              <w:rPr>
                <w:rFonts w:hint="eastAsia"/>
                <w:color w:val="000000"/>
              </w:rPr>
              <w:t>27</w:t>
            </w:r>
            <w:r>
              <w:rPr>
                <w:color w:val="000000"/>
              </w:rPr>
              <w:t>人，管理人员</w:t>
            </w:r>
            <w:r>
              <w:rPr>
                <w:rFonts w:hint="eastAsia"/>
                <w:color w:val="000000"/>
              </w:rPr>
              <w:t>8</w:t>
            </w:r>
            <w:r>
              <w:rPr>
                <w:color w:val="000000"/>
              </w:rPr>
              <w:t>人。</w:t>
            </w:r>
          </w:p>
          <w:p>
            <w:pPr>
              <w:widowControl/>
              <w:spacing w:line="480" w:lineRule="exact"/>
              <w:ind w:firstLine="480" w:firstLineChars="200"/>
              <w:jc w:val="left"/>
              <w:textAlignment w:val="baseline"/>
              <w:outlineLvl w:val="0"/>
              <w:rPr>
                <w:color w:val="000000"/>
              </w:rPr>
            </w:pPr>
            <w:r>
              <w:rPr>
                <w:rFonts w:hint="eastAsia"/>
                <w:color w:val="000000"/>
              </w:rPr>
              <w:t>（2）</w:t>
            </w:r>
            <w:r>
              <w:rPr>
                <w:color w:val="000000"/>
              </w:rPr>
              <w:t>工作制度</w:t>
            </w:r>
          </w:p>
          <w:p>
            <w:pPr>
              <w:widowControl/>
              <w:spacing w:line="480" w:lineRule="exact"/>
              <w:ind w:firstLine="480" w:firstLineChars="200"/>
              <w:jc w:val="left"/>
              <w:textAlignment w:val="baseline"/>
              <w:outlineLvl w:val="0"/>
              <w:rPr>
                <w:color w:val="000000"/>
              </w:rPr>
            </w:pPr>
            <w:r>
              <w:rPr>
                <w:color w:val="000000"/>
              </w:rPr>
              <w:t>本项目全年生产3</w:t>
            </w:r>
            <w:r>
              <w:rPr>
                <w:rFonts w:hint="eastAsia"/>
                <w:color w:val="000000"/>
              </w:rPr>
              <w:t>2</w:t>
            </w:r>
            <w:r>
              <w:rPr>
                <w:color w:val="000000"/>
              </w:rPr>
              <w:t>0天，为</w:t>
            </w:r>
            <w:r>
              <w:rPr>
                <w:rFonts w:hint="eastAsia"/>
                <w:color w:val="000000"/>
              </w:rPr>
              <w:t>一</w:t>
            </w:r>
            <w:r>
              <w:rPr>
                <w:color w:val="000000"/>
              </w:rPr>
              <w:t>班制生产，每班工作时间</w:t>
            </w:r>
            <w:r>
              <w:rPr>
                <w:rFonts w:hint="eastAsia"/>
                <w:color w:val="000000"/>
              </w:rPr>
              <w:t>8</w:t>
            </w:r>
            <w:r>
              <w:rPr>
                <w:color w:val="000000"/>
              </w:rPr>
              <w:t>小时，工人按国家劳保规定进行轮休。</w:t>
            </w:r>
          </w:p>
          <w:p>
            <w:pPr>
              <w:widowControl/>
              <w:spacing w:line="480" w:lineRule="exact"/>
              <w:jc w:val="left"/>
              <w:textAlignment w:val="baseline"/>
              <w:outlineLvl w:val="0"/>
              <w:rPr>
                <w:color w:val="000000"/>
              </w:rPr>
            </w:pPr>
            <w:r>
              <w:rPr>
                <w:rFonts w:hint="eastAsia"/>
                <w:color w:val="000000"/>
              </w:rPr>
              <w:t>7</w:t>
            </w:r>
            <w:r>
              <w:rPr>
                <w:color w:val="000000"/>
              </w:rPr>
              <w:t>、公用工程</w:t>
            </w:r>
          </w:p>
          <w:p>
            <w:pPr>
              <w:widowControl/>
              <w:spacing w:line="480" w:lineRule="exact"/>
              <w:ind w:firstLine="480" w:firstLineChars="200"/>
              <w:jc w:val="left"/>
              <w:textAlignment w:val="baseline"/>
              <w:outlineLvl w:val="0"/>
              <w:rPr>
                <w:color w:val="000000"/>
              </w:rPr>
            </w:pPr>
            <w:r>
              <w:rPr>
                <w:rFonts w:hint="eastAsia"/>
                <w:color w:val="000000"/>
              </w:rPr>
              <w:t>（1）</w:t>
            </w:r>
            <w:r>
              <w:rPr>
                <w:color w:val="000000"/>
              </w:rPr>
              <w:t>给水</w:t>
            </w:r>
          </w:p>
          <w:p>
            <w:pPr>
              <w:widowControl/>
              <w:spacing w:line="480" w:lineRule="exact"/>
              <w:ind w:firstLine="480" w:firstLineChars="200"/>
              <w:jc w:val="left"/>
              <w:textAlignment w:val="baseline"/>
              <w:outlineLvl w:val="0"/>
              <w:rPr>
                <w:color w:val="000000" w:themeColor="text1"/>
              </w:rPr>
            </w:pPr>
            <w:r>
              <w:rPr>
                <w:color w:val="000000"/>
              </w:rPr>
              <w:t>本项目用水主要为职工生</w:t>
            </w:r>
            <w:r>
              <w:rPr>
                <w:color w:val="000000" w:themeColor="text1"/>
              </w:rPr>
              <w:t>活用水</w:t>
            </w:r>
            <w:r>
              <w:rPr>
                <w:rFonts w:hint="eastAsia"/>
                <w:color w:val="000000" w:themeColor="text1"/>
              </w:rPr>
              <w:t>、食堂废水和去离子水</w:t>
            </w:r>
            <w:r>
              <w:rPr>
                <w:color w:val="000000" w:themeColor="text1"/>
              </w:rPr>
              <w:t>，用水由</w:t>
            </w:r>
            <w:r>
              <w:rPr>
                <w:rFonts w:hint="eastAsia"/>
                <w:color w:val="000000" w:themeColor="text1"/>
              </w:rPr>
              <w:t>区域供水管网</w:t>
            </w:r>
            <w:r>
              <w:rPr>
                <w:color w:val="000000" w:themeColor="text1"/>
              </w:rPr>
              <w:t>提供自来水</w:t>
            </w:r>
            <w:r>
              <w:rPr>
                <w:rFonts w:hint="eastAsia"/>
                <w:color w:val="000000" w:themeColor="text1"/>
              </w:rPr>
              <w:t>，去离子水为外购</w:t>
            </w:r>
            <w:r>
              <w:rPr>
                <w:color w:val="000000" w:themeColor="text1"/>
              </w:rPr>
              <w:t>。</w:t>
            </w:r>
          </w:p>
          <w:p>
            <w:pPr>
              <w:widowControl/>
              <w:spacing w:line="480" w:lineRule="exact"/>
              <w:ind w:firstLine="480" w:firstLineChars="200"/>
              <w:jc w:val="left"/>
              <w:textAlignment w:val="baseline"/>
              <w:outlineLvl w:val="0"/>
              <w:rPr>
                <w:color w:val="000000"/>
              </w:rPr>
            </w:pPr>
            <w:r>
              <w:rPr>
                <w:color w:val="000000" w:themeColor="text1"/>
              </w:rPr>
              <w:t>生活用水：</w:t>
            </w:r>
            <w:r>
              <w:rPr>
                <w:rFonts w:hint="eastAsia"/>
                <w:color w:val="000000" w:themeColor="text1"/>
              </w:rPr>
              <w:t>本项目建设有食堂，不提供住宿，</w:t>
            </w:r>
            <w:r>
              <w:rPr>
                <w:color w:val="000000" w:themeColor="text1"/>
              </w:rPr>
              <w:t>主要为人员日常生活用水</w:t>
            </w:r>
            <w:r>
              <w:rPr>
                <w:rFonts w:hint="eastAsia"/>
                <w:color w:val="000000" w:themeColor="text1"/>
              </w:rPr>
              <w:t>，</w:t>
            </w:r>
            <w:r>
              <w:rPr>
                <w:color w:val="000000" w:themeColor="text1"/>
              </w:rPr>
              <w:t>项目定员</w:t>
            </w:r>
            <w:r>
              <w:rPr>
                <w:rFonts w:hint="eastAsia"/>
                <w:color w:val="000000" w:themeColor="text1"/>
              </w:rPr>
              <w:t>35</w:t>
            </w:r>
            <w:r>
              <w:rPr>
                <w:color w:val="000000" w:themeColor="text1"/>
              </w:rPr>
              <w:t>人，</w:t>
            </w:r>
            <w:r>
              <w:rPr>
                <w:rFonts w:hint="eastAsia"/>
                <w:color w:val="000000" w:themeColor="text1"/>
              </w:rPr>
              <w:t>根据《山西省用水定额》（DB/T1049-2021</w:t>
            </w:r>
            <w:r>
              <w:rPr>
                <w:rFonts w:hint="eastAsia"/>
                <w:color w:val="000000"/>
              </w:rPr>
              <w:t>）</w:t>
            </w:r>
            <w:r>
              <w:rPr>
                <w:color w:val="000000"/>
              </w:rPr>
              <w:t>用水定额按照</w:t>
            </w:r>
            <w:r>
              <w:rPr>
                <w:rFonts w:hint="eastAsia"/>
                <w:color w:val="000000"/>
              </w:rPr>
              <w:t>90</w:t>
            </w:r>
            <w:r>
              <w:rPr>
                <w:color w:val="000000"/>
              </w:rPr>
              <w:t>L/人·d计算，则用水量为</w:t>
            </w:r>
            <w:r>
              <w:rPr>
                <w:rFonts w:hint="eastAsia"/>
                <w:color w:val="000000"/>
              </w:rPr>
              <w:t>3.15</w:t>
            </w:r>
            <w:r>
              <w:rPr>
                <w:color w:val="000000"/>
              </w:rPr>
              <w:t>m</w:t>
            </w:r>
            <w:r>
              <w:rPr>
                <w:color w:val="000000"/>
                <w:vertAlign w:val="superscript"/>
              </w:rPr>
              <w:t>3</w:t>
            </w:r>
            <w:r>
              <w:rPr>
                <w:color w:val="000000"/>
              </w:rPr>
              <w:t>/d。</w:t>
            </w:r>
          </w:p>
          <w:p>
            <w:pPr>
              <w:widowControl/>
              <w:adjustRightInd w:val="0"/>
              <w:snapToGrid w:val="0"/>
              <w:spacing w:line="480" w:lineRule="exact"/>
              <w:ind w:firstLine="480" w:firstLineChars="200"/>
              <w:rPr>
                <w:color w:val="000000"/>
              </w:rPr>
            </w:pPr>
            <w:r>
              <w:t>食堂用水：食堂主要为</w:t>
            </w:r>
            <w:r>
              <w:rPr>
                <w:rFonts w:hint="eastAsia"/>
              </w:rPr>
              <w:t>工人</w:t>
            </w:r>
            <w:r>
              <w:t>提供，食堂设计每餐最大就餐人数为</w:t>
            </w:r>
            <w:r>
              <w:rPr>
                <w:rFonts w:hint="eastAsia"/>
              </w:rPr>
              <w:t>35</w:t>
            </w:r>
            <w:r>
              <w:t>人，食堂一日提供三餐，餐饮用水标准为25L/人·次，则食堂用水量为</w:t>
            </w:r>
            <w:r>
              <w:rPr>
                <w:rFonts w:hint="eastAsia"/>
              </w:rPr>
              <w:t>0.875</w:t>
            </w:r>
            <w:r>
              <w:t>m</w:t>
            </w:r>
            <w:r>
              <w:rPr>
                <w:vertAlign w:val="superscript"/>
              </w:rPr>
              <w:t>3</w:t>
            </w:r>
            <w:r>
              <w:t>/d，年工作时间</w:t>
            </w:r>
            <w:r>
              <w:rPr>
                <w:rFonts w:hint="eastAsia"/>
              </w:rPr>
              <w:t>320</w:t>
            </w:r>
            <w:r>
              <w:t>天，则年用水量为</w:t>
            </w:r>
            <w:r>
              <w:rPr>
                <w:rFonts w:hint="eastAsia"/>
              </w:rPr>
              <w:t>280</w:t>
            </w:r>
            <w:r>
              <w:t>m</w:t>
            </w:r>
            <w:r>
              <w:rPr>
                <w:vertAlign w:val="superscript"/>
              </w:rPr>
              <w:t>3</w:t>
            </w:r>
            <w:r>
              <w:t>/a。</w:t>
            </w:r>
          </w:p>
          <w:p>
            <w:pPr>
              <w:widowControl/>
              <w:spacing w:line="480" w:lineRule="exact"/>
              <w:ind w:firstLine="480" w:firstLineChars="200"/>
              <w:textAlignment w:val="baseline"/>
              <w:rPr>
                <w:color w:val="000000"/>
              </w:rPr>
            </w:pPr>
            <w:r>
              <w:rPr>
                <w:rFonts w:hint="eastAsia"/>
                <w:color w:val="000000"/>
              </w:rPr>
              <w:t>调漆用去离子水：调漆使用的去离子水全部外购，每年需外购的去离子水为5.75t/a。</w:t>
            </w:r>
          </w:p>
          <w:p>
            <w:pPr>
              <w:widowControl/>
              <w:spacing w:line="480" w:lineRule="exact"/>
              <w:ind w:firstLine="480" w:firstLineChars="200"/>
              <w:jc w:val="left"/>
              <w:textAlignment w:val="baseline"/>
              <w:outlineLvl w:val="0"/>
              <w:rPr>
                <w:color w:val="000000"/>
              </w:rPr>
            </w:pPr>
            <w:r>
              <w:rPr>
                <w:rFonts w:hint="eastAsia"/>
                <w:color w:val="000000"/>
              </w:rPr>
              <w:t>（2）</w:t>
            </w:r>
            <w:r>
              <w:rPr>
                <w:color w:val="000000"/>
              </w:rPr>
              <w:t>排水</w:t>
            </w:r>
          </w:p>
          <w:p>
            <w:pPr>
              <w:widowControl/>
              <w:spacing w:line="480" w:lineRule="exact"/>
              <w:ind w:firstLine="480" w:firstLineChars="200"/>
              <w:textAlignment w:val="baseline"/>
              <w:rPr>
                <w:color w:val="000000" w:themeColor="text1"/>
              </w:rPr>
            </w:pPr>
            <w:r>
              <w:rPr>
                <w:color w:val="000000"/>
              </w:rPr>
              <w:t>本项目主要</w:t>
            </w:r>
            <w:r>
              <w:rPr>
                <w:color w:val="000000" w:themeColor="text1"/>
              </w:rPr>
              <w:t>废水为生活污水</w:t>
            </w:r>
            <w:r>
              <w:rPr>
                <w:rFonts w:hint="eastAsia"/>
                <w:color w:val="000000" w:themeColor="text1"/>
              </w:rPr>
              <w:t>和食堂废水</w:t>
            </w:r>
            <w:r>
              <w:rPr>
                <w:color w:val="000000" w:themeColor="text1"/>
              </w:rPr>
              <w:t>。生活污水产生量</w:t>
            </w:r>
            <w:r>
              <w:rPr>
                <w:rFonts w:hint="eastAsia"/>
                <w:color w:val="000000" w:themeColor="text1"/>
              </w:rPr>
              <w:t>以90%计，则废水的产生量</w:t>
            </w:r>
            <w:r>
              <w:rPr>
                <w:color w:val="000000" w:themeColor="text1"/>
              </w:rPr>
              <w:t>为</w:t>
            </w:r>
            <w:r>
              <w:rPr>
                <w:rFonts w:hint="eastAsia"/>
                <w:color w:val="000000" w:themeColor="text1"/>
              </w:rPr>
              <w:t>2.84</w:t>
            </w:r>
            <w:r>
              <w:rPr>
                <w:color w:val="000000" w:themeColor="text1"/>
              </w:rPr>
              <w:t>m</w:t>
            </w:r>
            <w:r>
              <w:rPr>
                <w:color w:val="000000" w:themeColor="text1"/>
                <w:vertAlign w:val="superscript"/>
              </w:rPr>
              <w:t>3</w:t>
            </w:r>
            <w:r>
              <w:rPr>
                <w:color w:val="000000" w:themeColor="text1"/>
              </w:rPr>
              <w:t>/d，经</w:t>
            </w:r>
            <w:r>
              <w:rPr>
                <w:rFonts w:hint="eastAsia"/>
                <w:color w:val="000000" w:themeColor="text1"/>
              </w:rPr>
              <w:t>化粪池处理后通过市政管网最终排入长子县城东污水处理厂</w:t>
            </w:r>
            <w:r>
              <w:rPr>
                <w:color w:val="000000" w:themeColor="text1"/>
              </w:rPr>
              <w:t>。</w:t>
            </w:r>
          </w:p>
          <w:p>
            <w:pPr>
              <w:widowControl/>
              <w:spacing w:line="480" w:lineRule="exact"/>
              <w:ind w:firstLine="480" w:firstLineChars="200"/>
              <w:textAlignment w:val="baseline"/>
              <w:rPr>
                <w:color w:val="000000" w:themeColor="text1"/>
              </w:rPr>
            </w:pPr>
            <w:r>
              <w:rPr>
                <w:bCs/>
              </w:rPr>
              <w:t>本项目</w:t>
            </w:r>
            <w:r>
              <w:t>食堂污水的排放量以用水量的90%计，则污水量为</w:t>
            </w:r>
            <w:r>
              <w:rPr>
                <w:rFonts w:hint="eastAsia"/>
              </w:rPr>
              <w:t>0.788</w:t>
            </w:r>
            <w:r>
              <w:t>m</w:t>
            </w:r>
            <w:r>
              <w:rPr>
                <w:vertAlign w:val="superscript"/>
              </w:rPr>
              <w:t>3</w:t>
            </w:r>
            <w:r>
              <w:t>/d.由隔油池处理后，排入</w:t>
            </w:r>
            <w:r>
              <w:rPr>
                <w:rFonts w:hint="eastAsia"/>
              </w:rPr>
              <w:t>化粪池</w:t>
            </w:r>
            <w:r>
              <w:t>，通过</w:t>
            </w:r>
            <w:r>
              <w:rPr>
                <w:rFonts w:hint="eastAsia"/>
                <w:color w:val="000000" w:themeColor="text1"/>
              </w:rPr>
              <w:t>市政管网最终排入长子县城东污水处理厂</w:t>
            </w:r>
            <w:r>
              <w:t>处理。</w:t>
            </w:r>
          </w:p>
          <w:p>
            <w:pPr>
              <w:widowControl/>
              <w:spacing w:line="480" w:lineRule="exact"/>
              <w:ind w:firstLine="480" w:firstLineChars="200"/>
              <w:textAlignment w:val="baseline"/>
              <w:rPr>
                <w:color w:val="000000" w:themeColor="text1"/>
              </w:rPr>
            </w:pPr>
            <w:r>
              <w:rPr>
                <w:color w:val="000000" w:themeColor="text1"/>
              </w:rPr>
              <w:t>本项目用水情况见表</w:t>
            </w:r>
            <w:r>
              <w:rPr>
                <w:rFonts w:hint="eastAsia"/>
                <w:color w:val="000000" w:themeColor="text1"/>
              </w:rPr>
              <w:t>2-9</w:t>
            </w:r>
            <w:r>
              <w:rPr>
                <w:color w:val="000000" w:themeColor="text1"/>
              </w:rPr>
              <w:t>，本项目水平衡图见图</w:t>
            </w:r>
            <w:r>
              <w:rPr>
                <w:rFonts w:hint="eastAsia"/>
                <w:color w:val="000000" w:themeColor="text1"/>
              </w:rPr>
              <w:t>2-1</w:t>
            </w:r>
            <w:r>
              <w:rPr>
                <w:color w:val="000000" w:themeColor="text1"/>
              </w:rPr>
              <w:t>。</w:t>
            </w:r>
          </w:p>
          <w:p>
            <w:pPr>
              <w:pStyle w:val="9"/>
              <w:widowControl/>
              <w:spacing w:line="480" w:lineRule="exact"/>
              <w:ind w:firstLine="0"/>
              <w:jc w:val="center"/>
              <w:textAlignment w:val="baseline"/>
              <w:rPr>
                <w:rFonts w:ascii="Times New Roman" w:hAnsi="Times New Roman" w:cs="Times New Roman"/>
                <w:color w:val="000000"/>
                <w:sz w:val="24"/>
                <w:szCs w:val="24"/>
              </w:rPr>
            </w:pPr>
            <w:r>
              <w:rPr>
                <w:rFonts w:ascii="Times New Roman" w:hAnsi="Times New Roman" w:cs="Times New Roman"/>
                <w:b/>
                <w:color w:val="000000"/>
                <w:sz w:val="24"/>
                <w:szCs w:val="24"/>
              </w:rPr>
              <w:t>表</w:t>
            </w:r>
            <w:r>
              <w:rPr>
                <w:rFonts w:hint="eastAsia" w:ascii="Times New Roman" w:hAnsi="Times New Roman" w:cs="Times New Roman"/>
                <w:b/>
                <w:color w:val="000000"/>
                <w:sz w:val="24"/>
                <w:szCs w:val="24"/>
              </w:rPr>
              <w:t>2-9</w:t>
            </w:r>
            <w:r>
              <w:rPr>
                <w:rFonts w:ascii="Times New Roman" w:hAnsi="Times New Roman" w:cs="Times New Roman"/>
                <w:b/>
                <w:color w:val="000000"/>
                <w:sz w:val="24"/>
                <w:szCs w:val="24"/>
              </w:rPr>
              <w:t xml:space="preserve">  厂区用水量统计表</w:t>
            </w:r>
          </w:p>
          <w:tbl>
            <w:tblPr>
              <w:tblStyle w:val="32"/>
              <w:tblW w:w="79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7"/>
              <w:gridCol w:w="2610"/>
              <w:gridCol w:w="1150"/>
              <w:gridCol w:w="1175"/>
              <w:gridCol w:w="24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627" w:type="dxa"/>
                  <w:vAlign w:val="center"/>
                </w:tcPr>
                <w:p>
                  <w:pPr>
                    <w:spacing w:line="200" w:lineRule="atLeast"/>
                    <w:jc w:val="center"/>
                    <w:rPr>
                      <w:color w:val="000000"/>
                    </w:rPr>
                  </w:pPr>
                  <w:r>
                    <w:rPr>
                      <w:color w:val="000000"/>
                      <w:sz w:val="21"/>
                      <w:szCs w:val="21"/>
                    </w:rPr>
                    <w:t>序号</w:t>
                  </w:r>
                </w:p>
              </w:tc>
              <w:tc>
                <w:tcPr>
                  <w:tcW w:w="2610" w:type="dxa"/>
                  <w:vAlign w:val="center"/>
                </w:tcPr>
                <w:p>
                  <w:pPr>
                    <w:spacing w:line="200" w:lineRule="atLeast"/>
                    <w:jc w:val="center"/>
                    <w:rPr>
                      <w:color w:val="000000"/>
                    </w:rPr>
                  </w:pPr>
                  <w:r>
                    <w:rPr>
                      <w:color w:val="000000"/>
                      <w:sz w:val="21"/>
                      <w:szCs w:val="21"/>
                    </w:rPr>
                    <w:t>名称</w:t>
                  </w:r>
                </w:p>
              </w:tc>
              <w:tc>
                <w:tcPr>
                  <w:tcW w:w="1150" w:type="dxa"/>
                  <w:vAlign w:val="center"/>
                </w:tcPr>
                <w:p>
                  <w:pPr>
                    <w:spacing w:line="200" w:lineRule="atLeast"/>
                    <w:jc w:val="center"/>
                    <w:rPr>
                      <w:color w:val="000000"/>
                    </w:rPr>
                  </w:pPr>
                  <w:r>
                    <w:rPr>
                      <w:color w:val="000000"/>
                      <w:sz w:val="21"/>
                      <w:szCs w:val="21"/>
                    </w:rPr>
                    <w:t>用水量（m</w:t>
                  </w:r>
                  <w:r>
                    <w:rPr>
                      <w:color w:val="000000"/>
                      <w:sz w:val="21"/>
                      <w:szCs w:val="21"/>
                      <w:vertAlign w:val="superscript"/>
                    </w:rPr>
                    <w:t>3</w:t>
                  </w:r>
                  <w:r>
                    <w:rPr>
                      <w:color w:val="000000"/>
                      <w:sz w:val="21"/>
                      <w:szCs w:val="21"/>
                    </w:rPr>
                    <w:t>/</w:t>
                  </w:r>
                  <w:r>
                    <w:rPr>
                      <w:rFonts w:hint="eastAsia"/>
                      <w:color w:val="000000"/>
                      <w:sz w:val="21"/>
                      <w:szCs w:val="21"/>
                    </w:rPr>
                    <w:t>a</w:t>
                  </w:r>
                  <w:r>
                    <w:rPr>
                      <w:color w:val="000000"/>
                      <w:sz w:val="21"/>
                      <w:szCs w:val="21"/>
                    </w:rPr>
                    <w:t>）</w:t>
                  </w:r>
                </w:p>
              </w:tc>
              <w:tc>
                <w:tcPr>
                  <w:tcW w:w="1175" w:type="dxa"/>
                  <w:vAlign w:val="center"/>
                </w:tcPr>
                <w:p>
                  <w:pPr>
                    <w:spacing w:line="200" w:lineRule="atLeast"/>
                    <w:jc w:val="center"/>
                    <w:rPr>
                      <w:color w:val="000000"/>
                    </w:rPr>
                  </w:pPr>
                  <w:r>
                    <w:rPr>
                      <w:color w:val="000000"/>
                      <w:sz w:val="21"/>
                      <w:szCs w:val="21"/>
                    </w:rPr>
                    <w:t>废水量（m</w:t>
                  </w:r>
                  <w:r>
                    <w:rPr>
                      <w:color w:val="000000"/>
                      <w:sz w:val="21"/>
                      <w:szCs w:val="21"/>
                      <w:vertAlign w:val="superscript"/>
                    </w:rPr>
                    <w:t>3</w:t>
                  </w:r>
                  <w:r>
                    <w:rPr>
                      <w:color w:val="000000"/>
                      <w:sz w:val="21"/>
                      <w:szCs w:val="21"/>
                    </w:rPr>
                    <w:t>/</w:t>
                  </w:r>
                  <w:r>
                    <w:rPr>
                      <w:rFonts w:hint="eastAsia"/>
                      <w:color w:val="000000"/>
                      <w:sz w:val="21"/>
                      <w:szCs w:val="21"/>
                    </w:rPr>
                    <w:t>a</w:t>
                  </w:r>
                  <w:r>
                    <w:rPr>
                      <w:color w:val="000000"/>
                      <w:sz w:val="21"/>
                      <w:szCs w:val="21"/>
                    </w:rPr>
                    <w:t>）</w:t>
                  </w:r>
                </w:p>
              </w:tc>
              <w:tc>
                <w:tcPr>
                  <w:tcW w:w="2416" w:type="dxa"/>
                  <w:vAlign w:val="center"/>
                </w:tcPr>
                <w:p>
                  <w:pPr>
                    <w:spacing w:line="200" w:lineRule="atLeast"/>
                    <w:jc w:val="center"/>
                    <w:rPr>
                      <w:color w:val="000000"/>
                    </w:rPr>
                  </w:pPr>
                  <w:r>
                    <w:rPr>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dxa"/>
                  <w:vAlign w:val="center"/>
                </w:tcPr>
                <w:p>
                  <w:pPr>
                    <w:spacing w:line="200" w:lineRule="atLeast"/>
                    <w:jc w:val="center"/>
                    <w:rPr>
                      <w:color w:val="000000"/>
                    </w:rPr>
                  </w:pPr>
                  <w:r>
                    <w:rPr>
                      <w:color w:val="000000"/>
                      <w:sz w:val="21"/>
                      <w:szCs w:val="21"/>
                    </w:rPr>
                    <w:t>1</w:t>
                  </w:r>
                </w:p>
              </w:tc>
              <w:tc>
                <w:tcPr>
                  <w:tcW w:w="2610" w:type="dxa"/>
                  <w:vAlign w:val="center"/>
                </w:tcPr>
                <w:p>
                  <w:pPr>
                    <w:spacing w:line="200" w:lineRule="atLeast"/>
                    <w:jc w:val="center"/>
                    <w:rPr>
                      <w:color w:val="000000"/>
                    </w:rPr>
                  </w:pPr>
                  <w:r>
                    <w:rPr>
                      <w:color w:val="000000"/>
                      <w:sz w:val="21"/>
                      <w:szCs w:val="21"/>
                    </w:rPr>
                    <w:t>职工生活用水</w:t>
                  </w:r>
                </w:p>
              </w:tc>
              <w:tc>
                <w:tcPr>
                  <w:tcW w:w="1150" w:type="dxa"/>
                  <w:vAlign w:val="center"/>
                </w:tcPr>
                <w:p>
                  <w:pPr>
                    <w:spacing w:line="200" w:lineRule="atLeast"/>
                    <w:jc w:val="center"/>
                    <w:rPr>
                      <w:color w:val="000000"/>
                    </w:rPr>
                  </w:pPr>
                  <w:r>
                    <w:rPr>
                      <w:rFonts w:hint="eastAsia"/>
                      <w:color w:val="000000"/>
                      <w:sz w:val="21"/>
                      <w:szCs w:val="21"/>
                    </w:rPr>
                    <w:t>1008</w:t>
                  </w:r>
                </w:p>
              </w:tc>
              <w:tc>
                <w:tcPr>
                  <w:tcW w:w="1175" w:type="dxa"/>
                  <w:vAlign w:val="center"/>
                </w:tcPr>
                <w:p>
                  <w:pPr>
                    <w:spacing w:line="200" w:lineRule="atLeast"/>
                    <w:jc w:val="center"/>
                    <w:rPr>
                      <w:color w:val="000000"/>
                    </w:rPr>
                  </w:pPr>
                  <w:r>
                    <w:rPr>
                      <w:rFonts w:hint="eastAsia"/>
                      <w:color w:val="000000"/>
                      <w:sz w:val="21"/>
                      <w:szCs w:val="21"/>
                    </w:rPr>
                    <w:t>907.2</w:t>
                  </w:r>
                </w:p>
              </w:tc>
              <w:tc>
                <w:tcPr>
                  <w:tcW w:w="2416" w:type="dxa"/>
                  <w:vAlign w:val="center"/>
                </w:tcPr>
                <w:p>
                  <w:pPr>
                    <w:spacing w:line="20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7" w:type="dxa"/>
                  <w:vAlign w:val="center"/>
                </w:tcPr>
                <w:p>
                  <w:pPr>
                    <w:spacing w:line="200" w:lineRule="atLeast"/>
                    <w:jc w:val="center"/>
                    <w:rPr>
                      <w:color w:val="000000"/>
                      <w:sz w:val="21"/>
                      <w:szCs w:val="21"/>
                    </w:rPr>
                  </w:pPr>
                  <w:r>
                    <w:rPr>
                      <w:rFonts w:hint="eastAsia"/>
                      <w:color w:val="000000"/>
                      <w:sz w:val="21"/>
                      <w:szCs w:val="21"/>
                    </w:rPr>
                    <w:t>2</w:t>
                  </w:r>
                </w:p>
              </w:tc>
              <w:tc>
                <w:tcPr>
                  <w:tcW w:w="2610" w:type="dxa"/>
                  <w:vAlign w:val="center"/>
                </w:tcPr>
                <w:p>
                  <w:pPr>
                    <w:spacing w:line="200" w:lineRule="atLeast"/>
                    <w:jc w:val="center"/>
                    <w:rPr>
                      <w:color w:val="000000"/>
                      <w:sz w:val="21"/>
                      <w:szCs w:val="21"/>
                    </w:rPr>
                  </w:pPr>
                  <w:r>
                    <w:rPr>
                      <w:rFonts w:hint="eastAsia"/>
                      <w:color w:val="000000"/>
                      <w:sz w:val="21"/>
                      <w:szCs w:val="21"/>
                    </w:rPr>
                    <w:t>食堂用水</w:t>
                  </w:r>
                </w:p>
              </w:tc>
              <w:tc>
                <w:tcPr>
                  <w:tcW w:w="1150" w:type="dxa"/>
                  <w:vAlign w:val="center"/>
                </w:tcPr>
                <w:p>
                  <w:pPr>
                    <w:spacing w:line="200" w:lineRule="atLeast"/>
                    <w:jc w:val="center"/>
                    <w:rPr>
                      <w:color w:val="000000"/>
                      <w:sz w:val="21"/>
                      <w:szCs w:val="21"/>
                    </w:rPr>
                  </w:pPr>
                  <w:r>
                    <w:rPr>
                      <w:rFonts w:hint="eastAsia"/>
                      <w:color w:val="000000"/>
                      <w:sz w:val="21"/>
                      <w:szCs w:val="21"/>
                    </w:rPr>
                    <w:t>280</w:t>
                  </w:r>
                </w:p>
              </w:tc>
              <w:tc>
                <w:tcPr>
                  <w:tcW w:w="1175" w:type="dxa"/>
                  <w:vAlign w:val="center"/>
                </w:tcPr>
                <w:p>
                  <w:pPr>
                    <w:spacing w:line="200" w:lineRule="atLeast"/>
                    <w:jc w:val="center"/>
                    <w:rPr>
                      <w:color w:val="000000"/>
                      <w:sz w:val="21"/>
                      <w:szCs w:val="21"/>
                    </w:rPr>
                  </w:pPr>
                  <w:r>
                    <w:rPr>
                      <w:rFonts w:hint="eastAsia"/>
                      <w:color w:val="000000"/>
                      <w:sz w:val="21"/>
                      <w:szCs w:val="21"/>
                    </w:rPr>
                    <w:t>252</w:t>
                  </w:r>
                </w:p>
              </w:tc>
              <w:tc>
                <w:tcPr>
                  <w:tcW w:w="2416" w:type="dxa"/>
                  <w:vAlign w:val="center"/>
                </w:tcPr>
                <w:p>
                  <w:pPr>
                    <w:spacing w:line="200" w:lineRule="atLeast"/>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627" w:type="dxa"/>
                  <w:vAlign w:val="center"/>
                </w:tcPr>
                <w:p>
                  <w:pPr>
                    <w:spacing w:line="200" w:lineRule="atLeast"/>
                    <w:jc w:val="center"/>
                    <w:rPr>
                      <w:color w:val="000000"/>
                    </w:rPr>
                  </w:pPr>
                  <w:r>
                    <w:rPr>
                      <w:rFonts w:hint="eastAsia"/>
                      <w:color w:val="000000"/>
                      <w:sz w:val="21"/>
                      <w:szCs w:val="21"/>
                    </w:rPr>
                    <w:t>3</w:t>
                  </w:r>
                </w:p>
              </w:tc>
              <w:tc>
                <w:tcPr>
                  <w:tcW w:w="2610" w:type="dxa"/>
                  <w:vAlign w:val="center"/>
                </w:tcPr>
                <w:p>
                  <w:pPr>
                    <w:spacing w:line="200" w:lineRule="atLeast"/>
                    <w:jc w:val="center"/>
                    <w:rPr>
                      <w:color w:val="000000"/>
                    </w:rPr>
                  </w:pPr>
                  <w:r>
                    <w:rPr>
                      <w:rFonts w:hint="eastAsia"/>
                      <w:color w:val="000000"/>
                      <w:sz w:val="21"/>
                      <w:szCs w:val="21"/>
                    </w:rPr>
                    <w:t>调漆用去离子水</w:t>
                  </w:r>
                </w:p>
              </w:tc>
              <w:tc>
                <w:tcPr>
                  <w:tcW w:w="1150" w:type="dxa"/>
                  <w:vAlign w:val="center"/>
                </w:tcPr>
                <w:p>
                  <w:pPr>
                    <w:spacing w:line="200" w:lineRule="atLeast"/>
                    <w:jc w:val="center"/>
                    <w:rPr>
                      <w:color w:val="000000"/>
                      <w:sz w:val="21"/>
                      <w:szCs w:val="21"/>
                    </w:rPr>
                  </w:pPr>
                  <w:r>
                    <w:rPr>
                      <w:rFonts w:hint="eastAsia"/>
                      <w:color w:val="000000"/>
                      <w:sz w:val="21"/>
                      <w:szCs w:val="21"/>
                    </w:rPr>
                    <w:t>5.75</w:t>
                  </w:r>
                </w:p>
              </w:tc>
              <w:tc>
                <w:tcPr>
                  <w:tcW w:w="1175" w:type="dxa"/>
                  <w:vAlign w:val="center"/>
                </w:tcPr>
                <w:p>
                  <w:pPr>
                    <w:spacing w:line="200" w:lineRule="atLeast"/>
                    <w:jc w:val="center"/>
                    <w:rPr>
                      <w:color w:val="000000"/>
                      <w:sz w:val="21"/>
                      <w:szCs w:val="21"/>
                    </w:rPr>
                  </w:pPr>
                  <w:r>
                    <w:rPr>
                      <w:rFonts w:hint="eastAsia"/>
                      <w:color w:val="000000"/>
                      <w:sz w:val="21"/>
                      <w:szCs w:val="21"/>
                    </w:rPr>
                    <w:t>0</w:t>
                  </w:r>
                </w:p>
              </w:tc>
              <w:tc>
                <w:tcPr>
                  <w:tcW w:w="2416" w:type="dxa"/>
                </w:tcPr>
                <w:p>
                  <w:pPr>
                    <w:spacing w:line="200" w:lineRule="atLeast"/>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27" w:type="dxa"/>
                  <w:vAlign w:val="center"/>
                </w:tcPr>
                <w:p>
                  <w:pPr>
                    <w:spacing w:line="200" w:lineRule="atLeast"/>
                    <w:jc w:val="center"/>
                    <w:rPr>
                      <w:color w:val="000000"/>
                    </w:rPr>
                  </w:pPr>
                  <w:r>
                    <w:rPr>
                      <w:rFonts w:hint="eastAsia"/>
                      <w:color w:val="000000"/>
                    </w:rPr>
                    <w:t>4</w:t>
                  </w:r>
                </w:p>
              </w:tc>
              <w:tc>
                <w:tcPr>
                  <w:tcW w:w="2610" w:type="dxa"/>
                  <w:vAlign w:val="center"/>
                </w:tcPr>
                <w:p>
                  <w:pPr>
                    <w:spacing w:line="200" w:lineRule="atLeast"/>
                    <w:jc w:val="center"/>
                    <w:rPr>
                      <w:color w:val="000000"/>
                    </w:rPr>
                  </w:pPr>
                  <w:r>
                    <w:rPr>
                      <w:color w:val="000000"/>
                      <w:sz w:val="21"/>
                      <w:szCs w:val="21"/>
                    </w:rPr>
                    <w:t>合计</w:t>
                  </w:r>
                </w:p>
              </w:tc>
              <w:tc>
                <w:tcPr>
                  <w:tcW w:w="1150" w:type="dxa"/>
                  <w:vAlign w:val="center"/>
                </w:tcPr>
                <w:p>
                  <w:pPr>
                    <w:spacing w:line="200" w:lineRule="atLeast"/>
                    <w:jc w:val="center"/>
                    <w:rPr>
                      <w:color w:val="000000"/>
                      <w:sz w:val="21"/>
                      <w:szCs w:val="21"/>
                    </w:rPr>
                  </w:pPr>
                  <w:r>
                    <w:rPr>
                      <w:rFonts w:hint="eastAsia"/>
                      <w:color w:val="000000"/>
                      <w:sz w:val="21"/>
                      <w:szCs w:val="21"/>
                    </w:rPr>
                    <w:t>1293.75</w:t>
                  </w:r>
                </w:p>
              </w:tc>
              <w:tc>
                <w:tcPr>
                  <w:tcW w:w="1175" w:type="dxa"/>
                  <w:vAlign w:val="center"/>
                </w:tcPr>
                <w:p>
                  <w:pPr>
                    <w:spacing w:line="200" w:lineRule="atLeast"/>
                    <w:jc w:val="center"/>
                    <w:rPr>
                      <w:color w:val="000000"/>
                      <w:sz w:val="21"/>
                      <w:szCs w:val="21"/>
                    </w:rPr>
                  </w:pPr>
                  <w:r>
                    <w:rPr>
                      <w:rFonts w:hint="eastAsia"/>
                      <w:color w:val="000000"/>
                      <w:sz w:val="21"/>
                      <w:szCs w:val="21"/>
                    </w:rPr>
                    <w:t>1159.2</w:t>
                  </w:r>
                </w:p>
              </w:tc>
              <w:tc>
                <w:tcPr>
                  <w:tcW w:w="2416" w:type="dxa"/>
                </w:tcPr>
                <w:p>
                  <w:pPr>
                    <w:spacing w:line="200" w:lineRule="atLeast"/>
                    <w:jc w:val="center"/>
                    <w:rPr>
                      <w:color w:val="000000"/>
                      <w:sz w:val="21"/>
                      <w:szCs w:val="21"/>
                    </w:rPr>
                  </w:pPr>
                </w:p>
              </w:tc>
            </w:tr>
          </w:tbl>
          <w:p>
            <w:pPr>
              <w:keepNext w:val="0"/>
              <w:keepLines w:val="0"/>
              <w:pageBreakBefore w:val="0"/>
              <w:tabs>
                <w:tab w:val="left" w:pos="273"/>
              </w:tabs>
              <w:kinsoku/>
              <w:wordWrap/>
              <w:overflowPunct/>
              <w:topLinePunct w:val="0"/>
              <w:bidi w:val="0"/>
              <w:snapToGrid/>
              <w:spacing w:line="240" w:lineRule="exact"/>
              <w:rPr>
                <w:rFonts w:hint="default"/>
                <w:color w:val="000000"/>
                <w:lang w:val="en-US" w:eastAsia="zh-CN"/>
              </w:rPr>
            </w:pPr>
            <w:r>
              <w:rPr>
                <w:sz w:val="24"/>
              </w:rPr>
              <mc:AlternateContent>
                <mc:Choice Requires="wpg">
                  <w:drawing>
                    <wp:anchor distT="0" distB="0" distL="114300" distR="114300" simplePos="0" relativeHeight="251676672" behindDoc="0" locked="0" layoutInCell="1" allowOverlap="1">
                      <wp:simplePos x="0" y="0"/>
                      <wp:positionH relativeFrom="column">
                        <wp:posOffset>174625</wp:posOffset>
                      </wp:positionH>
                      <wp:positionV relativeFrom="paragraph">
                        <wp:posOffset>2540</wp:posOffset>
                      </wp:positionV>
                      <wp:extent cx="4859655" cy="1832610"/>
                      <wp:effectExtent l="0" t="0" r="17145" b="15875"/>
                      <wp:wrapNone/>
                      <wp:docPr id="35" name="组合 4"/>
                      <wp:cNvGraphicFramePr/>
                      <a:graphic xmlns:a="http://schemas.openxmlformats.org/drawingml/2006/main">
                        <a:graphicData uri="http://schemas.microsoft.com/office/word/2010/wordprocessingGroup">
                          <wpg:wgp>
                            <wpg:cNvGrpSpPr/>
                            <wpg:grpSpPr>
                              <a:xfrm>
                                <a:off x="0" y="0"/>
                                <a:ext cx="4859655" cy="1832610"/>
                                <a:chOff x="5311" y="396907"/>
                                <a:chExt cx="7653" cy="2886"/>
                              </a:xfrm>
                            </wpg:grpSpPr>
                            <wps:wsp>
                              <wps:cNvPr id="6" name="文本框 121"/>
                              <wps:cNvSpPr txBox="1"/>
                              <wps:spPr>
                                <a:xfrm>
                                  <a:off x="9781" y="398945"/>
                                  <a:ext cx="782" cy="477"/>
                                </a:xfrm>
                                <a:prstGeom prst="rect">
                                  <a:avLst/>
                                </a:prstGeom>
                                <a:noFill/>
                                <a:ln>
                                  <a:noFill/>
                                </a:ln>
                              </wps:spPr>
                              <wps:txbx>
                                <w:txbxContent>
                                  <w:p>
                                    <w:pPr>
                                      <w:rPr>
                                        <w:rFonts w:hint="default" w:eastAsia="宋体"/>
                                        <w:lang w:val="en-US" w:eastAsia="zh-CN"/>
                                      </w:rPr>
                                    </w:pPr>
                                    <w:r>
                                      <w:rPr>
                                        <w:rFonts w:hint="eastAsia"/>
                                        <w:lang w:val="en-US" w:eastAsia="zh-CN"/>
                                      </w:rPr>
                                      <w:t>5.75</w:t>
                                    </w:r>
                                  </w:p>
                                </w:txbxContent>
                              </wps:txbx>
                              <wps:bodyPr vert="horz" anchor="t" anchorCtr="0" upright="1"/>
                            </wps:wsp>
                            <wps:wsp>
                              <wps:cNvPr id="7" name="文本框 50"/>
                              <wps:cNvSpPr txBox="1"/>
                              <wps:spPr>
                                <a:xfrm>
                                  <a:off x="7758" y="397383"/>
                                  <a:ext cx="1651"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职工生活用水</w:t>
                                    </w:r>
                                  </w:p>
                                </w:txbxContent>
                              </wps:txbx>
                              <wps:bodyPr vert="horz" anchor="t" anchorCtr="0" upright="1"/>
                            </wps:wsp>
                            <wps:wsp>
                              <wps:cNvPr id="8" name="文本框 49"/>
                              <wps:cNvSpPr txBox="1"/>
                              <wps:spPr>
                                <a:xfrm>
                                  <a:off x="11722" y="397448"/>
                                  <a:ext cx="1242" cy="95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排入长子县城东污水处理厂</w:t>
                                    </w:r>
                                  </w:p>
                                </w:txbxContent>
                              </wps:txbx>
                              <wps:bodyPr vert="horz" anchor="t" anchorCtr="0" upright="1"/>
                            </wps:wsp>
                            <wps:wsp>
                              <wps:cNvPr id="9" name="直线 77"/>
                              <wps:cNvSpPr/>
                              <wps:spPr>
                                <a:xfrm flipV="1">
                                  <a:off x="5446" y="397581"/>
                                  <a:ext cx="614" cy="5"/>
                                </a:xfrm>
                                <a:prstGeom prst="line">
                                  <a:avLst/>
                                </a:prstGeom>
                                <a:ln w="9525" cap="flat" cmpd="sng">
                                  <a:solidFill>
                                    <a:srgbClr val="000000"/>
                                  </a:solidFill>
                                  <a:prstDash val="solid"/>
                                  <a:round/>
                                  <a:headEnd type="none" w="med" len="med"/>
                                  <a:tailEnd type="arrow" w="med" len="med"/>
                                </a:ln>
                              </wps:spPr>
                              <wps:bodyPr upright="1"/>
                            </wps:wsp>
                            <wps:wsp>
                              <wps:cNvPr id="10" name="文本框 67"/>
                              <wps:cNvSpPr txBox="1"/>
                              <wps:spPr>
                                <a:xfrm>
                                  <a:off x="6044" y="397372"/>
                                  <a:ext cx="1044"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sz w:val="21"/>
                                        <w:szCs w:val="21"/>
                                        <w:lang w:val="en-US" w:eastAsia="zh-CN"/>
                                      </w:rPr>
                                      <w:t>新鲜水</w:t>
                                    </w:r>
                                  </w:p>
                                </w:txbxContent>
                              </wps:txbx>
                              <wps:bodyPr vert="horz" anchor="t" anchorCtr="0" upright="1"/>
                            </wps:wsp>
                            <wps:wsp>
                              <wps:cNvPr id="11" name="直线 52"/>
                              <wps:cNvSpPr/>
                              <wps:spPr>
                                <a:xfrm flipV="1">
                                  <a:off x="7089" y="397587"/>
                                  <a:ext cx="660" cy="1"/>
                                </a:xfrm>
                                <a:prstGeom prst="line">
                                  <a:avLst/>
                                </a:prstGeom>
                                <a:ln w="9525" cap="flat" cmpd="sng">
                                  <a:solidFill>
                                    <a:srgbClr val="000000"/>
                                  </a:solidFill>
                                  <a:prstDash val="solid"/>
                                  <a:round/>
                                  <a:headEnd type="none" w="med" len="med"/>
                                  <a:tailEnd type="none" w="med" len="med"/>
                                </a:ln>
                              </wps:spPr>
                              <wps:bodyPr upright="1"/>
                            </wps:wsp>
                            <wps:wsp>
                              <wps:cNvPr id="12" name="文本框 68"/>
                              <wps:cNvSpPr txBox="1"/>
                              <wps:spPr>
                                <a:xfrm>
                                  <a:off x="5311" y="397191"/>
                                  <a:ext cx="1046" cy="477"/>
                                </a:xfrm>
                                <a:prstGeom prst="rect">
                                  <a:avLst/>
                                </a:prstGeom>
                                <a:noFill/>
                                <a:ln>
                                  <a:noFill/>
                                </a:ln>
                              </wps:spPr>
                              <wps:txbx>
                                <w:txbxContent>
                                  <w:p>
                                    <w:pPr>
                                      <w:rPr>
                                        <w:rFonts w:hint="default" w:eastAsia="宋体"/>
                                        <w:lang w:val="en-US" w:eastAsia="zh-CN"/>
                                      </w:rPr>
                                    </w:pPr>
                                    <w:r>
                                      <w:rPr>
                                        <w:rFonts w:hint="eastAsia"/>
                                        <w:lang w:val="en-US" w:eastAsia="zh-CN"/>
                                      </w:rPr>
                                      <w:t>1288</w:t>
                                    </w:r>
                                  </w:p>
                                </w:txbxContent>
                              </wps:txbx>
                              <wps:bodyPr vert="horz" anchor="t" anchorCtr="0" upright="1"/>
                            </wps:wsp>
                            <wps:wsp>
                              <wps:cNvPr id="13" name="文本框 87"/>
                              <wps:cNvSpPr txBox="1"/>
                              <wps:spPr>
                                <a:xfrm>
                                  <a:off x="7750" y="399347"/>
                                  <a:ext cx="791"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eastAsia="宋体"/>
                                        <w:sz w:val="21"/>
                                        <w:szCs w:val="21"/>
                                        <w:lang w:val="en-US" w:eastAsia="zh-CN"/>
                                      </w:rPr>
                                      <w:t>调漆</w:t>
                                    </w:r>
                                  </w:p>
                                </w:txbxContent>
                              </wps:txbx>
                              <wps:bodyPr vert="horz" anchor="t" anchorCtr="0" upright="1"/>
                            </wps:wsp>
                            <wps:wsp>
                              <wps:cNvPr id="14" name="文本框 82"/>
                              <wps:cNvSpPr txBox="1"/>
                              <wps:spPr>
                                <a:xfrm>
                                  <a:off x="7048" y="399140"/>
                                  <a:ext cx="737" cy="477"/>
                                </a:xfrm>
                                <a:prstGeom prst="rect">
                                  <a:avLst/>
                                </a:prstGeom>
                                <a:noFill/>
                                <a:ln>
                                  <a:noFill/>
                                </a:ln>
                              </wps:spPr>
                              <wps:txbx>
                                <w:txbxContent>
                                  <w:p>
                                    <w:pPr>
                                      <w:rPr>
                                        <w:rFonts w:hint="default" w:eastAsia="宋体"/>
                                        <w:lang w:val="en-US" w:eastAsia="zh-CN"/>
                                      </w:rPr>
                                    </w:pPr>
                                    <w:r>
                                      <w:rPr>
                                        <w:rFonts w:hint="eastAsia"/>
                                        <w:lang w:val="en-US" w:eastAsia="zh-CN"/>
                                      </w:rPr>
                                      <w:t>5.75</w:t>
                                    </w:r>
                                  </w:p>
                                </w:txbxContent>
                              </wps:txbx>
                              <wps:bodyPr vert="horz" anchor="t" anchorCtr="0" upright="1"/>
                            </wps:wsp>
                            <wps:wsp>
                              <wps:cNvPr id="15" name="直线 51"/>
                              <wps:cNvSpPr/>
                              <wps:spPr>
                                <a:xfrm flipV="1">
                                  <a:off x="9422" y="397569"/>
                                  <a:ext cx="726" cy="7"/>
                                </a:xfrm>
                                <a:prstGeom prst="line">
                                  <a:avLst/>
                                </a:prstGeom>
                                <a:ln w="9525" cap="flat" cmpd="sng">
                                  <a:solidFill>
                                    <a:srgbClr val="000000"/>
                                  </a:solidFill>
                                  <a:prstDash val="solid"/>
                                  <a:round/>
                                  <a:headEnd type="none" w="med" len="med"/>
                                  <a:tailEnd type="arrow" w="med" len="med"/>
                                </a:ln>
                              </wps:spPr>
                              <wps:bodyPr upright="1"/>
                            </wps:wsp>
                            <wps:wsp>
                              <wps:cNvPr id="16" name="直线 86"/>
                              <wps:cNvSpPr/>
                              <wps:spPr>
                                <a:xfrm>
                                  <a:off x="8566" y="399575"/>
                                  <a:ext cx="384" cy="1"/>
                                </a:xfrm>
                                <a:prstGeom prst="line">
                                  <a:avLst/>
                                </a:prstGeom>
                                <a:ln w="9525" cap="flat" cmpd="sng">
                                  <a:solidFill>
                                    <a:srgbClr val="000000"/>
                                  </a:solidFill>
                                  <a:prstDash val="solid"/>
                                  <a:round/>
                                  <a:headEnd type="none" w="med" len="med"/>
                                  <a:tailEnd type="arrow" w="med" len="med"/>
                                </a:ln>
                              </wps:spPr>
                              <wps:bodyPr upright="1"/>
                            </wps:wsp>
                            <wps:wsp>
                              <wps:cNvPr id="17" name="文本框 85"/>
                              <wps:cNvSpPr txBox="1"/>
                              <wps:spPr>
                                <a:xfrm>
                                  <a:off x="8940" y="399357"/>
                                  <a:ext cx="140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喷漆、烤漆</w:t>
                                    </w:r>
                                  </w:p>
                                </w:txbxContent>
                              </wps:txbx>
                              <wps:bodyPr vert="horz" anchor="t" anchorCtr="0" upright="1"/>
                            </wps:wsp>
                            <wps:wsp>
                              <wps:cNvPr id="18" name="文本框 97"/>
                              <wps:cNvSpPr txBox="1"/>
                              <wps:spPr>
                                <a:xfrm>
                                  <a:off x="9324" y="397215"/>
                                  <a:ext cx="897" cy="477"/>
                                </a:xfrm>
                                <a:prstGeom prst="rect">
                                  <a:avLst/>
                                </a:prstGeom>
                                <a:noFill/>
                                <a:ln>
                                  <a:noFill/>
                                </a:ln>
                              </wps:spPr>
                              <wps:txbx>
                                <w:txbxContent>
                                  <w:p>
                                    <w:pPr>
                                      <w:rPr>
                                        <w:rFonts w:hint="default" w:eastAsia="宋体"/>
                                        <w:lang w:val="en-US" w:eastAsia="zh-CN"/>
                                      </w:rPr>
                                    </w:pPr>
                                    <w:r>
                                      <w:rPr>
                                        <w:rFonts w:hint="eastAsia"/>
                                        <w:lang w:val="en-US" w:eastAsia="zh-CN"/>
                                      </w:rPr>
                                      <w:t>907.2</w:t>
                                    </w:r>
                                  </w:p>
                                </w:txbxContent>
                              </wps:txbx>
                              <wps:bodyPr vert="horz" anchor="t" anchorCtr="0" upright="1"/>
                            </wps:wsp>
                            <wps:wsp>
                              <wps:cNvPr id="19" name="自选图形 3"/>
                              <wps:cNvCnPr/>
                              <wps:spPr>
                                <a:xfrm flipV="1">
                                  <a:off x="8492" y="397152"/>
                                  <a:ext cx="273" cy="221"/>
                                </a:xfrm>
                                <a:prstGeom prst="curvedConnector3">
                                  <a:avLst>
                                    <a:gd name="adj1" fmla="val 50185"/>
                                  </a:avLst>
                                </a:prstGeom>
                                <a:ln w="9525" cap="sq" cmpd="sng">
                                  <a:solidFill>
                                    <a:srgbClr val="000000"/>
                                  </a:solidFill>
                                  <a:prstDash val="sysDot"/>
                                  <a:round/>
                                  <a:headEnd type="none" w="med" len="med"/>
                                  <a:tailEnd type="triangle" w="med" len="med"/>
                                </a:ln>
                              </wps:spPr>
                              <wps:bodyPr/>
                            </wps:wsp>
                            <wps:wsp>
                              <wps:cNvPr id="20" name="自选图形 90"/>
                              <wps:cNvCnPr>
                                <a:endCxn id="6" idx="1"/>
                              </wps:cNvCnPr>
                              <wps:spPr>
                                <a:xfrm flipV="1">
                                  <a:off x="9492" y="399184"/>
                                  <a:ext cx="289" cy="166"/>
                                </a:xfrm>
                                <a:prstGeom prst="curvedConnector3">
                                  <a:avLst>
                                    <a:gd name="adj1" fmla="val 50171"/>
                                  </a:avLst>
                                </a:prstGeom>
                                <a:ln w="9525" cap="sq" cmpd="sng">
                                  <a:solidFill>
                                    <a:srgbClr val="000000"/>
                                  </a:solidFill>
                                  <a:prstDash val="sysDot"/>
                                  <a:round/>
                                  <a:headEnd type="none" w="med" len="med"/>
                                  <a:tailEnd type="triangle" w="med" len="med"/>
                                </a:ln>
                              </wps:spPr>
                              <wps:bodyPr/>
                            </wps:wsp>
                            <wps:wsp>
                              <wps:cNvPr id="21" name="直线 832"/>
                              <wps:cNvSpPr/>
                              <wps:spPr>
                                <a:xfrm flipV="1">
                                  <a:off x="6964" y="399535"/>
                                  <a:ext cx="775" cy="12"/>
                                </a:xfrm>
                                <a:prstGeom prst="line">
                                  <a:avLst/>
                                </a:prstGeom>
                                <a:ln w="9525" cap="flat" cmpd="sng">
                                  <a:solidFill>
                                    <a:srgbClr val="000000"/>
                                  </a:solidFill>
                                  <a:prstDash val="solid"/>
                                  <a:round/>
                                  <a:headEnd type="none" w="med" len="med"/>
                                  <a:tailEnd type="arrow" w="med" len="med"/>
                                </a:ln>
                              </wps:spPr>
                              <wps:bodyPr upright="1"/>
                            </wps:wsp>
                            <wps:wsp>
                              <wps:cNvPr id="22" name="文本框 833"/>
                              <wps:cNvSpPr txBox="1"/>
                              <wps:spPr>
                                <a:xfrm>
                                  <a:off x="8638" y="396907"/>
                                  <a:ext cx="897" cy="477"/>
                                </a:xfrm>
                                <a:prstGeom prst="rect">
                                  <a:avLst/>
                                </a:prstGeom>
                                <a:noFill/>
                                <a:ln>
                                  <a:noFill/>
                                </a:ln>
                              </wps:spPr>
                              <wps:txbx>
                                <w:txbxContent>
                                  <w:p>
                                    <w:pPr>
                                      <w:rPr>
                                        <w:rFonts w:hint="default" w:eastAsia="宋体"/>
                                        <w:lang w:val="en-US" w:eastAsia="zh-CN"/>
                                      </w:rPr>
                                    </w:pPr>
                                    <w:r>
                                      <w:rPr>
                                        <w:rFonts w:hint="eastAsia"/>
                                        <w:lang w:val="en-US" w:eastAsia="zh-CN"/>
                                      </w:rPr>
                                      <w:t>100.8</w:t>
                                    </w:r>
                                  </w:p>
                                </w:txbxContent>
                              </wps:txbx>
                              <wps:bodyPr vert="horz" anchor="t" anchorCtr="0" upright="1"/>
                            </wps:wsp>
                            <wps:wsp>
                              <wps:cNvPr id="23" name="文本框 67"/>
                              <wps:cNvSpPr txBox="1"/>
                              <wps:spPr>
                                <a:xfrm>
                                  <a:off x="10146" y="397362"/>
                                  <a:ext cx="1044"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化粪池</w:t>
                                    </w:r>
                                  </w:p>
                                </w:txbxContent>
                              </wps:txbx>
                              <wps:bodyPr vert="horz" anchor="t" anchorCtr="0" upright="1"/>
                            </wps:wsp>
                            <wps:wsp>
                              <wps:cNvPr id="24" name="文本框 67"/>
                              <wps:cNvSpPr txBox="1"/>
                              <wps:spPr>
                                <a:xfrm>
                                  <a:off x="7998" y="398390"/>
                                  <a:ext cx="1044"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隔油池</w:t>
                                    </w:r>
                                  </w:p>
                                </w:txbxContent>
                              </wps:txbx>
                              <wps:bodyPr vert="horz" anchor="t" anchorCtr="0" upright="1"/>
                            </wps:wsp>
                            <wps:wsp>
                              <wps:cNvPr id="25" name="文本框 67"/>
                              <wps:cNvSpPr txBox="1"/>
                              <wps:spPr>
                                <a:xfrm>
                                  <a:off x="5967" y="398393"/>
                                  <a:ext cx="1193"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sz w:val="21"/>
                                        <w:szCs w:val="21"/>
                                        <w:lang w:val="en-US" w:eastAsia="zh-CN"/>
                                      </w:rPr>
                                      <w:t>食堂用水</w:t>
                                    </w:r>
                                  </w:p>
                                </w:txbxContent>
                              </wps:txbx>
                              <wps:bodyPr vert="horz" anchor="t" anchorCtr="0" upright="1"/>
                            </wps:wsp>
                            <wps:wsp>
                              <wps:cNvPr id="26" name="直接箭头连接符 111"/>
                              <wps:cNvCnPr>
                                <a:stCxn id="10" idx="2"/>
                                <a:endCxn id="10" idx="0"/>
                              </wps:cNvCnPr>
                              <wps:spPr>
                                <a:xfrm flipH="1">
                                  <a:off x="6564" y="397807"/>
                                  <a:ext cx="2" cy="586"/>
                                </a:xfrm>
                                <a:prstGeom prst="straightConnector1">
                                  <a:avLst/>
                                </a:prstGeom>
                                <a:ln w="9525" cap="flat" cmpd="sng">
                                  <a:solidFill>
                                    <a:srgbClr val="000000"/>
                                  </a:solidFill>
                                  <a:prstDash val="solid"/>
                                  <a:round/>
                                  <a:headEnd type="none" w="med" len="med"/>
                                  <a:tailEnd type="arrow" w="med" len="med"/>
                                </a:ln>
                              </wps:spPr>
                              <wps:bodyPr/>
                            </wps:wsp>
                            <wps:wsp>
                              <wps:cNvPr id="27" name="肘形连接符 113"/>
                              <wps:cNvCnPr>
                                <a:stCxn id="10" idx="3"/>
                                <a:endCxn id="8" idx="1"/>
                              </wps:cNvCnPr>
                              <wps:spPr>
                                <a:xfrm>
                                  <a:off x="11190" y="397580"/>
                                  <a:ext cx="532" cy="346"/>
                                </a:xfrm>
                                <a:prstGeom prst="bentConnector3">
                                  <a:avLst>
                                    <a:gd name="adj1" fmla="val 50000"/>
                                  </a:avLst>
                                </a:prstGeom>
                                <a:ln w="9525" cap="flat" cmpd="sng">
                                  <a:solidFill>
                                    <a:srgbClr val="000000"/>
                                  </a:solidFill>
                                  <a:prstDash val="solid"/>
                                  <a:round/>
                                  <a:headEnd type="none" w="med" len="med"/>
                                  <a:tailEnd type="arrow" w="med" len="med"/>
                                </a:ln>
                              </wps:spPr>
                              <wps:bodyPr/>
                            </wps:wsp>
                            <wps:wsp>
                              <wps:cNvPr id="28" name="肘形连接符 114"/>
                              <wps:cNvCnPr>
                                <a:stCxn id="10" idx="3"/>
                                <a:endCxn id="10" idx="2"/>
                              </wps:cNvCnPr>
                              <wps:spPr>
                                <a:xfrm flipV="1">
                                  <a:off x="9042" y="397797"/>
                                  <a:ext cx="1626" cy="811"/>
                                </a:xfrm>
                                <a:prstGeom prst="bentConnector2">
                                  <a:avLst/>
                                </a:prstGeom>
                                <a:ln w="9525" cap="flat" cmpd="sng">
                                  <a:solidFill>
                                    <a:srgbClr val="000000"/>
                                  </a:solidFill>
                                  <a:prstDash val="solid"/>
                                  <a:round/>
                                  <a:headEnd type="none" w="med" len="med"/>
                                  <a:tailEnd type="arrow" w="med" len="med"/>
                                </a:ln>
                              </wps:spPr>
                              <wps:bodyPr/>
                            </wps:wsp>
                            <wps:wsp>
                              <wps:cNvPr id="29" name="直接箭头连接符 115"/>
                              <wps:cNvCnPr>
                                <a:stCxn id="10" idx="3"/>
                                <a:endCxn id="10" idx="1"/>
                              </wps:cNvCnPr>
                              <wps:spPr>
                                <a:xfrm flipV="1">
                                  <a:off x="7160" y="398608"/>
                                  <a:ext cx="838" cy="3"/>
                                </a:xfrm>
                                <a:prstGeom prst="straightConnector1">
                                  <a:avLst/>
                                </a:prstGeom>
                                <a:ln w="9525" cap="flat" cmpd="sng">
                                  <a:solidFill>
                                    <a:srgbClr val="000000"/>
                                  </a:solidFill>
                                  <a:prstDash val="solid"/>
                                  <a:round/>
                                  <a:headEnd type="none" w="med" len="med"/>
                                  <a:tailEnd type="arrow" w="med" len="med"/>
                                </a:ln>
                              </wps:spPr>
                              <wps:bodyPr/>
                            </wps:wsp>
                            <wps:wsp>
                              <wps:cNvPr id="30" name="文本框 82"/>
                              <wps:cNvSpPr txBox="1"/>
                              <wps:spPr>
                                <a:xfrm>
                                  <a:off x="5926" y="397818"/>
                                  <a:ext cx="737" cy="477"/>
                                </a:xfrm>
                                <a:prstGeom prst="rect">
                                  <a:avLst/>
                                </a:prstGeom>
                                <a:noFill/>
                                <a:ln>
                                  <a:noFill/>
                                </a:ln>
                              </wps:spPr>
                              <wps:txbx>
                                <w:txbxContent>
                                  <w:p>
                                    <w:pPr>
                                      <w:rPr>
                                        <w:rFonts w:hint="default" w:eastAsia="宋体"/>
                                        <w:lang w:val="en-US" w:eastAsia="zh-CN"/>
                                      </w:rPr>
                                    </w:pPr>
                                    <w:r>
                                      <w:rPr>
                                        <w:rFonts w:hint="eastAsia"/>
                                        <w:lang w:val="en-US" w:eastAsia="zh-CN"/>
                                      </w:rPr>
                                      <w:t>280</w:t>
                                    </w:r>
                                  </w:p>
                                </w:txbxContent>
                              </wps:txbx>
                              <wps:bodyPr vert="horz" anchor="t" anchorCtr="0" upright="1"/>
                            </wps:wsp>
                            <wps:wsp>
                              <wps:cNvPr id="31" name="文本框 82"/>
                              <wps:cNvSpPr txBox="1"/>
                              <wps:spPr>
                                <a:xfrm>
                                  <a:off x="7191" y="398271"/>
                                  <a:ext cx="737" cy="477"/>
                                </a:xfrm>
                                <a:prstGeom prst="rect">
                                  <a:avLst/>
                                </a:prstGeom>
                                <a:noFill/>
                                <a:ln>
                                  <a:noFill/>
                                </a:ln>
                              </wps:spPr>
                              <wps:txbx>
                                <w:txbxContent>
                                  <w:p>
                                    <w:pPr>
                                      <w:rPr>
                                        <w:rFonts w:hint="default" w:eastAsia="宋体"/>
                                        <w:lang w:val="en-US" w:eastAsia="zh-CN"/>
                                      </w:rPr>
                                    </w:pPr>
                                    <w:r>
                                      <w:rPr>
                                        <w:rFonts w:hint="eastAsia"/>
                                        <w:lang w:val="en-US" w:eastAsia="zh-CN"/>
                                      </w:rPr>
                                      <w:t>252</w:t>
                                    </w:r>
                                  </w:p>
                                </w:txbxContent>
                              </wps:txbx>
                              <wps:bodyPr vert="horz" anchor="t" anchorCtr="0" upright="1"/>
                            </wps:wsp>
                            <wps:wsp>
                              <wps:cNvPr id="32" name="自选图形 3"/>
                              <wps:cNvCnPr/>
                              <wps:spPr>
                                <a:xfrm flipV="1">
                                  <a:off x="6745" y="398155"/>
                                  <a:ext cx="273" cy="221"/>
                                </a:xfrm>
                                <a:prstGeom prst="curvedConnector3">
                                  <a:avLst>
                                    <a:gd name="adj1" fmla="val 50185"/>
                                  </a:avLst>
                                </a:prstGeom>
                                <a:ln w="9525" cap="sq" cmpd="sng">
                                  <a:solidFill>
                                    <a:srgbClr val="000000"/>
                                  </a:solidFill>
                                  <a:prstDash val="sysDot"/>
                                  <a:round/>
                                  <a:headEnd type="none" w="med" len="med"/>
                                  <a:tailEnd type="triangle" w="med" len="med"/>
                                </a:ln>
                              </wps:spPr>
                              <wps:bodyPr/>
                            </wps:wsp>
                            <wps:wsp>
                              <wps:cNvPr id="33" name="文本框 82"/>
                              <wps:cNvSpPr txBox="1"/>
                              <wps:spPr>
                                <a:xfrm>
                                  <a:off x="6893" y="397920"/>
                                  <a:ext cx="737" cy="477"/>
                                </a:xfrm>
                                <a:prstGeom prst="rect">
                                  <a:avLst/>
                                </a:prstGeom>
                                <a:noFill/>
                                <a:ln>
                                  <a:noFill/>
                                </a:ln>
                              </wps:spPr>
                              <wps:txbx>
                                <w:txbxContent>
                                  <w:p>
                                    <w:pPr>
                                      <w:rPr>
                                        <w:rFonts w:hint="default" w:eastAsia="宋体"/>
                                        <w:lang w:val="en-US" w:eastAsia="zh-CN"/>
                                      </w:rPr>
                                    </w:pPr>
                                    <w:r>
                                      <w:rPr>
                                        <w:rFonts w:hint="eastAsia"/>
                                        <w:lang w:val="en-US" w:eastAsia="zh-CN"/>
                                      </w:rPr>
                                      <w:t>28</w:t>
                                    </w:r>
                                  </w:p>
                                </w:txbxContent>
                              </wps:txbx>
                              <wps:bodyPr vert="horz" anchor="t" anchorCtr="0" upright="1"/>
                            </wps:wsp>
                            <wps:wsp>
                              <wps:cNvPr id="34" name="文本框 87"/>
                              <wps:cNvSpPr txBox="1"/>
                              <wps:spPr>
                                <a:xfrm>
                                  <a:off x="5705" y="399334"/>
                                  <a:ext cx="1274"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default" w:eastAsia="宋体"/>
                                        <w:sz w:val="21"/>
                                        <w:szCs w:val="21"/>
                                        <w:lang w:val="en-US" w:eastAsia="zh-CN"/>
                                      </w:rPr>
                                    </w:pPr>
                                    <w:r>
                                      <w:rPr>
                                        <w:rFonts w:hint="eastAsia"/>
                                        <w:sz w:val="21"/>
                                        <w:szCs w:val="21"/>
                                        <w:lang w:val="en-US" w:eastAsia="zh-CN"/>
                                      </w:rPr>
                                      <w:t>去离子水</w:t>
                                    </w:r>
                                  </w:p>
                                </w:txbxContent>
                              </wps:txbx>
                              <wps:bodyPr vert="horz" anchor="t" anchorCtr="0" upright="1"/>
                            </wps:wsp>
                          </wpg:wgp>
                        </a:graphicData>
                      </a:graphic>
                    </wp:anchor>
                  </w:drawing>
                </mc:Choice>
                <mc:Fallback>
                  <w:pict>
                    <v:group id="组合 4" o:spid="_x0000_s1026" o:spt="203" style="position:absolute;left:0pt;margin-left:13.75pt;margin-top:0.2pt;height:144.3pt;width:382.65pt;z-index:251676672;mso-width-relative:page;mso-height-relative:page;" coordorigin="5311,396907" coordsize="7653,2886" o:gfxdata="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">
                      <o:lock v:ext="edit" aspectratio="f"/>
                      <v:shape id="文本框 121" o:spid="_x0000_s1026" o:spt="202" type="#_x0000_t202" style="position:absolute;left:9781;top:398945;height:477;width:782;" filled="f" stroked="f" coordsize="21600,21600" o:gfxdata="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avkMugAAANo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default" w:eastAsia="宋体"/>
                                  <w:lang w:val="en-US" w:eastAsia="zh-CN"/>
                                </w:rPr>
                              </w:pPr>
                              <w:r>
                                <w:rPr>
                                  <w:rFonts w:hint="eastAsia"/>
                                  <w:lang w:val="en-US" w:eastAsia="zh-CN"/>
                                </w:rPr>
                                <w:t>5.75</w:t>
                              </w:r>
                            </w:p>
                          </w:txbxContent>
                        </v:textbox>
                      </v:shape>
                      <v:shape id="文本框 50" o:spid="_x0000_s1026" o:spt="202" type="#_x0000_t202" style="position:absolute;left:7758;top:397383;height:436;width:1651;" fillcolor="#FFFFFF" filled="t" stroked="t" coordsize="21600,21600" o:gfxdata="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oX48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职工生活用水</w:t>
                              </w:r>
                            </w:p>
                          </w:txbxContent>
                        </v:textbox>
                      </v:shape>
                      <v:shape id="文本框 49" o:spid="_x0000_s1026" o:spt="202" type="#_x0000_t202" style="position:absolute;left:11722;top:397448;height:956;width:1242;" fillcolor="#FFFFFF" filled="t" stroked="t" coordsize="21600,21600" o:gfxdata="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Tf2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排入长子县城东污水处理厂</w:t>
                              </w:r>
                            </w:p>
                          </w:txbxContent>
                        </v:textbox>
                      </v:shape>
                      <v:line id="直线 77" o:spid="_x0000_s1026" o:spt="20" style="position:absolute;left:5446;top:397581;flip:y;height:5;width:614;" filled="f" stroked="t" coordsize="21600,21600" o:gfxdata="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wSD9LsAAADb&#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67" o:spid="_x0000_s1026" o:spt="202" type="#_x0000_t202" style="position:absolute;left:6044;top:397372;height:435;width:1044;" fillcolor="#FFFFFF" filled="t" stroked="t" coordsize="21600,21600" o:gfxdata="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2uQ1ugAAANsA&#10;AAAPAAAAAAAAAAEAIAAAACIAAABkcnMvZG93bnJldi54bWxQSwECFAAUAAAACACHTuJAMy8FnjsA&#10;AAA5AAAAEAAAAAAAAAABACAAAAAJAQAAZHJzL3NoYXBleG1sLnhtbFBLBQYAAAAABgAGAFsBAACz&#10;AwAAAAA=&#10;">
                        <v:fill on="t" focussize="0,0"/>
                        <v:stroke color="#000000" joinstyle="miter"/>
                        <v:imagedata o:title=""/>
                        <o:lock v:ext="edit" aspectratio="f"/>
                        <v:textbox>
                          <w:txbxContent>
                            <w:p>
                              <w:pPr>
                                <w:rPr>
                                  <w:rFonts w:hint="eastAsia" w:eastAsia="宋体"/>
                                  <w:lang w:val="en-US" w:eastAsia="zh-CN"/>
                                </w:rPr>
                              </w:pPr>
                              <w:r>
                                <w:rPr>
                                  <w:rFonts w:hint="eastAsia"/>
                                  <w:sz w:val="21"/>
                                  <w:szCs w:val="21"/>
                                  <w:lang w:val="en-US" w:eastAsia="zh-CN"/>
                                </w:rPr>
                                <w:t>新鲜水</w:t>
                              </w:r>
                            </w:p>
                          </w:txbxContent>
                        </v:textbox>
                      </v:shape>
                      <v:line id="直线 52" o:spid="_x0000_s1026" o:spt="20" style="position:absolute;left:7089;top:397587;flip:y;height:1;width:660;" filled="f" stroked="t" coordsize="21600,21600" o:gfxdata="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gcPW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shape id="文本框 68" o:spid="_x0000_s1026" o:spt="202" type="#_x0000_t202" style="position:absolute;left:5311;top:397191;height:477;width:1046;" filled="f" stroked="f" coordsize="21600,21600" o:gfxdata="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yIgPW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lang w:val="en-US" w:eastAsia="zh-CN"/>
                                </w:rPr>
                              </w:pPr>
                              <w:r>
                                <w:rPr>
                                  <w:rFonts w:hint="eastAsia"/>
                                  <w:lang w:val="en-US" w:eastAsia="zh-CN"/>
                                </w:rPr>
                                <w:t>1288</w:t>
                              </w:r>
                            </w:p>
                          </w:txbxContent>
                        </v:textbox>
                      </v:shape>
                      <v:shape id="文本框 87" o:spid="_x0000_s1026" o:spt="202" type="#_x0000_t202" style="position:absolute;left:7750;top:399347;height:436;width:791;" fillcolor="#FFFFFF" filled="t" stroked="t" coordsize="21600,21600" o:gfxdata="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TN8Qb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w:txbxContent>
                            <w:p>
                              <w:pPr>
                                <w:rPr>
                                  <w:rFonts w:hint="default" w:eastAsia="宋体"/>
                                  <w:sz w:val="21"/>
                                  <w:szCs w:val="21"/>
                                  <w:lang w:val="en-US" w:eastAsia="zh-CN"/>
                                </w:rPr>
                              </w:pPr>
                              <w:r>
                                <w:rPr>
                                  <w:rFonts w:hint="eastAsia" w:eastAsia="宋体"/>
                                  <w:sz w:val="21"/>
                                  <w:szCs w:val="21"/>
                                  <w:lang w:val="en-US" w:eastAsia="zh-CN"/>
                                </w:rPr>
                                <w:t>调漆</w:t>
                              </w:r>
                            </w:p>
                          </w:txbxContent>
                        </v:textbox>
                      </v:shape>
                      <v:shape id="文本框 82" o:spid="_x0000_s1026" o:spt="202" type="#_x0000_t202" style="position:absolute;left:7048;top:399140;height:477;width:737;" filled="f" stroked="f" coordsize="21600,21600" o:gfxdata="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MWuxm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lang w:val="en-US" w:eastAsia="zh-CN"/>
                                </w:rPr>
                              </w:pPr>
                              <w:r>
                                <w:rPr>
                                  <w:rFonts w:hint="eastAsia"/>
                                  <w:lang w:val="en-US" w:eastAsia="zh-CN"/>
                                </w:rPr>
                                <w:t>5.75</w:t>
                              </w:r>
                            </w:p>
                          </w:txbxContent>
                        </v:textbox>
                      </v:shape>
                      <v:line id="直线 51" o:spid="_x0000_s1026" o:spt="20" style="position:absolute;left:9422;top:397569;flip:y;height:7;width:726;" filled="f" stroked="t" coordsize="21600,21600" o:gfxdata="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ob4bugAAANs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line>
                      <v:line id="直线 86" o:spid="_x0000_s1026" o:spt="20" style="position:absolute;left:8566;top:399575;height:1;width:384;" filled="f" stroked="t" coordsize="21600,21600" o:gfxdata="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PnBAr4A&#10;AADbAAAADwAAAAAAAAABACAAAAAiAAAAZHJzL2Rvd25yZXYueG1sUEsBAhQAFAAAAAgAh07iQDMv&#10;BZ47AAAAOQAAABAAAAAAAAAAAQAgAAAADQEAAGRycy9zaGFwZXhtbC54bWxQSwUGAAAAAAYABgBb&#10;AQAAtwMAAAAA&#10;">
                        <v:fill on="f" focussize="0,0"/>
                        <v:stroke color="#000000" joinstyle="round" endarrow="open"/>
                        <v:imagedata o:title=""/>
                        <o:lock v:ext="edit" aspectratio="f"/>
                      </v:line>
                      <v:shape id="文本框 85" o:spid="_x0000_s1026" o:spt="202" type="#_x0000_t202" style="position:absolute;left:8940;top:399357;height:436;width:1400;" fillcolor="#FFFFFF" filled="t" stroked="t" coordsize="21600,21600" o:gfxdata="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dk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pPr>
                                <w:rPr>
                                  <w:rFonts w:hint="default" w:eastAsia="宋体"/>
                                  <w:lang w:val="en-US" w:eastAsia="zh-CN"/>
                                </w:rPr>
                              </w:pPr>
                              <w:r>
                                <w:rPr>
                                  <w:rFonts w:hint="eastAsia"/>
                                  <w:sz w:val="21"/>
                                  <w:szCs w:val="21"/>
                                  <w:lang w:val="en-US" w:eastAsia="zh-CN"/>
                                </w:rPr>
                                <w:t>喷漆、烤漆</w:t>
                              </w:r>
                            </w:p>
                          </w:txbxContent>
                        </v:textbox>
                      </v:shape>
                      <v:shape id="文本框 97" o:spid="_x0000_s1026" o:spt="202" type="#_x0000_t202" style="position:absolute;left:9324;top:397215;height:477;width:897;" filled="f" stroked="f" coordsize="21600,21600" o:gfxdata="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fTEu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lang w:val="en-US" w:eastAsia="zh-CN"/>
                                </w:rPr>
                              </w:pPr>
                              <w:r>
                                <w:rPr>
                                  <w:rFonts w:hint="eastAsia"/>
                                  <w:lang w:val="en-US" w:eastAsia="zh-CN"/>
                                </w:rPr>
                                <w:t>907.2</w:t>
                              </w:r>
                            </w:p>
                          </w:txbxContent>
                        </v:textbox>
                      </v:shape>
                      <v:shape id="自选图形 3" o:spid="_x0000_s1026" o:spt="38" type="#_x0000_t38" style="position:absolute;left:8492;top:397152;flip:y;height:221;width:273;" filled="f" stroked="t" coordsize="21600,21600" o:gfxdata="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JCIb4A&#10;AADbAAAADwAAAAAAAAABACAAAAAiAAAAZHJzL2Rvd25yZXYueG1sUEsBAhQAFAAAAAgAh07iQDMv&#10;BZ47AAAAOQAAABAAAAAAAAAAAQAgAAAADQEAAGRycy9zaGFwZXhtbC54bWxQSwUGAAAAAAYABgBb&#10;AQAAtwMAAAAA&#10;" adj="10840">
                        <v:fill on="f" focussize="0,0"/>
                        <v:stroke color="#000000" joinstyle="round" dashstyle="1 1" endcap="square" endarrow="block"/>
                        <v:imagedata o:title=""/>
                        <o:lock v:ext="edit" aspectratio="f"/>
                      </v:shape>
                      <v:shape id="自选图形 90" o:spid="_x0000_s1026" o:spt="38" type="#_x0000_t38" style="position:absolute;left:9492;top:399184;flip:y;height:166;width:289;" filled="f" stroked="t" coordsize="21600,21600" o:gfxdata="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vXK68AAAA&#10;2wAAAA8AAAAAAAAAAQAgAAAAIgAAAGRycy9kb3ducmV2LnhtbFBLAQIUABQAAAAIAIdO4kAzLwWe&#10;OwAAADkAAAAQAAAAAAAAAAEAIAAAAAsBAABkcnMvc2hhcGV4bWwueG1sUEsFBgAAAAAGAAYAWwEA&#10;ALUDAAAAAA==&#10;" adj="10837">
                        <v:fill on="f" focussize="0,0"/>
                        <v:stroke color="#000000" joinstyle="round" dashstyle="1 1" endcap="square" endarrow="block"/>
                        <v:imagedata o:title=""/>
                        <o:lock v:ext="edit" aspectratio="f"/>
                      </v:shape>
                      <v:line id="直线 832" o:spid="_x0000_s1026" o:spt="20" style="position:absolute;left:6964;top:399535;flip:y;height:12;width:775;" filled="f" stroked="t" coordsize="21600,21600" o:gfxdata="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2m77sAAADc&#10;AAAADwAAAAAAAAABACAAAAAiAAAAZHJzL2Rvd25yZXYueG1sUEsBAhQAFAAAAAgAh07iQDMvBZ47&#10;AAAAOQAAABAAAAAAAAAAAQAgAAAACgEAAGRycy9zaGFwZXhtbC54bWxQSwUGAAAAAAYABgBbAQAA&#10;tAMAAAAA&#10;">
                        <v:fill on="f" focussize="0,0"/>
                        <v:stroke color="#000000" joinstyle="round" endarrow="open"/>
                        <v:imagedata o:title=""/>
                        <o:lock v:ext="edit" aspectratio="f"/>
                      </v:line>
                      <v:shape id="文本框 833" o:spid="_x0000_s1026" o:spt="202" type="#_x0000_t202" style="position:absolute;left:8638;top:396907;height:477;width:897;" filled="f" stroked="f" coordsize="21600,21600" o:gfxdata="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asXM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default" w:eastAsia="宋体"/>
                                  <w:lang w:val="en-US" w:eastAsia="zh-CN"/>
                                </w:rPr>
                              </w:pPr>
                              <w:r>
                                <w:rPr>
                                  <w:rFonts w:hint="eastAsia"/>
                                  <w:lang w:val="en-US" w:eastAsia="zh-CN"/>
                                </w:rPr>
                                <w:t>100.8</w:t>
                              </w:r>
                            </w:p>
                          </w:txbxContent>
                        </v:textbox>
                      </v:shape>
                      <v:shape id="文本框 67" o:spid="_x0000_s1026" o:spt="202" type="#_x0000_t202" style="position:absolute;left:10146;top:397362;height:435;width:1044;" fillcolor="#FFFFFF" filled="t" stroked="t" coordsize="21600,21600" o:gfxdata="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ef4r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lang w:val="en-US" w:eastAsia="zh-CN"/>
                                </w:rPr>
                              </w:pPr>
                              <w:r>
                                <w:rPr>
                                  <w:rFonts w:hint="eastAsia"/>
                                  <w:sz w:val="21"/>
                                  <w:szCs w:val="21"/>
                                  <w:lang w:val="en-US" w:eastAsia="zh-CN"/>
                                </w:rPr>
                                <w:t>化粪池</w:t>
                              </w:r>
                            </w:p>
                          </w:txbxContent>
                        </v:textbox>
                      </v:shape>
                      <v:shape id="文本框 67" o:spid="_x0000_s1026" o:spt="202" type="#_x0000_t202" style="position:absolute;left:7998;top:398390;height:435;width:1044;" fillcolor="#FFFFFF" filled="t" stroked="t" coordsize="21600,21600" o:gfxdata="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OenG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lang w:val="en-US" w:eastAsia="zh-CN"/>
                                </w:rPr>
                              </w:pPr>
                              <w:r>
                                <w:rPr>
                                  <w:rFonts w:hint="eastAsia"/>
                                  <w:sz w:val="21"/>
                                  <w:szCs w:val="21"/>
                                  <w:lang w:val="en-US" w:eastAsia="zh-CN"/>
                                </w:rPr>
                                <w:t>隔油池</w:t>
                              </w:r>
                            </w:p>
                          </w:txbxContent>
                        </v:textbox>
                      </v:shape>
                      <v:shape id="文本框 67" o:spid="_x0000_s1026" o:spt="202" type="#_x0000_t202" style="position:absolute;left:5967;top:398393;height:435;width:1193;" fillcolor="#FFFFFF" filled="t" stroked="t" coordsize="21600,21600" o:gfxdata="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t3sb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pPr>
                                <w:rPr>
                                  <w:rFonts w:hint="default" w:eastAsia="宋体"/>
                                  <w:lang w:val="en-US" w:eastAsia="zh-CN"/>
                                </w:rPr>
                              </w:pPr>
                              <w:r>
                                <w:rPr>
                                  <w:rFonts w:hint="eastAsia"/>
                                  <w:sz w:val="21"/>
                                  <w:szCs w:val="21"/>
                                  <w:lang w:val="en-US" w:eastAsia="zh-CN"/>
                                </w:rPr>
                                <w:t>食堂用水</w:t>
                              </w:r>
                            </w:p>
                          </w:txbxContent>
                        </v:textbox>
                      </v:shape>
                      <v:shape id="直接箭头连接符 111" o:spid="_x0000_s1026" o:spt="32" type="#_x0000_t32" style="position:absolute;left:6564;top:397807;flip:x;height:586;width:2;" filled="f" stroked="t" coordsize="21600,21600" o:gfxdata="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pwuq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肘形连接符 113" o:spid="_x0000_s1026" o:spt="34" type="#_x0000_t34" style="position:absolute;left:11190;top:397580;height:346;width:532;" filled="f" stroked="t" coordsize="21600,21600" o:gfxdata="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QEPS8AAAA&#10;3AAAAA8AAAAAAAAAAQAgAAAAIgAAAGRycy9kb3ducmV2LnhtbFBLAQIUABQAAAAIAIdO4kAzLwWe&#10;OwAAADkAAAAQAAAAAAAAAAEAIAAAAAsBAABkcnMvc2hhcGV4bWwueG1sUEsFBgAAAAAGAAYAWwEA&#10;ALUDAAAAAA==&#10;" adj="10800">
                        <v:fill on="f" focussize="0,0"/>
                        <v:stroke color="#000000" joinstyle="round" endarrow="open"/>
                        <v:imagedata o:title=""/>
                        <o:lock v:ext="edit" aspectratio="f"/>
                      </v:shape>
                      <v:shape id="肘形连接符 114" o:spid="_x0000_s1026" o:spt="33" type="#_x0000_t33" style="position:absolute;left:9042;top:397797;flip:y;height:811;width:1626;" filled="f" stroked="t" coordsize="21600,21600" o:gfxdata="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XAT3ugAAANwA&#10;AAAPAAAAAAAAAAEAIAAAACIAAABkcnMvZG93bnJldi54bWxQSwECFAAUAAAACACHTuJAMy8FnjsA&#10;AAA5AAAAEAAAAAAAAAABACAAAAAJAQAAZHJzL3NoYXBleG1sLnhtbFBLBQYAAAAABgAGAFsBAACz&#10;AwAAAAA=&#10;">
                        <v:fill on="f" focussize="0,0"/>
                        <v:stroke color="#000000" joinstyle="round" endarrow="open"/>
                        <v:imagedata o:title=""/>
                        <o:lock v:ext="edit" aspectratio="f"/>
                      </v:shape>
                      <v:shape id="直接箭头连接符 115" o:spid="_x0000_s1026" o:spt="32" type="#_x0000_t32" style="position:absolute;left:7160;top:398608;flip:y;height:3;width:838;" filled="f" stroked="t" coordsize="21600,21600" o:gfxdata="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SxOm8AAAA&#10;3A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shape>
                      <v:shape id="文本框 82" o:spid="_x0000_s1026" o:spt="202" type="#_x0000_t202" style="position:absolute;left:5926;top:397818;height:477;width:737;" filled="f" stroked="f" coordsize="21600,21600" o:gfxdata="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3KzX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default" w:eastAsia="宋体"/>
                                  <w:lang w:val="en-US" w:eastAsia="zh-CN"/>
                                </w:rPr>
                              </w:pPr>
                              <w:r>
                                <w:rPr>
                                  <w:rFonts w:hint="eastAsia"/>
                                  <w:lang w:val="en-US" w:eastAsia="zh-CN"/>
                                </w:rPr>
                                <w:t>280</w:t>
                              </w:r>
                            </w:p>
                          </w:txbxContent>
                        </v:textbox>
                      </v:shape>
                      <v:shape id="文本框 82" o:spid="_x0000_s1026" o:spt="202" type="#_x0000_t202" style="position:absolute;left:7191;top:398271;height:477;width:737;" filled="f" stroked="f" coordsize="21600,21600" o:gfxdata="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A+Fs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rPr>
                                  <w:rFonts w:hint="default" w:eastAsia="宋体"/>
                                  <w:lang w:val="en-US" w:eastAsia="zh-CN"/>
                                </w:rPr>
                              </w:pPr>
                              <w:r>
                                <w:rPr>
                                  <w:rFonts w:hint="eastAsia"/>
                                  <w:lang w:val="en-US" w:eastAsia="zh-CN"/>
                                </w:rPr>
                                <w:t>252</w:t>
                              </w:r>
                            </w:p>
                          </w:txbxContent>
                        </v:textbox>
                      </v:shape>
                      <v:shape id="自选图形 3" o:spid="_x0000_s1026" o:spt="38" type="#_x0000_t38" style="position:absolute;left:6745;top:398155;flip:y;height:221;width:273;" filled="f" stroked="t" coordsize="21600,21600" o:gfxdata="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Cykq/&#10;AAAA3AAAAA8AAAAAAAAAAQAgAAAAIgAAAGRycy9kb3ducmV2LnhtbFBLAQIUABQAAAAIAIdO4kAz&#10;LwWeOwAAADkAAAAQAAAAAAAAAAEAIAAAAA4BAABkcnMvc2hhcGV4bWwueG1sUEsFBgAAAAAGAAYA&#10;WwEAALgDAAAAAA==&#10;" adj="10840">
                        <v:fill on="f" focussize="0,0"/>
                        <v:stroke color="#000000" joinstyle="round" dashstyle="1 1" endcap="square" endarrow="block"/>
                        <v:imagedata o:title=""/>
                        <o:lock v:ext="edit" aspectratio="f"/>
                      </v:shape>
                      <v:shape id="文本框 82" o:spid="_x0000_s1026" o:spt="202" type="#_x0000_t202" style="position:absolute;left:6893;top:397920;height:477;width:737;" filled="f" stroked="f" coordsize="21600,21600" o:gfxdata="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7tJy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default" w:eastAsia="宋体"/>
                                  <w:lang w:val="en-US" w:eastAsia="zh-CN"/>
                                </w:rPr>
                              </w:pPr>
                              <w:r>
                                <w:rPr>
                                  <w:rFonts w:hint="eastAsia"/>
                                  <w:lang w:val="en-US" w:eastAsia="zh-CN"/>
                                </w:rPr>
                                <w:t>28</w:t>
                              </w:r>
                            </w:p>
                          </w:txbxContent>
                        </v:textbox>
                      </v:shape>
                      <v:shape id="文本框 87" o:spid="_x0000_s1026" o:spt="202" type="#_x0000_t202" style="position:absolute;left:5705;top:399334;height:436;width:1274;" fillcolor="#FFFFFF" filled="t" stroked="t" coordsize="21600,21600" o:gfxdata="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SUnW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default" w:eastAsia="宋体"/>
                                  <w:sz w:val="21"/>
                                  <w:szCs w:val="21"/>
                                  <w:lang w:val="en-US" w:eastAsia="zh-CN"/>
                                </w:rPr>
                              </w:pPr>
                              <w:r>
                                <w:rPr>
                                  <w:rFonts w:hint="eastAsia"/>
                                  <w:sz w:val="21"/>
                                  <w:szCs w:val="21"/>
                                  <w:lang w:val="en-US" w:eastAsia="zh-CN"/>
                                </w:rPr>
                                <w:t>去离子水</w:t>
                              </w:r>
                            </w:p>
                          </w:txbxContent>
                        </v:textbox>
                      </v:shape>
                    </v:group>
                  </w:pict>
                </mc:Fallback>
              </mc:AlternateContent>
            </w:r>
          </w:p>
          <w:p>
            <w:pPr>
              <w:pStyle w:val="9"/>
              <w:keepNext w:val="0"/>
              <w:keepLines w:val="0"/>
              <w:pageBreakBefore w:val="0"/>
              <w:widowControl/>
              <w:kinsoku/>
              <w:wordWrap/>
              <w:overflowPunct/>
              <w:topLinePunct w:val="0"/>
              <w:autoSpaceDE/>
              <w:autoSpaceDN/>
              <w:bidi w:val="0"/>
              <w:adjustRightInd/>
              <w:snapToGrid/>
              <w:spacing w:line="240" w:lineRule="exact"/>
              <w:ind w:firstLine="0"/>
              <w:jc w:val="both"/>
              <w:textAlignment w:val="baseline"/>
              <w:rPr>
                <w:rFonts w:hint="eastAsia" w:ascii="Times New Roman" w:hAnsi="Times New Roman" w:eastAsia="宋体" w:cs="Times New Roman"/>
                <w:b/>
                <w:color w:val="000000"/>
                <w:sz w:val="24"/>
                <w:szCs w:val="24"/>
                <w:highlight w:val="none"/>
                <w:lang w:val="en-US" w:eastAsia="zh-CN"/>
              </w:rPr>
            </w:pPr>
          </w:p>
          <w:p>
            <w:pPr>
              <w:pStyle w:val="2"/>
              <w:keepNext w:val="0"/>
              <w:keepLines w:val="0"/>
              <w:pageBreakBefore w:val="0"/>
              <w:kinsoku/>
              <w:wordWrap/>
              <w:overflowPunct/>
              <w:topLinePunct w:val="0"/>
              <w:bidi w:val="0"/>
              <w:snapToGrid/>
              <w:spacing w:line="240" w:lineRule="exact"/>
              <w:rPr>
                <w:rFonts w:hint="default" w:ascii="Times New Roman" w:hAnsi="Times New Roman" w:cs="Times New Roman"/>
                <w:color w:val="000000"/>
                <w:highlight w:val="none"/>
              </w:rPr>
            </w:pPr>
          </w:p>
          <w:p>
            <w:pPr>
              <w:pStyle w:val="2"/>
              <w:rPr>
                <w:rFonts w:hint="default" w:ascii="Times New Roman" w:hAnsi="Times New Roman" w:cs="Times New Roman"/>
                <w:color w:val="000000"/>
                <w:highlight w:val="none"/>
              </w:rPr>
            </w:pPr>
          </w:p>
          <w:p>
            <w:pPr>
              <w:pStyle w:val="2"/>
              <w:rPr>
                <w:rFonts w:hint="eastAsia" w:ascii="Times New Roman" w:hAnsi="Times New Roman" w:cs="Times New Roman"/>
                <w:color w:val="000000"/>
                <w:highlight w:val="none"/>
                <w:lang w:val="en-US" w:eastAsia="zh-CN"/>
              </w:rPr>
            </w:pPr>
          </w:p>
          <w:p>
            <w:pPr>
              <w:pStyle w:val="2"/>
              <w:rPr>
                <w:rFonts w:hint="eastAsia" w:ascii="Times New Roman" w:hAnsi="Times New Roman" w:cs="Times New Roman"/>
                <w:color w:val="000000"/>
                <w:highlight w:val="none"/>
                <w:lang w:val="en-US" w:eastAsia="zh-CN"/>
              </w:rPr>
            </w:pPr>
          </w:p>
          <w:p>
            <w:pPr>
              <w:pStyle w:val="2"/>
              <w:rPr>
                <w:rFonts w:hint="eastAsia" w:ascii="Times New Roman" w:hAnsi="Times New Roman" w:cs="Times New Roman"/>
                <w:color w:val="000000"/>
                <w:highlight w:val="none"/>
                <w:lang w:val="en-US" w:eastAsia="zh-CN"/>
              </w:rPr>
            </w:pPr>
          </w:p>
          <w:p>
            <w:pPr>
              <w:pStyle w:val="2"/>
              <w:rPr>
                <w:rFonts w:hint="default" w:ascii="Times New Roman" w:hAnsi="Times New Roman" w:cs="Times New Roman"/>
                <w:color w:val="000000"/>
                <w:highlight w:val="none"/>
              </w:rPr>
            </w:pPr>
          </w:p>
          <w:p>
            <w:pPr>
              <w:widowControl/>
              <w:autoSpaceDE w:val="0"/>
              <w:autoSpaceDN w:val="0"/>
              <w:adjustRightInd w:val="0"/>
              <w:spacing w:line="360" w:lineRule="auto"/>
              <w:textAlignment w:val="baseline"/>
              <w:rPr>
                <w:rFonts w:hint="default" w:ascii="Times New Roman" w:hAnsi="Times New Roman" w:cs="Times New Roman"/>
                <w:b/>
                <w:color w:val="000000"/>
                <w:szCs w:val="21"/>
                <w:highlight w:val="none"/>
              </w:rPr>
            </w:pPr>
          </w:p>
          <w:p>
            <w:pPr>
              <w:widowControl/>
              <w:autoSpaceDE w:val="0"/>
              <w:autoSpaceDN w:val="0"/>
              <w:adjustRightInd w:val="0"/>
              <w:spacing w:line="360" w:lineRule="auto"/>
              <w:jc w:val="both"/>
              <w:textAlignment w:val="baseline"/>
              <w:rPr>
                <w:b/>
                <w:color w:val="000000"/>
              </w:rPr>
            </w:pPr>
          </w:p>
          <w:p>
            <w:pPr>
              <w:pStyle w:val="9"/>
              <w:widowControl/>
              <w:spacing w:line="480" w:lineRule="exact"/>
              <w:ind w:firstLine="0"/>
              <w:jc w:val="center"/>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图</w:t>
            </w:r>
            <w:r>
              <w:rPr>
                <w:rFonts w:hint="eastAsia" w:ascii="Times New Roman" w:hAnsi="Times New Roman" w:cs="Times New Roman"/>
                <w:b/>
                <w:color w:val="000000"/>
                <w:sz w:val="24"/>
                <w:szCs w:val="24"/>
              </w:rPr>
              <w:t>2</w:t>
            </w:r>
            <w:r>
              <w:rPr>
                <w:rFonts w:ascii="Times New Roman" w:hAnsi="Times New Roman" w:cs="Times New Roman"/>
                <w:b/>
                <w:color w:val="000000"/>
                <w:sz w:val="24"/>
                <w:szCs w:val="24"/>
              </w:rPr>
              <w:t>-</w:t>
            </w:r>
            <w:r>
              <w:rPr>
                <w:rFonts w:hint="eastAsia" w:ascii="Times New Roman" w:hAnsi="Times New Roman" w:cs="Times New Roman"/>
                <w:b/>
                <w:color w:val="000000"/>
                <w:sz w:val="24"/>
                <w:szCs w:val="24"/>
              </w:rPr>
              <w:t>1</w:t>
            </w:r>
            <w:r>
              <w:rPr>
                <w:rFonts w:ascii="Times New Roman" w:hAnsi="Times New Roman" w:cs="Times New Roman"/>
                <w:b/>
                <w:color w:val="000000"/>
                <w:sz w:val="24"/>
                <w:szCs w:val="24"/>
              </w:rPr>
              <w:t xml:space="preserve">  本项目水平衡图（单位：m</w:t>
            </w:r>
            <w:r>
              <w:rPr>
                <w:rFonts w:ascii="Times New Roman" w:hAnsi="Times New Roman" w:cs="Times New Roman"/>
                <w:b/>
                <w:color w:val="000000"/>
                <w:sz w:val="24"/>
                <w:szCs w:val="24"/>
                <w:vertAlign w:val="superscript"/>
              </w:rPr>
              <w:t>3</w:t>
            </w:r>
            <w:r>
              <w:rPr>
                <w:rFonts w:ascii="Times New Roman" w:hAnsi="Times New Roman" w:cs="Times New Roman"/>
                <w:b/>
                <w:color w:val="000000"/>
                <w:sz w:val="24"/>
                <w:szCs w:val="24"/>
              </w:rPr>
              <w:t>/</w:t>
            </w:r>
            <w:r>
              <w:rPr>
                <w:rFonts w:hint="eastAsia" w:ascii="Times New Roman" w:hAnsi="Times New Roman" w:cs="Times New Roman"/>
                <w:b/>
                <w:color w:val="000000"/>
                <w:sz w:val="24"/>
                <w:szCs w:val="24"/>
              </w:rPr>
              <w:t>a）</w:t>
            </w:r>
          </w:p>
          <w:p>
            <w:pPr>
              <w:widowControl/>
              <w:spacing w:line="480" w:lineRule="exact"/>
              <w:ind w:firstLine="480" w:firstLineChars="200"/>
              <w:jc w:val="left"/>
              <w:textAlignment w:val="baseline"/>
              <w:outlineLvl w:val="0"/>
              <w:rPr>
                <w:color w:val="000000"/>
              </w:rPr>
            </w:pPr>
            <w:r>
              <w:rPr>
                <w:color w:val="000000"/>
              </w:rPr>
              <w:t>3、供电</w:t>
            </w:r>
          </w:p>
          <w:p>
            <w:pPr>
              <w:widowControl/>
              <w:spacing w:line="480" w:lineRule="exact"/>
              <w:ind w:firstLine="480" w:firstLineChars="200"/>
              <w:jc w:val="left"/>
              <w:textAlignment w:val="baseline"/>
              <w:outlineLvl w:val="0"/>
              <w:rPr>
                <w:color w:val="000000"/>
              </w:rPr>
            </w:pPr>
            <w:r>
              <w:rPr>
                <w:rFonts w:hint="eastAsia"/>
                <w:color w:val="000000"/>
              </w:rPr>
              <w:t>本项目拟设1台500</w:t>
            </w:r>
            <w:r>
              <w:rPr>
                <w:color w:val="000000"/>
              </w:rPr>
              <w:t>KVA</w:t>
            </w:r>
            <w:r>
              <w:rPr>
                <w:rFonts w:hint="eastAsia"/>
                <w:color w:val="000000"/>
              </w:rPr>
              <w:t>的变压器。</w:t>
            </w:r>
          </w:p>
          <w:p>
            <w:pPr>
              <w:widowControl/>
              <w:spacing w:line="480" w:lineRule="exact"/>
              <w:ind w:firstLine="480" w:firstLineChars="200"/>
              <w:jc w:val="left"/>
              <w:textAlignment w:val="baseline"/>
              <w:outlineLvl w:val="0"/>
              <w:rPr>
                <w:color w:val="000000"/>
              </w:rPr>
            </w:pPr>
            <w:r>
              <w:rPr>
                <w:color w:val="000000"/>
              </w:rPr>
              <w:t>4、供热</w:t>
            </w:r>
          </w:p>
          <w:p>
            <w:pPr>
              <w:widowControl/>
              <w:spacing w:line="480" w:lineRule="exact"/>
              <w:ind w:firstLine="480" w:firstLineChars="200"/>
              <w:jc w:val="left"/>
              <w:textAlignment w:val="baseline"/>
              <w:outlineLvl w:val="0"/>
              <w:rPr>
                <w:color w:val="000000" w:themeColor="text1"/>
              </w:rPr>
            </w:pPr>
            <w:r>
              <w:rPr>
                <w:rFonts w:hint="eastAsia"/>
                <w:color w:val="000000"/>
              </w:rPr>
              <w:t>本项目</w:t>
            </w:r>
            <w:r>
              <w:rPr>
                <w:rFonts w:hint="eastAsia"/>
                <w:color w:val="000000" w:themeColor="text1"/>
              </w:rPr>
              <w:t>车间不供暖，办公区采用集中供暖。</w:t>
            </w:r>
          </w:p>
          <w:p>
            <w:pPr>
              <w:widowControl/>
              <w:spacing w:line="480" w:lineRule="exact"/>
              <w:jc w:val="left"/>
              <w:textAlignment w:val="baseline"/>
              <w:outlineLvl w:val="0"/>
              <w:rPr>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49" w:hRule="atLeast"/>
          <w:jc w:val="center"/>
        </w:trPr>
        <w:tc>
          <w:tcPr>
            <w:tcW w:w="823" w:type="dxa"/>
            <w:vAlign w:val="center"/>
          </w:tcPr>
          <w:p>
            <w:pPr>
              <w:pStyle w:val="27"/>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color w:val="000000"/>
                <w:sz w:val="21"/>
                <w:szCs w:val="21"/>
              </w:rPr>
              <w:t>工艺流程和产排污环节</w:t>
            </w:r>
          </w:p>
        </w:tc>
        <w:tc>
          <w:tcPr>
            <w:tcW w:w="8161" w:type="dxa"/>
          </w:tcPr>
          <w:p>
            <w:pPr>
              <w:adjustRightInd w:val="0"/>
              <w:snapToGrid w:val="0"/>
              <w:spacing w:line="480" w:lineRule="exact"/>
              <w:rPr>
                <w:bCs/>
                <w:color w:val="000000"/>
                <w:szCs w:val="21"/>
              </w:rPr>
            </w:pPr>
            <w:r>
              <w:rPr>
                <w:bCs/>
                <w:color w:val="000000"/>
                <w:szCs w:val="21"/>
              </w:rPr>
              <w:t>一、生产工艺流程</w:t>
            </w:r>
          </w:p>
          <w:p>
            <w:pPr>
              <w:adjustRightInd w:val="0"/>
              <w:snapToGrid w:val="0"/>
              <w:spacing w:line="480" w:lineRule="exact"/>
              <w:ind w:firstLine="560" w:firstLineChars="200"/>
              <w:rPr>
                <w:bCs/>
                <w:color w:val="000000"/>
                <w:szCs w:val="21"/>
              </w:rPr>
            </w:pPr>
            <w:r>
              <w:rPr>
                <w:sz w:val="28"/>
                <w:szCs w:val="28"/>
              </w:rPr>
              <w:drawing>
                <wp:anchor distT="0" distB="0" distL="114300" distR="114300" simplePos="0" relativeHeight="251659264" behindDoc="0" locked="0" layoutInCell="1" allowOverlap="1">
                  <wp:simplePos x="0" y="0"/>
                  <wp:positionH relativeFrom="column">
                    <wp:posOffset>53975</wp:posOffset>
                  </wp:positionH>
                  <wp:positionV relativeFrom="paragraph">
                    <wp:posOffset>730250</wp:posOffset>
                  </wp:positionV>
                  <wp:extent cx="4787900" cy="2954020"/>
                  <wp:effectExtent l="0" t="0" r="0" b="0"/>
                  <wp:wrapNone/>
                  <wp:docPr id="189" name="ECB019B1-382A-4266-B25C-5B523AA43C14-2" descr="C:/Users/Lenovo/AppData/Local/Temp/wps.DFdxZN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ECB019B1-382A-4266-B25C-5B523AA43C14-2" descr="C:/Users/Lenovo/AppData/Local/Temp/wps.DFdxZNwps"/>
                          <pic:cNvPicPr>
                            <a:picLocks noChangeAspect="1"/>
                          </pic:cNvPicPr>
                        </pic:nvPicPr>
                        <pic:blipFill>
                          <a:blip r:embed="rId13" cstate="print"/>
                          <a:stretch>
                            <a:fillRect/>
                          </a:stretch>
                        </pic:blipFill>
                        <pic:spPr>
                          <a:xfrm>
                            <a:off x="0" y="0"/>
                            <a:ext cx="4787900" cy="2954020"/>
                          </a:xfrm>
                          <a:prstGeom prst="rect">
                            <a:avLst/>
                          </a:prstGeom>
                          <a:noFill/>
                          <a:ln>
                            <a:noFill/>
                          </a:ln>
                        </pic:spPr>
                      </pic:pic>
                    </a:graphicData>
                  </a:graphic>
                </wp:anchor>
              </w:drawing>
            </w:r>
            <w:r>
              <w:rPr>
                <w:bCs/>
                <w:color w:val="000000"/>
                <w:szCs w:val="21"/>
              </w:rPr>
              <w:t>该项目以机加工艺为主，将原料加工成符合要求的各类型钢，进行焊接组合，具体的生产工艺流程如下：</w:t>
            </w: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
                <w:color w:val="000000"/>
                <w:sz w:val="21"/>
                <w:szCs w:val="28"/>
              </w:rPr>
            </w:pPr>
          </w:p>
          <w:p>
            <w:pPr>
              <w:adjustRightInd w:val="0"/>
              <w:snapToGrid w:val="0"/>
              <w:spacing w:line="480" w:lineRule="exact"/>
              <w:jc w:val="center"/>
              <w:rPr>
                <w:bCs/>
                <w:color w:val="000000"/>
                <w:szCs w:val="21"/>
              </w:rPr>
            </w:pPr>
            <w:r>
              <w:rPr>
                <w:b/>
                <w:color w:val="000000"/>
                <w:sz w:val="21"/>
                <w:szCs w:val="28"/>
              </w:rPr>
              <w:t>图2</w:t>
            </w:r>
            <w:r>
              <w:rPr>
                <w:rFonts w:hint="eastAsia"/>
                <w:b/>
                <w:color w:val="000000"/>
                <w:sz w:val="21"/>
                <w:szCs w:val="28"/>
              </w:rPr>
              <w:t>-2</w:t>
            </w:r>
            <w:r>
              <w:rPr>
                <w:b/>
                <w:color w:val="000000"/>
                <w:sz w:val="21"/>
                <w:szCs w:val="28"/>
              </w:rPr>
              <w:t xml:space="preserve">  生产工艺流程</w:t>
            </w:r>
            <w:r>
              <w:rPr>
                <w:rFonts w:hint="eastAsia"/>
                <w:b/>
                <w:color w:val="000000"/>
                <w:sz w:val="21"/>
                <w:szCs w:val="28"/>
              </w:rPr>
              <w:t>和产排污环节</w:t>
            </w:r>
            <w:r>
              <w:rPr>
                <w:b/>
                <w:color w:val="000000"/>
                <w:sz w:val="21"/>
                <w:szCs w:val="28"/>
              </w:rPr>
              <w:t>图</w:t>
            </w:r>
          </w:p>
          <w:p>
            <w:pPr>
              <w:adjustRightInd w:val="0"/>
              <w:snapToGrid w:val="0"/>
              <w:spacing w:line="480" w:lineRule="exact"/>
              <w:ind w:firstLine="480" w:firstLineChars="200"/>
              <w:rPr>
                <w:bCs/>
                <w:color w:val="000000"/>
                <w:szCs w:val="21"/>
              </w:rPr>
            </w:pPr>
            <w:r>
              <w:rPr>
                <w:bCs/>
                <w:color w:val="000000"/>
                <w:szCs w:val="21"/>
              </w:rPr>
              <w:t>生产</w:t>
            </w:r>
            <w:r>
              <w:rPr>
                <w:color w:val="000000"/>
                <w:szCs w:val="28"/>
              </w:rPr>
              <w:t>线工艺流程简述：</w:t>
            </w:r>
          </w:p>
          <w:p>
            <w:pPr>
              <w:adjustRightInd w:val="0"/>
              <w:snapToGrid w:val="0"/>
              <w:spacing w:line="480" w:lineRule="exact"/>
              <w:ind w:firstLine="480" w:firstLineChars="200"/>
              <w:rPr>
                <w:bCs/>
                <w:color w:val="000000"/>
                <w:szCs w:val="21"/>
              </w:rPr>
            </w:pPr>
            <w:r>
              <w:rPr>
                <w:rFonts w:hint="eastAsia"/>
                <w:bCs/>
                <w:color w:val="000000"/>
                <w:szCs w:val="21"/>
              </w:rPr>
              <w:t>大梁加工</w:t>
            </w:r>
          </w:p>
          <w:p>
            <w:pPr>
              <w:adjustRightInd w:val="0"/>
              <w:snapToGrid w:val="0"/>
              <w:spacing w:line="480" w:lineRule="exact"/>
              <w:ind w:firstLine="480" w:firstLineChars="200"/>
              <w:rPr>
                <w:bCs/>
                <w:color w:val="000000"/>
                <w:szCs w:val="21"/>
              </w:rPr>
            </w:pPr>
            <w:r>
              <w:rPr>
                <w:rFonts w:hint="eastAsia"/>
                <w:bCs/>
                <w:color w:val="000000"/>
                <w:szCs w:val="21"/>
              </w:rPr>
              <w:t>（1）大梁的制作采用激光切割机下料，切割下料过程主要产生的污染物为噪声、边角料和烟尘；</w:t>
            </w:r>
          </w:p>
          <w:p>
            <w:pPr>
              <w:adjustRightInd w:val="0"/>
              <w:snapToGrid w:val="0"/>
              <w:spacing w:line="480" w:lineRule="exact"/>
              <w:ind w:firstLine="480" w:firstLineChars="200"/>
              <w:rPr>
                <w:bCs/>
                <w:color w:val="000000"/>
                <w:szCs w:val="21"/>
              </w:rPr>
            </w:pPr>
            <w:r>
              <w:rPr>
                <w:rFonts w:hint="eastAsia"/>
                <w:bCs/>
                <w:color w:val="000000"/>
                <w:szCs w:val="21"/>
              </w:rPr>
              <w:t>（2）将下好的料进行转孔、折弯等机加工，</w:t>
            </w:r>
            <w:r>
              <w:rPr>
                <w:rFonts w:hint="eastAsia"/>
                <w:color w:val="000000"/>
              </w:rPr>
              <w:t>机加工过程产生的污染物为噪声</w:t>
            </w:r>
            <w:r>
              <w:rPr>
                <w:rFonts w:hint="eastAsia"/>
                <w:bCs/>
                <w:color w:val="000000"/>
                <w:szCs w:val="21"/>
              </w:rPr>
              <w:t>；</w:t>
            </w:r>
          </w:p>
          <w:p>
            <w:pPr>
              <w:adjustRightInd w:val="0"/>
              <w:snapToGrid w:val="0"/>
              <w:spacing w:line="480" w:lineRule="exact"/>
              <w:ind w:firstLine="480" w:firstLineChars="200"/>
              <w:rPr>
                <w:bCs/>
                <w:color w:val="000000"/>
                <w:szCs w:val="21"/>
              </w:rPr>
            </w:pPr>
            <w:r>
              <w:rPr>
                <w:rFonts w:hint="eastAsia"/>
                <w:bCs/>
                <w:color w:val="000000"/>
                <w:szCs w:val="21"/>
              </w:rPr>
              <w:t>（3）将机加工后的材料进行组对并进行焊接，在组对、焊接过程中产生的污染物为噪声和烟尘；</w:t>
            </w:r>
          </w:p>
          <w:p>
            <w:pPr>
              <w:adjustRightInd w:val="0"/>
              <w:snapToGrid w:val="0"/>
              <w:spacing w:line="480" w:lineRule="exact"/>
              <w:ind w:firstLine="480" w:firstLineChars="200"/>
              <w:rPr>
                <w:bCs/>
                <w:color w:val="000000"/>
                <w:szCs w:val="21"/>
              </w:rPr>
            </w:pPr>
            <w:r>
              <w:rPr>
                <w:rFonts w:hint="eastAsia"/>
                <w:bCs/>
                <w:color w:val="000000"/>
                <w:szCs w:val="21"/>
              </w:rPr>
              <w:t>（4）焊接好后送入大梁校正机进行校正，校正过程中产生的污染物为噪声；</w:t>
            </w:r>
          </w:p>
          <w:p>
            <w:pPr>
              <w:adjustRightInd w:val="0"/>
              <w:snapToGrid w:val="0"/>
              <w:spacing w:line="480" w:lineRule="exact"/>
              <w:ind w:firstLine="480" w:firstLineChars="200"/>
              <w:rPr>
                <w:bCs/>
                <w:color w:val="000000"/>
                <w:szCs w:val="21"/>
              </w:rPr>
            </w:pPr>
            <w:r>
              <w:rPr>
                <w:rFonts w:hint="eastAsia"/>
                <w:bCs/>
                <w:color w:val="000000"/>
                <w:szCs w:val="21"/>
              </w:rPr>
              <w:t>架体加工</w:t>
            </w:r>
          </w:p>
          <w:p>
            <w:pPr>
              <w:adjustRightInd w:val="0"/>
              <w:snapToGrid w:val="0"/>
              <w:spacing w:line="480" w:lineRule="exact"/>
              <w:ind w:firstLine="480" w:firstLineChars="200"/>
              <w:rPr>
                <w:bCs/>
                <w:color w:val="000000"/>
                <w:szCs w:val="21"/>
              </w:rPr>
            </w:pPr>
            <w:r>
              <w:rPr>
                <w:rFonts w:hint="eastAsia"/>
                <w:bCs/>
                <w:color w:val="000000"/>
                <w:szCs w:val="21"/>
              </w:rPr>
              <w:t>（5）对原料采用等离子切割机进行切割下料，该工序产生的污染物为噪声和烟尘；</w:t>
            </w:r>
          </w:p>
          <w:p>
            <w:pPr>
              <w:adjustRightInd w:val="0"/>
              <w:snapToGrid w:val="0"/>
              <w:spacing w:line="480" w:lineRule="exact"/>
              <w:ind w:firstLine="480" w:firstLineChars="200"/>
              <w:rPr>
                <w:bCs/>
                <w:color w:val="000000"/>
                <w:szCs w:val="21"/>
              </w:rPr>
            </w:pPr>
            <w:r>
              <w:rPr>
                <w:rFonts w:hint="eastAsia"/>
                <w:bCs/>
                <w:color w:val="000000"/>
                <w:szCs w:val="21"/>
              </w:rPr>
              <w:t>（6）将切割下的材料进行架体的焊接，架体焊接完成后进行底盘、下盘件和箱扇的安装焊接，</w:t>
            </w:r>
            <w:r>
              <w:rPr>
                <w:rFonts w:hint="eastAsia"/>
                <w:color w:val="000000"/>
              </w:rPr>
              <w:t>焊接过程产生的污染物为焊接烟尘和噪声</w:t>
            </w:r>
            <w:r>
              <w:rPr>
                <w:rFonts w:hint="eastAsia"/>
                <w:bCs/>
                <w:color w:val="000000"/>
                <w:szCs w:val="21"/>
              </w:rPr>
              <w:t>；</w:t>
            </w:r>
          </w:p>
          <w:p>
            <w:pPr>
              <w:adjustRightInd w:val="0"/>
              <w:snapToGrid w:val="0"/>
              <w:spacing w:line="480" w:lineRule="exact"/>
              <w:ind w:firstLine="480" w:firstLineChars="200"/>
              <w:rPr>
                <w:bCs/>
                <w:color w:val="000000"/>
                <w:szCs w:val="21"/>
              </w:rPr>
            </w:pPr>
            <w:r>
              <w:rPr>
                <w:rFonts w:hint="eastAsia"/>
                <w:bCs/>
                <w:color w:val="000000"/>
                <w:szCs w:val="21"/>
              </w:rPr>
              <w:t>仓栏车门扇</w:t>
            </w:r>
          </w:p>
          <w:p>
            <w:pPr>
              <w:adjustRightInd w:val="0"/>
              <w:snapToGrid w:val="0"/>
              <w:spacing w:line="480" w:lineRule="exact"/>
              <w:ind w:firstLine="480" w:firstLineChars="200"/>
              <w:rPr>
                <w:bCs/>
                <w:color w:val="000000"/>
                <w:szCs w:val="21"/>
              </w:rPr>
            </w:pPr>
            <w:r>
              <w:rPr>
                <w:rFonts w:hint="eastAsia"/>
                <w:bCs/>
                <w:color w:val="000000"/>
                <w:szCs w:val="21"/>
              </w:rPr>
              <w:t>（7）原料经锯床进行切割下料，在下料过程中产生的主要污染物为烟尘和噪声；</w:t>
            </w:r>
          </w:p>
          <w:p>
            <w:pPr>
              <w:adjustRightInd w:val="0"/>
              <w:snapToGrid w:val="0"/>
              <w:spacing w:line="480" w:lineRule="exact"/>
              <w:ind w:firstLine="480" w:firstLineChars="200"/>
              <w:rPr>
                <w:bCs/>
                <w:color w:val="000000"/>
                <w:szCs w:val="21"/>
              </w:rPr>
            </w:pPr>
            <w:r>
              <w:rPr>
                <w:rFonts w:hint="eastAsia"/>
                <w:bCs/>
                <w:color w:val="000000"/>
                <w:szCs w:val="21"/>
              </w:rPr>
              <w:t>（8）将锯床切割下的材料送入门芯板压力机进行加工，加工过程会产生的污染物为噪声；</w:t>
            </w:r>
          </w:p>
          <w:p>
            <w:pPr>
              <w:adjustRightInd w:val="0"/>
              <w:snapToGrid w:val="0"/>
              <w:spacing w:line="480" w:lineRule="exact"/>
              <w:ind w:firstLine="480" w:firstLineChars="200"/>
              <w:rPr>
                <w:bCs/>
                <w:color w:val="000000"/>
                <w:szCs w:val="21"/>
              </w:rPr>
            </w:pPr>
            <w:r>
              <w:rPr>
                <w:rFonts w:hint="eastAsia"/>
                <w:bCs/>
                <w:color w:val="000000"/>
                <w:szCs w:val="21"/>
              </w:rPr>
              <w:t>（9）将加工过的材料送入门芯板焊接机进行焊接，焊接过程中产生的污染物为噪声和焊接烟尘；</w:t>
            </w:r>
          </w:p>
          <w:p>
            <w:pPr>
              <w:adjustRightInd w:val="0"/>
              <w:snapToGrid w:val="0"/>
              <w:spacing w:line="480" w:lineRule="exact"/>
              <w:ind w:firstLine="480" w:firstLineChars="200"/>
              <w:rPr>
                <w:bCs/>
                <w:color w:val="000000"/>
                <w:szCs w:val="21"/>
              </w:rPr>
            </w:pPr>
            <w:r>
              <w:rPr>
                <w:rFonts w:hint="eastAsia"/>
                <w:bCs/>
                <w:color w:val="000000"/>
                <w:szCs w:val="21"/>
              </w:rPr>
              <w:t>组合成型</w:t>
            </w:r>
          </w:p>
          <w:p>
            <w:pPr>
              <w:adjustRightInd w:val="0"/>
              <w:snapToGrid w:val="0"/>
              <w:spacing w:line="480" w:lineRule="exact"/>
              <w:ind w:firstLine="480" w:firstLineChars="200"/>
              <w:rPr>
                <w:bCs/>
                <w:color w:val="000000"/>
                <w:szCs w:val="21"/>
              </w:rPr>
            </w:pPr>
            <w:r>
              <w:rPr>
                <w:rFonts w:hint="eastAsia"/>
                <w:bCs/>
                <w:color w:val="000000"/>
                <w:szCs w:val="21"/>
              </w:rPr>
              <w:t>（10）将组合好的挂车送入喷砂房进行喷砂处理，喷砂过程中产生的污染物为粉尘和噪声；</w:t>
            </w:r>
          </w:p>
          <w:p>
            <w:pPr>
              <w:adjustRightInd w:val="0"/>
              <w:snapToGrid w:val="0"/>
              <w:spacing w:line="480" w:lineRule="exact"/>
              <w:ind w:firstLine="480" w:firstLineChars="200"/>
              <w:rPr>
                <w:bCs/>
                <w:color w:val="000000"/>
                <w:szCs w:val="21"/>
              </w:rPr>
            </w:pPr>
            <w:r>
              <w:rPr>
                <w:rFonts w:hint="eastAsia"/>
                <w:bCs/>
                <w:color w:val="000000"/>
                <w:szCs w:val="21"/>
              </w:rPr>
              <w:t>（11）将喷砂处理后的挂车送入喷漆房进行喷漆和烤漆处理，本项目烤漆采用电烤漆，在喷漆和烤漆</w:t>
            </w:r>
            <w:r>
              <w:rPr>
                <w:rFonts w:hint="default"/>
                <w:bCs/>
                <w:color w:val="000000"/>
                <w:szCs w:val="21"/>
                <w:lang w:val="en"/>
              </w:rPr>
              <w:t>的</w:t>
            </w:r>
            <w:r>
              <w:rPr>
                <w:rFonts w:hint="eastAsia"/>
                <w:bCs/>
                <w:color w:val="000000"/>
                <w:szCs w:val="21"/>
              </w:rPr>
              <w:t>过程中产生的污染物为噪声、漆渣和非甲烷总烃。</w:t>
            </w:r>
          </w:p>
          <w:p>
            <w:pPr>
              <w:adjustRightInd w:val="0"/>
              <w:snapToGrid w:val="0"/>
              <w:spacing w:line="480" w:lineRule="exact"/>
              <w:rPr>
                <w:b/>
                <w:color w:val="000000"/>
                <w:szCs w:val="21"/>
              </w:rPr>
            </w:pPr>
            <w:r>
              <w:rPr>
                <w:b/>
                <w:color w:val="000000"/>
                <w:szCs w:val="21"/>
              </w:rPr>
              <w:t>运营期主要污染工序</w:t>
            </w:r>
          </w:p>
          <w:p>
            <w:pPr>
              <w:adjustRightInd w:val="0"/>
              <w:snapToGrid w:val="0"/>
              <w:spacing w:line="480" w:lineRule="exact"/>
              <w:ind w:firstLine="480" w:firstLineChars="200"/>
              <w:rPr>
                <w:bCs/>
                <w:color w:val="000000"/>
                <w:szCs w:val="21"/>
              </w:rPr>
            </w:pPr>
            <w:r>
              <w:rPr>
                <w:bCs/>
                <w:color w:val="000000"/>
                <w:szCs w:val="21"/>
              </w:rPr>
              <w:t>项目主要排放的污染物如下：</w:t>
            </w:r>
          </w:p>
          <w:p>
            <w:pPr>
              <w:adjustRightInd w:val="0"/>
              <w:snapToGrid w:val="0"/>
              <w:spacing w:line="480" w:lineRule="exact"/>
              <w:ind w:firstLine="480" w:firstLineChars="200"/>
              <w:rPr>
                <w:bCs/>
                <w:color w:val="000000"/>
                <w:szCs w:val="21"/>
              </w:rPr>
            </w:pPr>
            <w:r>
              <w:rPr>
                <w:bCs/>
                <w:color w:val="000000"/>
                <w:szCs w:val="21"/>
              </w:rPr>
              <w:t>1、废气</w:t>
            </w:r>
          </w:p>
          <w:p>
            <w:pPr>
              <w:adjustRightInd w:val="0"/>
              <w:snapToGrid w:val="0"/>
              <w:spacing w:line="480" w:lineRule="exact"/>
              <w:ind w:firstLine="480" w:firstLineChars="200"/>
              <w:rPr>
                <w:bCs/>
                <w:color w:val="000000"/>
                <w:szCs w:val="21"/>
              </w:rPr>
            </w:pPr>
            <w:r>
              <w:rPr>
                <w:bCs/>
                <w:color w:val="000000"/>
                <w:szCs w:val="21"/>
              </w:rPr>
              <w:t>本项目的大气污染源主要是</w:t>
            </w:r>
            <w:r>
              <w:rPr>
                <w:rFonts w:hint="eastAsia"/>
                <w:bCs/>
                <w:color w:val="000000"/>
                <w:szCs w:val="21"/>
              </w:rPr>
              <w:t>：</w:t>
            </w:r>
          </w:p>
          <w:p>
            <w:pPr>
              <w:adjustRightInd w:val="0"/>
              <w:snapToGrid w:val="0"/>
              <w:spacing w:line="480" w:lineRule="exact"/>
              <w:ind w:firstLine="480" w:firstLineChars="200"/>
              <w:rPr>
                <w:bCs/>
                <w:color w:val="000000"/>
                <w:szCs w:val="21"/>
              </w:rPr>
            </w:pPr>
            <w:r>
              <w:rPr>
                <w:rFonts w:hint="eastAsia"/>
                <w:bCs/>
                <w:color w:val="000000"/>
                <w:szCs w:val="21"/>
              </w:rPr>
              <w:t>（1）激光切割产生的烟气；</w:t>
            </w:r>
          </w:p>
          <w:p>
            <w:pPr>
              <w:adjustRightInd w:val="0"/>
              <w:snapToGrid w:val="0"/>
              <w:spacing w:line="480" w:lineRule="exact"/>
              <w:ind w:firstLine="480" w:firstLineChars="200"/>
              <w:rPr>
                <w:bCs/>
                <w:color w:val="000000"/>
                <w:szCs w:val="21"/>
              </w:rPr>
            </w:pPr>
            <w:r>
              <w:rPr>
                <w:rFonts w:hint="eastAsia"/>
                <w:bCs/>
                <w:color w:val="000000"/>
                <w:szCs w:val="21"/>
              </w:rPr>
              <w:t>（2）大梁焊接产生的烟气；</w:t>
            </w:r>
          </w:p>
          <w:p>
            <w:pPr>
              <w:adjustRightInd w:val="0"/>
              <w:snapToGrid w:val="0"/>
              <w:spacing w:line="480" w:lineRule="exact"/>
              <w:ind w:firstLine="480" w:firstLineChars="200"/>
              <w:rPr>
                <w:bCs/>
                <w:color w:val="000000"/>
                <w:szCs w:val="21"/>
              </w:rPr>
            </w:pPr>
            <w:r>
              <w:rPr>
                <w:rFonts w:hint="eastAsia"/>
                <w:bCs/>
                <w:color w:val="000000"/>
                <w:szCs w:val="21"/>
              </w:rPr>
              <w:t>（3）等离子切割产生的烟气；</w:t>
            </w:r>
          </w:p>
          <w:p>
            <w:pPr>
              <w:adjustRightInd w:val="0"/>
              <w:snapToGrid w:val="0"/>
              <w:spacing w:line="480" w:lineRule="exact"/>
              <w:ind w:firstLine="480" w:firstLineChars="200"/>
              <w:rPr>
                <w:bCs/>
                <w:color w:val="000000"/>
                <w:szCs w:val="21"/>
              </w:rPr>
            </w:pPr>
            <w:r>
              <w:rPr>
                <w:rFonts w:hint="eastAsia"/>
                <w:bCs/>
                <w:color w:val="000000"/>
                <w:szCs w:val="21"/>
              </w:rPr>
              <w:t>（4）架体焊接产生的烟气；</w:t>
            </w:r>
          </w:p>
          <w:p>
            <w:pPr>
              <w:adjustRightInd w:val="0"/>
              <w:snapToGrid w:val="0"/>
              <w:spacing w:line="480" w:lineRule="exact"/>
              <w:ind w:firstLine="480" w:firstLineChars="200"/>
              <w:rPr>
                <w:bCs/>
                <w:color w:val="000000"/>
                <w:szCs w:val="21"/>
              </w:rPr>
            </w:pPr>
            <w:r>
              <w:rPr>
                <w:rFonts w:hint="eastAsia"/>
                <w:bCs/>
                <w:color w:val="000000"/>
                <w:szCs w:val="21"/>
              </w:rPr>
              <w:t>（5）底盘、下盘件和箱扇焊接产生的烟气；</w:t>
            </w:r>
          </w:p>
          <w:p>
            <w:pPr>
              <w:adjustRightInd w:val="0"/>
              <w:snapToGrid w:val="0"/>
              <w:spacing w:line="480" w:lineRule="exact"/>
              <w:ind w:firstLine="480" w:firstLineChars="200"/>
              <w:rPr>
                <w:bCs/>
                <w:color w:val="000000"/>
                <w:szCs w:val="21"/>
              </w:rPr>
            </w:pPr>
            <w:r>
              <w:rPr>
                <w:rFonts w:hint="eastAsia"/>
                <w:bCs/>
                <w:color w:val="000000"/>
                <w:szCs w:val="21"/>
              </w:rPr>
              <w:t>（6）锯床切割时产生的粉尘；</w:t>
            </w:r>
          </w:p>
          <w:p>
            <w:pPr>
              <w:adjustRightInd w:val="0"/>
              <w:snapToGrid w:val="0"/>
              <w:spacing w:line="480" w:lineRule="exact"/>
              <w:ind w:firstLine="480" w:firstLineChars="200"/>
              <w:rPr>
                <w:bCs/>
                <w:color w:val="000000"/>
                <w:szCs w:val="21"/>
              </w:rPr>
            </w:pPr>
            <w:r>
              <w:rPr>
                <w:rFonts w:hint="eastAsia"/>
                <w:bCs/>
                <w:color w:val="000000"/>
                <w:szCs w:val="21"/>
              </w:rPr>
              <w:t>（7）门扇焊接时产生的烟尘；</w:t>
            </w:r>
          </w:p>
          <w:p>
            <w:pPr>
              <w:adjustRightInd w:val="0"/>
              <w:snapToGrid w:val="0"/>
              <w:spacing w:line="480" w:lineRule="exact"/>
              <w:ind w:firstLine="480" w:firstLineChars="200"/>
              <w:rPr>
                <w:bCs/>
                <w:color w:val="000000"/>
                <w:szCs w:val="21"/>
              </w:rPr>
            </w:pPr>
            <w:r>
              <w:rPr>
                <w:rFonts w:hint="eastAsia"/>
                <w:bCs/>
                <w:color w:val="000000"/>
                <w:szCs w:val="21"/>
              </w:rPr>
              <w:t>（8）喷砂时产生的粉尘；</w:t>
            </w:r>
          </w:p>
          <w:p>
            <w:pPr>
              <w:adjustRightInd w:val="0"/>
              <w:snapToGrid w:val="0"/>
              <w:spacing w:line="480" w:lineRule="exact"/>
              <w:ind w:firstLine="480" w:firstLineChars="200"/>
              <w:rPr>
                <w:bCs/>
                <w:color w:val="000000"/>
                <w:szCs w:val="21"/>
              </w:rPr>
            </w:pPr>
            <w:r>
              <w:rPr>
                <w:rFonts w:hint="eastAsia"/>
                <w:bCs/>
                <w:color w:val="000000"/>
                <w:szCs w:val="21"/>
              </w:rPr>
              <w:t>（9）喷漆和烤漆时产生的非甲烷总烃、漆渣；</w:t>
            </w:r>
          </w:p>
          <w:p>
            <w:pPr>
              <w:adjustRightInd w:val="0"/>
              <w:snapToGrid w:val="0"/>
              <w:spacing w:line="480" w:lineRule="exact"/>
              <w:ind w:firstLine="480" w:firstLineChars="200"/>
              <w:rPr>
                <w:bCs/>
                <w:color w:val="000000"/>
                <w:szCs w:val="21"/>
              </w:rPr>
            </w:pPr>
            <w:r>
              <w:rPr>
                <w:rFonts w:hint="eastAsia"/>
                <w:bCs/>
                <w:color w:val="000000"/>
                <w:szCs w:val="21"/>
              </w:rPr>
              <w:t>（10）食堂产生的油烟。</w:t>
            </w:r>
          </w:p>
          <w:p>
            <w:pPr>
              <w:adjustRightInd w:val="0"/>
              <w:snapToGrid w:val="0"/>
              <w:spacing w:line="480" w:lineRule="exact"/>
              <w:ind w:firstLine="480" w:firstLineChars="200"/>
              <w:rPr>
                <w:bCs/>
                <w:color w:val="000000"/>
                <w:szCs w:val="21"/>
              </w:rPr>
            </w:pPr>
            <w:r>
              <w:rPr>
                <w:bCs/>
                <w:color w:val="000000"/>
                <w:szCs w:val="21"/>
              </w:rPr>
              <w:t>2、废水</w:t>
            </w:r>
          </w:p>
          <w:p>
            <w:pPr>
              <w:adjustRightInd w:val="0"/>
              <w:snapToGrid w:val="0"/>
              <w:spacing w:line="480" w:lineRule="exact"/>
              <w:ind w:firstLine="480" w:firstLineChars="200"/>
              <w:rPr>
                <w:bCs/>
                <w:color w:val="000000"/>
                <w:szCs w:val="21"/>
              </w:rPr>
            </w:pPr>
            <w:r>
              <w:rPr>
                <w:bCs/>
                <w:color w:val="000000"/>
                <w:szCs w:val="21"/>
              </w:rPr>
              <w:t>本项目产生的污水主要是</w:t>
            </w:r>
          </w:p>
          <w:p>
            <w:pPr>
              <w:numPr>
                <w:ilvl w:val="0"/>
                <w:numId w:val="2"/>
              </w:numPr>
              <w:adjustRightInd w:val="0"/>
              <w:snapToGrid w:val="0"/>
              <w:spacing w:line="480" w:lineRule="exact"/>
              <w:ind w:firstLine="480" w:firstLineChars="200"/>
              <w:rPr>
                <w:bCs/>
                <w:color w:val="000000"/>
                <w:szCs w:val="21"/>
              </w:rPr>
            </w:pPr>
            <w:r>
              <w:rPr>
                <w:bCs/>
                <w:color w:val="000000"/>
                <w:szCs w:val="21"/>
              </w:rPr>
              <w:t>生活污水</w:t>
            </w:r>
            <w:r>
              <w:rPr>
                <w:rFonts w:hint="eastAsia"/>
                <w:bCs/>
                <w:color w:val="000000"/>
                <w:szCs w:val="21"/>
              </w:rPr>
              <w:t>；</w:t>
            </w:r>
          </w:p>
          <w:p>
            <w:pPr>
              <w:numPr>
                <w:ilvl w:val="0"/>
                <w:numId w:val="2"/>
              </w:numPr>
              <w:adjustRightInd w:val="0"/>
              <w:snapToGrid w:val="0"/>
              <w:spacing w:line="480" w:lineRule="exact"/>
              <w:ind w:firstLine="480" w:firstLineChars="200"/>
              <w:rPr>
                <w:bCs/>
                <w:color w:val="000000"/>
                <w:szCs w:val="21"/>
              </w:rPr>
            </w:pPr>
            <w:r>
              <w:rPr>
                <w:rFonts w:hint="eastAsia"/>
                <w:bCs/>
                <w:color w:val="000000"/>
                <w:szCs w:val="21"/>
              </w:rPr>
              <w:t>食堂废水。</w:t>
            </w:r>
          </w:p>
          <w:p>
            <w:pPr>
              <w:adjustRightInd w:val="0"/>
              <w:snapToGrid w:val="0"/>
              <w:spacing w:line="480" w:lineRule="exact"/>
              <w:ind w:firstLine="480" w:firstLineChars="200"/>
              <w:rPr>
                <w:bCs/>
                <w:color w:val="000000"/>
                <w:szCs w:val="21"/>
              </w:rPr>
            </w:pPr>
            <w:r>
              <w:rPr>
                <w:bCs/>
                <w:color w:val="000000"/>
                <w:szCs w:val="21"/>
              </w:rPr>
              <w:t>3、固体废弃物</w:t>
            </w:r>
          </w:p>
          <w:p>
            <w:pPr>
              <w:adjustRightInd w:val="0"/>
              <w:snapToGrid w:val="0"/>
              <w:spacing w:line="480" w:lineRule="exact"/>
              <w:ind w:firstLine="480" w:firstLineChars="200"/>
              <w:rPr>
                <w:bCs/>
                <w:color w:val="000000" w:themeColor="text1"/>
                <w:szCs w:val="21"/>
              </w:rPr>
            </w:pPr>
            <w:r>
              <w:rPr>
                <w:bCs/>
                <w:color w:val="000000"/>
                <w:szCs w:val="21"/>
              </w:rPr>
              <w:t>本</w:t>
            </w:r>
            <w:r>
              <w:rPr>
                <w:bCs/>
                <w:color w:val="000000" w:themeColor="text1"/>
                <w:szCs w:val="21"/>
              </w:rPr>
              <w:t>项目生产过程中产生的主要废物为</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（1）</w:t>
            </w:r>
            <w:r>
              <w:rPr>
                <w:bCs/>
                <w:color w:val="000000" w:themeColor="text1"/>
                <w:szCs w:val="21"/>
              </w:rPr>
              <w:t>边</w:t>
            </w:r>
            <w:r>
              <w:rPr>
                <w:rFonts w:hint="eastAsia"/>
                <w:bCs/>
                <w:color w:val="000000" w:themeColor="text1"/>
                <w:szCs w:val="21"/>
              </w:rPr>
              <w:t>角</w:t>
            </w:r>
            <w:r>
              <w:rPr>
                <w:bCs/>
                <w:color w:val="000000" w:themeColor="text1"/>
                <w:szCs w:val="21"/>
              </w:rPr>
              <w:t>料</w:t>
            </w:r>
            <w:r>
              <w:rPr>
                <w:rFonts w:hint="eastAsia"/>
                <w:bCs/>
                <w:color w:val="000000" w:themeColor="text1"/>
                <w:szCs w:val="21"/>
              </w:rPr>
              <w:t>；</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（2）漆渣、废过滤棉；</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（3）</w:t>
            </w:r>
            <w:r>
              <w:rPr>
                <w:bCs/>
                <w:color w:val="000000" w:themeColor="text1"/>
                <w:szCs w:val="21"/>
              </w:rPr>
              <w:t>机械设备产生的废机油</w:t>
            </w:r>
            <w:r>
              <w:rPr>
                <w:rFonts w:hint="eastAsia"/>
                <w:bCs/>
                <w:color w:val="000000" w:themeColor="text1"/>
                <w:szCs w:val="21"/>
              </w:rPr>
              <w:t>、废润滑油、废液压油桶、废液压油、废乳化液；</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（4）</w:t>
            </w:r>
            <w:r>
              <w:rPr>
                <w:bCs/>
                <w:color w:val="000000" w:themeColor="text1"/>
                <w:szCs w:val="21"/>
              </w:rPr>
              <w:t>生活垃圾</w:t>
            </w:r>
            <w:r>
              <w:rPr>
                <w:rFonts w:hint="eastAsia"/>
                <w:bCs/>
                <w:color w:val="000000" w:themeColor="text1"/>
                <w:szCs w:val="21"/>
              </w:rPr>
              <w:t>；</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（5）除尘灰；</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（6）废水性漆桶；</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（7）废活性炭；</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（8）废棉纱；</w:t>
            </w:r>
          </w:p>
          <w:p>
            <w:pPr>
              <w:adjustRightInd w:val="0"/>
              <w:snapToGrid w:val="0"/>
              <w:spacing w:line="480" w:lineRule="exact"/>
              <w:ind w:firstLine="480" w:firstLineChars="200"/>
              <w:rPr>
                <w:bCs/>
                <w:color w:val="000000" w:themeColor="text1"/>
                <w:szCs w:val="21"/>
              </w:rPr>
            </w:pPr>
            <w:r>
              <w:rPr>
                <w:rFonts w:hint="eastAsia"/>
                <w:bCs/>
                <w:color w:val="000000" w:themeColor="text1"/>
                <w:szCs w:val="21"/>
              </w:rPr>
              <w:t>（9）废催化剂。</w:t>
            </w:r>
          </w:p>
          <w:p>
            <w:pPr>
              <w:adjustRightInd w:val="0"/>
              <w:snapToGrid w:val="0"/>
              <w:spacing w:line="480" w:lineRule="exact"/>
              <w:ind w:firstLine="480" w:firstLineChars="200"/>
              <w:rPr>
                <w:bCs/>
                <w:color w:val="000000"/>
                <w:szCs w:val="21"/>
              </w:rPr>
            </w:pPr>
            <w:r>
              <w:rPr>
                <w:bCs/>
                <w:color w:val="000000"/>
                <w:szCs w:val="21"/>
              </w:rPr>
              <w:t>4、噪声</w:t>
            </w:r>
          </w:p>
          <w:p>
            <w:pPr>
              <w:adjustRightInd w:val="0"/>
              <w:snapToGrid w:val="0"/>
              <w:spacing w:line="480" w:lineRule="exact"/>
              <w:ind w:firstLine="480" w:firstLineChars="200"/>
              <w:rPr>
                <w:bCs/>
                <w:color w:val="000000"/>
                <w:szCs w:val="21"/>
              </w:rPr>
            </w:pPr>
            <w:r>
              <w:rPr>
                <w:bCs/>
                <w:color w:val="000000"/>
                <w:szCs w:val="21"/>
              </w:rPr>
              <w:t>本项目生产过程产生的噪声主要为机器运行发出的噪声。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3" w:type="dxa"/>
            <w:vAlign w:val="center"/>
          </w:tcPr>
          <w:p>
            <w:pPr>
              <w:pStyle w:val="27"/>
              <w:adjustRightInd w:val="0"/>
              <w:snapToGrid w:val="0"/>
              <w:spacing w:before="0" w:beforeAutospacing="0" w:after="0" w:afterAutospacing="0"/>
              <w:jc w:val="center"/>
              <w:rPr>
                <w:rFonts w:ascii="Times New Roman" w:hAnsi="Times New Roman"/>
                <w:color w:val="000000"/>
                <w:sz w:val="21"/>
                <w:szCs w:val="21"/>
              </w:rPr>
            </w:pPr>
            <w:r>
              <w:rPr>
                <w:rFonts w:ascii="Times New Roman" w:hAnsi="Times New Roman"/>
                <w:bCs/>
                <w:color w:val="000000"/>
                <w:kern w:val="2"/>
                <w:sz w:val="21"/>
                <w:szCs w:val="21"/>
              </w:rPr>
              <w:t>与项目有关的原有环境污染问题</w:t>
            </w:r>
          </w:p>
        </w:tc>
        <w:tc>
          <w:tcPr>
            <w:tcW w:w="8161" w:type="dxa"/>
            <w:vAlign w:val="center"/>
          </w:tcPr>
          <w:p>
            <w:pPr>
              <w:adjustRightInd w:val="0"/>
              <w:snapToGrid w:val="0"/>
              <w:spacing w:line="480" w:lineRule="exact"/>
              <w:ind w:firstLine="480" w:firstLineChars="200"/>
              <w:rPr>
                <w:rFonts w:eastAsia="Times New Roman"/>
                <w:bCs/>
                <w:color w:val="000000"/>
                <w:szCs w:val="21"/>
              </w:rPr>
            </w:pPr>
            <w:r>
              <w:rPr>
                <w:rFonts w:hint="eastAsia"/>
                <w:bCs/>
                <w:color w:val="000000"/>
                <w:szCs w:val="21"/>
                <w:lang w:bidi="zh-CN"/>
              </w:rPr>
              <w:t>经现场勘察，本项目场地原为未开发用地，本项目未开工建设。无与本项目有关的原有环境问题。</w:t>
            </w:r>
          </w:p>
        </w:tc>
      </w:tr>
    </w:tbl>
    <w:p>
      <w:pPr>
        <w:pStyle w:val="27"/>
        <w:jc w:val="center"/>
        <w:rPr>
          <w:rFonts w:ascii="Times New Roman" w:hAnsi="Times New Roman" w:eastAsia="黑体"/>
          <w:snapToGrid w:val="0"/>
          <w:color w:val="000000"/>
          <w:sz w:val="36"/>
          <w:szCs w:val="36"/>
        </w:rPr>
        <w:sectPr>
          <w:pgSz w:w="11906" w:h="16838"/>
          <w:pgMar w:top="1701" w:right="1531" w:bottom="1701" w:left="1531" w:header="851" w:footer="851" w:gutter="0"/>
          <w:cols w:space="720" w:num="1"/>
          <w:docGrid w:linePitch="312" w:charSpace="0"/>
        </w:sectPr>
      </w:pPr>
    </w:p>
    <w:p>
      <w:pPr>
        <w:pStyle w:val="2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三、区域环境质量现状、环境保护目标及评价标准</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42" w:hRule="atLeast"/>
          <w:jc w:val="center"/>
        </w:trPr>
        <w:tc>
          <w:tcPr>
            <w:tcW w:w="800" w:type="dxa"/>
            <w:vAlign w:val="center"/>
          </w:tcPr>
          <w:p>
            <w:pPr>
              <w:adjustRightInd w:val="0"/>
              <w:snapToGrid w:val="0"/>
              <w:jc w:val="center"/>
              <w:rPr>
                <w:color w:val="000000"/>
                <w:kern w:val="0"/>
                <w:sz w:val="21"/>
                <w:szCs w:val="21"/>
              </w:rPr>
            </w:pPr>
            <w:r>
              <w:rPr>
                <w:color w:val="000000"/>
                <w:kern w:val="0"/>
                <w:sz w:val="21"/>
                <w:szCs w:val="21"/>
              </w:rPr>
              <w:t>区域</w:t>
            </w:r>
          </w:p>
          <w:p>
            <w:pPr>
              <w:adjustRightInd w:val="0"/>
              <w:snapToGrid w:val="0"/>
              <w:jc w:val="center"/>
              <w:rPr>
                <w:color w:val="000000"/>
                <w:kern w:val="0"/>
                <w:sz w:val="21"/>
                <w:szCs w:val="21"/>
              </w:rPr>
            </w:pPr>
            <w:r>
              <w:rPr>
                <w:color w:val="000000"/>
                <w:kern w:val="0"/>
                <w:sz w:val="21"/>
                <w:szCs w:val="21"/>
              </w:rPr>
              <w:t>环境</w:t>
            </w:r>
          </w:p>
          <w:p>
            <w:pPr>
              <w:adjustRightInd w:val="0"/>
              <w:snapToGrid w:val="0"/>
              <w:jc w:val="center"/>
              <w:rPr>
                <w:color w:val="000000"/>
                <w:kern w:val="0"/>
                <w:sz w:val="21"/>
                <w:szCs w:val="21"/>
              </w:rPr>
            </w:pPr>
            <w:r>
              <w:rPr>
                <w:color w:val="000000"/>
                <w:kern w:val="0"/>
                <w:sz w:val="21"/>
                <w:szCs w:val="21"/>
              </w:rPr>
              <w:t>质量</w:t>
            </w:r>
          </w:p>
          <w:p>
            <w:pPr>
              <w:adjustRightInd w:val="0"/>
              <w:snapToGrid w:val="0"/>
              <w:jc w:val="center"/>
              <w:rPr>
                <w:color w:val="000000"/>
                <w:kern w:val="0"/>
                <w:szCs w:val="21"/>
              </w:rPr>
            </w:pPr>
            <w:r>
              <w:rPr>
                <w:color w:val="000000"/>
                <w:kern w:val="0"/>
                <w:sz w:val="21"/>
                <w:szCs w:val="21"/>
              </w:rPr>
              <w:t>现状</w:t>
            </w:r>
          </w:p>
        </w:tc>
        <w:tc>
          <w:tcPr>
            <w:tcW w:w="8190" w:type="dxa"/>
            <w:vAlign w:val="center"/>
          </w:tcPr>
          <w:p>
            <w:pPr>
              <w:spacing w:line="480" w:lineRule="exact"/>
              <w:rPr>
                <w:b/>
                <w:bCs/>
                <w:color w:val="000000"/>
                <w:kern w:val="0"/>
                <w:szCs w:val="21"/>
              </w:rPr>
            </w:pPr>
            <w:r>
              <w:rPr>
                <w:b/>
                <w:bCs/>
                <w:color w:val="000000"/>
                <w:kern w:val="0"/>
                <w:szCs w:val="21"/>
              </w:rPr>
              <w:t>一、大气环境质量现状</w:t>
            </w:r>
          </w:p>
          <w:p>
            <w:pPr>
              <w:spacing w:line="480" w:lineRule="exact"/>
              <w:rPr>
                <w:bCs/>
                <w:color w:val="000000"/>
              </w:rPr>
            </w:pPr>
            <w:r>
              <w:rPr>
                <w:bCs/>
                <w:color w:val="000000"/>
              </w:rPr>
              <w:t>（1）区域环境质量现状</w:t>
            </w:r>
          </w:p>
          <w:p>
            <w:pPr>
              <w:spacing w:line="480" w:lineRule="exact"/>
              <w:ind w:firstLine="480" w:firstLineChars="200"/>
              <w:rPr>
                <w:bCs/>
                <w:color w:val="000000"/>
              </w:rPr>
            </w:pPr>
            <w:r>
              <w:rPr>
                <w:bCs/>
                <w:color w:val="000000"/>
              </w:rPr>
              <w:t>本次评价引用</w:t>
            </w:r>
            <w:r>
              <w:rPr>
                <w:rFonts w:hint="eastAsia"/>
                <w:bCs/>
                <w:color w:val="000000"/>
              </w:rPr>
              <w:t>长子县</w:t>
            </w:r>
            <w:r>
              <w:rPr>
                <w:bCs/>
                <w:color w:val="000000"/>
              </w:rPr>
              <w:t>202</w:t>
            </w:r>
            <w:r>
              <w:rPr>
                <w:rFonts w:hint="eastAsia"/>
                <w:bCs/>
                <w:color w:val="000000"/>
              </w:rPr>
              <w:t>1</w:t>
            </w:r>
            <w:r>
              <w:rPr>
                <w:bCs/>
                <w:color w:val="000000"/>
              </w:rPr>
              <w:t>年环境空气质量监测数据，例行监测因子为NO</w:t>
            </w:r>
            <w:r>
              <w:rPr>
                <w:bCs/>
                <w:color w:val="000000"/>
                <w:vertAlign w:val="subscript"/>
              </w:rPr>
              <w:t>2</w:t>
            </w:r>
            <w:r>
              <w:rPr>
                <w:bCs/>
                <w:color w:val="000000"/>
              </w:rPr>
              <w:t>、SO</w:t>
            </w:r>
            <w:r>
              <w:rPr>
                <w:bCs/>
                <w:color w:val="000000"/>
                <w:vertAlign w:val="subscript"/>
              </w:rPr>
              <w:t>2</w:t>
            </w:r>
            <w:r>
              <w:rPr>
                <w:bCs/>
                <w:color w:val="000000"/>
              </w:rPr>
              <w:t>、PM</w:t>
            </w:r>
            <w:r>
              <w:rPr>
                <w:bCs/>
                <w:color w:val="000000"/>
                <w:vertAlign w:val="subscript"/>
              </w:rPr>
              <w:t>2.5</w:t>
            </w:r>
            <w:r>
              <w:rPr>
                <w:bCs/>
                <w:color w:val="000000"/>
              </w:rPr>
              <w:t>、PM</w:t>
            </w:r>
            <w:r>
              <w:rPr>
                <w:bCs/>
                <w:color w:val="000000"/>
                <w:vertAlign w:val="subscript"/>
              </w:rPr>
              <w:t>10</w:t>
            </w:r>
            <w:r>
              <w:rPr>
                <w:bCs/>
                <w:color w:val="000000"/>
              </w:rPr>
              <w:t>、CO、O</w:t>
            </w:r>
            <w:r>
              <w:rPr>
                <w:bCs/>
                <w:color w:val="000000"/>
                <w:vertAlign w:val="subscript"/>
              </w:rPr>
              <w:t>3</w:t>
            </w:r>
            <w:r>
              <w:rPr>
                <w:bCs/>
                <w:color w:val="000000"/>
              </w:rPr>
              <w:t>，监测情况见下表：</w:t>
            </w:r>
          </w:p>
          <w:p>
            <w:pPr>
              <w:pStyle w:val="9"/>
              <w:widowControl/>
              <w:spacing w:line="480" w:lineRule="exact"/>
              <w:ind w:firstLine="0"/>
              <w:jc w:val="center"/>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表3-1</w:t>
            </w:r>
            <w:r>
              <w:rPr>
                <w:rFonts w:hint="eastAsia" w:ascii="Times New Roman" w:hAnsi="Times New Roman" w:cs="Times New Roman"/>
                <w:b/>
                <w:color w:val="000000"/>
                <w:sz w:val="24"/>
                <w:szCs w:val="24"/>
              </w:rPr>
              <w:t>长子县</w:t>
            </w:r>
            <w:r>
              <w:rPr>
                <w:rFonts w:ascii="Times New Roman" w:hAnsi="Times New Roman" w:cs="Times New Roman"/>
                <w:b/>
                <w:color w:val="000000"/>
                <w:sz w:val="24"/>
                <w:szCs w:val="24"/>
              </w:rPr>
              <w:t>202</w:t>
            </w:r>
            <w:r>
              <w:rPr>
                <w:rFonts w:hint="eastAsia" w:ascii="Times New Roman" w:hAnsi="Times New Roman" w:cs="Times New Roman"/>
                <w:b/>
                <w:color w:val="000000"/>
                <w:sz w:val="24"/>
                <w:szCs w:val="24"/>
              </w:rPr>
              <w:t>1</w:t>
            </w:r>
            <w:r>
              <w:rPr>
                <w:rFonts w:ascii="Times New Roman" w:hAnsi="Times New Roman" w:cs="Times New Roman"/>
                <w:b/>
                <w:color w:val="000000"/>
                <w:sz w:val="24"/>
                <w:szCs w:val="24"/>
              </w:rPr>
              <w:t>年全年例行监测数据</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0" w:type="dxa"/>
                <w:bottom w:w="0" w:type="dxa"/>
                <w:right w:w="0" w:type="dxa"/>
              </w:tblCellMar>
            </w:tblPr>
            <w:tblGrid>
              <w:gridCol w:w="866"/>
              <w:gridCol w:w="2556"/>
              <w:gridCol w:w="1137"/>
              <w:gridCol w:w="1142"/>
              <w:gridCol w:w="1083"/>
              <w:gridCol w:w="118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污染物</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年评价指标</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现状浓度</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标准值</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占标率/%</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10</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58</w:t>
                  </w:r>
                  <w:r>
                    <w:rPr>
                      <w:rFonts w:ascii="Times New Roman" w:hAnsi="Times New Roman" w:cs="Times New Roman"/>
                      <w:sz w:val="21"/>
                      <w:szCs w:val="21"/>
                    </w:rPr>
                    <w:t>ug/m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70ug/m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82.9</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达</w:t>
                  </w:r>
                  <w:r>
                    <w:rPr>
                      <w:rFonts w:ascii="Times New Roman" w:hAnsi="Times New Roman" w:cs="Times New Roman"/>
                      <w:sz w:val="21"/>
                      <w:szCs w:val="21"/>
                    </w:rPr>
                    <w:t>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PM</w:t>
                  </w:r>
                  <w:r>
                    <w:rPr>
                      <w:rFonts w:ascii="Times New Roman" w:hAnsi="Times New Roman" w:cs="Times New Roman"/>
                      <w:sz w:val="21"/>
                      <w:szCs w:val="21"/>
                      <w:vertAlign w:val="subscript"/>
                    </w:rPr>
                    <w:t>2.5</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37</w:t>
                  </w:r>
                  <w:r>
                    <w:rPr>
                      <w:rFonts w:ascii="Times New Roman" w:hAnsi="Times New Roman" w:cs="Times New Roman"/>
                      <w:sz w:val="21"/>
                      <w:szCs w:val="21"/>
                    </w:rPr>
                    <w:t>ug/m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35ug/m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105</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超标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SO</w:t>
                  </w:r>
                  <w:r>
                    <w:rPr>
                      <w:rFonts w:ascii="Times New Roman" w:hAnsi="Times New Roman" w:cs="Times New Roman"/>
                      <w:sz w:val="21"/>
                      <w:szCs w:val="21"/>
                      <w:vertAlign w:val="subscript"/>
                    </w:rPr>
                    <w:t>2</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17</w:t>
                  </w:r>
                  <w:r>
                    <w:rPr>
                      <w:rFonts w:ascii="Times New Roman" w:hAnsi="Times New Roman" w:cs="Times New Roman"/>
                      <w:sz w:val="21"/>
                      <w:szCs w:val="21"/>
                    </w:rPr>
                    <w:t>ug 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60ug/m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28.3</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NO</w:t>
                  </w:r>
                  <w:r>
                    <w:rPr>
                      <w:rFonts w:ascii="Times New Roman" w:hAnsi="Times New Roman" w:cs="Times New Roman"/>
                      <w:sz w:val="21"/>
                      <w:szCs w:val="21"/>
                      <w:vertAlign w:val="subscript"/>
                    </w:rPr>
                    <w:t>2</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年平均质量浓度</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25</w:t>
                  </w:r>
                  <w:r>
                    <w:rPr>
                      <w:rFonts w:ascii="Times New Roman" w:hAnsi="Times New Roman" w:cs="Times New Roman"/>
                      <w:sz w:val="21"/>
                      <w:szCs w:val="21"/>
                    </w:rPr>
                    <w:t>ug/m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40ug/m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62.5</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CO</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bCs/>
                      <w:sz w:val="21"/>
                      <w:szCs w:val="21"/>
                    </w:rPr>
                    <w:t>24小时平均第95百分位数</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1.</w:t>
                  </w:r>
                  <w:r>
                    <w:rPr>
                      <w:rFonts w:hint="eastAsia" w:ascii="Times New Roman" w:hAnsi="Times New Roman" w:cs="Times New Roman"/>
                      <w:sz w:val="21"/>
                      <w:szCs w:val="21"/>
                    </w:rPr>
                    <w:t>5</w:t>
                  </w:r>
                  <w:r>
                    <w:rPr>
                      <w:rFonts w:ascii="Times New Roman" w:hAnsi="Times New Roman" w:cs="Times New Roman"/>
                      <w:sz w:val="21"/>
                      <w:szCs w:val="21"/>
                    </w:rPr>
                    <w:t>mg/m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4mg/m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40</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jc w:val="center"/>
              </w:trPr>
              <w:tc>
                <w:tcPr>
                  <w:tcW w:w="543"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O</w:t>
                  </w:r>
                  <w:r>
                    <w:rPr>
                      <w:rFonts w:ascii="Times New Roman" w:hAnsi="Times New Roman" w:cs="Times New Roman"/>
                      <w:sz w:val="21"/>
                      <w:szCs w:val="21"/>
                      <w:vertAlign w:val="subscript"/>
                    </w:rPr>
                    <w:t>3</w:t>
                  </w:r>
                </w:p>
              </w:tc>
              <w:tc>
                <w:tcPr>
                  <w:tcW w:w="1605"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bCs/>
                      <w:sz w:val="21"/>
                      <w:szCs w:val="21"/>
                    </w:rPr>
                    <w:t>日最大8小时滑动平均值的第90百分位数</w:t>
                  </w:r>
                </w:p>
              </w:tc>
              <w:tc>
                <w:tcPr>
                  <w:tcW w:w="714"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160</w:t>
                  </w:r>
                  <w:r>
                    <w:rPr>
                      <w:rFonts w:ascii="Times New Roman" w:hAnsi="Times New Roman" w:cs="Times New Roman"/>
                      <w:sz w:val="21"/>
                      <w:szCs w:val="21"/>
                    </w:rPr>
                    <w:t>ug/m</w:t>
                  </w:r>
                  <w:r>
                    <w:rPr>
                      <w:rFonts w:ascii="Times New Roman" w:hAnsi="Times New Roman" w:cs="Times New Roman"/>
                      <w:sz w:val="21"/>
                      <w:szCs w:val="21"/>
                      <w:vertAlign w:val="superscript"/>
                    </w:rPr>
                    <w:t>3</w:t>
                  </w:r>
                </w:p>
              </w:tc>
              <w:tc>
                <w:tcPr>
                  <w:tcW w:w="717"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ascii="Times New Roman" w:hAnsi="Times New Roman" w:cs="Times New Roman"/>
                      <w:sz w:val="21"/>
                      <w:szCs w:val="21"/>
                    </w:rPr>
                    <w:t>160ug/m</w:t>
                  </w:r>
                  <w:r>
                    <w:rPr>
                      <w:rFonts w:ascii="Times New Roman" w:hAnsi="Times New Roman" w:cs="Times New Roman"/>
                      <w:sz w:val="21"/>
                      <w:szCs w:val="21"/>
                      <w:vertAlign w:val="superscript"/>
                    </w:rPr>
                    <w:t>3</w:t>
                  </w:r>
                </w:p>
              </w:tc>
              <w:tc>
                <w:tcPr>
                  <w:tcW w:w="680"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100</w:t>
                  </w:r>
                </w:p>
              </w:tc>
              <w:tc>
                <w:tcPr>
                  <w:tcW w:w="741" w:type="pct"/>
                  <w:tcBorders>
                    <w:tl2br w:val="nil"/>
                    <w:tr2bl w:val="nil"/>
                  </w:tcBorders>
                  <w:tcMar>
                    <w:top w:w="0" w:type="dxa"/>
                    <w:left w:w="105" w:type="dxa"/>
                    <w:bottom w:w="0" w:type="dxa"/>
                    <w:right w:w="105" w:type="dxa"/>
                  </w:tcMar>
                  <w:vAlign w:val="center"/>
                </w:tcPr>
                <w:p>
                  <w:pPr>
                    <w:pStyle w:val="2"/>
                    <w:jc w:val="center"/>
                    <w:rPr>
                      <w:rFonts w:ascii="Times New Roman" w:hAnsi="Times New Roman" w:cs="Times New Roman"/>
                      <w:sz w:val="21"/>
                      <w:szCs w:val="21"/>
                    </w:rPr>
                  </w:pPr>
                  <w:r>
                    <w:rPr>
                      <w:rFonts w:hint="eastAsia" w:ascii="Times New Roman" w:hAnsi="Times New Roman" w:cs="Times New Roman"/>
                      <w:sz w:val="21"/>
                      <w:szCs w:val="21"/>
                    </w:rPr>
                    <w:t>达</w:t>
                  </w:r>
                  <w:r>
                    <w:rPr>
                      <w:rFonts w:ascii="Times New Roman" w:hAnsi="Times New Roman" w:cs="Times New Roman"/>
                      <w:sz w:val="21"/>
                      <w:szCs w:val="21"/>
                    </w:rPr>
                    <w:t>标</w:t>
                  </w:r>
                </w:p>
              </w:tc>
            </w:tr>
          </w:tbl>
          <w:p>
            <w:pPr>
              <w:spacing w:line="480" w:lineRule="exact"/>
              <w:ind w:firstLine="480" w:firstLineChars="200"/>
              <w:rPr>
                <w:color w:val="000000"/>
              </w:rPr>
            </w:pPr>
            <w:r>
              <w:rPr>
                <w:color w:val="000000"/>
              </w:rPr>
              <w:t>根据</w:t>
            </w:r>
            <w:r>
              <w:rPr>
                <w:rFonts w:hint="eastAsia"/>
                <w:color w:val="000000"/>
              </w:rPr>
              <w:t>长子县</w:t>
            </w:r>
            <w:r>
              <w:rPr>
                <w:color w:val="000000"/>
              </w:rPr>
              <w:t>202</w:t>
            </w:r>
            <w:r>
              <w:rPr>
                <w:rFonts w:hint="eastAsia"/>
                <w:color w:val="000000"/>
              </w:rPr>
              <w:t>1</w:t>
            </w:r>
            <w:r>
              <w:rPr>
                <w:color w:val="000000"/>
              </w:rPr>
              <w:t>年全年空气质量统计数据，除PM</w:t>
            </w:r>
            <w:r>
              <w:rPr>
                <w:color w:val="000000"/>
                <w:vertAlign w:val="subscript"/>
              </w:rPr>
              <w:t>2.5</w:t>
            </w:r>
            <w:r>
              <w:rPr>
                <w:color w:val="000000"/>
              </w:rPr>
              <w:t>超《环境空气质量标准》（GB3095-2012）中二级标准要求外，其余因子均达到《环境空气质量标准》（GB3095-2012）中二级标准要求。本项目所在区域为不达标区。</w:t>
            </w:r>
          </w:p>
          <w:p>
            <w:pPr>
              <w:spacing w:line="480" w:lineRule="exact"/>
              <w:rPr>
                <w:color w:val="000000" w:themeColor="text1"/>
              </w:rPr>
            </w:pPr>
            <w:r>
              <w:rPr>
                <w:color w:val="000000"/>
              </w:rPr>
              <w:t>（</w:t>
            </w:r>
            <w:r>
              <w:rPr>
                <w:color w:val="000000" w:themeColor="text1"/>
              </w:rPr>
              <w:t>2）特征污染物</w:t>
            </w:r>
          </w:p>
          <w:p>
            <w:pPr>
              <w:pStyle w:val="9"/>
              <w:spacing w:line="480" w:lineRule="exact"/>
              <w:ind w:firstLine="480" w:firstLineChars="20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为进一步了解项目区空气环境质量，</w:t>
            </w:r>
            <w:r>
              <w:rPr>
                <w:rFonts w:hint="eastAsia" w:ascii="Times New Roman" w:hAnsi="Times New Roman" w:cs="Times New Roman"/>
                <w:color w:val="000000" w:themeColor="text1"/>
                <w:sz w:val="24"/>
                <w:szCs w:val="24"/>
              </w:rPr>
              <w:t>本项目引用山西明拓昕冉科技有限公司于2022年6月17日对薛家村进行的环境空气质量现状的监测报告，引用报告的监测结果如下</w:t>
            </w:r>
            <w:r>
              <w:rPr>
                <w:rFonts w:ascii="Times New Roman" w:hAnsi="Times New Roman" w:cs="Times New Roman"/>
                <w:color w:val="000000" w:themeColor="text1"/>
                <w:sz w:val="24"/>
                <w:szCs w:val="24"/>
              </w:rPr>
              <w:t>。</w:t>
            </w:r>
          </w:p>
          <w:p>
            <w:pPr>
              <w:spacing w:line="480" w:lineRule="exact"/>
              <w:ind w:firstLine="480" w:firstLineChars="200"/>
              <w:rPr>
                <w:color w:val="000000" w:themeColor="text1"/>
              </w:rPr>
            </w:pPr>
            <w:r>
              <w:rPr>
                <w:color w:val="000000" w:themeColor="text1"/>
              </w:rPr>
              <w:t>①监测布点</w:t>
            </w:r>
          </w:p>
          <w:p>
            <w:pPr>
              <w:pStyle w:val="9"/>
              <w:widowControl/>
              <w:spacing w:line="480" w:lineRule="exact"/>
              <w:ind w:firstLine="0"/>
              <w:jc w:val="center"/>
              <w:textAlignment w:val="baseline"/>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表3-2</w:t>
            </w:r>
            <w:r>
              <w:rPr>
                <w:rFonts w:hint="eastAsia"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环境空气质量现状监测布点一览表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1"/>
              <w:gridCol w:w="1165"/>
              <w:gridCol w:w="2560"/>
              <w:gridCol w:w="2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7" w:type="pct"/>
                  <w:tcBorders>
                    <w:tl2br w:val="nil"/>
                    <w:tr2bl w:val="nil"/>
                  </w:tcBorders>
                  <w:vAlign w:val="center"/>
                </w:tcPr>
                <w:p>
                  <w:pPr>
                    <w:widowControl/>
                    <w:adjustRightInd w:val="0"/>
                    <w:snapToGrid w:val="0"/>
                    <w:jc w:val="center"/>
                    <w:rPr>
                      <w:color w:val="000000" w:themeColor="text1"/>
                      <w:sz w:val="21"/>
                      <w:szCs w:val="21"/>
                    </w:rPr>
                  </w:pPr>
                  <w:r>
                    <w:rPr>
                      <w:color w:val="000000" w:themeColor="text1"/>
                      <w:sz w:val="21"/>
                      <w:szCs w:val="21"/>
                    </w:rPr>
                    <w:t>监测点</w:t>
                  </w:r>
                </w:p>
              </w:tc>
              <w:tc>
                <w:tcPr>
                  <w:tcW w:w="732" w:type="pct"/>
                  <w:tcBorders>
                    <w:tl2br w:val="nil"/>
                    <w:tr2bl w:val="nil"/>
                  </w:tcBorders>
                  <w:vAlign w:val="center"/>
                </w:tcPr>
                <w:p>
                  <w:pPr>
                    <w:widowControl/>
                    <w:adjustRightInd w:val="0"/>
                    <w:snapToGrid w:val="0"/>
                    <w:jc w:val="center"/>
                    <w:rPr>
                      <w:color w:val="000000" w:themeColor="text1"/>
                      <w:sz w:val="21"/>
                      <w:szCs w:val="21"/>
                    </w:rPr>
                  </w:pPr>
                  <w:r>
                    <w:rPr>
                      <w:color w:val="000000" w:themeColor="text1"/>
                      <w:sz w:val="21"/>
                      <w:szCs w:val="21"/>
                    </w:rPr>
                    <w:t>方位</w:t>
                  </w:r>
                </w:p>
              </w:tc>
              <w:tc>
                <w:tcPr>
                  <w:tcW w:w="1607" w:type="pct"/>
                  <w:tcBorders>
                    <w:tl2br w:val="nil"/>
                    <w:tr2bl w:val="nil"/>
                  </w:tcBorders>
                  <w:vAlign w:val="center"/>
                </w:tcPr>
                <w:p>
                  <w:pPr>
                    <w:widowControl/>
                    <w:adjustRightInd w:val="0"/>
                    <w:snapToGrid w:val="0"/>
                    <w:jc w:val="center"/>
                    <w:rPr>
                      <w:color w:val="000000" w:themeColor="text1"/>
                      <w:sz w:val="21"/>
                      <w:szCs w:val="21"/>
                    </w:rPr>
                  </w:pPr>
                  <w:r>
                    <w:rPr>
                      <w:color w:val="000000" w:themeColor="text1"/>
                      <w:sz w:val="21"/>
                      <w:szCs w:val="21"/>
                    </w:rPr>
                    <w:t>距</w:t>
                  </w:r>
                  <w:r>
                    <w:rPr>
                      <w:rFonts w:hint="eastAsia"/>
                      <w:color w:val="000000" w:themeColor="text1"/>
                      <w:sz w:val="21"/>
                      <w:szCs w:val="21"/>
                    </w:rPr>
                    <w:t>本项目</w:t>
                  </w:r>
                  <w:r>
                    <w:rPr>
                      <w:color w:val="000000" w:themeColor="text1"/>
                      <w:sz w:val="21"/>
                      <w:szCs w:val="21"/>
                    </w:rPr>
                    <w:t>（km）</w:t>
                  </w:r>
                </w:p>
              </w:tc>
              <w:tc>
                <w:tcPr>
                  <w:tcW w:w="1792" w:type="pct"/>
                  <w:tcBorders>
                    <w:tl2br w:val="nil"/>
                    <w:tr2bl w:val="nil"/>
                  </w:tcBorders>
                  <w:vAlign w:val="center"/>
                </w:tcPr>
                <w:p>
                  <w:pPr>
                    <w:adjustRightInd w:val="0"/>
                    <w:snapToGrid w:val="0"/>
                    <w:jc w:val="center"/>
                    <w:rPr>
                      <w:color w:val="000000" w:themeColor="text1"/>
                      <w:sz w:val="21"/>
                      <w:szCs w:val="21"/>
                    </w:rPr>
                  </w:pPr>
                  <w:r>
                    <w:rPr>
                      <w:color w:val="000000" w:themeColor="text1"/>
                      <w:sz w:val="21"/>
                      <w:szCs w:val="21"/>
                    </w:rPr>
                    <w:t>监测项目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867" w:type="pct"/>
                  <w:tcBorders>
                    <w:tl2br w:val="nil"/>
                    <w:tr2bl w:val="nil"/>
                  </w:tcBorders>
                  <w:vAlign w:val="center"/>
                </w:tcPr>
                <w:p>
                  <w:pPr>
                    <w:jc w:val="center"/>
                    <w:rPr>
                      <w:bCs/>
                      <w:color w:val="000000" w:themeColor="text1"/>
                      <w:sz w:val="21"/>
                      <w:szCs w:val="21"/>
                    </w:rPr>
                  </w:pPr>
                  <w:r>
                    <w:rPr>
                      <w:rFonts w:hint="eastAsia"/>
                      <w:bCs/>
                      <w:color w:val="000000" w:themeColor="text1"/>
                      <w:sz w:val="21"/>
                      <w:szCs w:val="21"/>
                    </w:rPr>
                    <w:t>薛家庄村</w:t>
                  </w:r>
                </w:p>
              </w:tc>
              <w:tc>
                <w:tcPr>
                  <w:tcW w:w="732" w:type="pct"/>
                  <w:tcBorders>
                    <w:tl2br w:val="nil"/>
                    <w:tr2bl w:val="nil"/>
                  </w:tcBorders>
                  <w:vAlign w:val="center"/>
                </w:tcPr>
                <w:p>
                  <w:pPr>
                    <w:jc w:val="center"/>
                    <w:rPr>
                      <w:color w:val="000000" w:themeColor="text1"/>
                      <w:sz w:val="21"/>
                      <w:szCs w:val="21"/>
                    </w:rPr>
                  </w:pPr>
                  <w:r>
                    <w:rPr>
                      <w:rFonts w:hint="eastAsia"/>
                      <w:color w:val="000000" w:themeColor="text1"/>
                      <w:sz w:val="21"/>
                      <w:szCs w:val="21"/>
                    </w:rPr>
                    <w:t>东北</w:t>
                  </w:r>
                </w:p>
              </w:tc>
              <w:tc>
                <w:tcPr>
                  <w:tcW w:w="1607" w:type="pct"/>
                  <w:tcBorders>
                    <w:tl2br w:val="nil"/>
                    <w:tr2bl w:val="nil"/>
                  </w:tcBorders>
                  <w:vAlign w:val="center"/>
                </w:tcPr>
                <w:p>
                  <w:pPr>
                    <w:jc w:val="center"/>
                    <w:rPr>
                      <w:color w:val="000000" w:themeColor="text1"/>
                      <w:sz w:val="21"/>
                      <w:szCs w:val="21"/>
                    </w:rPr>
                  </w:pPr>
                  <w:r>
                    <w:rPr>
                      <w:rFonts w:hint="eastAsia"/>
                      <w:color w:val="000000" w:themeColor="text1"/>
                      <w:sz w:val="21"/>
                      <w:szCs w:val="21"/>
                    </w:rPr>
                    <w:t>0.21</w:t>
                  </w:r>
                </w:p>
              </w:tc>
              <w:tc>
                <w:tcPr>
                  <w:tcW w:w="1792" w:type="pct"/>
                  <w:tcBorders>
                    <w:tl2br w:val="nil"/>
                    <w:tr2bl w:val="nil"/>
                  </w:tcBorders>
                  <w:vAlign w:val="center"/>
                </w:tcPr>
                <w:p>
                  <w:pPr>
                    <w:widowControl/>
                    <w:adjustRightInd w:val="0"/>
                    <w:snapToGrid w:val="0"/>
                    <w:jc w:val="center"/>
                    <w:rPr>
                      <w:color w:val="000000" w:themeColor="text1"/>
                      <w:sz w:val="21"/>
                      <w:szCs w:val="21"/>
                    </w:rPr>
                  </w:pPr>
                  <w:r>
                    <w:rPr>
                      <w:color w:val="000000" w:themeColor="text1"/>
                      <w:sz w:val="21"/>
                    </w:rPr>
                    <w:t>TSP、非甲烷总烃</w:t>
                  </w:r>
                </w:p>
              </w:tc>
            </w:tr>
          </w:tbl>
          <w:p>
            <w:pPr>
              <w:pStyle w:val="9"/>
              <w:spacing w:line="480" w:lineRule="exact"/>
              <w:ind w:firstLine="48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②监测结果及分析</w:t>
            </w:r>
          </w:p>
          <w:p>
            <w:pPr>
              <w:snapToGrid w:val="0"/>
              <w:spacing w:line="480" w:lineRule="exact"/>
              <w:jc w:val="center"/>
              <w:outlineLvl w:val="1"/>
              <w:rPr>
                <w:color w:val="000000" w:themeColor="text1"/>
                <w:sz w:val="21"/>
                <w:szCs w:val="21"/>
              </w:rPr>
            </w:pPr>
            <w:bookmarkStart w:id="3" w:name="_Toc16561"/>
            <w:bookmarkStart w:id="4" w:name="_Toc25791"/>
            <w:bookmarkStart w:id="5" w:name="_Toc17420"/>
            <w:bookmarkStart w:id="6" w:name="_Toc6760"/>
            <w:bookmarkStart w:id="7" w:name="_Toc24019"/>
            <w:bookmarkStart w:id="8" w:name="_Toc13455"/>
            <w:bookmarkStart w:id="9" w:name="_Toc31547"/>
            <w:bookmarkStart w:id="10" w:name="_Toc18985"/>
            <w:bookmarkStart w:id="11" w:name="_Toc3419"/>
            <w:bookmarkStart w:id="12" w:name="_Toc9566"/>
            <w:bookmarkStart w:id="13" w:name="_Toc28366"/>
            <w:bookmarkStart w:id="14" w:name="_Toc19258"/>
            <w:bookmarkStart w:id="15" w:name="_Toc9234"/>
            <w:bookmarkStart w:id="16" w:name="_Toc5505"/>
            <w:bookmarkStart w:id="17" w:name="_Toc1842"/>
            <w:bookmarkStart w:id="18" w:name="_Toc2591"/>
            <w:r>
              <w:rPr>
                <w:b/>
                <w:color w:val="000000" w:themeColor="text1"/>
              </w:rPr>
              <w:t>表3-</w:t>
            </w:r>
            <w:r>
              <w:rPr>
                <w:rFonts w:hint="eastAsia"/>
                <w:b/>
                <w:color w:val="000000" w:themeColor="text1"/>
              </w:rPr>
              <w:t>3</w:t>
            </w:r>
            <w:r>
              <w:rPr>
                <w:b/>
                <w:color w:val="000000" w:themeColor="text1"/>
              </w:rPr>
              <w:t xml:space="preserve">  环境空气质量现状监测结果一览表  单位：（mg/m</w:t>
            </w:r>
            <w:r>
              <w:rPr>
                <w:b/>
                <w:color w:val="000000" w:themeColor="text1"/>
                <w:vertAlign w:val="superscript"/>
              </w:rPr>
              <w:t>3</w:t>
            </w:r>
            <w:r>
              <w:rPr>
                <w:b/>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tbl>
            <w:tblPr>
              <w:tblStyle w:val="31"/>
              <w:tblW w:w="79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462"/>
              <w:gridCol w:w="1249"/>
              <w:gridCol w:w="1249"/>
              <w:gridCol w:w="1249"/>
              <w:gridCol w:w="12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restart"/>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监测项目</w:t>
                  </w:r>
                </w:p>
              </w:tc>
              <w:tc>
                <w:tcPr>
                  <w:tcW w:w="1462" w:type="dxa"/>
                  <w:vMerge w:val="restart"/>
                  <w:vAlign w:val="center"/>
                </w:tcPr>
                <w:p>
                  <w:pPr>
                    <w:tabs>
                      <w:tab w:val="center" w:pos="4153"/>
                      <w:tab w:val="right" w:pos="8306"/>
                    </w:tabs>
                    <w:snapToGrid w:val="0"/>
                    <w:jc w:val="center"/>
                    <w:rPr>
                      <w:color w:val="000000" w:themeColor="text1"/>
                      <w:sz w:val="21"/>
                      <w:szCs w:val="21"/>
                    </w:rPr>
                  </w:pPr>
                  <w:r>
                    <w:rPr>
                      <w:color w:val="000000" w:themeColor="text1"/>
                      <w:sz w:val="21"/>
                      <w:szCs w:val="21"/>
                    </w:rPr>
                    <w:t>监测日期</w:t>
                  </w:r>
                </w:p>
              </w:tc>
              <w:tc>
                <w:tcPr>
                  <w:tcW w:w="4999" w:type="dxa"/>
                  <w:gridSpan w:val="4"/>
                  <w:vAlign w:val="center"/>
                </w:tcPr>
                <w:p>
                  <w:pPr>
                    <w:snapToGrid w:val="0"/>
                    <w:jc w:val="center"/>
                    <w:rPr>
                      <w:bCs/>
                      <w:color w:val="000000" w:themeColor="text1"/>
                      <w:sz w:val="21"/>
                      <w:szCs w:val="21"/>
                    </w:rPr>
                  </w:pPr>
                  <w:r>
                    <w:rPr>
                      <w:rFonts w:hint="eastAsia"/>
                      <w:color w:val="000000" w:themeColor="text1"/>
                      <w:sz w:val="21"/>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Merge w:val="continue"/>
                  <w:vAlign w:val="center"/>
                </w:tcPr>
                <w:p>
                  <w:pPr>
                    <w:tabs>
                      <w:tab w:val="center" w:pos="4153"/>
                      <w:tab w:val="right" w:pos="8306"/>
                    </w:tabs>
                    <w:snapToGrid w:val="0"/>
                    <w:jc w:val="center"/>
                    <w:rPr>
                      <w:color w:val="000000" w:themeColor="text1"/>
                      <w:sz w:val="21"/>
                      <w:szCs w:val="21"/>
                    </w:rPr>
                  </w:pPr>
                </w:p>
              </w:tc>
              <w:tc>
                <w:tcPr>
                  <w:tcW w:w="4999" w:type="dxa"/>
                  <w:gridSpan w:val="4"/>
                  <w:vAlign w:val="center"/>
                </w:tcPr>
                <w:p>
                  <w:pPr>
                    <w:snapToGrid w:val="0"/>
                    <w:jc w:val="center"/>
                    <w:rPr>
                      <w:color w:val="000000" w:themeColor="text1"/>
                      <w:sz w:val="21"/>
                      <w:szCs w:val="21"/>
                    </w:rPr>
                  </w:pPr>
                  <w:r>
                    <w:rPr>
                      <w:rFonts w:hint="eastAsia"/>
                      <w:color w:val="000000" w:themeColor="text1"/>
                      <w:sz w:val="21"/>
                      <w:szCs w:val="21"/>
                    </w:rPr>
                    <w:t>日均值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restart"/>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TSP</w:t>
                  </w:r>
                </w:p>
                <w:p>
                  <w:pPr>
                    <w:tabs>
                      <w:tab w:val="center" w:pos="4153"/>
                      <w:tab w:val="right" w:pos="8306"/>
                    </w:tabs>
                    <w:snapToGrid w:val="0"/>
                    <w:jc w:val="center"/>
                    <w:rPr>
                      <w:color w:val="000000" w:themeColor="text1"/>
                      <w:sz w:val="21"/>
                      <w:szCs w:val="21"/>
                    </w:rPr>
                  </w:pPr>
                  <w:r>
                    <w:rPr>
                      <w:rFonts w:hint="eastAsia"/>
                      <w:color w:val="000000" w:themeColor="text1"/>
                      <w:sz w:val="21"/>
                      <w:szCs w:val="21"/>
                    </w:rPr>
                    <w:t>（</w:t>
                  </w:r>
                  <w:r>
                    <w:rPr>
                      <w:color w:val="000000" w:themeColor="text1"/>
                      <w:sz w:val="21"/>
                      <w:szCs w:val="21"/>
                    </w:rPr>
                    <w:t>μg/m</w:t>
                  </w:r>
                  <w:r>
                    <w:rPr>
                      <w:color w:val="000000" w:themeColor="text1"/>
                      <w:sz w:val="21"/>
                      <w:szCs w:val="21"/>
                      <w:vertAlign w:val="superscript"/>
                    </w:rPr>
                    <w:t>3</w:t>
                  </w:r>
                  <w:r>
                    <w:rPr>
                      <w:rFonts w:hint="eastAsia"/>
                      <w:color w:val="000000" w:themeColor="text1"/>
                      <w:sz w:val="21"/>
                      <w:szCs w:val="21"/>
                    </w:rPr>
                    <w:t>）</w:t>
                  </w:r>
                </w:p>
              </w:tc>
              <w:tc>
                <w:tcPr>
                  <w:tcW w:w="1462" w:type="dxa"/>
                  <w:vAlign w:val="center"/>
                </w:tcPr>
                <w:p>
                  <w:pPr>
                    <w:jc w:val="center"/>
                    <w:rPr>
                      <w:color w:val="000000" w:themeColor="text1"/>
                      <w:sz w:val="21"/>
                      <w:szCs w:val="21"/>
                    </w:rPr>
                  </w:pPr>
                  <w:r>
                    <w:rPr>
                      <w:rFonts w:hint="eastAsia"/>
                      <w:color w:val="000000" w:themeColor="text1"/>
                      <w:sz w:val="21"/>
                      <w:szCs w:val="21"/>
                    </w:rPr>
                    <w:t>2022.5.14</w:t>
                  </w:r>
                </w:p>
              </w:tc>
              <w:tc>
                <w:tcPr>
                  <w:tcW w:w="4999" w:type="dxa"/>
                  <w:gridSpan w:val="4"/>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Align w:val="center"/>
                </w:tcPr>
                <w:p>
                  <w:pPr>
                    <w:jc w:val="center"/>
                    <w:rPr>
                      <w:color w:val="000000" w:themeColor="text1"/>
                      <w:sz w:val="21"/>
                      <w:szCs w:val="21"/>
                    </w:rPr>
                  </w:pPr>
                  <w:r>
                    <w:rPr>
                      <w:rFonts w:hint="eastAsia"/>
                      <w:color w:val="000000" w:themeColor="text1"/>
                      <w:sz w:val="21"/>
                      <w:szCs w:val="21"/>
                    </w:rPr>
                    <w:t>2022.5.15</w:t>
                  </w:r>
                </w:p>
              </w:tc>
              <w:tc>
                <w:tcPr>
                  <w:tcW w:w="4999" w:type="dxa"/>
                  <w:gridSpan w:val="4"/>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Align w:val="center"/>
                </w:tcPr>
                <w:p>
                  <w:pPr>
                    <w:jc w:val="center"/>
                    <w:rPr>
                      <w:color w:val="000000" w:themeColor="text1"/>
                      <w:sz w:val="21"/>
                      <w:szCs w:val="21"/>
                    </w:rPr>
                  </w:pPr>
                  <w:r>
                    <w:rPr>
                      <w:rFonts w:hint="eastAsia"/>
                      <w:color w:val="000000" w:themeColor="text1"/>
                      <w:sz w:val="21"/>
                      <w:szCs w:val="21"/>
                    </w:rPr>
                    <w:t>2022.5.16</w:t>
                  </w:r>
                </w:p>
              </w:tc>
              <w:tc>
                <w:tcPr>
                  <w:tcW w:w="4999" w:type="dxa"/>
                  <w:gridSpan w:val="4"/>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126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restart"/>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监测项目</w:t>
                  </w:r>
                </w:p>
              </w:tc>
              <w:tc>
                <w:tcPr>
                  <w:tcW w:w="1462" w:type="dxa"/>
                  <w:vMerge w:val="restart"/>
                  <w:vAlign w:val="center"/>
                </w:tcPr>
                <w:p>
                  <w:pPr>
                    <w:jc w:val="center"/>
                    <w:rPr>
                      <w:color w:val="000000" w:themeColor="text1"/>
                      <w:sz w:val="21"/>
                      <w:szCs w:val="21"/>
                    </w:rPr>
                  </w:pPr>
                  <w:r>
                    <w:rPr>
                      <w:color w:val="000000" w:themeColor="text1"/>
                      <w:sz w:val="21"/>
                      <w:szCs w:val="21"/>
                    </w:rPr>
                    <w:t>监测日期</w:t>
                  </w:r>
                </w:p>
              </w:tc>
              <w:tc>
                <w:tcPr>
                  <w:tcW w:w="4999" w:type="dxa"/>
                  <w:gridSpan w:val="4"/>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小时值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Merge w:val="continue"/>
                  <w:vAlign w:val="center"/>
                </w:tcPr>
                <w:p>
                  <w:pPr>
                    <w:jc w:val="center"/>
                    <w:rPr>
                      <w:color w:val="000000" w:themeColor="text1"/>
                      <w:sz w:val="21"/>
                      <w:szCs w:val="21"/>
                    </w:rPr>
                  </w:pP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02:00</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08:00</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14:00</w:t>
                  </w:r>
                </w:p>
              </w:tc>
              <w:tc>
                <w:tcPr>
                  <w:tcW w:w="1252"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38" w:type="dxa"/>
                  <w:vMerge w:val="restart"/>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非甲烷总烃（mg/m</w:t>
                  </w:r>
                  <w:r>
                    <w:rPr>
                      <w:rFonts w:hint="eastAsia"/>
                      <w:color w:val="000000" w:themeColor="text1"/>
                      <w:sz w:val="21"/>
                      <w:szCs w:val="21"/>
                      <w:vertAlign w:val="superscript"/>
                    </w:rPr>
                    <w:t>3</w:t>
                  </w:r>
                  <w:r>
                    <w:rPr>
                      <w:rFonts w:hint="eastAsia"/>
                      <w:color w:val="000000" w:themeColor="text1"/>
                      <w:sz w:val="21"/>
                      <w:szCs w:val="21"/>
                    </w:rPr>
                    <w:t>）</w:t>
                  </w:r>
                </w:p>
              </w:tc>
              <w:tc>
                <w:tcPr>
                  <w:tcW w:w="1462" w:type="dxa"/>
                  <w:vAlign w:val="center"/>
                </w:tcPr>
                <w:p>
                  <w:pPr>
                    <w:jc w:val="center"/>
                    <w:rPr>
                      <w:color w:val="000000" w:themeColor="text1"/>
                      <w:sz w:val="21"/>
                      <w:szCs w:val="21"/>
                    </w:rPr>
                  </w:pPr>
                  <w:r>
                    <w:rPr>
                      <w:rFonts w:hint="eastAsia"/>
                      <w:color w:val="000000" w:themeColor="text1"/>
                      <w:sz w:val="21"/>
                      <w:szCs w:val="21"/>
                    </w:rPr>
                    <w:t>2022.5.14</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0.37</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0.49</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0.42</w:t>
                  </w:r>
                </w:p>
              </w:tc>
              <w:tc>
                <w:tcPr>
                  <w:tcW w:w="1252"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Align w:val="center"/>
                </w:tcPr>
                <w:p>
                  <w:pPr>
                    <w:jc w:val="center"/>
                    <w:rPr>
                      <w:color w:val="000000" w:themeColor="text1"/>
                      <w:sz w:val="21"/>
                      <w:szCs w:val="21"/>
                    </w:rPr>
                  </w:pPr>
                  <w:r>
                    <w:rPr>
                      <w:rFonts w:hint="eastAsia"/>
                      <w:color w:val="000000" w:themeColor="text1"/>
                      <w:sz w:val="21"/>
                      <w:szCs w:val="21"/>
                    </w:rPr>
                    <w:t>2022.5.15</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0.58</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0.70</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0.65</w:t>
                  </w:r>
                </w:p>
              </w:tc>
              <w:tc>
                <w:tcPr>
                  <w:tcW w:w="1252"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538" w:type="dxa"/>
                  <w:vMerge w:val="continue"/>
                  <w:vAlign w:val="center"/>
                </w:tcPr>
                <w:p>
                  <w:pPr>
                    <w:tabs>
                      <w:tab w:val="center" w:pos="4153"/>
                      <w:tab w:val="right" w:pos="8306"/>
                    </w:tabs>
                    <w:snapToGrid w:val="0"/>
                    <w:jc w:val="center"/>
                    <w:rPr>
                      <w:color w:val="000000" w:themeColor="text1"/>
                      <w:sz w:val="21"/>
                      <w:szCs w:val="21"/>
                    </w:rPr>
                  </w:pPr>
                </w:p>
              </w:tc>
              <w:tc>
                <w:tcPr>
                  <w:tcW w:w="1462" w:type="dxa"/>
                  <w:vAlign w:val="center"/>
                </w:tcPr>
                <w:p>
                  <w:pPr>
                    <w:jc w:val="center"/>
                    <w:rPr>
                      <w:color w:val="000000" w:themeColor="text1"/>
                      <w:sz w:val="21"/>
                      <w:szCs w:val="21"/>
                    </w:rPr>
                  </w:pPr>
                  <w:r>
                    <w:rPr>
                      <w:rFonts w:hint="eastAsia"/>
                      <w:color w:val="000000" w:themeColor="text1"/>
                      <w:sz w:val="21"/>
                      <w:szCs w:val="21"/>
                    </w:rPr>
                    <w:t>2022.5.16</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0.57</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0.51</w:t>
                  </w:r>
                </w:p>
              </w:tc>
              <w:tc>
                <w:tcPr>
                  <w:tcW w:w="1249"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0.77</w:t>
                  </w:r>
                </w:p>
              </w:tc>
              <w:tc>
                <w:tcPr>
                  <w:tcW w:w="1252" w:type="dxa"/>
                  <w:vAlign w:val="center"/>
                </w:tcPr>
                <w:p>
                  <w:pPr>
                    <w:tabs>
                      <w:tab w:val="center" w:pos="4153"/>
                      <w:tab w:val="right" w:pos="8306"/>
                    </w:tabs>
                    <w:snapToGrid w:val="0"/>
                    <w:jc w:val="center"/>
                    <w:rPr>
                      <w:color w:val="000000" w:themeColor="text1"/>
                      <w:sz w:val="21"/>
                      <w:szCs w:val="21"/>
                    </w:rPr>
                  </w:pPr>
                  <w:r>
                    <w:rPr>
                      <w:rFonts w:hint="eastAsia"/>
                      <w:color w:val="000000" w:themeColor="text1"/>
                      <w:sz w:val="21"/>
                      <w:szCs w:val="21"/>
                    </w:rPr>
                    <w:t>0.68</w:t>
                  </w:r>
                </w:p>
              </w:tc>
            </w:tr>
          </w:tbl>
          <w:p>
            <w:pPr>
              <w:pStyle w:val="95"/>
              <w:spacing w:line="480" w:lineRule="exact"/>
              <w:ind w:firstLine="480"/>
              <w:rPr>
                <w:snapToGrid/>
                <w:color w:val="000000"/>
                <w:kern w:val="2"/>
                <w:sz w:val="24"/>
                <w:szCs w:val="24"/>
              </w:rPr>
            </w:pPr>
            <w:r>
              <w:rPr>
                <w:snapToGrid/>
                <w:color w:val="000000"/>
                <w:kern w:val="2"/>
                <w:sz w:val="24"/>
                <w:szCs w:val="24"/>
              </w:rPr>
              <w:t>由表3-3可以看出，TSP浓度值范围在</w:t>
            </w:r>
            <w:r>
              <w:rPr>
                <w:rFonts w:hint="eastAsia"/>
                <w:snapToGrid/>
                <w:color w:val="000000"/>
                <w:kern w:val="2"/>
                <w:sz w:val="24"/>
                <w:szCs w:val="24"/>
              </w:rPr>
              <w:t>126-130</w:t>
            </w:r>
            <w:r>
              <w:rPr>
                <w:snapToGrid/>
                <w:color w:val="000000"/>
                <w:kern w:val="2"/>
                <w:sz w:val="24"/>
                <w:szCs w:val="24"/>
              </w:rPr>
              <w:t>μg/Nm</w:t>
            </w:r>
            <w:r>
              <w:rPr>
                <w:snapToGrid/>
                <w:color w:val="000000"/>
                <w:kern w:val="2"/>
                <w:sz w:val="24"/>
                <w:szCs w:val="24"/>
                <w:vertAlign w:val="superscript"/>
              </w:rPr>
              <w:t>3</w:t>
            </w:r>
            <w:r>
              <w:rPr>
                <w:snapToGrid/>
                <w:color w:val="000000"/>
                <w:kern w:val="2"/>
                <w:sz w:val="24"/>
                <w:szCs w:val="24"/>
              </w:rPr>
              <w:t>之间，所有测点TSP</w:t>
            </w:r>
            <w:r>
              <w:rPr>
                <w:rFonts w:hint="eastAsia"/>
                <w:snapToGrid/>
                <w:color w:val="000000"/>
                <w:kern w:val="2"/>
                <w:sz w:val="24"/>
                <w:szCs w:val="24"/>
              </w:rPr>
              <w:t>浓度</w:t>
            </w:r>
            <w:r>
              <w:rPr>
                <w:snapToGrid/>
                <w:color w:val="000000"/>
                <w:kern w:val="2"/>
                <w:sz w:val="24"/>
                <w:szCs w:val="24"/>
              </w:rPr>
              <w:t>均满足《长治市工业企业无组织排放治理实施方案》（长气防办【2019】9号）排放限值要求。非甲烷总烃浓度值范围在</w:t>
            </w:r>
            <w:r>
              <w:rPr>
                <w:rFonts w:hint="eastAsia"/>
                <w:snapToGrid/>
                <w:color w:val="000000"/>
                <w:kern w:val="2"/>
                <w:sz w:val="24"/>
                <w:szCs w:val="24"/>
              </w:rPr>
              <w:t>0.37-0.88</w:t>
            </w:r>
            <w:r>
              <w:rPr>
                <w:snapToGrid/>
                <w:color w:val="000000"/>
                <w:kern w:val="2"/>
                <w:sz w:val="24"/>
                <w:szCs w:val="24"/>
              </w:rPr>
              <w:t>mg/Nm3，所有测点非甲烷总烃</w:t>
            </w:r>
            <w:r>
              <w:rPr>
                <w:rFonts w:hint="eastAsia"/>
                <w:snapToGrid/>
                <w:color w:val="000000"/>
                <w:kern w:val="2"/>
                <w:sz w:val="24"/>
                <w:szCs w:val="24"/>
              </w:rPr>
              <w:t>浓度</w:t>
            </w:r>
            <w:r>
              <w:rPr>
                <w:snapToGrid/>
                <w:color w:val="000000"/>
                <w:kern w:val="2"/>
                <w:sz w:val="24"/>
                <w:szCs w:val="24"/>
              </w:rPr>
              <w:t>均满足各监测值浓度可满足</w:t>
            </w:r>
            <w:r>
              <w:rPr>
                <w:snapToGrid/>
                <w:color w:val="000000"/>
                <w:kern w:val="2"/>
                <w:sz w:val="24"/>
                <w:szCs w:val="24"/>
                <w:lang w:val="en-GB"/>
              </w:rPr>
              <w:t>《环境空气质量标准 非甲烷总烃限值》（DB13/1577-2012）中二级标准要求（</w:t>
            </w:r>
            <w:r>
              <w:rPr>
                <w:snapToGrid/>
                <w:color w:val="000000"/>
                <w:kern w:val="2"/>
                <w:sz w:val="24"/>
                <w:szCs w:val="24"/>
                <w:lang w:val="zh-CN"/>
              </w:rPr>
              <w:t>2.0mg/m</w:t>
            </w:r>
            <w:r>
              <w:rPr>
                <w:snapToGrid/>
                <w:color w:val="000000"/>
                <w:kern w:val="2"/>
                <w:sz w:val="24"/>
                <w:szCs w:val="24"/>
                <w:vertAlign w:val="superscript"/>
                <w:lang w:val="zh-CN"/>
              </w:rPr>
              <w:t>3</w:t>
            </w:r>
            <w:r>
              <w:rPr>
                <w:snapToGrid/>
                <w:color w:val="000000"/>
                <w:kern w:val="2"/>
                <w:sz w:val="24"/>
                <w:szCs w:val="24"/>
                <w:lang w:val="en-GB"/>
              </w:rPr>
              <w:t>）</w:t>
            </w:r>
            <w:r>
              <w:rPr>
                <w:snapToGrid/>
                <w:color w:val="000000"/>
                <w:kern w:val="2"/>
                <w:sz w:val="24"/>
                <w:szCs w:val="24"/>
              </w:rPr>
              <w:t>中二级浓度限值要求。由此说明，本项目所在区域环境空气质量较好。</w:t>
            </w:r>
          </w:p>
          <w:p>
            <w:pPr>
              <w:spacing w:line="480" w:lineRule="exact"/>
              <w:ind w:firstLine="480" w:firstLineChars="200"/>
              <w:rPr>
                <w:color w:val="000000"/>
              </w:rPr>
            </w:pPr>
            <w:r>
              <w:rPr>
                <w:color w:val="000000"/>
              </w:rPr>
              <w:t>鉴于中国环境空气质量标准中暂无非甲烷总烃的标准，且山西省尚未制定地方标准。因此，本次评价区域环境空气中非甲烷总烃的环境空气质量标准参照执行河北省地方标准：</w:t>
            </w:r>
            <w:r>
              <w:rPr>
                <w:color w:val="000000"/>
                <w:lang w:val="en-GB"/>
              </w:rPr>
              <w:t>《环境空气质量标准 非甲烷总烃限值》（DB13/1577-2012）</w:t>
            </w:r>
            <w:r>
              <w:rPr>
                <w:color w:val="000000"/>
              </w:rPr>
              <w:t>中数据。</w:t>
            </w:r>
          </w:p>
          <w:p>
            <w:pPr>
              <w:spacing w:line="480" w:lineRule="exact"/>
              <w:jc w:val="left"/>
              <w:rPr>
                <w:b/>
                <w:color w:val="000000"/>
              </w:rPr>
            </w:pPr>
            <w:r>
              <w:rPr>
                <w:b/>
                <w:color w:val="000000"/>
              </w:rPr>
              <w:t>二、地表水环境质量现状</w:t>
            </w:r>
          </w:p>
          <w:p>
            <w:pPr>
              <w:spacing w:line="480" w:lineRule="exact"/>
              <w:ind w:firstLine="480" w:firstLineChars="200"/>
            </w:pPr>
            <w:r>
              <w:rPr>
                <w:color w:val="000000"/>
              </w:rPr>
              <w:t>根据《山西省地表水环境功能区划》（DB14/67-2019），本项目所在区域地表水为漳河，执行Ⅴ类水质标准。本次评价收集了长治市市2022年3月地表水环境质量状况漳河（南李末村断面）的监测资料，监测结果表明</w:t>
            </w:r>
            <w:r>
              <w:t>2022年3月南李末断面主要监测项目均达到《地表水环境质量标准》（GB3838-2002）中Ⅲ类标准。</w:t>
            </w:r>
          </w:p>
          <w:p>
            <w:pPr>
              <w:spacing w:line="480" w:lineRule="exact"/>
              <w:jc w:val="left"/>
              <w:rPr>
                <w:b/>
                <w:color w:val="000000"/>
              </w:rPr>
            </w:pPr>
            <w:r>
              <w:rPr>
                <w:b/>
                <w:color w:val="000000"/>
              </w:rPr>
              <w:t>三、声环境质量现状</w:t>
            </w:r>
          </w:p>
          <w:p>
            <w:pPr>
              <w:spacing w:line="480" w:lineRule="exact"/>
              <w:ind w:firstLine="480" w:firstLineChars="200"/>
              <w:rPr>
                <w:b/>
                <w:spacing w:val="4"/>
              </w:rPr>
            </w:pPr>
            <w:r>
              <w:rPr>
                <w:bCs/>
                <w:color w:val="000000"/>
              </w:rPr>
              <w:t>经现场勘查，本项</w:t>
            </w:r>
            <w:r>
              <w:rPr>
                <w:color w:val="000000"/>
              </w:rPr>
              <w:t>目50m范围</w:t>
            </w:r>
            <w:r>
              <w:rPr>
                <w:bCs/>
                <w:color w:val="000000"/>
              </w:rPr>
              <w:t>内无声环境保护目标。</w:t>
            </w:r>
            <w:r>
              <w:t>本项目</w:t>
            </w:r>
            <w:r>
              <w:rPr>
                <w:bCs/>
              </w:rPr>
              <w:t>于2022年</w:t>
            </w:r>
            <w:r>
              <w:rPr>
                <w:rFonts w:hint="eastAsia"/>
                <w:bCs/>
              </w:rPr>
              <w:t>5</w:t>
            </w:r>
            <w:r>
              <w:rPr>
                <w:bCs/>
              </w:rPr>
              <w:t>月</w:t>
            </w:r>
            <w:r>
              <w:rPr>
                <w:rFonts w:hint="eastAsia"/>
                <w:bCs/>
              </w:rPr>
              <w:t>13</w:t>
            </w:r>
            <w:r>
              <w:rPr>
                <w:bCs/>
              </w:rPr>
              <w:t>日委托山西</w:t>
            </w:r>
            <w:r>
              <w:rPr>
                <w:rFonts w:hint="eastAsia"/>
                <w:bCs/>
              </w:rPr>
              <w:t>智诺环保科技</w:t>
            </w:r>
            <w:r>
              <w:rPr>
                <w:bCs/>
              </w:rPr>
              <w:t>有限公司对本项目</w:t>
            </w:r>
            <w:r>
              <w:rPr>
                <w:rFonts w:hint="eastAsia"/>
                <w:bCs/>
              </w:rPr>
              <w:t>厂</w:t>
            </w:r>
            <w:r>
              <w:rPr>
                <w:bCs/>
              </w:rPr>
              <w:t>界四周进行了声环境质量现状监测。</w:t>
            </w:r>
            <w:r>
              <w:rPr>
                <w:spacing w:val="6"/>
              </w:rPr>
              <w:t>具体监测和评价结果见表3-</w:t>
            </w:r>
            <w:r>
              <w:rPr>
                <w:rFonts w:hint="eastAsia"/>
                <w:spacing w:val="6"/>
              </w:rPr>
              <w:t>4</w:t>
            </w:r>
            <w:r>
              <w:rPr>
                <w:spacing w:val="6"/>
              </w:rPr>
              <w:t>。</w:t>
            </w:r>
          </w:p>
          <w:p>
            <w:pPr>
              <w:adjustRightInd w:val="0"/>
              <w:snapToGrid w:val="0"/>
              <w:spacing w:line="460" w:lineRule="exact"/>
              <w:ind w:firstLine="497" w:firstLineChars="200"/>
              <w:jc w:val="center"/>
              <w:rPr>
                <w:b/>
                <w:spacing w:val="4"/>
              </w:rPr>
            </w:pPr>
            <w:r>
              <w:rPr>
                <w:b/>
                <w:spacing w:val="4"/>
              </w:rPr>
              <w:t>表3-</w:t>
            </w:r>
            <w:r>
              <w:rPr>
                <w:rFonts w:hint="eastAsia"/>
                <w:b/>
                <w:spacing w:val="4"/>
              </w:rPr>
              <w:t>4</w:t>
            </w:r>
            <w:r>
              <w:rPr>
                <w:b/>
                <w:spacing w:val="4"/>
              </w:rPr>
              <w:t xml:space="preserve">  噪声监测结果统计表</w:t>
            </w:r>
          </w:p>
          <w:tbl>
            <w:tblPr>
              <w:tblStyle w:val="31"/>
              <w:tblW w:w="801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58"/>
              <w:gridCol w:w="1290"/>
              <w:gridCol w:w="513"/>
              <w:gridCol w:w="514"/>
              <w:gridCol w:w="513"/>
              <w:gridCol w:w="514"/>
              <w:gridCol w:w="503"/>
              <w:gridCol w:w="510"/>
              <w:gridCol w:w="514"/>
              <w:gridCol w:w="506"/>
              <w:gridCol w:w="514"/>
              <w:gridCol w:w="513"/>
              <w:gridCol w:w="547"/>
              <w:gridCol w:w="51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558" w:type="dxa"/>
                  <w:vMerge w:val="restart"/>
                  <w:vAlign w:val="center"/>
                </w:tcPr>
                <w:p>
                  <w:pPr>
                    <w:widowControl/>
                    <w:snapToGrid w:val="0"/>
                    <w:spacing w:line="320" w:lineRule="exact"/>
                    <w:jc w:val="center"/>
                    <w:rPr>
                      <w:spacing w:val="-10"/>
                      <w:sz w:val="21"/>
                      <w:szCs w:val="21"/>
                    </w:rPr>
                  </w:pPr>
                  <w:r>
                    <w:rPr>
                      <w:spacing w:val="-10"/>
                      <w:kern w:val="0"/>
                      <w:sz w:val="21"/>
                      <w:szCs w:val="21"/>
                    </w:rPr>
                    <w:t>日期</w:t>
                  </w:r>
                </w:p>
              </w:tc>
              <w:tc>
                <w:tcPr>
                  <w:tcW w:w="1290" w:type="dxa"/>
                  <w:vMerge w:val="restart"/>
                  <w:vAlign w:val="center"/>
                </w:tcPr>
                <w:p>
                  <w:pPr>
                    <w:widowControl/>
                    <w:snapToGrid w:val="0"/>
                    <w:spacing w:line="320" w:lineRule="exact"/>
                    <w:jc w:val="center"/>
                    <w:rPr>
                      <w:spacing w:val="-10"/>
                      <w:sz w:val="21"/>
                      <w:szCs w:val="21"/>
                    </w:rPr>
                  </w:pPr>
                  <w:r>
                    <w:rPr>
                      <w:spacing w:val="-10"/>
                      <w:sz w:val="21"/>
                      <w:szCs w:val="21"/>
                    </w:rPr>
                    <w:t>位  置</w:t>
                  </w:r>
                </w:p>
              </w:tc>
              <w:tc>
                <w:tcPr>
                  <w:tcW w:w="3067" w:type="dxa"/>
                  <w:gridSpan w:val="6"/>
                  <w:vAlign w:val="center"/>
                </w:tcPr>
                <w:p>
                  <w:pPr>
                    <w:snapToGrid w:val="0"/>
                    <w:spacing w:line="320" w:lineRule="exact"/>
                    <w:jc w:val="center"/>
                    <w:rPr>
                      <w:spacing w:val="-10"/>
                      <w:sz w:val="21"/>
                      <w:szCs w:val="21"/>
                    </w:rPr>
                  </w:pPr>
                  <w:r>
                    <w:rPr>
                      <w:spacing w:val="-10"/>
                      <w:sz w:val="21"/>
                      <w:szCs w:val="21"/>
                    </w:rPr>
                    <w:t>昼    间</w:t>
                  </w:r>
                </w:p>
              </w:tc>
              <w:tc>
                <w:tcPr>
                  <w:tcW w:w="3104" w:type="dxa"/>
                  <w:gridSpan w:val="6"/>
                  <w:vAlign w:val="center"/>
                </w:tcPr>
                <w:p>
                  <w:pPr>
                    <w:snapToGrid w:val="0"/>
                    <w:spacing w:line="320" w:lineRule="exact"/>
                    <w:jc w:val="center"/>
                    <w:rPr>
                      <w:spacing w:val="-10"/>
                      <w:sz w:val="21"/>
                      <w:szCs w:val="21"/>
                    </w:rPr>
                  </w:pPr>
                  <w:r>
                    <w:rPr>
                      <w:spacing w:val="-10"/>
                      <w:sz w:val="21"/>
                      <w:szCs w:val="21"/>
                    </w:rPr>
                    <w:t>夜    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0" w:hRule="atLeast"/>
                <w:jc w:val="center"/>
              </w:trPr>
              <w:tc>
                <w:tcPr>
                  <w:tcW w:w="558" w:type="dxa"/>
                  <w:vMerge w:val="continue"/>
                  <w:vAlign w:val="center"/>
                </w:tcPr>
                <w:p>
                  <w:pPr>
                    <w:widowControl/>
                    <w:spacing w:line="320" w:lineRule="exact"/>
                    <w:jc w:val="left"/>
                    <w:rPr>
                      <w:spacing w:val="-10"/>
                      <w:sz w:val="21"/>
                      <w:szCs w:val="21"/>
                    </w:rPr>
                  </w:pPr>
                </w:p>
              </w:tc>
              <w:tc>
                <w:tcPr>
                  <w:tcW w:w="1290" w:type="dxa"/>
                  <w:vMerge w:val="continue"/>
                  <w:vAlign w:val="center"/>
                </w:tcPr>
                <w:p>
                  <w:pPr>
                    <w:widowControl/>
                    <w:spacing w:line="320" w:lineRule="exact"/>
                    <w:jc w:val="left"/>
                    <w:rPr>
                      <w:spacing w:val="-10"/>
                      <w:sz w:val="21"/>
                      <w:szCs w:val="21"/>
                    </w:rPr>
                  </w:pPr>
                </w:p>
              </w:tc>
              <w:tc>
                <w:tcPr>
                  <w:tcW w:w="513" w:type="dxa"/>
                  <w:vAlign w:val="center"/>
                </w:tcPr>
                <w:p>
                  <w:pPr>
                    <w:spacing w:line="320" w:lineRule="exact"/>
                    <w:jc w:val="center"/>
                    <w:rPr>
                      <w:sz w:val="21"/>
                      <w:szCs w:val="21"/>
                    </w:rPr>
                  </w:pPr>
                  <w:r>
                    <w:rPr>
                      <w:sz w:val="21"/>
                      <w:szCs w:val="21"/>
                    </w:rPr>
                    <w:t>Leq</w:t>
                  </w:r>
                </w:p>
              </w:tc>
              <w:tc>
                <w:tcPr>
                  <w:tcW w:w="514" w:type="dxa"/>
                  <w:vAlign w:val="center"/>
                </w:tcPr>
                <w:p>
                  <w:pPr>
                    <w:spacing w:line="320" w:lineRule="exact"/>
                    <w:jc w:val="center"/>
                    <w:rPr>
                      <w:sz w:val="21"/>
                      <w:szCs w:val="21"/>
                    </w:rPr>
                  </w:pPr>
                  <w:r>
                    <w:rPr>
                      <w:sz w:val="21"/>
                      <w:szCs w:val="21"/>
                    </w:rPr>
                    <w:t>L</w:t>
                  </w:r>
                  <w:r>
                    <w:rPr>
                      <w:sz w:val="21"/>
                      <w:szCs w:val="21"/>
                      <w:vertAlign w:val="subscript"/>
                    </w:rPr>
                    <w:t>10</w:t>
                  </w:r>
                </w:p>
              </w:tc>
              <w:tc>
                <w:tcPr>
                  <w:tcW w:w="513" w:type="dxa"/>
                  <w:vAlign w:val="center"/>
                </w:tcPr>
                <w:p>
                  <w:pPr>
                    <w:spacing w:line="320" w:lineRule="exact"/>
                    <w:jc w:val="center"/>
                    <w:rPr>
                      <w:sz w:val="21"/>
                      <w:szCs w:val="21"/>
                    </w:rPr>
                  </w:pPr>
                  <w:r>
                    <w:rPr>
                      <w:sz w:val="21"/>
                      <w:szCs w:val="21"/>
                    </w:rPr>
                    <w:t>L</w:t>
                  </w:r>
                  <w:r>
                    <w:rPr>
                      <w:sz w:val="21"/>
                      <w:szCs w:val="21"/>
                      <w:vertAlign w:val="subscript"/>
                    </w:rPr>
                    <w:t>50</w:t>
                  </w:r>
                </w:p>
              </w:tc>
              <w:tc>
                <w:tcPr>
                  <w:tcW w:w="514" w:type="dxa"/>
                  <w:vAlign w:val="center"/>
                </w:tcPr>
                <w:p>
                  <w:pPr>
                    <w:spacing w:line="320" w:lineRule="exact"/>
                    <w:jc w:val="center"/>
                    <w:rPr>
                      <w:sz w:val="21"/>
                      <w:szCs w:val="21"/>
                    </w:rPr>
                  </w:pPr>
                  <w:r>
                    <w:rPr>
                      <w:sz w:val="21"/>
                      <w:szCs w:val="21"/>
                    </w:rPr>
                    <w:t>L</w:t>
                  </w:r>
                  <w:r>
                    <w:rPr>
                      <w:sz w:val="21"/>
                      <w:szCs w:val="21"/>
                      <w:vertAlign w:val="subscript"/>
                    </w:rPr>
                    <w:t>90</w:t>
                  </w:r>
                </w:p>
              </w:tc>
              <w:tc>
                <w:tcPr>
                  <w:tcW w:w="503" w:type="dxa"/>
                  <w:vAlign w:val="center"/>
                </w:tcPr>
                <w:p>
                  <w:pPr>
                    <w:snapToGrid w:val="0"/>
                    <w:spacing w:line="320" w:lineRule="exact"/>
                    <w:jc w:val="center"/>
                    <w:rPr>
                      <w:spacing w:val="-10"/>
                      <w:sz w:val="21"/>
                      <w:szCs w:val="21"/>
                    </w:rPr>
                  </w:pPr>
                  <w:r>
                    <w:rPr>
                      <w:spacing w:val="-10"/>
                      <w:sz w:val="21"/>
                      <w:szCs w:val="21"/>
                    </w:rPr>
                    <w:t>标准值</w:t>
                  </w:r>
                </w:p>
              </w:tc>
              <w:tc>
                <w:tcPr>
                  <w:tcW w:w="510" w:type="dxa"/>
                  <w:vAlign w:val="center"/>
                </w:tcPr>
                <w:p>
                  <w:pPr>
                    <w:snapToGrid w:val="0"/>
                    <w:spacing w:line="320" w:lineRule="exact"/>
                    <w:jc w:val="center"/>
                    <w:rPr>
                      <w:spacing w:val="-10"/>
                      <w:sz w:val="21"/>
                      <w:szCs w:val="21"/>
                    </w:rPr>
                  </w:pPr>
                  <w:r>
                    <w:rPr>
                      <w:spacing w:val="-10"/>
                      <w:sz w:val="21"/>
                      <w:szCs w:val="21"/>
                    </w:rPr>
                    <w:t>达标情况</w:t>
                  </w:r>
                </w:p>
              </w:tc>
              <w:tc>
                <w:tcPr>
                  <w:tcW w:w="514" w:type="dxa"/>
                  <w:vAlign w:val="center"/>
                </w:tcPr>
                <w:p>
                  <w:pPr>
                    <w:spacing w:line="320" w:lineRule="exact"/>
                    <w:jc w:val="center"/>
                    <w:rPr>
                      <w:sz w:val="21"/>
                      <w:szCs w:val="21"/>
                    </w:rPr>
                  </w:pPr>
                  <w:r>
                    <w:rPr>
                      <w:sz w:val="21"/>
                      <w:szCs w:val="21"/>
                    </w:rPr>
                    <w:t>Leq</w:t>
                  </w:r>
                </w:p>
              </w:tc>
              <w:tc>
                <w:tcPr>
                  <w:tcW w:w="506" w:type="dxa"/>
                  <w:vAlign w:val="center"/>
                </w:tcPr>
                <w:p>
                  <w:pPr>
                    <w:spacing w:line="320" w:lineRule="exact"/>
                    <w:jc w:val="center"/>
                    <w:rPr>
                      <w:sz w:val="21"/>
                      <w:szCs w:val="21"/>
                    </w:rPr>
                  </w:pPr>
                  <w:r>
                    <w:rPr>
                      <w:sz w:val="21"/>
                      <w:szCs w:val="21"/>
                    </w:rPr>
                    <w:t>L</w:t>
                  </w:r>
                  <w:r>
                    <w:rPr>
                      <w:sz w:val="21"/>
                      <w:szCs w:val="21"/>
                      <w:vertAlign w:val="subscript"/>
                    </w:rPr>
                    <w:t>10</w:t>
                  </w:r>
                </w:p>
              </w:tc>
              <w:tc>
                <w:tcPr>
                  <w:tcW w:w="514" w:type="dxa"/>
                  <w:vAlign w:val="center"/>
                </w:tcPr>
                <w:p>
                  <w:pPr>
                    <w:spacing w:line="320" w:lineRule="exact"/>
                    <w:jc w:val="center"/>
                    <w:rPr>
                      <w:sz w:val="21"/>
                      <w:szCs w:val="21"/>
                    </w:rPr>
                  </w:pPr>
                  <w:r>
                    <w:rPr>
                      <w:sz w:val="21"/>
                      <w:szCs w:val="21"/>
                    </w:rPr>
                    <w:t>L</w:t>
                  </w:r>
                  <w:r>
                    <w:rPr>
                      <w:sz w:val="21"/>
                      <w:szCs w:val="21"/>
                      <w:vertAlign w:val="subscript"/>
                    </w:rPr>
                    <w:t>50</w:t>
                  </w:r>
                </w:p>
              </w:tc>
              <w:tc>
                <w:tcPr>
                  <w:tcW w:w="513" w:type="dxa"/>
                  <w:vAlign w:val="center"/>
                </w:tcPr>
                <w:p>
                  <w:pPr>
                    <w:spacing w:line="320" w:lineRule="exact"/>
                    <w:jc w:val="center"/>
                    <w:rPr>
                      <w:sz w:val="21"/>
                      <w:szCs w:val="21"/>
                    </w:rPr>
                  </w:pPr>
                  <w:r>
                    <w:rPr>
                      <w:sz w:val="21"/>
                      <w:szCs w:val="21"/>
                    </w:rPr>
                    <w:t>L</w:t>
                  </w:r>
                  <w:r>
                    <w:rPr>
                      <w:sz w:val="21"/>
                      <w:szCs w:val="21"/>
                      <w:vertAlign w:val="subscript"/>
                    </w:rPr>
                    <w:t>90</w:t>
                  </w:r>
                </w:p>
              </w:tc>
              <w:tc>
                <w:tcPr>
                  <w:tcW w:w="547" w:type="dxa"/>
                  <w:vAlign w:val="center"/>
                </w:tcPr>
                <w:p>
                  <w:pPr>
                    <w:snapToGrid w:val="0"/>
                    <w:spacing w:line="320" w:lineRule="exact"/>
                    <w:jc w:val="center"/>
                    <w:rPr>
                      <w:spacing w:val="-10"/>
                      <w:sz w:val="21"/>
                      <w:szCs w:val="21"/>
                    </w:rPr>
                  </w:pPr>
                  <w:r>
                    <w:rPr>
                      <w:spacing w:val="-10"/>
                      <w:sz w:val="21"/>
                      <w:szCs w:val="21"/>
                    </w:rPr>
                    <w:t>标准值</w:t>
                  </w:r>
                </w:p>
              </w:tc>
              <w:tc>
                <w:tcPr>
                  <w:tcW w:w="510" w:type="dxa"/>
                  <w:vAlign w:val="center"/>
                </w:tcPr>
                <w:p>
                  <w:pPr>
                    <w:snapToGrid w:val="0"/>
                    <w:spacing w:line="320" w:lineRule="exact"/>
                    <w:jc w:val="center"/>
                    <w:rPr>
                      <w:spacing w:val="-10"/>
                      <w:sz w:val="21"/>
                      <w:szCs w:val="21"/>
                    </w:rPr>
                  </w:pPr>
                  <w:r>
                    <w:rPr>
                      <w:spacing w:val="-10"/>
                      <w:sz w:val="21"/>
                      <w:szCs w:val="21"/>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0" w:hRule="atLeast"/>
                <w:jc w:val="center"/>
              </w:trPr>
              <w:tc>
                <w:tcPr>
                  <w:tcW w:w="558" w:type="dxa"/>
                  <w:vMerge w:val="restart"/>
                  <w:vAlign w:val="center"/>
                </w:tcPr>
                <w:p>
                  <w:pPr>
                    <w:snapToGrid w:val="0"/>
                    <w:spacing w:line="320" w:lineRule="exact"/>
                    <w:jc w:val="center"/>
                    <w:rPr>
                      <w:spacing w:val="-10"/>
                      <w:sz w:val="21"/>
                      <w:szCs w:val="21"/>
                      <w:highlight w:val="yellow"/>
                    </w:rPr>
                  </w:pPr>
                  <w:r>
                    <w:rPr>
                      <w:spacing w:val="-10"/>
                      <w:sz w:val="21"/>
                      <w:szCs w:val="21"/>
                    </w:rPr>
                    <w:t>2022年1月5日</w:t>
                  </w:r>
                </w:p>
              </w:tc>
              <w:tc>
                <w:tcPr>
                  <w:tcW w:w="1290" w:type="dxa"/>
                  <w:vAlign w:val="center"/>
                </w:tcPr>
                <w:p>
                  <w:pPr>
                    <w:spacing w:line="320" w:lineRule="exact"/>
                    <w:jc w:val="center"/>
                    <w:rPr>
                      <w:sz w:val="21"/>
                      <w:szCs w:val="21"/>
                    </w:rPr>
                  </w:pPr>
                  <w:r>
                    <w:rPr>
                      <w:sz w:val="21"/>
                      <w:szCs w:val="21"/>
                    </w:rPr>
                    <w:t>1#</w:t>
                  </w:r>
                  <w:r>
                    <w:rPr>
                      <w:rFonts w:hint="eastAsia"/>
                      <w:sz w:val="21"/>
                      <w:szCs w:val="21"/>
                    </w:rPr>
                    <w:t>西厂</w:t>
                  </w:r>
                  <w:r>
                    <w:rPr>
                      <w:sz w:val="21"/>
                      <w:szCs w:val="21"/>
                    </w:rPr>
                    <w:t>界</w:t>
                  </w:r>
                </w:p>
              </w:tc>
              <w:tc>
                <w:tcPr>
                  <w:tcW w:w="513" w:type="dxa"/>
                  <w:vAlign w:val="center"/>
                </w:tcPr>
                <w:p>
                  <w:pPr>
                    <w:spacing w:line="320" w:lineRule="exact"/>
                    <w:jc w:val="center"/>
                    <w:rPr>
                      <w:sz w:val="21"/>
                      <w:szCs w:val="21"/>
                    </w:rPr>
                  </w:pPr>
                  <w:r>
                    <w:rPr>
                      <w:rFonts w:hint="eastAsia"/>
                      <w:color w:val="000000"/>
                      <w:sz w:val="21"/>
                      <w:szCs w:val="21"/>
                    </w:rPr>
                    <w:t>53.1</w:t>
                  </w:r>
                </w:p>
              </w:tc>
              <w:tc>
                <w:tcPr>
                  <w:tcW w:w="514" w:type="dxa"/>
                  <w:vAlign w:val="center"/>
                </w:tcPr>
                <w:p>
                  <w:pPr>
                    <w:spacing w:line="320" w:lineRule="exact"/>
                    <w:jc w:val="center"/>
                    <w:rPr>
                      <w:sz w:val="21"/>
                      <w:szCs w:val="21"/>
                    </w:rPr>
                  </w:pPr>
                  <w:r>
                    <w:rPr>
                      <w:rFonts w:hint="eastAsia"/>
                      <w:color w:val="000000"/>
                      <w:sz w:val="21"/>
                      <w:szCs w:val="21"/>
                    </w:rPr>
                    <w:t>54.4</w:t>
                  </w:r>
                </w:p>
              </w:tc>
              <w:tc>
                <w:tcPr>
                  <w:tcW w:w="513" w:type="dxa"/>
                  <w:vAlign w:val="center"/>
                </w:tcPr>
                <w:p>
                  <w:pPr>
                    <w:jc w:val="center"/>
                    <w:rPr>
                      <w:sz w:val="21"/>
                      <w:szCs w:val="21"/>
                    </w:rPr>
                  </w:pPr>
                  <w:r>
                    <w:rPr>
                      <w:rFonts w:hint="eastAsia"/>
                      <w:color w:val="000000"/>
                      <w:sz w:val="21"/>
                      <w:szCs w:val="21"/>
                    </w:rPr>
                    <w:t>52.6</w:t>
                  </w:r>
                </w:p>
              </w:tc>
              <w:tc>
                <w:tcPr>
                  <w:tcW w:w="514" w:type="dxa"/>
                  <w:vAlign w:val="center"/>
                </w:tcPr>
                <w:p>
                  <w:pPr>
                    <w:spacing w:line="320" w:lineRule="exact"/>
                    <w:jc w:val="center"/>
                    <w:rPr>
                      <w:sz w:val="21"/>
                      <w:szCs w:val="21"/>
                    </w:rPr>
                  </w:pPr>
                  <w:r>
                    <w:rPr>
                      <w:rFonts w:hint="eastAsia"/>
                      <w:color w:val="000000"/>
                      <w:sz w:val="21"/>
                      <w:szCs w:val="21"/>
                    </w:rPr>
                    <w:t>49.6</w:t>
                  </w:r>
                </w:p>
              </w:tc>
              <w:tc>
                <w:tcPr>
                  <w:tcW w:w="503" w:type="dxa"/>
                  <w:vAlign w:val="center"/>
                </w:tcPr>
                <w:p>
                  <w:pPr>
                    <w:snapToGrid w:val="0"/>
                    <w:spacing w:line="320" w:lineRule="exact"/>
                    <w:jc w:val="center"/>
                    <w:rPr>
                      <w:sz w:val="21"/>
                      <w:szCs w:val="21"/>
                    </w:rPr>
                  </w:pPr>
                  <w:r>
                    <w:rPr>
                      <w:rFonts w:hint="eastAsia"/>
                      <w:sz w:val="21"/>
                      <w:szCs w:val="21"/>
                    </w:rPr>
                    <w:t>60</w:t>
                  </w:r>
                </w:p>
              </w:tc>
              <w:tc>
                <w:tcPr>
                  <w:tcW w:w="510" w:type="dxa"/>
                  <w:vAlign w:val="center"/>
                </w:tcPr>
                <w:p>
                  <w:pPr>
                    <w:snapToGrid w:val="0"/>
                    <w:spacing w:line="320" w:lineRule="exact"/>
                    <w:jc w:val="center"/>
                    <w:rPr>
                      <w:sz w:val="21"/>
                      <w:szCs w:val="21"/>
                    </w:rPr>
                  </w:pPr>
                  <w:r>
                    <w:rPr>
                      <w:sz w:val="21"/>
                      <w:szCs w:val="21"/>
                    </w:rPr>
                    <w:t>达标</w:t>
                  </w:r>
                </w:p>
              </w:tc>
              <w:tc>
                <w:tcPr>
                  <w:tcW w:w="514" w:type="dxa"/>
                  <w:vAlign w:val="center"/>
                </w:tcPr>
                <w:p>
                  <w:pPr>
                    <w:spacing w:line="320" w:lineRule="exact"/>
                    <w:jc w:val="center"/>
                    <w:rPr>
                      <w:sz w:val="21"/>
                      <w:szCs w:val="21"/>
                    </w:rPr>
                  </w:pPr>
                  <w:r>
                    <w:rPr>
                      <w:rFonts w:hint="eastAsia"/>
                      <w:color w:val="000000"/>
                      <w:sz w:val="21"/>
                      <w:szCs w:val="21"/>
                    </w:rPr>
                    <w:t>42.3</w:t>
                  </w:r>
                </w:p>
              </w:tc>
              <w:tc>
                <w:tcPr>
                  <w:tcW w:w="506" w:type="dxa"/>
                  <w:vAlign w:val="center"/>
                </w:tcPr>
                <w:p>
                  <w:pPr>
                    <w:spacing w:line="320" w:lineRule="exact"/>
                    <w:jc w:val="center"/>
                    <w:rPr>
                      <w:sz w:val="21"/>
                      <w:szCs w:val="21"/>
                    </w:rPr>
                  </w:pPr>
                  <w:r>
                    <w:rPr>
                      <w:rFonts w:hint="eastAsia"/>
                      <w:color w:val="000000"/>
                      <w:sz w:val="21"/>
                      <w:szCs w:val="21"/>
                    </w:rPr>
                    <w:t>44.0</w:t>
                  </w:r>
                </w:p>
              </w:tc>
              <w:tc>
                <w:tcPr>
                  <w:tcW w:w="514" w:type="dxa"/>
                  <w:vAlign w:val="center"/>
                </w:tcPr>
                <w:p>
                  <w:pPr>
                    <w:jc w:val="center"/>
                    <w:rPr>
                      <w:sz w:val="21"/>
                      <w:szCs w:val="21"/>
                    </w:rPr>
                  </w:pPr>
                  <w:r>
                    <w:rPr>
                      <w:rFonts w:hint="eastAsia"/>
                      <w:color w:val="000000"/>
                      <w:sz w:val="21"/>
                      <w:szCs w:val="21"/>
                    </w:rPr>
                    <w:t>42.2</w:t>
                  </w:r>
                </w:p>
              </w:tc>
              <w:tc>
                <w:tcPr>
                  <w:tcW w:w="513" w:type="dxa"/>
                  <w:vAlign w:val="center"/>
                </w:tcPr>
                <w:p>
                  <w:pPr>
                    <w:spacing w:line="320" w:lineRule="exact"/>
                    <w:jc w:val="center"/>
                    <w:rPr>
                      <w:spacing w:val="-10"/>
                      <w:sz w:val="21"/>
                      <w:szCs w:val="21"/>
                    </w:rPr>
                  </w:pPr>
                  <w:r>
                    <w:rPr>
                      <w:rFonts w:hint="eastAsia"/>
                      <w:color w:val="000000"/>
                      <w:sz w:val="21"/>
                      <w:szCs w:val="21"/>
                    </w:rPr>
                    <w:t>39.8</w:t>
                  </w:r>
                </w:p>
              </w:tc>
              <w:tc>
                <w:tcPr>
                  <w:tcW w:w="547" w:type="dxa"/>
                  <w:vAlign w:val="center"/>
                </w:tcPr>
                <w:p>
                  <w:pPr>
                    <w:snapToGrid w:val="0"/>
                    <w:spacing w:line="320" w:lineRule="exact"/>
                    <w:jc w:val="center"/>
                    <w:rPr>
                      <w:spacing w:val="-10"/>
                      <w:sz w:val="21"/>
                      <w:szCs w:val="21"/>
                    </w:rPr>
                  </w:pPr>
                  <w:r>
                    <w:rPr>
                      <w:rFonts w:hint="eastAsia"/>
                      <w:spacing w:val="-10"/>
                      <w:sz w:val="21"/>
                      <w:szCs w:val="21"/>
                    </w:rPr>
                    <w:t>50</w:t>
                  </w:r>
                </w:p>
              </w:tc>
              <w:tc>
                <w:tcPr>
                  <w:tcW w:w="510" w:type="dxa"/>
                  <w:vAlign w:val="center"/>
                </w:tcPr>
                <w:p>
                  <w:pPr>
                    <w:snapToGrid w:val="0"/>
                    <w:spacing w:line="320" w:lineRule="exact"/>
                    <w:jc w:val="center"/>
                    <w:rPr>
                      <w:spacing w:val="-10"/>
                      <w:sz w:val="21"/>
                      <w:szCs w:val="21"/>
                    </w:rPr>
                  </w:pPr>
                  <w:r>
                    <w:rPr>
                      <w:spacing w:val="-1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660" w:hRule="atLeast"/>
                <w:jc w:val="center"/>
              </w:trPr>
              <w:tc>
                <w:tcPr>
                  <w:tcW w:w="558" w:type="dxa"/>
                  <w:vMerge w:val="continue"/>
                  <w:vAlign w:val="center"/>
                </w:tcPr>
                <w:p>
                  <w:pPr>
                    <w:widowControl/>
                    <w:spacing w:line="320" w:lineRule="exact"/>
                    <w:jc w:val="left"/>
                    <w:rPr>
                      <w:spacing w:val="-10"/>
                      <w:sz w:val="21"/>
                      <w:szCs w:val="21"/>
                    </w:rPr>
                  </w:pPr>
                </w:p>
              </w:tc>
              <w:tc>
                <w:tcPr>
                  <w:tcW w:w="1290" w:type="dxa"/>
                  <w:vAlign w:val="center"/>
                </w:tcPr>
                <w:p>
                  <w:pPr>
                    <w:spacing w:line="320" w:lineRule="exact"/>
                    <w:jc w:val="center"/>
                    <w:rPr>
                      <w:sz w:val="21"/>
                      <w:szCs w:val="21"/>
                    </w:rPr>
                  </w:pPr>
                  <w:r>
                    <w:rPr>
                      <w:sz w:val="21"/>
                      <w:szCs w:val="21"/>
                    </w:rPr>
                    <w:t>2#南</w:t>
                  </w:r>
                  <w:r>
                    <w:rPr>
                      <w:rFonts w:hint="eastAsia"/>
                      <w:sz w:val="21"/>
                      <w:szCs w:val="21"/>
                    </w:rPr>
                    <w:t>厂</w:t>
                  </w:r>
                  <w:r>
                    <w:rPr>
                      <w:sz w:val="21"/>
                      <w:szCs w:val="21"/>
                    </w:rPr>
                    <w:t>界</w:t>
                  </w:r>
                </w:p>
              </w:tc>
              <w:tc>
                <w:tcPr>
                  <w:tcW w:w="513" w:type="dxa"/>
                  <w:vAlign w:val="center"/>
                </w:tcPr>
                <w:p>
                  <w:pPr>
                    <w:jc w:val="center"/>
                    <w:rPr>
                      <w:sz w:val="21"/>
                      <w:szCs w:val="21"/>
                    </w:rPr>
                  </w:pPr>
                  <w:r>
                    <w:rPr>
                      <w:rFonts w:hint="eastAsia"/>
                      <w:color w:val="000000"/>
                      <w:sz w:val="21"/>
                      <w:szCs w:val="21"/>
                    </w:rPr>
                    <w:t>54.7</w:t>
                  </w:r>
                </w:p>
              </w:tc>
              <w:tc>
                <w:tcPr>
                  <w:tcW w:w="514" w:type="dxa"/>
                  <w:vAlign w:val="center"/>
                </w:tcPr>
                <w:p>
                  <w:pPr>
                    <w:jc w:val="center"/>
                    <w:rPr>
                      <w:sz w:val="21"/>
                      <w:szCs w:val="21"/>
                    </w:rPr>
                  </w:pPr>
                  <w:r>
                    <w:rPr>
                      <w:rFonts w:hint="eastAsia"/>
                      <w:color w:val="000000"/>
                      <w:sz w:val="21"/>
                      <w:szCs w:val="21"/>
                    </w:rPr>
                    <w:t>56.8</w:t>
                  </w:r>
                </w:p>
              </w:tc>
              <w:tc>
                <w:tcPr>
                  <w:tcW w:w="513" w:type="dxa"/>
                  <w:vAlign w:val="center"/>
                </w:tcPr>
                <w:p>
                  <w:pPr>
                    <w:jc w:val="center"/>
                    <w:rPr>
                      <w:sz w:val="21"/>
                      <w:szCs w:val="21"/>
                    </w:rPr>
                  </w:pPr>
                  <w:r>
                    <w:rPr>
                      <w:rFonts w:hint="eastAsia"/>
                      <w:color w:val="000000"/>
                      <w:sz w:val="21"/>
                      <w:szCs w:val="21"/>
                    </w:rPr>
                    <w:t>54.0</w:t>
                  </w:r>
                </w:p>
              </w:tc>
              <w:tc>
                <w:tcPr>
                  <w:tcW w:w="514" w:type="dxa"/>
                  <w:vAlign w:val="center"/>
                </w:tcPr>
                <w:p>
                  <w:pPr>
                    <w:spacing w:line="320" w:lineRule="exact"/>
                    <w:jc w:val="center"/>
                    <w:rPr>
                      <w:sz w:val="21"/>
                      <w:szCs w:val="21"/>
                    </w:rPr>
                  </w:pPr>
                  <w:r>
                    <w:rPr>
                      <w:rFonts w:hint="eastAsia"/>
                      <w:color w:val="000000"/>
                      <w:sz w:val="21"/>
                      <w:szCs w:val="21"/>
                    </w:rPr>
                    <w:t>51.8</w:t>
                  </w:r>
                </w:p>
              </w:tc>
              <w:tc>
                <w:tcPr>
                  <w:tcW w:w="503" w:type="dxa"/>
                  <w:vAlign w:val="center"/>
                </w:tcPr>
                <w:p>
                  <w:pPr>
                    <w:snapToGrid w:val="0"/>
                    <w:spacing w:line="320" w:lineRule="exact"/>
                    <w:jc w:val="center"/>
                    <w:rPr>
                      <w:sz w:val="21"/>
                      <w:szCs w:val="21"/>
                    </w:rPr>
                  </w:pPr>
                  <w:r>
                    <w:rPr>
                      <w:rFonts w:hint="eastAsia"/>
                      <w:sz w:val="21"/>
                      <w:szCs w:val="21"/>
                    </w:rPr>
                    <w:t>60</w:t>
                  </w:r>
                </w:p>
              </w:tc>
              <w:tc>
                <w:tcPr>
                  <w:tcW w:w="510" w:type="dxa"/>
                  <w:vAlign w:val="center"/>
                </w:tcPr>
                <w:p>
                  <w:pPr>
                    <w:snapToGrid w:val="0"/>
                    <w:spacing w:line="320" w:lineRule="exact"/>
                    <w:jc w:val="center"/>
                    <w:rPr>
                      <w:sz w:val="21"/>
                      <w:szCs w:val="21"/>
                    </w:rPr>
                  </w:pPr>
                  <w:r>
                    <w:rPr>
                      <w:sz w:val="21"/>
                      <w:szCs w:val="21"/>
                    </w:rPr>
                    <w:t>达标</w:t>
                  </w:r>
                </w:p>
              </w:tc>
              <w:tc>
                <w:tcPr>
                  <w:tcW w:w="514" w:type="dxa"/>
                  <w:vAlign w:val="center"/>
                </w:tcPr>
                <w:p>
                  <w:pPr>
                    <w:spacing w:line="320" w:lineRule="exact"/>
                    <w:jc w:val="center"/>
                    <w:rPr>
                      <w:sz w:val="21"/>
                      <w:szCs w:val="21"/>
                    </w:rPr>
                  </w:pPr>
                  <w:r>
                    <w:rPr>
                      <w:rFonts w:hint="eastAsia"/>
                      <w:color w:val="000000"/>
                      <w:sz w:val="21"/>
                      <w:szCs w:val="21"/>
                    </w:rPr>
                    <w:t>41.0</w:t>
                  </w:r>
                </w:p>
              </w:tc>
              <w:tc>
                <w:tcPr>
                  <w:tcW w:w="506" w:type="dxa"/>
                  <w:vAlign w:val="center"/>
                </w:tcPr>
                <w:p>
                  <w:pPr>
                    <w:spacing w:line="320" w:lineRule="exact"/>
                    <w:jc w:val="center"/>
                    <w:rPr>
                      <w:sz w:val="21"/>
                      <w:szCs w:val="21"/>
                    </w:rPr>
                  </w:pPr>
                  <w:r>
                    <w:rPr>
                      <w:rFonts w:hint="eastAsia"/>
                      <w:color w:val="000000"/>
                      <w:sz w:val="21"/>
                      <w:szCs w:val="21"/>
                    </w:rPr>
                    <w:t>43.0</w:t>
                  </w:r>
                </w:p>
              </w:tc>
              <w:tc>
                <w:tcPr>
                  <w:tcW w:w="514" w:type="dxa"/>
                  <w:vAlign w:val="center"/>
                </w:tcPr>
                <w:p>
                  <w:pPr>
                    <w:jc w:val="center"/>
                    <w:rPr>
                      <w:sz w:val="21"/>
                      <w:szCs w:val="21"/>
                    </w:rPr>
                  </w:pPr>
                  <w:r>
                    <w:rPr>
                      <w:rFonts w:hint="eastAsia"/>
                      <w:color w:val="000000"/>
                      <w:sz w:val="21"/>
                      <w:szCs w:val="21"/>
                    </w:rPr>
                    <w:t>40.8</w:t>
                  </w:r>
                </w:p>
              </w:tc>
              <w:tc>
                <w:tcPr>
                  <w:tcW w:w="513" w:type="dxa"/>
                  <w:vAlign w:val="center"/>
                </w:tcPr>
                <w:p>
                  <w:pPr>
                    <w:spacing w:line="320" w:lineRule="exact"/>
                    <w:jc w:val="center"/>
                    <w:rPr>
                      <w:sz w:val="21"/>
                      <w:szCs w:val="21"/>
                    </w:rPr>
                  </w:pPr>
                  <w:r>
                    <w:rPr>
                      <w:rFonts w:hint="eastAsia"/>
                      <w:color w:val="000000"/>
                      <w:sz w:val="21"/>
                      <w:szCs w:val="21"/>
                    </w:rPr>
                    <w:t>38.8</w:t>
                  </w:r>
                </w:p>
              </w:tc>
              <w:tc>
                <w:tcPr>
                  <w:tcW w:w="547" w:type="dxa"/>
                  <w:vAlign w:val="center"/>
                </w:tcPr>
                <w:p>
                  <w:pPr>
                    <w:snapToGrid w:val="0"/>
                    <w:spacing w:line="320" w:lineRule="exact"/>
                    <w:jc w:val="center"/>
                    <w:rPr>
                      <w:spacing w:val="-10"/>
                      <w:sz w:val="21"/>
                      <w:szCs w:val="21"/>
                    </w:rPr>
                  </w:pPr>
                  <w:r>
                    <w:rPr>
                      <w:rFonts w:hint="eastAsia"/>
                      <w:spacing w:val="-10"/>
                      <w:sz w:val="21"/>
                      <w:szCs w:val="21"/>
                    </w:rPr>
                    <w:t>50</w:t>
                  </w:r>
                </w:p>
              </w:tc>
              <w:tc>
                <w:tcPr>
                  <w:tcW w:w="510" w:type="dxa"/>
                  <w:vAlign w:val="center"/>
                </w:tcPr>
                <w:p>
                  <w:pPr>
                    <w:snapToGrid w:val="0"/>
                    <w:spacing w:line="320" w:lineRule="exact"/>
                    <w:jc w:val="center"/>
                    <w:rPr>
                      <w:spacing w:val="-10"/>
                      <w:sz w:val="21"/>
                      <w:szCs w:val="21"/>
                    </w:rPr>
                  </w:pPr>
                  <w:r>
                    <w:rPr>
                      <w:spacing w:val="-1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0" w:hRule="atLeast"/>
                <w:jc w:val="center"/>
              </w:trPr>
              <w:tc>
                <w:tcPr>
                  <w:tcW w:w="558" w:type="dxa"/>
                  <w:vMerge w:val="continue"/>
                  <w:vAlign w:val="center"/>
                </w:tcPr>
                <w:p>
                  <w:pPr>
                    <w:widowControl/>
                    <w:spacing w:line="320" w:lineRule="exact"/>
                    <w:jc w:val="left"/>
                    <w:rPr>
                      <w:spacing w:val="-10"/>
                      <w:sz w:val="21"/>
                      <w:szCs w:val="21"/>
                    </w:rPr>
                  </w:pPr>
                </w:p>
              </w:tc>
              <w:tc>
                <w:tcPr>
                  <w:tcW w:w="1290" w:type="dxa"/>
                  <w:vAlign w:val="center"/>
                </w:tcPr>
                <w:p>
                  <w:pPr>
                    <w:spacing w:line="320" w:lineRule="exact"/>
                    <w:jc w:val="center"/>
                    <w:rPr>
                      <w:sz w:val="21"/>
                      <w:szCs w:val="21"/>
                    </w:rPr>
                  </w:pPr>
                  <w:r>
                    <w:rPr>
                      <w:sz w:val="21"/>
                      <w:szCs w:val="21"/>
                    </w:rPr>
                    <w:t>3#</w:t>
                  </w:r>
                  <w:r>
                    <w:rPr>
                      <w:rFonts w:hint="eastAsia"/>
                      <w:sz w:val="21"/>
                      <w:szCs w:val="21"/>
                    </w:rPr>
                    <w:t>东厂</w:t>
                  </w:r>
                  <w:r>
                    <w:rPr>
                      <w:sz w:val="21"/>
                      <w:szCs w:val="21"/>
                    </w:rPr>
                    <w:t>界</w:t>
                  </w:r>
                </w:p>
              </w:tc>
              <w:tc>
                <w:tcPr>
                  <w:tcW w:w="513" w:type="dxa"/>
                  <w:vAlign w:val="center"/>
                </w:tcPr>
                <w:p>
                  <w:pPr>
                    <w:jc w:val="center"/>
                    <w:rPr>
                      <w:sz w:val="21"/>
                      <w:szCs w:val="21"/>
                    </w:rPr>
                  </w:pPr>
                  <w:r>
                    <w:rPr>
                      <w:rFonts w:hint="eastAsia"/>
                      <w:color w:val="000000"/>
                      <w:sz w:val="21"/>
                      <w:szCs w:val="21"/>
                    </w:rPr>
                    <w:t>52.5</w:t>
                  </w:r>
                </w:p>
              </w:tc>
              <w:tc>
                <w:tcPr>
                  <w:tcW w:w="514" w:type="dxa"/>
                  <w:vAlign w:val="center"/>
                </w:tcPr>
                <w:p>
                  <w:pPr>
                    <w:jc w:val="center"/>
                    <w:rPr>
                      <w:sz w:val="21"/>
                      <w:szCs w:val="21"/>
                    </w:rPr>
                  </w:pPr>
                  <w:r>
                    <w:rPr>
                      <w:rFonts w:hint="eastAsia"/>
                      <w:color w:val="000000"/>
                      <w:sz w:val="21"/>
                      <w:szCs w:val="21"/>
                    </w:rPr>
                    <w:t>55.0</w:t>
                  </w:r>
                </w:p>
              </w:tc>
              <w:tc>
                <w:tcPr>
                  <w:tcW w:w="513" w:type="dxa"/>
                  <w:vAlign w:val="center"/>
                </w:tcPr>
                <w:p>
                  <w:pPr>
                    <w:jc w:val="center"/>
                    <w:rPr>
                      <w:sz w:val="21"/>
                      <w:szCs w:val="21"/>
                    </w:rPr>
                  </w:pPr>
                  <w:r>
                    <w:rPr>
                      <w:rFonts w:hint="eastAsia"/>
                      <w:color w:val="000000"/>
                      <w:sz w:val="21"/>
                      <w:szCs w:val="21"/>
                    </w:rPr>
                    <w:t>52.4</w:t>
                  </w:r>
                </w:p>
              </w:tc>
              <w:tc>
                <w:tcPr>
                  <w:tcW w:w="514" w:type="dxa"/>
                  <w:vAlign w:val="center"/>
                </w:tcPr>
                <w:p>
                  <w:pPr>
                    <w:spacing w:line="320" w:lineRule="exact"/>
                    <w:jc w:val="center"/>
                    <w:rPr>
                      <w:sz w:val="21"/>
                      <w:szCs w:val="21"/>
                    </w:rPr>
                  </w:pPr>
                  <w:r>
                    <w:rPr>
                      <w:rFonts w:hint="eastAsia"/>
                      <w:color w:val="000000"/>
                      <w:sz w:val="21"/>
                      <w:szCs w:val="21"/>
                    </w:rPr>
                    <w:t>48.4</w:t>
                  </w:r>
                </w:p>
              </w:tc>
              <w:tc>
                <w:tcPr>
                  <w:tcW w:w="503" w:type="dxa"/>
                  <w:vAlign w:val="center"/>
                </w:tcPr>
                <w:p>
                  <w:pPr>
                    <w:snapToGrid w:val="0"/>
                    <w:spacing w:line="320" w:lineRule="exact"/>
                    <w:jc w:val="center"/>
                    <w:rPr>
                      <w:sz w:val="21"/>
                      <w:szCs w:val="21"/>
                    </w:rPr>
                  </w:pPr>
                  <w:r>
                    <w:rPr>
                      <w:rFonts w:hint="eastAsia"/>
                      <w:sz w:val="21"/>
                      <w:szCs w:val="21"/>
                    </w:rPr>
                    <w:t>60</w:t>
                  </w:r>
                </w:p>
              </w:tc>
              <w:tc>
                <w:tcPr>
                  <w:tcW w:w="510" w:type="dxa"/>
                  <w:vAlign w:val="center"/>
                </w:tcPr>
                <w:p>
                  <w:pPr>
                    <w:snapToGrid w:val="0"/>
                    <w:spacing w:line="320" w:lineRule="exact"/>
                    <w:jc w:val="center"/>
                    <w:rPr>
                      <w:sz w:val="21"/>
                      <w:szCs w:val="21"/>
                    </w:rPr>
                  </w:pPr>
                  <w:r>
                    <w:rPr>
                      <w:sz w:val="21"/>
                      <w:szCs w:val="21"/>
                    </w:rPr>
                    <w:t>达标</w:t>
                  </w:r>
                </w:p>
              </w:tc>
              <w:tc>
                <w:tcPr>
                  <w:tcW w:w="514" w:type="dxa"/>
                  <w:vAlign w:val="center"/>
                </w:tcPr>
                <w:p>
                  <w:pPr>
                    <w:jc w:val="center"/>
                    <w:rPr>
                      <w:sz w:val="21"/>
                      <w:szCs w:val="21"/>
                    </w:rPr>
                  </w:pPr>
                  <w:r>
                    <w:rPr>
                      <w:rFonts w:hint="eastAsia"/>
                      <w:color w:val="000000"/>
                      <w:sz w:val="21"/>
                      <w:szCs w:val="21"/>
                    </w:rPr>
                    <w:t>41.7</w:t>
                  </w:r>
                </w:p>
              </w:tc>
              <w:tc>
                <w:tcPr>
                  <w:tcW w:w="506" w:type="dxa"/>
                  <w:vAlign w:val="center"/>
                </w:tcPr>
                <w:p>
                  <w:pPr>
                    <w:jc w:val="center"/>
                    <w:rPr>
                      <w:sz w:val="21"/>
                      <w:szCs w:val="21"/>
                    </w:rPr>
                  </w:pPr>
                  <w:r>
                    <w:rPr>
                      <w:rFonts w:hint="eastAsia"/>
                      <w:color w:val="000000"/>
                      <w:sz w:val="21"/>
                      <w:szCs w:val="21"/>
                    </w:rPr>
                    <w:t>44.0</w:t>
                  </w:r>
                </w:p>
              </w:tc>
              <w:tc>
                <w:tcPr>
                  <w:tcW w:w="514" w:type="dxa"/>
                  <w:vAlign w:val="center"/>
                </w:tcPr>
                <w:p>
                  <w:pPr>
                    <w:jc w:val="center"/>
                    <w:rPr>
                      <w:sz w:val="21"/>
                      <w:szCs w:val="21"/>
                    </w:rPr>
                  </w:pPr>
                  <w:r>
                    <w:rPr>
                      <w:rFonts w:hint="eastAsia"/>
                      <w:color w:val="000000"/>
                      <w:sz w:val="21"/>
                      <w:szCs w:val="21"/>
                    </w:rPr>
                    <w:t>41.0</w:t>
                  </w:r>
                </w:p>
              </w:tc>
              <w:tc>
                <w:tcPr>
                  <w:tcW w:w="513" w:type="dxa"/>
                  <w:vAlign w:val="center"/>
                </w:tcPr>
                <w:p>
                  <w:pPr>
                    <w:spacing w:line="320" w:lineRule="exact"/>
                    <w:jc w:val="center"/>
                    <w:rPr>
                      <w:sz w:val="21"/>
                      <w:szCs w:val="21"/>
                    </w:rPr>
                  </w:pPr>
                  <w:r>
                    <w:rPr>
                      <w:rFonts w:hint="eastAsia"/>
                      <w:color w:val="000000"/>
                      <w:sz w:val="21"/>
                      <w:szCs w:val="21"/>
                    </w:rPr>
                    <w:t>39.0</w:t>
                  </w:r>
                </w:p>
              </w:tc>
              <w:tc>
                <w:tcPr>
                  <w:tcW w:w="547" w:type="dxa"/>
                  <w:vAlign w:val="center"/>
                </w:tcPr>
                <w:p>
                  <w:pPr>
                    <w:snapToGrid w:val="0"/>
                    <w:spacing w:line="320" w:lineRule="exact"/>
                    <w:jc w:val="center"/>
                    <w:rPr>
                      <w:spacing w:val="-10"/>
                      <w:sz w:val="21"/>
                      <w:szCs w:val="21"/>
                    </w:rPr>
                  </w:pPr>
                  <w:r>
                    <w:rPr>
                      <w:rFonts w:hint="eastAsia"/>
                      <w:spacing w:val="-10"/>
                      <w:sz w:val="21"/>
                      <w:szCs w:val="21"/>
                    </w:rPr>
                    <w:t>50</w:t>
                  </w:r>
                </w:p>
              </w:tc>
              <w:tc>
                <w:tcPr>
                  <w:tcW w:w="510" w:type="dxa"/>
                  <w:vAlign w:val="center"/>
                </w:tcPr>
                <w:p>
                  <w:pPr>
                    <w:snapToGrid w:val="0"/>
                    <w:spacing w:line="320" w:lineRule="exact"/>
                    <w:jc w:val="center"/>
                    <w:rPr>
                      <w:spacing w:val="-10"/>
                      <w:sz w:val="21"/>
                      <w:szCs w:val="21"/>
                    </w:rPr>
                  </w:pPr>
                  <w:r>
                    <w:rPr>
                      <w:spacing w:val="-10"/>
                      <w:sz w:val="21"/>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37" w:hRule="atLeast"/>
                <w:jc w:val="center"/>
              </w:trPr>
              <w:tc>
                <w:tcPr>
                  <w:tcW w:w="558" w:type="dxa"/>
                  <w:vMerge w:val="continue"/>
                  <w:vAlign w:val="center"/>
                </w:tcPr>
                <w:p>
                  <w:pPr>
                    <w:widowControl/>
                    <w:spacing w:line="320" w:lineRule="exact"/>
                    <w:jc w:val="left"/>
                    <w:rPr>
                      <w:spacing w:val="-10"/>
                      <w:sz w:val="21"/>
                      <w:szCs w:val="21"/>
                    </w:rPr>
                  </w:pPr>
                </w:p>
              </w:tc>
              <w:tc>
                <w:tcPr>
                  <w:tcW w:w="1290" w:type="dxa"/>
                  <w:vAlign w:val="center"/>
                </w:tcPr>
                <w:p>
                  <w:pPr>
                    <w:spacing w:line="320" w:lineRule="exact"/>
                    <w:jc w:val="center"/>
                    <w:rPr>
                      <w:sz w:val="21"/>
                      <w:szCs w:val="21"/>
                    </w:rPr>
                  </w:pPr>
                  <w:r>
                    <w:rPr>
                      <w:sz w:val="21"/>
                      <w:szCs w:val="21"/>
                    </w:rPr>
                    <w:t>4#北</w:t>
                  </w:r>
                  <w:r>
                    <w:rPr>
                      <w:rFonts w:hint="eastAsia"/>
                      <w:sz w:val="21"/>
                      <w:szCs w:val="21"/>
                    </w:rPr>
                    <w:t>厂</w:t>
                  </w:r>
                  <w:r>
                    <w:rPr>
                      <w:sz w:val="21"/>
                      <w:szCs w:val="21"/>
                    </w:rPr>
                    <w:t>界</w:t>
                  </w:r>
                </w:p>
              </w:tc>
              <w:tc>
                <w:tcPr>
                  <w:tcW w:w="513" w:type="dxa"/>
                  <w:vAlign w:val="center"/>
                </w:tcPr>
                <w:p>
                  <w:pPr>
                    <w:jc w:val="center"/>
                    <w:rPr>
                      <w:sz w:val="21"/>
                      <w:szCs w:val="21"/>
                    </w:rPr>
                  </w:pPr>
                  <w:r>
                    <w:rPr>
                      <w:rFonts w:hint="eastAsia"/>
                      <w:color w:val="000000"/>
                      <w:sz w:val="21"/>
                      <w:szCs w:val="21"/>
                    </w:rPr>
                    <w:t>51.0</w:t>
                  </w:r>
                </w:p>
              </w:tc>
              <w:tc>
                <w:tcPr>
                  <w:tcW w:w="514" w:type="dxa"/>
                  <w:vAlign w:val="center"/>
                </w:tcPr>
                <w:p>
                  <w:pPr>
                    <w:jc w:val="center"/>
                    <w:rPr>
                      <w:sz w:val="21"/>
                      <w:szCs w:val="21"/>
                    </w:rPr>
                  </w:pPr>
                  <w:r>
                    <w:rPr>
                      <w:rFonts w:hint="eastAsia"/>
                      <w:color w:val="000000"/>
                      <w:sz w:val="21"/>
                      <w:szCs w:val="21"/>
                    </w:rPr>
                    <w:t>53.8</w:t>
                  </w:r>
                </w:p>
              </w:tc>
              <w:tc>
                <w:tcPr>
                  <w:tcW w:w="513" w:type="dxa"/>
                  <w:vAlign w:val="center"/>
                </w:tcPr>
                <w:p>
                  <w:pPr>
                    <w:jc w:val="center"/>
                    <w:rPr>
                      <w:sz w:val="21"/>
                      <w:szCs w:val="21"/>
                    </w:rPr>
                  </w:pPr>
                  <w:r>
                    <w:rPr>
                      <w:rFonts w:hint="eastAsia"/>
                      <w:color w:val="000000"/>
                      <w:sz w:val="21"/>
                      <w:szCs w:val="21"/>
                    </w:rPr>
                    <w:t>50.0</w:t>
                  </w:r>
                </w:p>
              </w:tc>
              <w:tc>
                <w:tcPr>
                  <w:tcW w:w="514" w:type="dxa"/>
                  <w:vAlign w:val="center"/>
                </w:tcPr>
                <w:p>
                  <w:pPr>
                    <w:spacing w:line="320" w:lineRule="exact"/>
                    <w:jc w:val="center"/>
                    <w:rPr>
                      <w:sz w:val="21"/>
                      <w:szCs w:val="21"/>
                    </w:rPr>
                  </w:pPr>
                  <w:r>
                    <w:rPr>
                      <w:rFonts w:hint="eastAsia"/>
                      <w:color w:val="000000"/>
                      <w:sz w:val="21"/>
                      <w:szCs w:val="21"/>
                    </w:rPr>
                    <w:t>46.4</w:t>
                  </w:r>
                </w:p>
              </w:tc>
              <w:tc>
                <w:tcPr>
                  <w:tcW w:w="503" w:type="dxa"/>
                  <w:vAlign w:val="center"/>
                </w:tcPr>
                <w:p>
                  <w:pPr>
                    <w:snapToGrid w:val="0"/>
                    <w:spacing w:line="320" w:lineRule="exact"/>
                    <w:jc w:val="center"/>
                    <w:rPr>
                      <w:sz w:val="21"/>
                      <w:szCs w:val="21"/>
                    </w:rPr>
                  </w:pPr>
                  <w:r>
                    <w:rPr>
                      <w:rFonts w:hint="eastAsia"/>
                      <w:sz w:val="21"/>
                      <w:szCs w:val="21"/>
                    </w:rPr>
                    <w:t>60</w:t>
                  </w:r>
                </w:p>
              </w:tc>
              <w:tc>
                <w:tcPr>
                  <w:tcW w:w="510" w:type="dxa"/>
                  <w:vAlign w:val="center"/>
                </w:tcPr>
                <w:p>
                  <w:pPr>
                    <w:snapToGrid w:val="0"/>
                    <w:spacing w:line="320" w:lineRule="exact"/>
                    <w:jc w:val="center"/>
                    <w:rPr>
                      <w:sz w:val="21"/>
                      <w:szCs w:val="21"/>
                    </w:rPr>
                  </w:pPr>
                  <w:r>
                    <w:rPr>
                      <w:sz w:val="21"/>
                      <w:szCs w:val="21"/>
                    </w:rPr>
                    <w:t>达标</w:t>
                  </w:r>
                </w:p>
              </w:tc>
              <w:tc>
                <w:tcPr>
                  <w:tcW w:w="514" w:type="dxa"/>
                  <w:vAlign w:val="center"/>
                </w:tcPr>
                <w:p>
                  <w:pPr>
                    <w:jc w:val="center"/>
                    <w:rPr>
                      <w:sz w:val="21"/>
                      <w:szCs w:val="21"/>
                    </w:rPr>
                  </w:pPr>
                  <w:r>
                    <w:rPr>
                      <w:rFonts w:hint="eastAsia"/>
                      <w:color w:val="000000"/>
                      <w:sz w:val="21"/>
                      <w:szCs w:val="21"/>
                    </w:rPr>
                    <w:t>43.0</w:t>
                  </w:r>
                </w:p>
              </w:tc>
              <w:tc>
                <w:tcPr>
                  <w:tcW w:w="506" w:type="dxa"/>
                  <w:vAlign w:val="center"/>
                </w:tcPr>
                <w:p>
                  <w:pPr>
                    <w:jc w:val="center"/>
                    <w:rPr>
                      <w:sz w:val="21"/>
                      <w:szCs w:val="21"/>
                    </w:rPr>
                  </w:pPr>
                  <w:r>
                    <w:rPr>
                      <w:rFonts w:hint="eastAsia"/>
                      <w:color w:val="000000"/>
                      <w:sz w:val="21"/>
                      <w:szCs w:val="21"/>
                    </w:rPr>
                    <w:t>45.2</w:t>
                  </w:r>
                </w:p>
              </w:tc>
              <w:tc>
                <w:tcPr>
                  <w:tcW w:w="514" w:type="dxa"/>
                  <w:vAlign w:val="center"/>
                </w:tcPr>
                <w:p>
                  <w:pPr>
                    <w:jc w:val="center"/>
                    <w:rPr>
                      <w:sz w:val="21"/>
                      <w:szCs w:val="21"/>
                    </w:rPr>
                  </w:pPr>
                  <w:r>
                    <w:rPr>
                      <w:rFonts w:hint="eastAsia"/>
                      <w:color w:val="000000"/>
                      <w:sz w:val="21"/>
                      <w:szCs w:val="21"/>
                    </w:rPr>
                    <w:t>42.8</w:t>
                  </w:r>
                </w:p>
              </w:tc>
              <w:tc>
                <w:tcPr>
                  <w:tcW w:w="513" w:type="dxa"/>
                  <w:vAlign w:val="center"/>
                </w:tcPr>
                <w:p>
                  <w:pPr>
                    <w:spacing w:line="320" w:lineRule="exact"/>
                    <w:jc w:val="center"/>
                    <w:rPr>
                      <w:sz w:val="21"/>
                      <w:szCs w:val="21"/>
                    </w:rPr>
                  </w:pPr>
                  <w:r>
                    <w:rPr>
                      <w:rFonts w:hint="eastAsia"/>
                      <w:color w:val="000000"/>
                      <w:sz w:val="21"/>
                      <w:szCs w:val="21"/>
                    </w:rPr>
                    <w:t>39.0</w:t>
                  </w:r>
                </w:p>
              </w:tc>
              <w:tc>
                <w:tcPr>
                  <w:tcW w:w="547" w:type="dxa"/>
                  <w:vAlign w:val="center"/>
                </w:tcPr>
                <w:p>
                  <w:pPr>
                    <w:snapToGrid w:val="0"/>
                    <w:spacing w:line="320" w:lineRule="exact"/>
                    <w:jc w:val="center"/>
                    <w:rPr>
                      <w:spacing w:val="-10"/>
                      <w:sz w:val="21"/>
                      <w:szCs w:val="21"/>
                    </w:rPr>
                  </w:pPr>
                  <w:r>
                    <w:rPr>
                      <w:rFonts w:hint="eastAsia"/>
                      <w:spacing w:val="-10"/>
                      <w:sz w:val="21"/>
                      <w:szCs w:val="21"/>
                    </w:rPr>
                    <w:t>50</w:t>
                  </w:r>
                </w:p>
              </w:tc>
              <w:tc>
                <w:tcPr>
                  <w:tcW w:w="510" w:type="dxa"/>
                  <w:vAlign w:val="center"/>
                </w:tcPr>
                <w:p>
                  <w:pPr>
                    <w:snapToGrid w:val="0"/>
                    <w:spacing w:line="320" w:lineRule="exact"/>
                    <w:jc w:val="center"/>
                    <w:rPr>
                      <w:spacing w:val="-10"/>
                      <w:sz w:val="21"/>
                      <w:szCs w:val="21"/>
                    </w:rPr>
                  </w:pPr>
                  <w:r>
                    <w:rPr>
                      <w:spacing w:val="-10"/>
                      <w:sz w:val="21"/>
                      <w:szCs w:val="21"/>
                    </w:rPr>
                    <w:t>达标</w:t>
                  </w:r>
                </w:p>
              </w:tc>
            </w:tr>
          </w:tbl>
          <w:p>
            <w:pPr>
              <w:spacing w:line="480" w:lineRule="exact"/>
              <w:ind w:firstLine="504" w:firstLineChars="200"/>
              <w:jc w:val="left"/>
              <w:rPr>
                <w:bCs/>
                <w:color w:val="000000"/>
              </w:rPr>
            </w:pPr>
            <w:r>
              <w:rPr>
                <w:spacing w:val="6"/>
              </w:rPr>
              <w:t>由上表可知：</w:t>
            </w:r>
            <w:r>
              <w:rPr>
                <w:bCs/>
                <w:spacing w:val="4"/>
              </w:rPr>
              <w:t>本项目</w:t>
            </w:r>
            <w:r>
              <w:rPr>
                <w:rFonts w:hint="eastAsia"/>
                <w:bCs/>
                <w:spacing w:val="4"/>
              </w:rPr>
              <w:t>厂</w:t>
            </w:r>
            <w:r>
              <w:rPr>
                <w:bCs/>
                <w:spacing w:val="4"/>
              </w:rPr>
              <w:t>界四周昼间噪声现状值在</w:t>
            </w:r>
            <w:r>
              <w:rPr>
                <w:rFonts w:hint="eastAsia"/>
                <w:bCs/>
                <w:spacing w:val="4"/>
              </w:rPr>
              <w:t>51.0-54.7</w:t>
            </w:r>
            <w:r>
              <w:rPr>
                <w:bCs/>
                <w:spacing w:val="4"/>
              </w:rPr>
              <w:t>dB（A）之间，夜间噪声现状值在</w:t>
            </w:r>
            <w:r>
              <w:rPr>
                <w:rFonts w:hint="eastAsia"/>
                <w:bCs/>
                <w:spacing w:val="4"/>
              </w:rPr>
              <w:t>41.0-43.0</w:t>
            </w:r>
            <w:r>
              <w:rPr>
                <w:bCs/>
                <w:spacing w:val="4"/>
              </w:rPr>
              <w:t>dB（A）之间，</w:t>
            </w:r>
            <w:r>
              <w:rPr>
                <w:rFonts w:hint="eastAsia"/>
                <w:bCs/>
                <w:spacing w:val="4"/>
              </w:rPr>
              <w:t>厂</w:t>
            </w:r>
            <w:r>
              <w:rPr>
                <w:bCs/>
                <w:spacing w:val="4"/>
              </w:rPr>
              <w:t>界噪声满足</w:t>
            </w:r>
            <w:r>
              <w:rPr>
                <w:bCs/>
              </w:rPr>
              <w:t>《声环境质量标准》（GB3096-2008）</w:t>
            </w:r>
            <w:r>
              <w:rPr>
                <w:bCs/>
                <w:spacing w:val="4"/>
              </w:rPr>
              <w:t>中</w:t>
            </w:r>
            <w:r>
              <w:rPr>
                <w:rFonts w:hint="eastAsia"/>
                <w:bCs/>
                <w:spacing w:val="4"/>
              </w:rPr>
              <w:t>2</w:t>
            </w:r>
            <w:r>
              <w:rPr>
                <w:bCs/>
                <w:spacing w:val="4"/>
              </w:rPr>
              <w:t>类标准限值要求</w:t>
            </w:r>
            <w:r>
              <w:rPr>
                <w:spacing w:val="6"/>
              </w:rPr>
              <w:t>。</w:t>
            </w:r>
          </w:p>
          <w:p>
            <w:pPr>
              <w:spacing w:line="480" w:lineRule="exact"/>
              <w:rPr>
                <w:b/>
              </w:rPr>
            </w:pPr>
            <w:r>
              <w:rPr>
                <w:rFonts w:hint="eastAsia"/>
                <w:b/>
              </w:rPr>
              <w:t>四</w:t>
            </w:r>
            <w:r>
              <w:rPr>
                <w:b/>
              </w:rPr>
              <w:t>、生态环境</w:t>
            </w:r>
          </w:p>
          <w:p>
            <w:pPr>
              <w:widowControl/>
              <w:adjustRightInd w:val="0"/>
              <w:snapToGrid w:val="0"/>
              <w:spacing w:line="480" w:lineRule="exact"/>
              <w:ind w:firstLine="480" w:firstLineChars="200"/>
              <w:rPr>
                <w:bCs/>
                <w:color w:val="000000"/>
                <w:lang w:val="zh-CN"/>
              </w:rPr>
            </w:pPr>
            <w:r>
              <w:rPr>
                <w:bCs/>
                <w:color w:val="000000"/>
                <w:lang w:val="zh-CN"/>
              </w:rPr>
              <w:t>根据现场踏勘，</w:t>
            </w:r>
            <w:r>
              <w:rPr>
                <w:rFonts w:hint="eastAsia"/>
                <w:bCs/>
                <w:color w:val="000000"/>
              </w:rPr>
              <w:t>原有项目</w:t>
            </w:r>
            <w:r>
              <w:rPr>
                <w:bCs/>
                <w:color w:val="000000"/>
                <w:lang w:val="zh-CN"/>
              </w:rPr>
              <w:t>地面硬化率较高，</w:t>
            </w:r>
            <w:r>
              <w:rPr>
                <w:rFonts w:hint="eastAsia"/>
                <w:bCs/>
                <w:color w:val="000000"/>
              </w:rPr>
              <w:t>厂</w:t>
            </w:r>
            <w:r>
              <w:rPr>
                <w:bCs/>
                <w:color w:val="000000"/>
                <w:lang w:val="zh-CN"/>
              </w:rPr>
              <w:t>区内有一定的绿化，生态环境一般。</w:t>
            </w:r>
          </w:p>
          <w:p>
            <w:pPr>
              <w:spacing w:line="480" w:lineRule="exact"/>
              <w:rPr>
                <w:b/>
              </w:rPr>
            </w:pPr>
            <w:r>
              <w:rPr>
                <w:rFonts w:hint="eastAsia"/>
                <w:b/>
              </w:rPr>
              <w:t>五</w:t>
            </w:r>
            <w:r>
              <w:rPr>
                <w:b/>
              </w:rPr>
              <w:t>、土壤环境现状</w:t>
            </w:r>
          </w:p>
          <w:p>
            <w:pPr>
              <w:widowControl/>
              <w:adjustRightInd w:val="0"/>
              <w:snapToGrid w:val="0"/>
              <w:spacing w:line="480" w:lineRule="exact"/>
              <w:ind w:firstLine="480" w:firstLineChars="200"/>
              <w:rPr>
                <w:bCs/>
                <w:color w:val="000000"/>
                <w:lang w:val="zh-CN"/>
              </w:rPr>
            </w:pPr>
            <w:r>
              <w:rPr>
                <w:bCs/>
                <w:color w:val="000000"/>
                <w:lang w:val="zh-CN"/>
              </w:rPr>
              <w:t>本项目位于</w:t>
            </w:r>
            <w:r>
              <w:rPr>
                <w:rFonts w:hint="eastAsia"/>
                <w:bCs/>
                <w:color w:val="000000"/>
              </w:rPr>
              <w:t>山西省长治市长子县宋村乡薛家庄村西南侧210m处</w:t>
            </w:r>
            <w:r>
              <w:rPr>
                <w:bCs/>
                <w:color w:val="000000"/>
                <w:lang w:val="zh-CN"/>
              </w:rPr>
              <w:t>，四周主要为</w:t>
            </w:r>
            <w:r>
              <w:rPr>
                <w:rFonts w:hint="eastAsia"/>
                <w:bCs/>
                <w:color w:val="000000"/>
              </w:rPr>
              <w:t>企业、居民区和耕地</w:t>
            </w:r>
            <w:r>
              <w:rPr>
                <w:bCs/>
                <w:color w:val="000000"/>
                <w:lang w:val="zh-CN"/>
              </w:rPr>
              <w:t>。于2022年</w:t>
            </w:r>
            <w:r>
              <w:rPr>
                <w:rFonts w:hint="eastAsia"/>
                <w:bCs/>
                <w:color w:val="000000"/>
              </w:rPr>
              <w:t>6</w:t>
            </w:r>
            <w:r>
              <w:rPr>
                <w:bCs/>
                <w:color w:val="000000"/>
                <w:lang w:val="zh-CN"/>
              </w:rPr>
              <w:t>月</w:t>
            </w:r>
            <w:r>
              <w:rPr>
                <w:rFonts w:hint="eastAsia"/>
                <w:bCs/>
                <w:color w:val="000000"/>
              </w:rPr>
              <w:t>6</w:t>
            </w:r>
            <w:r>
              <w:rPr>
                <w:bCs/>
                <w:color w:val="000000"/>
                <w:lang w:val="zh-CN"/>
              </w:rPr>
              <w:t>日委托山西</w:t>
            </w:r>
            <w:r>
              <w:rPr>
                <w:rFonts w:hint="eastAsia"/>
                <w:bCs/>
                <w:color w:val="000000"/>
              </w:rPr>
              <w:t>智诺环保科技</w:t>
            </w:r>
            <w:r>
              <w:rPr>
                <w:bCs/>
                <w:color w:val="000000"/>
                <w:lang w:val="zh-CN"/>
              </w:rPr>
              <w:t>有限公司对本项目</w:t>
            </w:r>
            <w:r>
              <w:rPr>
                <w:rFonts w:hint="eastAsia"/>
                <w:bCs/>
                <w:color w:val="000000"/>
              </w:rPr>
              <w:t>厂界</w:t>
            </w:r>
            <w:r>
              <w:rPr>
                <w:bCs/>
                <w:color w:val="000000"/>
                <w:lang w:val="zh-CN"/>
              </w:rPr>
              <w:t>土壤质量现状</w:t>
            </w:r>
            <w:r>
              <w:rPr>
                <w:rFonts w:hint="eastAsia"/>
                <w:bCs/>
                <w:color w:val="000000"/>
                <w:lang w:val="zh-CN"/>
              </w:rPr>
              <w:t>进行了</w:t>
            </w:r>
            <w:r>
              <w:rPr>
                <w:bCs/>
                <w:color w:val="000000"/>
                <w:lang w:val="zh-CN"/>
              </w:rPr>
              <w:t>监测，土壤环境质量现状监测点位为占地范围内</w:t>
            </w:r>
            <w:r>
              <w:rPr>
                <w:rFonts w:hint="eastAsia"/>
                <w:bCs/>
                <w:color w:val="000000"/>
              </w:rPr>
              <w:t>1</w:t>
            </w:r>
            <w:r>
              <w:rPr>
                <w:bCs/>
                <w:color w:val="000000"/>
                <w:lang w:val="zh-CN"/>
              </w:rPr>
              <w:t>个表层样点</w:t>
            </w:r>
            <w:r>
              <w:rPr>
                <w:rFonts w:hint="eastAsia"/>
                <w:bCs/>
                <w:color w:val="000000"/>
              </w:rPr>
              <w:t>和</w:t>
            </w:r>
            <w:r>
              <w:rPr>
                <w:bCs/>
                <w:color w:val="000000"/>
                <w:lang w:val="zh-CN"/>
              </w:rPr>
              <w:t>占地范围</w:t>
            </w:r>
            <w:r>
              <w:rPr>
                <w:rFonts w:hint="eastAsia"/>
                <w:bCs/>
                <w:color w:val="000000"/>
              </w:rPr>
              <w:t>外1</w:t>
            </w:r>
            <w:r>
              <w:rPr>
                <w:bCs/>
                <w:color w:val="000000"/>
                <w:lang w:val="zh-CN"/>
              </w:rPr>
              <w:t>个表层样点。在</w:t>
            </w:r>
            <w:r>
              <w:rPr>
                <w:rFonts w:hint="eastAsia"/>
                <w:bCs/>
                <w:color w:val="000000"/>
              </w:rPr>
              <w:t>厂区</w:t>
            </w:r>
            <w:r>
              <w:rPr>
                <w:bCs/>
                <w:color w:val="000000"/>
                <w:lang w:val="zh-CN"/>
              </w:rPr>
              <w:t>内的表层样点的坐标为</w:t>
            </w:r>
            <w:r>
              <w:rPr>
                <w:rFonts w:hint="eastAsia"/>
                <w:bCs/>
                <w:color w:val="000000"/>
              </w:rPr>
              <w:t>经度：112.973517°</w:t>
            </w:r>
            <w:r>
              <w:rPr>
                <w:bCs/>
                <w:color w:val="000000"/>
              </w:rPr>
              <w:t>纬度：</w:t>
            </w:r>
            <w:r>
              <w:rPr>
                <w:rFonts w:hint="eastAsia"/>
                <w:bCs/>
                <w:color w:val="000000"/>
              </w:rPr>
              <w:t>36.151442°，</w:t>
            </w:r>
            <w:r>
              <w:rPr>
                <w:bCs/>
                <w:color w:val="000000"/>
                <w:lang w:val="zh-CN"/>
              </w:rPr>
              <w:t>占地范围</w:t>
            </w:r>
            <w:r>
              <w:rPr>
                <w:rFonts w:hint="eastAsia"/>
                <w:bCs/>
                <w:color w:val="000000"/>
              </w:rPr>
              <w:t>外的</w:t>
            </w:r>
            <w:r>
              <w:rPr>
                <w:bCs/>
                <w:color w:val="000000"/>
                <w:lang w:val="zh-CN"/>
              </w:rPr>
              <w:t>表层样点</w:t>
            </w:r>
            <w:r>
              <w:rPr>
                <w:rFonts w:hint="eastAsia"/>
                <w:bCs/>
                <w:color w:val="000000"/>
              </w:rPr>
              <w:t>坐标为经度：112.974392°</w:t>
            </w:r>
            <w:r>
              <w:rPr>
                <w:bCs/>
                <w:color w:val="000000"/>
              </w:rPr>
              <w:t>纬度：</w:t>
            </w:r>
            <w:r>
              <w:rPr>
                <w:rFonts w:hint="eastAsia"/>
                <w:bCs/>
                <w:color w:val="000000"/>
              </w:rPr>
              <w:t>36.152057°</w:t>
            </w:r>
            <w:r>
              <w:rPr>
                <w:bCs/>
                <w:color w:val="000000"/>
                <w:lang w:val="zh-CN"/>
              </w:rPr>
              <w:t>。</w:t>
            </w:r>
          </w:p>
          <w:p>
            <w:pPr>
              <w:widowControl/>
              <w:adjustRightInd w:val="0"/>
              <w:snapToGrid w:val="0"/>
              <w:spacing w:line="480" w:lineRule="exact"/>
              <w:ind w:firstLine="480" w:firstLineChars="200"/>
              <w:rPr>
                <w:bCs/>
                <w:color w:val="000000"/>
                <w:lang w:val="zh-CN"/>
              </w:rPr>
            </w:pPr>
            <w:r>
              <w:rPr>
                <w:bCs/>
                <w:color w:val="000000"/>
                <w:lang w:val="zh-CN"/>
              </w:rPr>
              <w:t>土壤环境质量现状监测结果统计表见下表。</w:t>
            </w:r>
          </w:p>
          <w:p>
            <w:pPr>
              <w:spacing w:line="480" w:lineRule="exact"/>
              <w:jc w:val="center"/>
              <w:rPr>
                <w:b/>
              </w:rPr>
            </w:pPr>
            <w:r>
              <w:rPr>
                <w:b/>
              </w:rPr>
              <w:t>表3-</w:t>
            </w:r>
            <w:r>
              <w:rPr>
                <w:rFonts w:hint="eastAsia"/>
                <w:b/>
              </w:rPr>
              <w:t>5  厂区</w:t>
            </w:r>
            <w:r>
              <w:rPr>
                <w:b/>
              </w:rPr>
              <w:t>土壤环境质量现状监测结果  单位：mg/kg</w:t>
            </w:r>
          </w:p>
          <w:tbl>
            <w:tblPr>
              <w:tblStyle w:val="31"/>
              <w:tblW w:w="791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723"/>
              <w:gridCol w:w="930"/>
              <w:gridCol w:w="869"/>
              <w:gridCol w:w="708"/>
              <w:gridCol w:w="692"/>
              <w:gridCol w:w="644"/>
              <w:gridCol w:w="674"/>
              <w:gridCol w:w="830"/>
              <w:gridCol w:w="8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污染物</w:t>
                  </w:r>
                </w:p>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砷</w:t>
                  </w:r>
                </w:p>
              </w:tc>
              <w:tc>
                <w:tcPr>
                  <w:tcW w:w="930" w:type="dxa"/>
                  <w:vAlign w:val="center"/>
                </w:tcPr>
                <w:p>
                  <w:pPr>
                    <w:pStyle w:val="67"/>
                    <w:tabs>
                      <w:tab w:val="left" w:pos="2340"/>
                    </w:tabs>
                    <w:adjustRightInd w:val="0"/>
                    <w:rPr>
                      <w:rFonts w:eastAsia="宋体"/>
                    </w:rPr>
                  </w:pPr>
                  <w:r>
                    <w:rPr>
                      <w:rFonts w:eastAsia="宋体"/>
                    </w:rPr>
                    <w:t>镉</w:t>
                  </w:r>
                </w:p>
              </w:tc>
              <w:tc>
                <w:tcPr>
                  <w:tcW w:w="869" w:type="dxa"/>
                  <w:vAlign w:val="center"/>
                </w:tcPr>
                <w:p>
                  <w:pPr>
                    <w:pStyle w:val="67"/>
                    <w:tabs>
                      <w:tab w:val="left" w:pos="2340"/>
                    </w:tabs>
                    <w:adjustRightInd w:val="0"/>
                    <w:rPr>
                      <w:rFonts w:eastAsia="宋体"/>
                    </w:rPr>
                  </w:pPr>
                  <w:r>
                    <w:rPr>
                      <w:rFonts w:eastAsia="宋体"/>
                    </w:rPr>
                    <w:t>铬（六价）</w:t>
                  </w:r>
                </w:p>
              </w:tc>
              <w:tc>
                <w:tcPr>
                  <w:tcW w:w="708" w:type="dxa"/>
                  <w:vAlign w:val="center"/>
                </w:tcPr>
                <w:p>
                  <w:pPr>
                    <w:pStyle w:val="67"/>
                    <w:tabs>
                      <w:tab w:val="left" w:pos="2340"/>
                    </w:tabs>
                    <w:adjustRightInd w:val="0"/>
                    <w:rPr>
                      <w:rFonts w:eastAsia="宋体"/>
                    </w:rPr>
                  </w:pPr>
                  <w:r>
                    <w:rPr>
                      <w:rFonts w:eastAsia="宋体"/>
                    </w:rPr>
                    <w:t>铜</w:t>
                  </w:r>
                </w:p>
              </w:tc>
              <w:tc>
                <w:tcPr>
                  <w:tcW w:w="692" w:type="dxa"/>
                  <w:vAlign w:val="center"/>
                </w:tcPr>
                <w:p>
                  <w:pPr>
                    <w:pStyle w:val="67"/>
                    <w:tabs>
                      <w:tab w:val="left" w:pos="2340"/>
                    </w:tabs>
                    <w:adjustRightInd w:val="0"/>
                    <w:rPr>
                      <w:rFonts w:eastAsia="宋体"/>
                    </w:rPr>
                  </w:pPr>
                  <w:r>
                    <w:rPr>
                      <w:rFonts w:eastAsia="宋体"/>
                    </w:rPr>
                    <w:t>铅</w:t>
                  </w:r>
                </w:p>
              </w:tc>
              <w:tc>
                <w:tcPr>
                  <w:tcW w:w="644" w:type="dxa"/>
                  <w:vAlign w:val="center"/>
                </w:tcPr>
                <w:p>
                  <w:pPr>
                    <w:pStyle w:val="67"/>
                    <w:tabs>
                      <w:tab w:val="left" w:pos="2340"/>
                    </w:tabs>
                    <w:adjustRightInd w:val="0"/>
                    <w:rPr>
                      <w:rFonts w:eastAsia="宋体"/>
                    </w:rPr>
                  </w:pPr>
                  <w:r>
                    <w:rPr>
                      <w:rFonts w:eastAsia="宋体"/>
                    </w:rPr>
                    <w:t>汞</w:t>
                  </w:r>
                </w:p>
              </w:tc>
              <w:tc>
                <w:tcPr>
                  <w:tcW w:w="674" w:type="dxa"/>
                  <w:vAlign w:val="center"/>
                </w:tcPr>
                <w:p>
                  <w:pPr>
                    <w:pStyle w:val="67"/>
                    <w:tabs>
                      <w:tab w:val="left" w:pos="2340"/>
                    </w:tabs>
                    <w:adjustRightInd w:val="0"/>
                    <w:rPr>
                      <w:rFonts w:eastAsia="宋体"/>
                    </w:rPr>
                  </w:pPr>
                  <w:r>
                    <w:rPr>
                      <w:rFonts w:eastAsia="宋体"/>
                    </w:rPr>
                    <w:t>镍</w:t>
                  </w:r>
                </w:p>
              </w:tc>
              <w:tc>
                <w:tcPr>
                  <w:tcW w:w="830" w:type="dxa"/>
                  <w:vAlign w:val="center"/>
                </w:tcPr>
                <w:p>
                  <w:pPr>
                    <w:pStyle w:val="67"/>
                    <w:tabs>
                      <w:tab w:val="left" w:pos="2340"/>
                    </w:tabs>
                    <w:adjustRightInd w:val="0"/>
                    <w:rPr>
                      <w:rFonts w:eastAsia="宋体"/>
                    </w:rPr>
                  </w:pPr>
                  <w:r>
                    <w:rPr>
                      <w:rFonts w:eastAsia="宋体"/>
                    </w:rPr>
                    <w:t>四氯化碳</w:t>
                  </w:r>
                </w:p>
              </w:tc>
              <w:tc>
                <w:tcPr>
                  <w:tcW w:w="808" w:type="dxa"/>
                  <w:vAlign w:val="center"/>
                </w:tcPr>
                <w:p>
                  <w:pPr>
                    <w:pStyle w:val="67"/>
                    <w:tabs>
                      <w:tab w:val="left" w:pos="2340"/>
                    </w:tabs>
                    <w:adjustRightInd w:val="0"/>
                    <w:rPr>
                      <w:rFonts w:eastAsia="宋体"/>
                    </w:rPr>
                  </w:pPr>
                  <w:r>
                    <w:rPr>
                      <w:rFonts w:eastAsia="宋体"/>
                    </w:rPr>
                    <w:t>氯仿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hint="eastAsia" w:eastAsia="宋体"/>
                    </w:rPr>
                    <w:t>8.08</w:t>
                  </w:r>
                </w:p>
              </w:tc>
              <w:tc>
                <w:tcPr>
                  <w:tcW w:w="930" w:type="dxa"/>
                  <w:vAlign w:val="center"/>
                </w:tcPr>
                <w:p>
                  <w:pPr>
                    <w:pStyle w:val="67"/>
                    <w:tabs>
                      <w:tab w:val="left" w:pos="2340"/>
                    </w:tabs>
                    <w:adjustRightInd w:val="0"/>
                    <w:rPr>
                      <w:rFonts w:eastAsia="宋体"/>
                    </w:rPr>
                  </w:pPr>
                  <w:r>
                    <w:rPr>
                      <w:rFonts w:hint="eastAsia" w:eastAsia="宋体"/>
                    </w:rPr>
                    <w:t>0.29</w:t>
                  </w:r>
                </w:p>
              </w:tc>
              <w:tc>
                <w:tcPr>
                  <w:tcW w:w="869" w:type="dxa"/>
                  <w:vAlign w:val="center"/>
                </w:tcPr>
                <w:p>
                  <w:pPr>
                    <w:pStyle w:val="67"/>
                    <w:tabs>
                      <w:tab w:val="left" w:pos="2340"/>
                    </w:tabs>
                    <w:adjustRightInd w:val="0"/>
                    <w:rPr>
                      <w:rFonts w:eastAsia="宋体"/>
                    </w:rPr>
                  </w:pPr>
                  <w:r>
                    <w:rPr>
                      <w:rFonts w:hint="eastAsia" w:eastAsia="宋体"/>
                    </w:rPr>
                    <w:t>1.5</w:t>
                  </w:r>
                </w:p>
              </w:tc>
              <w:tc>
                <w:tcPr>
                  <w:tcW w:w="708" w:type="dxa"/>
                  <w:vAlign w:val="center"/>
                </w:tcPr>
                <w:p>
                  <w:pPr>
                    <w:pStyle w:val="67"/>
                    <w:tabs>
                      <w:tab w:val="left" w:pos="2340"/>
                    </w:tabs>
                    <w:adjustRightInd w:val="0"/>
                    <w:rPr>
                      <w:rFonts w:eastAsia="宋体"/>
                    </w:rPr>
                  </w:pPr>
                  <w:r>
                    <w:rPr>
                      <w:rFonts w:hint="eastAsia" w:eastAsia="宋体"/>
                    </w:rPr>
                    <w:t>33</w:t>
                  </w:r>
                </w:p>
              </w:tc>
              <w:tc>
                <w:tcPr>
                  <w:tcW w:w="692" w:type="dxa"/>
                  <w:vAlign w:val="center"/>
                </w:tcPr>
                <w:p>
                  <w:pPr>
                    <w:pStyle w:val="67"/>
                    <w:tabs>
                      <w:tab w:val="left" w:pos="2340"/>
                    </w:tabs>
                    <w:adjustRightInd w:val="0"/>
                    <w:rPr>
                      <w:rFonts w:eastAsia="宋体"/>
                    </w:rPr>
                  </w:pPr>
                  <w:r>
                    <w:rPr>
                      <w:rFonts w:hint="eastAsia" w:eastAsia="宋体"/>
                    </w:rPr>
                    <w:t>30</w:t>
                  </w:r>
                </w:p>
              </w:tc>
              <w:tc>
                <w:tcPr>
                  <w:tcW w:w="644" w:type="dxa"/>
                  <w:vAlign w:val="center"/>
                </w:tcPr>
                <w:p>
                  <w:pPr>
                    <w:pStyle w:val="67"/>
                    <w:tabs>
                      <w:tab w:val="left" w:pos="2340"/>
                    </w:tabs>
                    <w:adjustRightInd w:val="0"/>
                    <w:rPr>
                      <w:rFonts w:eastAsia="宋体"/>
                    </w:rPr>
                  </w:pPr>
                  <w:r>
                    <w:rPr>
                      <w:rFonts w:hint="eastAsia" w:eastAsia="宋体"/>
                    </w:rPr>
                    <w:t>0.07</w:t>
                  </w:r>
                </w:p>
              </w:tc>
              <w:tc>
                <w:tcPr>
                  <w:tcW w:w="674" w:type="dxa"/>
                  <w:vAlign w:val="center"/>
                </w:tcPr>
                <w:p>
                  <w:pPr>
                    <w:pStyle w:val="67"/>
                    <w:tabs>
                      <w:tab w:val="left" w:pos="2340"/>
                    </w:tabs>
                    <w:adjustRightInd w:val="0"/>
                    <w:rPr>
                      <w:rFonts w:eastAsia="宋体"/>
                    </w:rPr>
                  </w:pPr>
                  <w:r>
                    <w:rPr>
                      <w:rFonts w:hint="eastAsia" w:eastAsia="宋体"/>
                    </w:rPr>
                    <w:t>52</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hint="eastAsia" w:eastAsia="宋体"/>
                    </w:rPr>
                    <w:t>6.88</w:t>
                  </w:r>
                </w:p>
              </w:tc>
              <w:tc>
                <w:tcPr>
                  <w:tcW w:w="930" w:type="dxa"/>
                  <w:vAlign w:val="center"/>
                </w:tcPr>
                <w:p>
                  <w:pPr>
                    <w:pStyle w:val="67"/>
                    <w:tabs>
                      <w:tab w:val="left" w:pos="2340"/>
                    </w:tabs>
                    <w:adjustRightInd w:val="0"/>
                    <w:rPr>
                      <w:rFonts w:eastAsia="宋体"/>
                    </w:rPr>
                  </w:pPr>
                  <w:r>
                    <w:rPr>
                      <w:rFonts w:hint="eastAsia" w:eastAsia="宋体"/>
                    </w:rPr>
                    <w:t>0.41</w:t>
                  </w:r>
                </w:p>
              </w:tc>
              <w:tc>
                <w:tcPr>
                  <w:tcW w:w="869" w:type="dxa"/>
                  <w:vAlign w:val="center"/>
                </w:tcPr>
                <w:p>
                  <w:pPr>
                    <w:pStyle w:val="67"/>
                    <w:tabs>
                      <w:tab w:val="left" w:pos="2340"/>
                    </w:tabs>
                    <w:adjustRightInd w:val="0"/>
                    <w:rPr>
                      <w:rFonts w:eastAsia="宋体"/>
                    </w:rPr>
                  </w:pPr>
                  <w:r>
                    <w:rPr>
                      <w:rFonts w:hint="eastAsia" w:eastAsia="宋体"/>
                    </w:rPr>
                    <w:t>1.5</w:t>
                  </w:r>
                </w:p>
              </w:tc>
              <w:tc>
                <w:tcPr>
                  <w:tcW w:w="708" w:type="dxa"/>
                  <w:vAlign w:val="center"/>
                </w:tcPr>
                <w:p>
                  <w:pPr>
                    <w:pStyle w:val="67"/>
                    <w:tabs>
                      <w:tab w:val="left" w:pos="2340"/>
                    </w:tabs>
                    <w:adjustRightInd w:val="0"/>
                    <w:rPr>
                      <w:rFonts w:eastAsia="宋体"/>
                    </w:rPr>
                  </w:pPr>
                  <w:r>
                    <w:rPr>
                      <w:rFonts w:hint="eastAsia" w:eastAsia="宋体"/>
                    </w:rPr>
                    <w:t>46</w:t>
                  </w:r>
                </w:p>
              </w:tc>
              <w:tc>
                <w:tcPr>
                  <w:tcW w:w="692" w:type="dxa"/>
                  <w:vAlign w:val="center"/>
                </w:tcPr>
                <w:p>
                  <w:pPr>
                    <w:pStyle w:val="67"/>
                    <w:tabs>
                      <w:tab w:val="left" w:pos="2340"/>
                    </w:tabs>
                    <w:adjustRightInd w:val="0"/>
                    <w:rPr>
                      <w:rFonts w:eastAsia="宋体"/>
                    </w:rPr>
                  </w:pPr>
                  <w:r>
                    <w:rPr>
                      <w:rFonts w:hint="eastAsia" w:eastAsia="宋体"/>
                    </w:rPr>
                    <w:t>31</w:t>
                  </w:r>
                </w:p>
              </w:tc>
              <w:tc>
                <w:tcPr>
                  <w:tcW w:w="644" w:type="dxa"/>
                  <w:vAlign w:val="center"/>
                </w:tcPr>
                <w:p>
                  <w:pPr>
                    <w:pStyle w:val="67"/>
                    <w:tabs>
                      <w:tab w:val="left" w:pos="2340"/>
                    </w:tabs>
                    <w:adjustRightInd w:val="0"/>
                    <w:rPr>
                      <w:rFonts w:eastAsia="宋体"/>
                    </w:rPr>
                  </w:pPr>
                  <w:r>
                    <w:rPr>
                      <w:rFonts w:hint="eastAsia" w:eastAsia="宋体"/>
                    </w:rPr>
                    <w:t>0.05</w:t>
                  </w:r>
                </w:p>
              </w:tc>
              <w:tc>
                <w:tcPr>
                  <w:tcW w:w="674" w:type="dxa"/>
                  <w:vAlign w:val="center"/>
                </w:tcPr>
                <w:p>
                  <w:pPr>
                    <w:pStyle w:val="67"/>
                    <w:tabs>
                      <w:tab w:val="left" w:pos="2340"/>
                    </w:tabs>
                    <w:adjustRightInd w:val="0"/>
                    <w:rPr>
                      <w:rFonts w:eastAsia="宋体"/>
                    </w:rPr>
                  </w:pPr>
                  <w:r>
                    <w:rPr>
                      <w:rFonts w:hint="eastAsia" w:eastAsia="宋体"/>
                    </w:rPr>
                    <w:t>72</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hint="eastAsia" w:eastAsia="宋体"/>
                    </w:rPr>
                    <w:t>60</w:t>
                  </w:r>
                </w:p>
              </w:tc>
              <w:tc>
                <w:tcPr>
                  <w:tcW w:w="930" w:type="dxa"/>
                  <w:vAlign w:val="center"/>
                </w:tcPr>
                <w:p>
                  <w:pPr>
                    <w:pStyle w:val="67"/>
                    <w:tabs>
                      <w:tab w:val="left" w:pos="2340"/>
                    </w:tabs>
                    <w:adjustRightInd w:val="0"/>
                    <w:rPr>
                      <w:rFonts w:eastAsia="宋体"/>
                    </w:rPr>
                  </w:pPr>
                  <w:r>
                    <w:rPr>
                      <w:rFonts w:hint="eastAsia" w:eastAsia="宋体"/>
                    </w:rPr>
                    <w:t>65</w:t>
                  </w:r>
                </w:p>
              </w:tc>
              <w:tc>
                <w:tcPr>
                  <w:tcW w:w="869" w:type="dxa"/>
                  <w:vAlign w:val="center"/>
                </w:tcPr>
                <w:p>
                  <w:pPr>
                    <w:pStyle w:val="67"/>
                    <w:tabs>
                      <w:tab w:val="left" w:pos="2340"/>
                    </w:tabs>
                    <w:adjustRightInd w:val="0"/>
                    <w:rPr>
                      <w:rFonts w:eastAsia="宋体"/>
                    </w:rPr>
                  </w:pPr>
                  <w:r>
                    <w:rPr>
                      <w:rFonts w:hint="eastAsia" w:eastAsia="宋体"/>
                    </w:rPr>
                    <w:t>5.7</w:t>
                  </w:r>
                </w:p>
              </w:tc>
              <w:tc>
                <w:tcPr>
                  <w:tcW w:w="708" w:type="dxa"/>
                  <w:vAlign w:val="center"/>
                </w:tcPr>
                <w:p>
                  <w:pPr>
                    <w:pStyle w:val="67"/>
                    <w:tabs>
                      <w:tab w:val="left" w:pos="2340"/>
                    </w:tabs>
                    <w:adjustRightInd w:val="0"/>
                    <w:rPr>
                      <w:rFonts w:eastAsia="宋体"/>
                    </w:rPr>
                  </w:pPr>
                  <w:r>
                    <w:rPr>
                      <w:rFonts w:hint="eastAsia" w:eastAsia="宋体"/>
                    </w:rPr>
                    <w:t>18000</w:t>
                  </w:r>
                </w:p>
              </w:tc>
              <w:tc>
                <w:tcPr>
                  <w:tcW w:w="692" w:type="dxa"/>
                  <w:vAlign w:val="center"/>
                </w:tcPr>
                <w:p>
                  <w:pPr>
                    <w:pStyle w:val="67"/>
                    <w:tabs>
                      <w:tab w:val="left" w:pos="2340"/>
                    </w:tabs>
                    <w:adjustRightInd w:val="0"/>
                    <w:rPr>
                      <w:rFonts w:eastAsia="宋体"/>
                    </w:rPr>
                  </w:pPr>
                  <w:r>
                    <w:rPr>
                      <w:rFonts w:hint="eastAsia" w:eastAsia="宋体"/>
                    </w:rPr>
                    <w:t>800</w:t>
                  </w:r>
                </w:p>
              </w:tc>
              <w:tc>
                <w:tcPr>
                  <w:tcW w:w="644" w:type="dxa"/>
                  <w:vAlign w:val="center"/>
                </w:tcPr>
                <w:p>
                  <w:pPr>
                    <w:pStyle w:val="67"/>
                    <w:tabs>
                      <w:tab w:val="left" w:pos="2340"/>
                    </w:tabs>
                    <w:adjustRightInd w:val="0"/>
                    <w:rPr>
                      <w:rFonts w:eastAsia="宋体"/>
                    </w:rPr>
                  </w:pPr>
                  <w:r>
                    <w:rPr>
                      <w:rFonts w:hint="eastAsia" w:eastAsia="宋体"/>
                    </w:rPr>
                    <w:t>38</w:t>
                  </w:r>
                </w:p>
              </w:tc>
              <w:tc>
                <w:tcPr>
                  <w:tcW w:w="674" w:type="dxa"/>
                  <w:vAlign w:val="center"/>
                </w:tcPr>
                <w:p>
                  <w:pPr>
                    <w:pStyle w:val="67"/>
                    <w:tabs>
                      <w:tab w:val="left" w:pos="2340"/>
                    </w:tabs>
                    <w:adjustRightInd w:val="0"/>
                    <w:rPr>
                      <w:rFonts w:eastAsia="宋体"/>
                    </w:rPr>
                  </w:pPr>
                  <w:r>
                    <w:rPr>
                      <w:rFonts w:hint="eastAsia" w:eastAsia="宋体"/>
                    </w:rPr>
                    <w:t>900</w:t>
                  </w:r>
                </w:p>
              </w:tc>
              <w:tc>
                <w:tcPr>
                  <w:tcW w:w="830" w:type="dxa"/>
                  <w:vAlign w:val="center"/>
                </w:tcPr>
                <w:p>
                  <w:pPr>
                    <w:pStyle w:val="67"/>
                    <w:tabs>
                      <w:tab w:val="left" w:pos="2340"/>
                    </w:tabs>
                    <w:adjustRightInd w:val="0"/>
                    <w:rPr>
                      <w:rFonts w:eastAsia="宋体"/>
                    </w:rPr>
                  </w:pPr>
                  <w:r>
                    <w:rPr>
                      <w:rFonts w:hint="eastAsia" w:eastAsia="宋体"/>
                    </w:rPr>
                    <w:t>2.8</w:t>
                  </w:r>
                </w:p>
              </w:tc>
              <w:tc>
                <w:tcPr>
                  <w:tcW w:w="808" w:type="dxa"/>
                  <w:vAlign w:val="center"/>
                </w:tcPr>
                <w:p>
                  <w:pPr>
                    <w:pStyle w:val="67"/>
                    <w:tabs>
                      <w:tab w:val="left" w:pos="2340"/>
                    </w:tabs>
                    <w:adjustRightInd w:val="0"/>
                    <w:rPr>
                      <w:rFonts w:eastAsia="宋体"/>
                    </w:rPr>
                  </w:pPr>
                  <w:r>
                    <w:rPr>
                      <w:rFonts w:hint="eastAsia" w:eastAsia="宋体"/>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达标</w:t>
                  </w:r>
                </w:p>
                <w:p>
                  <w:pPr>
                    <w:pStyle w:val="67"/>
                    <w:tabs>
                      <w:tab w:val="left" w:pos="2340"/>
                    </w:tabs>
                    <w:adjustRightInd w:val="0"/>
                    <w:rPr>
                      <w:rFonts w:eastAsia="宋体"/>
                    </w:rPr>
                  </w:pPr>
                  <w:r>
                    <w:rPr>
                      <w:rFonts w:eastAsia="宋体"/>
                    </w:rPr>
                    <w:t>情况</w:t>
                  </w:r>
                </w:p>
              </w:tc>
              <w:tc>
                <w:tcPr>
                  <w:tcW w:w="723" w:type="dxa"/>
                  <w:vAlign w:val="center"/>
                </w:tcPr>
                <w:p>
                  <w:pPr>
                    <w:pStyle w:val="67"/>
                    <w:tabs>
                      <w:tab w:val="left" w:pos="2340"/>
                    </w:tabs>
                    <w:adjustRightInd w:val="0"/>
                    <w:rPr>
                      <w:rFonts w:eastAsia="宋体"/>
                    </w:rPr>
                  </w:pPr>
                  <w:r>
                    <w:rPr>
                      <w:rFonts w:eastAsia="宋体"/>
                    </w:rPr>
                    <w:t>达标</w:t>
                  </w:r>
                </w:p>
              </w:tc>
              <w:tc>
                <w:tcPr>
                  <w:tcW w:w="930" w:type="dxa"/>
                  <w:vAlign w:val="center"/>
                </w:tcPr>
                <w:p>
                  <w:pPr>
                    <w:pStyle w:val="67"/>
                    <w:tabs>
                      <w:tab w:val="left" w:pos="2340"/>
                    </w:tabs>
                    <w:adjustRightInd w:val="0"/>
                    <w:rPr>
                      <w:rFonts w:eastAsia="宋体"/>
                    </w:rPr>
                  </w:pPr>
                  <w:r>
                    <w:rPr>
                      <w:rFonts w:eastAsia="宋体"/>
                    </w:rPr>
                    <w:t>达标</w:t>
                  </w:r>
                </w:p>
              </w:tc>
              <w:tc>
                <w:tcPr>
                  <w:tcW w:w="869" w:type="dxa"/>
                  <w:vAlign w:val="center"/>
                </w:tcPr>
                <w:p>
                  <w:pPr>
                    <w:pStyle w:val="67"/>
                    <w:tabs>
                      <w:tab w:val="left" w:pos="2340"/>
                    </w:tabs>
                    <w:adjustRightInd w:val="0"/>
                    <w:rPr>
                      <w:rFonts w:eastAsia="宋体"/>
                    </w:rPr>
                  </w:pPr>
                  <w:r>
                    <w:rPr>
                      <w:rFonts w:eastAsia="宋体"/>
                    </w:rPr>
                    <w:t>达标</w:t>
                  </w:r>
                </w:p>
              </w:tc>
              <w:tc>
                <w:tcPr>
                  <w:tcW w:w="708" w:type="dxa"/>
                  <w:vAlign w:val="center"/>
                </w:tcPr>
                <w:p>
                  <w:pPr>
                    <w:pStyle w:val="67"/>
                    <w:tabs>
                      <w:tab w:val="left" w:pos="2340"/>
                    </w:tabs>
                    <w:adjustRightInd w:val="0"/>
                    <w:rPr>
                      <w:rFonts w:eastAsia="宋体"/>
                    </w:rPr>
                  </w:pPr>
                  <w:r>
                    <w:rPr>
                      <w:rFonts w:eastAsia="宋体"/>
                    </w:rPr>
                    <w:t>达标</w:t>
                  </w:r>
                </w:p>
              </w:tc>
              <w:tc>
                <w:tcPr>
                  <w:tcW w:w="692" w:type="dxa"/>
                  <w:vAlign w:val="center"/>
                </w:tcPr>
                <w:p>
                  <w:pPr>
                    <w:pStyle w:val="67"/>
                    <w:tabs>
                      <w:tab w:val="left" w:pos="2340"/>
                    </w:tabs>
                    <w:adjustRightInd w:val="0"/>
                    <w:rPr>
                      <w:rFonts w:eastAsia="宋体"/>
                    </w:rPr>
                  </w:pPr>
                  <w:r>
                    <w:rPr>
                      <w:rFonts w:eastAsia="宋体"/>
                    </w:rPr>
                    <w:t>达标</w:t>
                  </w:r>
                </w:p>
              </w:tc>
              <w:tc>
                <w:tcPr>
                  <w:tcW w:w="644" w:type="dxa"/>
                  <w:vAlign w:val="center"/>
                </w:tcPr>
                <w:p>
                  <w:pPr>
                    <w:pStyle w:val="67"/>
                    <w:tabs>
                      <w:tab w:val="left" w:pos="2340"/>
                    </w:tabs>
                    <w:adjustRightInd w:val="0"/>
                    <w:rPr>
                      <w:rFonts w:eastAsia="宋体"/>
                    </w:rPr>
                  </w:pPr>
                  <w:r>
                    <w:rPr>
                      <w:rFonts w:eastAsia="宋体"/>
                    </w:rPr>
                    <w:t>达标</w:t>
                  </w:r>
                </w:p>
              </w:tc>
              <w:tc>
                <w:tcPr>
                  <w:tcW w:w="674" w:type="dxa"/>
                  <w:vAlign w:val="center"/>
                </w:tcPr>
                <w:p>
                  <w:pPr>
                    <w:pStyle w:val="67"/>
                    <w:tabs>
                      <w:tab w:val="left" w:pos="2340"/>
                    </w:tabs>
                    <w:adjustRightInd w:val="0"/>
                    <w:rPr>
                      <w:rFonts w:eastAsia="宋体"/>
                    </w:rPr>
                  </w:pPr>
                  <w:r>
                    <w:rPr>
                      <w:rFonts w:eastAsia="宋体"/>
                    </w:rPr>
                    <w:t>达标</w:t>
                  </w:r>
                </w:p>
              </w:tc>
              <w:tc>
                <w:tcPr>
                  <w:tcW w:w="830" w:type="dxa"/>
                  <w:vAlign w:val="center"/>
                </w:tcPr>
                <w:p>
                  <w:pPr>
                    <w:pStyle w:val="67"/>
                    <w:tabs>
                      <w:tab w:val="left" w:pos="2340"/>
                    </w:tabs>
                    <w:adjustRightInd w:val="0"/>
                    <w:rPr>
                      <w:rFonts w:eastAsia="宋体"/>
                    </w:rPr>
                  </w:pPr>
                  <w:r>
                    <w:rPr>
                      <w:rFonts w:eastAsia="宋体"/>
                    </w:rPr>
                    <w:t>达标</w:t>
                  </w:r>
                </w:p>
              </w:tc>
              <w:tc>
                <w:tcPr>
                  <w:tcW w:w="808" w:type="dxa"/>
                  <w:vAlign w:val="center"/>
                </w:tcPr>
                <w:p>
                  <w:pPr>
                    <w:pStyle w:val="67"/>
                    <w:tabs>
                      <w:tab w:val="left" w:pos="2340"/>
                    </w:tabs>
                    <w:adjustRightInd w:val="0"/>
                    <w:rPr>
                      <w:rFonts w:eastAsia="宋体"/>
                    </w:rPr>
                  </w:pPr>
                  <w:r>
                    <w:rPr>
                      <w:rFonts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037" w:type="dxa"/>
                  <w:vAlign w:val="center"/>
                </w:tcPr>
                <w:p>
                  <w:pPr>
                    <w:pStyle w:val="67"/>
                    <w:tabs>
                      <w:tab w:val="left" w:pos="2340"/>
                    </w:tabs>
                    <w:adjustRightInd w:val="0"/>
                    <w:rPr>
                      <w:rFonts w:eastAsia="宋体"/>
                    </w:rPr>
                  </w:pPr>
                  <w:r>
                    <w:rPr>
                      <w:rFonts w:eastAsia="宋体"/>
                    </w:rPr>
                    <w:t>污染物</w:t>
                  </w:r>
                </w:p>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氯甲烷</w:t>
                  </w:r>
                </w:p>
              </w:tc>
              <w:tc>
                <w:tcPr>
                  <w:tcW w:w="930" w:type="dxa"/>
                  <w:vAlign w:val="center"/>
                </w:tcPr>
                <w:p>
                  <w:pPr>
                    <w:pStyle w:val="67"/>
                    <w:tabs>
                      <w:tab w:val="left" w:pos="2340"/>
                    </w:tabs>
                    <w:adjustRightInd w:val="0"/>
                    <w:rPr>
                      <w:rFonts w:eastAsia="宋体"/>
                    </w:rPr>
                  </w:pPr>
                  <w:r>
                    <w:rPr>
                      <w:rFonts w:eastAsia="宋体"/>
                    </w:rPr>
                    <w:t>1,1－二氯乙烷</w:t>
                  </w:r>
                </w:p>
              </w:tc>
              <w:tc>
                <w:tcPr>
                  <w:tcW w:w="869" w:type="dxa"/>
                  <w:vAlign w:val="center"/>
                </w:tcPr>
                <w:p>
                  <w:pPr>
                    <w:pStyle w:val="67"/>
                    <w:tabs>
                      <w:tab w:val="left" w:pos="2340"/>
                    </w:tabs>
                    <w:adjustRightInd w:val="0"/>
                    <w:rPr>
                      <w:rFonts w:eastAsia="宋体"/>
                    </w:rPr>
                  </w:pPr>
                  <w:r>
                    <w:rPr>
                      <w:rFonts w:eastAsia="宋体"/>
                    </w:rPr>
                    <w:t>1,2－二氯乙烷</w:t>
                  </w:r>
                </w:p>
              </w:tc>
              <w:tc>
                <w:tcPr>
                  <w:tcW w:w="708" w:type="dxa"/>
                  <w:vAlign w:val="center"/>
                </w:tcPr>
                <w:p>
                  <w:pPr>
                    <w:pStyle w:val="67"/>
                    <w:tabs>
                      <w:tab w:val="left" w:pos="2340"/>
                    </w:tabs>
                    <w:adjustRightInd w:val="0"/>
                    <w:rPr>
                      <w:rFonts w:eastAsia="宋体"/>
                    </w:rPr>
                  </w:pPr>
                  <w:r>
                    <w:rPr>
                      <w:rFonts w:eastAsia="宋体"/>
                    </w:rPr>
                    <w:t>1,1－二氯乙烯</w:t>
                  </w:r>
                </w:p>
              </w:tc>
              <w:tc>
                <w:tcPr>
                  <w:tcW w:w="692" w:type="dxa"/>
                  <w:vAlign w:val="center"/>
                </w:tcPr>
                <w:p>
                  <w:pPr>
                    <w:pStyle w:val="67"/>
                    <w:tabs>
                      <w:tab w:val="left" w:pos="2340"/>
                    </w:tabs>
                    <w:adjustRightInd w:val="0"/>
                    <w:rPr>
                      <w:rFonts w:eastAsia="宋体"/>
                    </w:rPr>
                  </w:pPr>
                  <w:r>
                    <w:rPr>
                      <w:rFonts w:eastAsia="宋体"/>
                    </w:rPr>
                    <w:t>顺－1,2－二氯乙烯</w:t>
                  </w:r>
                </w:p>
              </w:tc>
              <w:tc>
                <w:tcPr>
                  <w:tcW w:w="644" w:type="dxa"/>
                  <w:vAlign w:val="center"/>
                </w:tcPr>
                <w:p>
                  <w:pPr>
                    <w:pStyle w:val="67"/>
                    <w:tabs>
                      <w:tab w:val="left" w:pos="2340"/>
                    </w:tabs>
                    <w:adjustRightInd w:val="0"/>
                    <w:rPr>
                      <w:rFonts w:eastAsia="宋体"/>
                    </w:rPr>
                  </w:pPr>
                  <w:r>
                    <w:rPr>
                      <w:rFonts w:eastAsia="宋体"/>
                    </w:rPr>
                    <w:t>反－1,2－二氯乙烯</w:t>
                  </w:r>
                </w:p>
              </w:tc>
              <w:tc>
                <w:tcPr>
                  <w:tcW w:w="674" w:type="dxa"/>
                  <w:vAlign w:val="center"/>
                </w:tcPr>
                <w:p>
                  <w:pPr>
                    <w:pStyle w:val="67"/>
                    <w:tabs>
                      <w:tab w:val="left" w:pos="2340"/>
                    </w:tabs>
                    <w:adjustRightInd w:val="0"/>
                    <w:rPr>
                      <w:rFonts w:eastAsia="宋体"/>
                    </w:rPr>
                  </w:pPr>
                  <w:r>
                    <w:rPr>
                      <w:rFonts w:eastAsia="宋体"/>
                    </w:rPr>
                    <w:t>二氯甲烷</w:t>
                  </w:r>
                </w:p>
              </w:tc>
              <w:tc>
                <w:tcPr>
                  <w:tcW w:w="830" w:type="dxa"/>
                  <w:vAlign w:val="center"/>
                </w:tcPr>
                <w:p>
                  <w:pPr>
                    <w:pStyle w:val="67"/>
                    <w:tabs>
                      <w:tab w:val="left" w:pos="2340"/>
                    </w:tabs>
                    <w:adjustRightInd w:val="0"/>
                    <w:rPr>
                      <w:rFonts w:eastAsia="宋体"/>
                    </w:rPr>
                  </w:pPr>
                  <w:r>
                    <w:rPr>
                      <w:rFonts w:eastAsia="宋体"/>
                    </w:rPr>
                    <w:t>1,2－二氯丙烷</w:t>
                  </w:r>
                </w:p>
              </w:tc>
              <w:tc>
                <w:tcPr>
                  <w:tcW w:w="808" w:type="dxa"/>
                  <w:vAlign w:val="center"/>
                </w:tcPr>
                <w:p>
                  <w:pPr>
                    <w:pStyle w:val="67"/>
                    <w:tabs>
                      <w:tab w:val="left" w:pos="2340"/>
                    </w:tabs>
                    <w:adjustRightInd w:val="0"/>
                    <w:rPr>
                      <w:rFonts w:eastAsia="宋体"/>
                    </w:rPr>
                  </w:pPr>
                  <w:r>
                    <w:rPr>
                      <w:rFonts w:eastAsia="宋体"/>
                    </w:rPr>
                    <w:t>1,1,1,2－四氯乙烷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hint="eastAsia" w:eastAsia="宋体"/>
                    </w:rPr>
                    <w:t>37</w:t>
                  </w:r>
                </w:p>
              </w:tc>
              <w:tc>
                <w:tcPr>
                  <w:tcW w:w="930" w:type="dxa"/>
                  <w:vAlign w:val="center"/>
                </w:tcPr>
                <w:p>
                  <w:pPr>
                    <w:pStyle w:val="67"/>
                    <w:tabs>
                      <w:tab w:val="left" w:pos="2340"/>
                    </w:tabs>
                    <w:adjustRightInd w:val="0"/>
                    <w:rPr>
                      <w:rFonts w:eastAsia="宋体"/>
                    </w:rPr>
                  </w:pPr>
                  <w:r>
                    <w:rPr>
                      <w:rFonts w:hint="eastAsia" w:eastAsia="宋体"/>
                    </w:rPr>
                    <w:t>9</w:t>
                  </w:r>
                </w:p>
              </w:tc>
              <w:tc>
                <w:tcPr>
                  <w:tcW w:w="869" w:type="dxa"/>
                  <w:vAlign w:val="center"/>
                </w:tcPr>
                <w:p>
                  <w:pPr>
                    <w:pStyle w:val="67"/>
                    <w:tabs>
                      <w:tab w:val="left" w:pos="2340"/>
                    </w:tabs>
                    <w:adjustRightInd w:val="0"/>
                    <w:rPr>
                      <w:rFonts w:eastAsia="宋体"/>
                    </w:rPr>
                  </w:pPr>
                  <w:r>
                    <w:rPr>
                      <w:rFonts w:hint="eastAsia" w:eastAsia="宋体"/>
                    </w:rPr>
                    <w:t>5</w:t>
                  </w:r>
                </w:p>
              </w:tc>
              <w:tc>
                <w:tcPr>
                  <w:tcW w:w="708" w:type="dxa"/>
                  <w:vAlign w:val="center"/>
                </w:tcPr>
                <w:p>
                  <w:pPr>
                    <w:pStyle w:val="67"/>
                    <w:tabs>
                      <w:tab w:val="left" w:pos="2340"/>
                    </w:tabs>
                    <w:adjustRightInd w:val="0"/>
                    <w:rPr>
                      <w:rFonts w:eastAsia="宋体"/>
                    </w:rPr>
                  </w:pPr>
                  <w:r>
                    <w:rPr>
                      <w:rFonts w:hint="eastAsia" w:eastAsia="宋体"/>
                    </w:rPr>
                    <w:t>66</w:t>
                  </w:r>
                </w:p>
              </w:tc>
              <w:tc>
                <w:tcPr>
                  <w:tcW w:w="692" w:type="dxa"/>
                  <w:vAlign w:val="center"/>
                </w:tcPr>
                <w:p>
                  <w:pPr>
                    <w:pStyle w:val="67"/>
                    <w:tabs>
                      <w:tab w:val="left" w:pos="2340"/>
                    </w:tabs>
                    <w:adjustRightInd w:val="0"/>
                    <w:rPr>
                      <w:rFonts w:eastAsia="宋体"/>
                    </w:rPr>
                  </w:pPr>
                  <w:r>
                    <w:rPr>
                      <w:rFonts w:hint="eastAsia" w:eastAsia="宋体"/>
                    </w:rPr>
                    <w:t>596</w:t>
                  </w:r>
                </w:p>
              </w:tc>
              <w:tc>
                <w:tcPr>
                  <w:tcW w:w="644" w:type="dxa"/>
                  <w:vAlign w:val="center"/>
                </w:tcPr>
                <w:p>
                  <w:pPr>
                    <w:pStyle w:val="67"/>
                    <w:tabs>
                      <w:tab w:val="left" w:pos="2340"/>
                    </w:tabs>
                    <w:adjustRightInd w:val="0"/>
                    <w:rPr>
                      <w:rFonts w:eastAsia="宋体"/>
                    </w:rPr>
                  </w:pPr>
                  <w:r>
                    <w:rPr>
                      <w:rFonts w:hint="eastAsia" w:eastAsia="宋体"/>
                    </w:rPr>
                    <w:t>54</w:t>
                  </w:r>
                </w:p>
              </w:tc>
              <w:tc>
                <w:tcPr>
                  <w:tcW w:w="674" w:type="dxa"/>
                  <w:vAlign w:val="center"/>
                </w:tcPr>
                <w:p>
                  <w:pPr>
                    <w:pStyle w:val="67"/>
                    <w:tabs>
                      <w:tab w:val="left" w:pos="2340"/>
                    </w:tabs>
                    <w:adjustRightInd w:val="0"/>
                    <w:rPr>
                      <w:rFonts w:eastAsia="宋体"/>
                    </w:rPr>
                  </w:pPr>
                  <w:r>
                    <w:rPr>
                      <w:rFonts w:hint="eastAsia" w:eastAsia="宋体"/>
                    </w:rPr>
                    <w:t>616</w:t>
                  </w:r>
                </w:p>
              </w:tc>
              <w:tc>
                <w:tcPr>
                  <w:tcW w:w="830" w:type="dxa"/>
                  <w:vAlign w:val="center"/>
                </w:tcPr>
                <w:p>
                  <w:pPr>
                    <w:pStyle w:val="67"/>
                    <w:tabs>
                      <w:tab w:val="left" w:pos="2340"/>
                    </w:tabs>
                    <w:adjustRightInd w:val="0"/>
                    <w:rPr>
                      <w:rFonts w:eastAsia="宋体"/>
                    </w:rPr>
                  </w:pPr>
                  <w:r>
                    <w:rPr>
                      <w:rFonts w:hint="eastAsia" w:eastAsia="宋体"/>
                    </w:rPr>
                    <w:t>5</w:t>
                  </w:r>
                </w:p>
              </w:tc>
              <w:tc>
                <w:tcPr>
                  <w:tcW w:w="808" w:type="dxa"/>
                  <w:vAlign w:val="center"/>
                </w:tcPr>
                <w:p>
                  <w:pPr>
                    <w:pStyle w:val="67"/>
                    <w:tabs>
                      <w:tab w:val="left" w:pos="2340"/>
                    </w:tabs>
                    <w:adjustRightInd w:val="0"/>
                    <w:rPr>
                      <w:rFonts w:eastAsia="宋体"/>
                    </w:rPr>
                  </w:pPr>
                  <w:r>
                    <w:rPr>
                      <w:rFonts w:hint="eastAsia" w:eastAsia="宋体"/>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jc w:val="center"/>
              </w:trPr>
              <w:tc>
                <w:tcPr>
                  <w:tcW w:w="1037" w:type="dxa"/>
                  <w:vAlign w:val="center"/>
                </w:tcPr>
                <w:p>
                  <w:pPr>
                    <w:pStyle w:val="67"/>
                    <w:tabs>
                      <w:tab w:val="left" w:pos="2340"/>
                    </w:tabs>
                    <w:adjustRightInd w:val="0"/>
                    <w:rPr>
                      <w:rFonts w:eastAsia="宋体"/>
                    </w:rPr>
                  </w:pPr>
                  <w:r>
                    <w:rPr>
                      <w:rFonts w:eastAsia="宋体"/>
                    </w:rPr>
                    <w:t>达标</w:t>
                  </w:r>
                </w:p>
                <w:p>
                  <w:pPr>
                    <w:pStyle w:val="67"/>
                    <w:tabs>
                      <w:tab w:val="left" w:pos="2340"/>
                    </w:tabs>
                    <w:adjustRightInd w:val="0"/>
                    <w:rPr>
                      <w:rFonts w:eastAsia="宋体"/>
                    </w:rPr>
                  </w:pPr>
                  <w:r>
                    <w:rPr>
                      <w:rFonts w:eastAsia="宋体"/>
                    </w:rPr>
                    <w:t>情况</w:t>
                  </w:r>
                </w:p>
              </w:tc>
              <w:tc>
                <w:tcPr>
                  <w:tcW w:w="723" w:type="dxa"/>
                  <w:vAlign w:val="center"/>
                </w:tcPr>
                <w:p>
                  <w:pPr>
                    <w:pStyle w:val="67"/>
                    <w:tabs>
                      <w:tab w:val="left" w:pos="2340"/>
                    </w:tabs>
                    <w:adjustRightInd w:val="0"/>
                    <w:rPr>
                      <w:rFonts w:eastAsia="宋体"/>
                    </w:rPr>
                  </w:pPr>
                  <w:r>
                    <w:rPr>
                      <w:rFonts w:eastAsia="宋体"/>
                    </w:rPr>
                    <w:t>达标</w:t>
                  </w:r>
                </w:p>
              </w:tc>
              <w:tc>
                <w:tcPr>
                  <w:tcW w:w="930" w:type="dxa"/>
                  <w:vAlign w:val="center"/>
                </w:tcPr>
                <w:p>
                  <w:pPr>
                    <w:pStyle w:val="67"/>
                    <w:tabs>
                      <w:tab w:val="left" w:pos="2340"/>
                    </w:tabs>
                    <w:adjustRightInd w:val="0"/>
                    <w:rPr>
                      <w:rFonts w:eastAsia="宋体"/>
                    </w:rPr>
                  </w:pPr>
                  <w:r>
                    <w:rPr>
                      <w:rFonts w:eastAsia="宋体"/>
                    </w:rPr>
                    <w:t>达标</w:t>
                  </w:r>
                </w:p>
              </w:tc>
              <w:tc>
                <w:tcPr>
                  <w:tcW w:w="869" w:type="dxa"/>
                  <w:vAlign w:val="center"/>
                </w:tcPr>
                <w:p>
                  <w:pPr>
                    <w:pStyle w:val="67"/>
                    <w:tabs>
                      <w:tab w:val="left" w:pos="2340"/>
                    </w:tabs>
                    <w:adjustRightInd w:val="0"/>
                    <w:rPr>
                      <w:rFonts w:eastAsia="宋体"/>
                    </w:rPr>
                  </w:pPr>
                  <w:r>
                    <w:rPr>
                      <w:rFonts w:eastAsia="宋体"/>
                    </w:rPr>
                    <w:t>达标</w:t>
                  </w:r>
                </w:p>
              </w:tc>
              <w:tc>
                <w:tcPr>
                  <w:tcW w:w="708" w:type="dxa"/>
                  <w:vAlign w:val="center"/>
                </w:tcPr>
                <w:p>
                  <w:pPr>
                    <w:pStyle w:val="67"/>
                    <w:tabs>
                      <w:tab w:val="left" w:pos="2340"/>
                    </w:tabs>
                    <w:adjustRightInd w:val="0"/>
                    <w:rPr>
                      <w:rFonts w:eastAsia="宋体"/>
                    </w:rPr>
                  </w:pPr>
                  <w:r>
                    <w:rPr>
                      <w:rFonts w:eastAsia="宋体"/>
                    </w:rPr>
                    <w:t>达标</w:t>
                  </w:r>
                </w:p>
              </w:tc>
              <w:tc>
                <w:tcPr>
                  <w:tcW w:w="692" w:type="dxa"/>
                  <w:vAlign w:val="center"/>
                </w:tcPr>
                <w:p>
                  <w:pPr>
                    <w:pStyle w:val="67"/>
                    <w:tabs>
                      <w:tab w:val="left" w:pos="2340"/>
                    </w:tabs>
                    <w:adjustRightInd w:val="0"/>
                    <w:rPr>
                      <w:rFonts w:eastAsia="宋体"/>
                    </w:rPr>
                  </w:pPr>
                  <w:r>
                    <w:rPr>
                      <w:rFonts w:eastAsia="宋体"/>
                    </w:rPr>
                    <w:t>达标</w:t>
                  </w:r>
                </w:p>
              </w:tc>
              <w:tc>
                <w:tcPr>
                  <w:tcW w:w="644" w:type="dxa"/>
                  <w:vAlign w:val="center"/>
                </w:tcPr>
                <w:p>
                  <w:pPr>
                    <w:pStyle w:val="67"/>
                    <w:tabs>
                      <w:tab w:val="left" w:pos="2340"/>
                    </w:tabs>
                    <w:adjustRightInd w:val="0"/>
                    <w:rPr>
                      <w:rFonts w:eastAsia="宋体"/>
                    </w:rPr>
                  </w:pPr>
                  <w:r>
                    <w:rPr>
                      <w:rFonts w:eastAsia="宋体"/>
                    </w:rPr>
                    <w:t>达标</w:t>
                  </w:r>
                </w:p>
              </w:tc>
              <w:tc>
                <w:tcPr>
                  <w:tcW w:w="674" w:type="dxa"/>
                  <w:vAlign w:val="center"/>
                </w:tcPr>
                <w:p>
                  <w:pPr>
                    <w:pStyle w:val="67"/>
                    <w:tabs>
                      <w:tab w:val="left" w:pos="2340"/>
                    </w:tabs>
                    <w:adjustRightInd w:val="0"/>
                    <w:rPr>
                      <w:rFonts w:eastAsia="宋体"/>
                    </w:rPr>
                  </w:pPr>
                  <w:r>
                    <w:rPr>
                      <w:rFonts w:eastAsia="宋体"/>
                    </w:rPr>
                    <w:t>达标</w:t>
                  </w:r>
                </w:p>
              </w:tc>
              <w:tc>
                <w:tcPr>
                  <w:tcW w:w="830" w:type="dxa"/>
                  <w:vAlign w:val="center"/>
                </w:tcPr>
                <w:p>
                  <w:pPr>
                    <w:pStyle w:val="67"/>
                    <w:tabs>
                      <w:tab w:val="left" w:pos="2340"/>
                    </w:tabs>
                    <w:adjustRightInd w:val="0"/>
                    <w:rPr>
                      <w:rFonts w:eastAsia="宋体"/>
                    </w:rPr>
                  </w:pPr>
                  <w:r>
                    <w:rPr>
                      <w:rFonts w:eastAsia="宋体"/>
                    </w:rPr>
                    <w:t>达标</w:t>
                  </w:r>
                </w:p>
              </w:tc>
              <w:tc>
                <w:tcPr>
                  <w:tcW w:w="808" w:type="dxa"/>
                  <w:vAlign w:val="center"/>
                </w:tcPr>
                <w:p>
                  <w:pPr>
                    <w:pStyle w:val="67"/>
                    <w:tabs>
                      <w:tab w:val="left" w:pos="2340"/>
                    </w:tabs>
                    <w:adjustRightInd w:val="0"/>
                    <w:rPr>
                      <w:rFonts w:eastAsia="宋体"/>
                    </w:rPr>
                  </w:pPr>
                  <w:r>
                    <w:rPr>
                      <w:rFonts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1037" w:type="dxa"/>
                  <w:vAlign w:val="center"/>
                </w:tcPr>
                <w:p>
                  <w:pPr>
                    <w:pStyle w:val="67"/>
                    <w:tabs>
                      <w:tab w:val="left" w:pos="2340"/>
                    </w:tabs>
                    <w:adjustRightInd w:val="0"/>
                    <w:rPr>
                      <w:rFonts w:eastAsia="宋体"/>
                    </w:rPr>
                  </w:pPr>
                  <w:r>
                    <w:rPr>
                      <w:rFonts w:eastAsia="宋体"/>
                    </w:rPr>
                    <w:t>污染物</w:t>
                  </w:r>
                </w:p>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1,1,2,2－四氯乙烷</w:t>
                  </w:r>
                </w:p>
              </w:tc>
              <w:tc>
                <w:tcPr>
                  <w:tcW w:w="930" w:type="dxa"/>
                  <w:vAlign w:val="center"/>
                </w:tcPr>
                <w:p>
                  <w:pPr>
                    <w:pStyle w:val="67"/>
                    <w:tabs>
                      <w:tab w:val="left" w:pos="2340"/>
                    </w:tabs>
                    <w:adjustRightInd w:val="0"/>
                    <w:rPr>
                      <w:rFonts w:eastAsia="宋体"/>
                    </w:rPr>
                  </w:pPr>
                  <w:r>
                    <w:rPr>
                      <w:rFonts w:eastAsia="宋体"/>
                    </w:rPr>
                    <w:t>四氯乙烯</w:t>
                  </w:r>
                </w:p>
              </w:tc>
              <w:tc>
                <w:tcPr>
                  <w:tcW w:w="869" w:type="dxa"/>
                  <w:vAlign w:val="center"/>
                </w:tcPr>
                <w:p>
                  <w:pPr>
                    <w:pStyle w:val="67"/>
                    <w:tabs>
                      <w:tab w:val="left" w:pos="2340"/>
                    </w:tabs>
                    <w:adjustRightInd w:val="0"/>
                    <w:rPr>
                      <w:rFonts w:eastAsia="宋体"/>
                    </w:rPr>
                  </w:pPr>
                  <w:r>
                    <w:rPr>
                      <w:rFonts w:eastAsia="宋体"/>
                    </w:rPr>
                    <w:t>1,1,1－三氯乙烷</w:t>
                  </w:r>
                </w:p>
              </w:tc>
              <w:tc>
                <w:tcPr>
                  <w:tcW w:w="708" w:type="dxa"/>
                  <w:vAlign w:val="center"/>
                </w:tcPr>
                <w:p>
                  <w:pPr>
                    <w:pStyle w:val="67"/>
                    <w:tabs>
                      <w:tab w:val="left" w:pos="2340"/>
                    </w:tabs>
                    <w:adjustRightInd w:val="0"/>
                    <w:rPr>
                      <w:rFonts w:eastAsia="宋体"/>
                    </w:rPr>
                  </w:pPr>
                  <w:r>
                    <w:rPr>
                      <w:rFonts w:eastAsia="宋体"/>
                    </w:rPr>
                    <w:t>1,1,2－三氯乙烷</w:t>
                  </w:r>
                </w:p>
              </w:tc>
              <w:tc>
                <w:tcPr>
                  <w:tcW w:w="692" w:type="dxa"/>
                  <w:vAlign w:val="center"/>
                </w:tcPr>
                <w:p>
                  <w:pPr>
                    <w:pStyle w:val="67"/>
                    <w:tabs>
                      <w:tab w:val="left" w:pos="2340"/>
                    </w:tabs>
                    <w:adjustRightInd w:val="0"/>
                    <w:rPr>
                      <w:rFonts w:eastAsia="宋体"/>
                    </w:rPr>
                  </w:pPr>
                  <w:r>
                    <w:rPr>
                      <w:rFonts w:eastAsia="宋体"/>
                    </w:rPr>
                    <w:t>三氯乙烯</w:t>
                  </w:r>
                </w:p>
              </w:tc>
              <w:tc>
                <w:tcPr>
                  <w:tcW w:w="644" w:type="dxa"/>
                  <w:vAlign w:val="center"/>
                </w:tcPr>
                <w:p>
                  <w:pPr>
                    <w:pStyle w:val="67"/>
                    <w:tabs>
                      <w:tab w:val="left" w:pos="2340"/>
                    </w:tabs>
                    <w:adjustRightInd w:val="0"/>
                    <w:rPr>
                      <w:rFonts w:eastAsia="宋体"/>
                    </w:rPr>
                  </w:pPr>
                  <w:r>
                    <w:rPr>
                      <w:rFonts w:eastAsia="宋体"/>
                    </w:rPr>
                    <w:t>1,2,3－三氯丙烷</w:t>
                  </w:r>
                </w:p>
              </w:tc>
              <w:tc>
                <w:tcPr>
                  <w:tcW w:w="674" w:type="dxa"/>
                  <w:vAlign w:val="center"/>
                </w:tcPr>
                <w:p>
                  <w:pPr>
                    <w:pStyle w:val="67"/>
                    <w:tabs>
                      <w:tab w:val="left" w:pos="2340"/>
                    </w:tabs>
                    <w:adjustRightInd w:val="0"/>
                    <w:rPr>
                      <w:rFonts w:eastAsia="宋体"/>
                    </w:rPr>
                  </w:pPr>
                  <w:r>
                    <w:rPr>
                      <w:rFonts w:eastAsia="宋体"/>
                    </w:rPr>
                    <w:t>氯乙烯</w:t>
                  </w:r>
                </w:p>
              </w:tc>
              <w:tc>
                <w:tcPr>
                  <w:tcW w:w="830" w:type="dxa"/>
                  <w:vAlign w:val="center"/>
                </w:tcPr>
                <w:p>
                  <w:pPr>
                    <w:pStyle w:val="67"/>
                    <w:tabs>
                      <w:tab w:val="left" w:pos="2340"/>
                    </w:tabs>
                    <w:adjustRightInd w:val="0"/>
                    <w:rPr>
                      <w:rFonts w:eastAsia="宋体"/>
                    </w:rPr>
                  </w:pPr>
                  <w:r>
                    <w:rPr>
                      <w:rFonts w:eastAsia="宋体"/>
                    </w:rPr>
                    <w:t>苯</w:t>
                  </w:r>
                </w:p>
              </w:tc>
              <w:tc>
                <w:tcPr>
                  <w:tcW w:w="808" w:type="dxa"/>
                  <w:vAlign w:val="center"/>
                </w:tcPr>
                <w:p>
                  <w:pPr>
                    <w:pStyle w:val="67"/>
                    <w:tabs>
                      <w:tab w:val="left" w:pos="2340"/>
                    </w:tabs>
                    <w:adjustRightInd w:val="0"/>
                    <w:rPr>
                      <w:rFonts w:eastAsia="宋体"/>
                    </w:rPr>
                  </w:pPr>
                  <w:r>
                    <w:rPr>
                      <w:rFonts w:eastAsia="宋体"/>
                    </w:rPr>
                    <w:t>氯苯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hint="eastAsia" w:eastAsia="宋体"/>
                    </w:rPr>
                    <w:t>6.8</w:t>
                  </w:r>
                </w:p>
              </w:tc>
              <w:tc>
                <w:tcPr>
                  <w:tcW w:w="930" w:type="dxa"/>
                  <w:vAlign w:val="center"/>
                </w:tcPr>
                <w:p>
                  <w:pPr>
                    <w:pStyle w:val="67"/>
                    <w:tabs>
                      <w:tab w:val="left" w:pos="2340"/>
                    </w:tabs>
                    <w:adjustRightInd w:val="0"/>
                    <w:rPr>
                      <w:rFonts w:eastAsia="宋体"/>
                    </w:rPr>
                  </w:pPr>
                  <w:r>
                    <w:rPr>
                      <w:rFonts w:hint="eastAsia" w:eastAsia="宋体"/>
                    </w:rPr>
                    <w:t>53</w:t>
                  </w:r>
                </w:p>
              </w:tc>
              <w:tc>
                <w:tcPr>
                  <w:tcW w:w="869" w:type="dxa"/>
                  <w:vAlign w:val="center"/>
                </w:tcPr>
                <w:p>
                  <w:pPr>
                    <w:pStyle w:val="67"/>
                    <w:tabs>
                      <w:tab w:val="left" w:pos="2340"/>
                    </w:tabs>
                    <w:adjustRightInd w:val="0"/>
                    <w:rPr>
                      <w:rFonts w:eastAsia="宋体"/>
                    </w:rPr>
                  </w:pPr>
                  <w:r>
                    <w:rPr>
                      <w:rFonts w:hint="eastAsia" w:eastAsia="宋体"/>
                    </w:rPr>
                    <w:t>840</w:t>
                  </w:r>
                </w:p>
              </w:tc>
              <w:tc>
                <w:tcPr>
                  <w:tcW w:w="708" w:type="dxa"/>
                  <w:vAlign w:val="center"/>
                </w:tcPr>
                <w:p>
                  <w:pPr>
                    <w:pStyle w:val="67"/>
                    <w:tabs>
                      <w:tab w:val="left" w:pos="2340"/>
                    </w:tabs>
                    <w:adjustRightInd w:val="0"/>
                    <w:rPr>
                      <w:rFonts w:eastAsia="宋体"/>
                    </w:rPr>
                  </w:pPr>
                  <w:r>
                    <w:rPr>
                      <w:rFonts w:hint="eastAsia" w:eastAsia="宋体"/>
                    </w:rPr>
                    <w:t>2.8</w:t>
                  </w:r>
                </w:p>
              </w:tc>
              <w:tc>
                <w:tcPr>
                  <w:tcW w:w="692" w:type="dxa"/>
                  <w:vAlign w:val="center"/>
                </w:tcPr>
                <w:p>
                  <w:pPr>
                    <w:pStyle w:val="67"/>
                    <w:tabs>
                      <w:tab w:val="left" w:pos="2340"/>
                    </w:tabs>
                    <w:adjustRightInd w:val="0"/>
                    <w:rPr>
                      <w:rFonts w:eastAsia="宋体"/>
                    </w:rPr>
                  </w:pPr>
                  <w:r>
                    <w:rPr>
                      <w:rFonts w:hint="eastAsia" w:eastAsia="宋体"/>
                    </w:rPr>
                    <w:t>2.8</w:t>
                  </w:r>
                </w:p>
              </w:tc>
              <w:tc>
                <w:tcPr>
                  <w:tcW w:w="644" w:type="dxa"/>
                  <w:vAlign w:val="center"/>
                </w:tcPr>
                <w:p>
                  <w:pPr>
                    <w:pStyle w:val="67"/>
                    <w:tabs>
                      <w:tab w:val="left" w:pos="2340"/>
                    </w:tabs>
                    <w:adjustRightInd w:val="0"/>
                    <w:rPr>
                      <w:rFonts w:eastAsia="宋体"/>
                    </w:rPr>
                  </w:pPr>
                  <w:r>
                    <w:rPr>
                      <w:rFonts w:hint="eastAsia" w:eastAsia="宋体"/>
                    </w:rPr>
                    <w:t>0.5</w:t>
                  </w:r>
                </w:p>
              </w:tc>
              <w:tc>
                <w:tcPr>
                  <w:tcW w:w="674" w:type="dxa"/>
                  <w:vAlign w:val="center"/>
                </w:tcPr>
                <w:p>
                  <w:pPr>
                    <w:pStyle w:val="67"/>
                    <w:tabs>
                      <w:tab w:val="left" w:pos="2340"/>
                    </w:tabs>
                    <w:adjustRightInd w:val="0"/>
                    <w:rPr>
                      <w:rFonts w:eastAsia="宋体"/>
                    </w:rPr>
                  </w:pPr>
                  <w:r>
                    <w:rPr>
                      <w:rFonts w:hint="eastAsia" w:eastAsia="宋体"/>
                    </w:rPr>
                    <w:t>0.43</w:t>
                  </w:r>
                </w:p>
              </w:tc>
              <w:tc>
                <w:tcPr>
                  <w:tcW w:w="830" w:type="dxa"/>
                  <w:vAlign w:val="center"/>
                </w:tcPr>
                <w:p>
                  <w:pPr>
                    <w:pStyle w:val="67"/>
                    <w:tabs>
                      <w:tab w:val="left" w:pos="2340"/>
                    </w:tabs>
                    <w:adjustRightInd w:val="0"/>
                    <w:rPr>
                      <w:rFonts w:eastAsia="宋体"/>
                    </w:rPr>
                  </w:pPr>
                  <w:r>
                    <w:rPr>
                      <w:rFonts w:hint="eastAsia" w:eastAsia="宋体"/>
                    </w:rPr>
                    <w:t>4</w:t>
                  </w:r>
                </w:p>
              </w:tc>
              <w:tc>
                <w:tcPr>
                  <w:tcW w:w="808" w:type="dxa"/>
                  <w:vAlign w:val="center"/>
                </w:tcPr>
                <w:p>
                  <w:pPr>
                    <w:pStyle w:val="67"/>
                    <w:tabs>
                      <w:tab w:val="left" w:pos="2340"/>
                    </w:tabs>
                    <w:adjustRightInd w:val="0"/>
                    <w:rPr>
                      <w:rFonts w:eastAsia="宋体"/>
                    </w:rPr>
                  </w:pPr>
                  <w:r>
                    <w:rPr>
                      <w:rFonts w:hint="eastAsia" w:eastAsia="宋体"/>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37" w:type="dxa"/>
                  <w:vAlign w:val="center"/>
                </w:tcPr>
                <w:p>
                  <w:pPr>
                    <w:pStyle w:val="67"/>
                    <w:tabs>
                      <w:tab w:val="left" w:pos="2340"/>
                    </w:tabs>
                    <w:adjustRightInd w:val="0"/>
                    <w:rPr>
                      <w:rFonts w:eastAsia="宋体"/>
                    </w:rPr>
                  </w:pPr>
                  <w:r>
                    <w:rPr>
                      <w:rFonts w:eastAsia="宋体"/>
                    </w:rPr>
                    <w:t>达标</w:t>
                  </w:r>
                </w:p>
                <w:p>
                  <w:pPr>
                    <w:pStyle w:val="67"/>
                    <w:tabs>
                      <w:tab w:val="left" w:pos="2340"/>
                    </w:tabs>
                    <w:adjustRightInd w:val="0"/>
                    <w:rPr>
                      <w:rFonts w:eastAsia="宋体"/>
                    </w:rPr>
                  </w:pPr>
                  <w:r>
                    <w:rPr>
                      <w:rFonts w:eastAsia="宋体"/>
                    </w:rPr>
                    <w:t>情况</w:t>
                  </w:r>
                </w:p>
              </w:tc>
              <w:tc>
                <w:tcPr>
                  <w:tcW w:w="723" w:type="dxa"/>
                  <w:vAlign w:val="center"/>
                </w:tcPr>
                <w:p>
                  <w:pPr>
                    <w:pStyle w:val="67"/>
                    <w:tabs>
                      <w:tab w:val="left" w:pos="2340"/>
                    </w:tabs>
                    <w:adjustRightInd w:val="0"/>
                    <w:rPr>
                      <w:rFonts w:eastAsia="宋体"/>
                    </w:rPr>
                  </w:pPr>
                  <w:r>
                    <w:rPr>
                      <w:rFonts w:eastAsia="宋体"/>
                    </w:rPr>
                    <w:t>达标</w:t>
                  </w:r>
                </w:p>
              </w:tc>
              <w:tc>
                <w:tcPr>
                  <w:tcW w:w="930" w:type="dxa"/>
                  <w:vAlign w:val="center"/>
                </w:tcPr>
                <w:p>
                  <w:pPr>
                    <w:pStyle w:val="67"/>
                    <w:tabs>
                      <w:tab w:val="left" w:pos="2340"/>
                    </w:tabs>
                    <w:adjustRightInd w:val="0"/>
                    <w:rPr>
                      <w:rFonts w:eastAsia="宋体"/>
                    </w:rPr>
                  </w:pPr>
                  <w:r>
                    <w:rPr>
                      <w:rFonts w:eastAsia="宋体"/>
                    </w:rPr>
                    <w:t>达标</w:t>
                  </w:r>
                </w:p>
              </w:tc>
              <w:tc>
                <w:tcPr>
                  <w:tcW w:w="869" w:type="dxa"/>
                  <w:vAlign w:val="center"/>
                </w:tcPr>
                <w:p>
                  <w:pPr>
                    <w:pStyle w:val="67"/>
                    <w:tabs>
                      <w:tab w:val="left" w:pos="2340"/>
                    </w:tabs>
                    <w:adjustRightInd w:val="0"/>
                    <w:rPr>
                      <w:rFonts w:eastAsia="宋体"/>
                    </w:rPr>
                  </w:pPr>
                  <w:r>
                    <w:rPr>
                      <w:rFonts w:eastAsia="宋体"/>
                    </w:rPr>
                    <w:t>达标</w:t>
                  </w:r>
                </w:p>
              </w:tc>
              <w:tc>
                <w:tcPr>
                  <w:tcW w:w="708" w:type="dxa"/>
                  <w:vAlign w:val="center"/>
                </w:tcPr>
                <w:p>
                  <w:pPr>
                    <w:pStyle w:val="67"/>
                    <w:tabs>
                      <w:tab w:val="left" w:pos="2340"/>
                    </w:tabs>
                    <w:adjustRightInd w:val="0"/>
                    <w:rPr>
                      <w:rFonts w:eastAsia="宋体"/>
                    </w:rPr>
                  </w:pPr>
                  <w:r>
                    <w:rPr>
                      <w:rFonts w:eastAsia="宋体"/>
                    </w:rPr>
                    <w:t>达标</w:t>
                  </w:r>
                </w:p>
              </w:tc>
              <w:tc>
                <w:tcPr>
                  <w:tcW w:w="692" w:type="dxa"/>
                  <w:vAlign w:val="center"/>
                </w:tcPr>
                <w:p>
                  <w:pPr>
                    <w:pStyle w:val="67"/>
                    <w:tabs>
                      <w:tab w:val="left" w:pos="2340"/>
                    </w:tabs>
                    <w:adjustRightInd w:val="0"/>
                    <w:rPr>
                      <w:rFonts w:eastAsia="宋体"/>
                    </w:rPr>
                  </w:pPr>
                  <w:r>
                    <w:rPr>
                      <w:rFonts w:eastAsia="宋体"/>
                    </w:rPr>
                    <w:t>达标</w:t>
                  </w:r>
                </w:p>
              </w:tc>
              <w:tc>
                <w:tcPr>
                  <w:tcW w:w="644" w:type="dxa"/>
                  <w:vAlign w:val="center"/>
                </w:tcPr>
                <w:p>
                  <w:pPr>
                    <w:pStyle w:val="67"/>
                    <w:tabs>
                      <w:tab w:val="left" w:pos="2340"/>
                    </w:tabs>
                    <w:adjustRightInd w:val="0"/>
                    <w:rPr>
                      <w:rFonts w:eastAsia="宋体"/>
                    </w:rPr>
                  </w:pPr>
                  <w:r>
                    <w:rPr>
                      <w:rFonts w:eastAsia="宋体"/>
                    </w:rPr>
                    <w:t>达标</w:t>
                  </w:r>
                </w:p>
              </w:tc>
              <w:tc>
                <w:tcPr>
                  <w:tcW w:w="674" w:type="dxa"/>
                  <w:vAlign w:val="center"/>
                </w:tcPr>
                <w:p>
                  <w:pPr>
                    <w:pStyle w:val="67"/>
                    <w:tabs>
                      <w:tab w:val="left" w:pos="2340"/>
                    </w:tabs>
                    <w:adjustRightInd w:val="0"/>
                    <w:rPr>
                      <w:rFonts w:eastAsia="宋体"/>
                    </w:rPr>
                  </w:pPr>
                  <w:r>
                    <w:rPr>
                      <w:rFonts w:eastAsia="宋体"/>
                    </w:rPr>
                    <w:t>达标</w:t>
                  </w:r>
                </w:p>
              </w:tc>
              <w:tc>
                <w:tcPr>
                  <w:tcW w:w="830" w:type="dxa"/>
                  <w:vAlign w:val="center"/>
                </w:tcPr>
                <w:p>
                  <w:pPr>
                    <w:pStyle w:val="67"/>
                    <w:tabs>
                      <w:tab w:val="left" w:pos="2340"/>
                    </w:tabs>
                    <w:adjustRightInd w:val="0"/>
                    <w:rPr>
                      <w:rFonts w:eastAsia="宋体"/>
                    </w:rPr>
                  </w:pPr>
                  <w:r>
                    <w:rPr>
                      <w:rFonts w:eastAsia="宋体"/>
                    </w:rPr>
                    <w:t>达标</w:t>
                  </w:r>
                </w:p>
              </w:tc>
              <w:tc>
                <w:tcPr>
                  <w:tcW w:w="808" w:type="dxa"/>
                  <w:vAlign w:val="center"/>
                </w:tcPr>
                <w:p>
                  <w:pPr>
                    <w:pStyle w:val="67"/>
                    <w:tabs>
                      <w:tab w:val="left" w:pos="2340"/>
                    </w:tabs>
                    <w:adjustRightInd w:val="0"/>
                    <w:rPr>
                      <w:rFonts w:eastAsia="宋体"/>
                    </w:rPr>
                  </w:pPr>
                  <w:r>
                    <w:rPr>
                      <w:rFonts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1037" w:type="dxa"/>
                  <w:vAlign w:val="center"/>
                </w:tcPr>
                <w:p>
                  <w:pPr>
                    <w:pStyle w:val="67"/>
                    <w:tabs>
                      <w:tab w:val="left" w:pos="2340"/>
                    </w:tabs>
                    <w:adjustRightInd w:val="0"/>
                    <w:rPr>
                      <w:rFonts w:eastAsia="宋体"/>
                    </w:rPr>
                  </w:pPr>
                  <w:r>
                    <w:rPr>
                      <w:rFonts w:eastAsia="宋体"/>
                    </w:rPr>
                    <w:t>污染物</w:t>
                  </w:r>
                </w:p>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1,2－二氯苯</w:t>
                  </w:r>
                </w:p>
              </w:tc>
              <w:tc>
                <w:tcPr>
                  <w:tcW w:w="930" w:type="dxa"/>
                  <w:vAlign w:val="center"/>
                </w:tcPr>
                <w:p>
                  <w:pPr>
                    <w:pStyle w:val="67"/>
                    <w:tabs>
                      <w:tab w:val="left" w:pos="2340"/>
                    </w:tabs>
                    <w:adjustRightInd w:val="0"/>
                    <w:rPr>
                      <w:rFonts w:eastAsia="宋体"/>
                    </w:rPr>
                  </w:pPr>
                  <w:r>
                    <w:rPr>
                      <w:rFonts w:eastAsia="宋体"/>
                    </w:rPr>
                    <w:t>1,4－二氯苯</w:t>
                  </w:r>
                </w:p>
              </w:tc>
              <w:tc>
                <w:tcPr>
                  <w:tcW w:w="869" w:type="dxa"/>
                  <w:vAlign w:val="center"/>
                </w:tcPr>
                <w:p>
                  <w:pPr>
                    <w:pStyle w:val="67"/>
                    <w:tabs>
                      <w:tab w:val="left" w:pos="2340"/>
                    </w:tabs>
                    <w:adjustRightInd w:val="0"/>
                    <w:rPr>
                      <w:rFonts w:eastAsia="宋体"/>
                    </w:rPr>
                  </w:pPr>
                  <w:r>
                    <w:rPr>
                      <w:rFonts w:eastAsia="宋体"/>
                    </w:rPr>
                    <w:t>乙苯</w:t>
                  </w:r>
                </w:p>
              </w:tc>
              <w:tc>
                <w:tcPr>
                  <w:tcW w:w="708" w:type="dxa"/>
                  <w:vAlign w:val="center"/>
                </w:tcPr>
                <w:p>
                  <w:pPr>
                    <w:pStyle w:val="67"/>
                    <w:tabs>
                      <w:tab w:val="left" w:pos="2340"/>
                    </w:tabs>
                    <w:adjustRightInd w:val="0"/>
                    <w:rPr>
                      <w:rFonts w:eastAsia="宋体"/>
                    </w:rPr>
                  </w:pPr>
                  <w:r>
                    <w:rPr>
                      <w:rFonts w:eastAsia="宋体"/>
                    </w:rPr>
                    <w:t>苯乙烯</w:t>
                  </w:r>
                </w:p>
              </w:tc>
              <w:tc>
                <w:tcPr>
                  <w:tcW w:w="692" w:type="dxa"/>
                  <w:vAlign w:val="center"/>
                </w:tcPr>
                <w:p>
                  <w:pPr>
                    <w:pStyle w:val="67"/>
                    <w:tabs>
                      <w:tab w:val="left" w:pos="2340"/>
                    </w:tabs>
                    <w:adjustRightInd w:val="0"/>
                    <w:rPr>
                      <w:rFonts w:eastAsia="宋体"/>
                    </w:rPr>
                  </w:pPr>
                  <w:r>
                    <w:rPr>
                      <w:rFonts w:eastAsia="宋体"/>
                    </w:rPr>
                    <w:t>甲苯</w:t>
                  </w:r>
                </w:p>
              </w:tc>
              <w:tc>
                <w:tcPr>
                  <w:tcW w:w="644" w:type="dxa"/>
                  <w:vAlign w:val="center"/>
                </w:tcPr>
                <w:p>
                  <w:pPr>
                    <w:pStyle w:val="67"/>
                    <w:tabs>
                      <w:tab w:val="left" w:pos="2340"/>
                    </w:tabs>
                    <w:adjustRightInd w:val="0"/>
                    <w:rPr>
                      <w:rFonts w:eastAsia="宋体"/>
                    </w:rPr>
                  </w:pPr>
                  <w:r>
                    <w:rPr>
                      <w:rFonts w:eastAsia="宋体"/>
                    </w:rPr>
                    <w:t>间二甲苯+对二甲苯</w:t>
                  </w:r>
                </w:p>
              </w:tc>
              <w:tc>
                <w:tcPr>
                  <w:tcW w:w="674" w:type="dxa"/>
                  <w:vAlign w:val="center"/>
                </w:tcPr>
                <w:p>
                  <w:pPr>
                    <w:pStyle w:val="67"/>
                    <w:tabs>
                      <w:tab w:val="left" w:pos="2340"/>
                    </w:tabs>
                    <w:adjustRightInd w:val="0"/>
                    <w:rPr>
                      <w:rFonts w:eastAsia="宋体"/>
                    </w:rPr>
                  </w:pPr>
                  <w:r>
                    <w:rPr>
                      <w:rFonts w:eastAsia="宋体"/>
                    </w:rPr>
                    <w:t>邻二甲苯</w:t>
                  </w:r>
                </w:p>
              </w:tc>
              <w:tc>
                <w:tcPr>
                  <w:tcW w:w="830" w:type="dxa"/>
                  <w:vAlign w:val="center"/>
                </w:tcPr>
                <w:p>
                  <w:pPr>
                    <w:pStyle w:val="67"/>
                    <w:tabs>
                      <w:tab w:val="left" w:pos="2340"/>
                    </w:tabs>
                    <w:adjustRightInd w:val="0"/>
                    <w:rPr>
                      <w:rFonts w:eastAsia="宋体"/>
                    </w:rPr>
                  </w:pPr>
                  <w:r>
                    <w:rPr>
                      <w:rFonts w:eastAsia="宋体"/>
                    </w:rPr>
                    <w:t>硝基苯</w:t>
                  </w:r>
                </w:p>
              </w:tc>
              <w:tc>
                <w:tcPr>
                  <w:tcW w:w="808" w:type="dxa"/>
                  <w:vAlign w:val="center"/>
                </w:tcPr>
                <w:p>
                  <w:pPr>
                    <w:pStyle w:val="67"/>
                    <w:tabs>
                      <w:tab w:val="left" w:pos="2340"/>
                    </w:tabs>
                    <w:adjustRightInd w:val="0"/>
                    <w:rPr>
                      <w:rFonts w:eastAsia="宋体"/>
                    </w:rPr>
                  </w:pPr>
                  <w:r>
                    <w:rPr>
                      <w:rFonts w:eastAsia="宋体"/>
                    </w:rPr>
                    <w:t>苯胺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hint="eastAsia" w:eastAsia="宋体"/>
                    </w:rPr>
                    <w:t>560</w:t>
                  </w:r>
                </w:p>
              </w:tc>
              <w:tc>
                <w:tcPr>
                  <w:tcW w:w="930" w:type="dxa"/>
                  <w:vAlign w:val="center"/>
                </w:tcPr>
                <w:p>
                  <w:pPr>
                    <w:pStyle w:val="67"/>
                    <w:tabs>
                      <w:tab w:val="left" w:pos="2340"/>
                    </w:tabs>
                    <w:adjustRightInd w:val="0"/>
                    <w:rPr>
                      <w:rFonts w:eastAsia="宋体"/>
                    </w:rPr>
                  </w:pPr>
                  <w:r>
                    <w:rPr>
                      <w:rFonts w:hint="eastAsia" w:eastAsia="宋体"/>
                    </w:rPr>
                    <w:t>20</w:t>
                  </w:r>
                </w:p>
              </w:tc>
              <w:tc>
                <w:tcPr>
                  <w:tcW w:w="869" w:type="dxa"/>
                  <w:vAlign w:val="center"/>
                </w:tcPr>
                <w:p>
                  <w:pPr>
                    <w:pStyle w:val="67"/>
                    <w:tabs>
                      <w:tab w:val="left" w:pos="2340"/>
                    </w:tabs>
                    <w:adjustRightInd w:val="0"/>
                    <w:rPr>
                      <w:rFonts w:eastAsia="宋体"/>
                    </w:rPr>
                  </w:pPr>
                  <w:r>
                    <w:rPr>
                      <w:rFonts w:hint="eastAsia" w:eastAsia="宋体"/>
                    </w:rPr>
                    <w:t>28</w:t>
                  </w:r>
                </w:p>
              </w:tc>
              <w:tc>
                <w:tcPr>
                  <w:tcW w:w="708" w:type="dxa"/>
                  <w:vAlign w:val="center"/>
                </w:tcPr>
                <w:p>
                  <w:pPr>
                    <w:pStyle w:val="67"/>
                    <w:tabs>
                      <w:tab w:val="left" w:pos="2340"/>
                    </w:tabs>
                    <w:adjustRightInd w:val="0"/>
                    <w:rPr>
                      <w:rFonts w:eastAsia="宋体"/>
                    </w:rPr>
                  </w:pPr>
                  <w:r>
                    <w:rPr>
                      <w:rFonts w:hint="eastAsia" w:eastAsia="宋体"/>
                    </w:rPr>
                    <w:t>1290</w:t>
                  </w:r>
                </w:p>
              </w:tc>
              <w:tc>
                <w:tcPr>
                  <w:tcW w:w="692" w:type="dxa"/>
                  <w:vAlign w:val="center"/>
                </w:tcPr>
                <w:p>
                  <w:pPr>
                    <w:pStyle w:val="67"/>
                    <w:tabs>
                      <w:tab w:val="left" w:pos="2340"/>
                    </w:tabs>
                    <w:adjustRightInd w:val="0"/>
                    <w:rPr>
                      <w:rFonts w:eastAsia="宋体"/>
                    </w:rPr>
                  </w:pPr>
                  <w:r>
                    <w:rPr>
                      <w:rFonts w:hint="eastAsia" w:eastAsia="宋体"/>
                    </w:rPr>
                    <w:t>1200</w:t>
                  </w:r>
                </w:p>
              </w:tc>
              <w:tc>
                <w:tcPr>
                  <w:tcW w:w="644" w:type="dxa"/>
                  <w:vAlign w:val="center"/>
                </w:tcPr>
                <w:p>
                  <w:pPr>
                    <w:pStyle w:val="67"/>
                    <w:tabs>
                      <w:tab w:val="left" w:pos="2340"/>
                    </w:tabs>
                    <w:adjustRightInd w:val="0"/>
                    <w:rPr>
                      <w:rFonts w:eastAsia="宋体"/>
                    </w:rPr>
                  </w:pPr>
                  <w:r>
                    <w:rPr>
                      <w:rFonts w:hint="eastAsia" w:eastAsia="宋体"/>
                    </w:rPr>
                    <w:t>570</w:t>
                  </w:r>
                </w:p>
              </w:tc>
              <w:tc>
                <w:tcPr>
                  <w:tcW w:w="674" w:type="dxa"/>
                  <w:vAlign w:val="center"/>
                </w:tcPr>
                <w:p>
                  <w:pPr>
                    <w:pStyle w:val="67"/>
                    <w:tabs>
                      <w:tab w:val="left" w:pos="2340"/>
                    </w:tabs>
                    <w:adjustRightInd w:val="0"/>
                    <w:rPr>
                      <w:rFonts w:eastAsia="宋体"/>
                    </w:rPr>
                  </w:pPr>
                  <w:r>
                    <w:rPr>
                      <w:rFonts w:hint="eastAsia" w:eastAsia="宋体"/>
                    </w:rPr>
                    <w:t>640</w:t>
                  </w:r>
                </w:p>
              </w:tc>
              <w:tc>
                <w:tcPr>
                  <w:tcW w:w="830" w:type="dxa"/>
                  <w:vAlign w:val="center"/>
                </w:tcPr>
                <w:p>
                  <w:pPr>
                    <w:pStyle w:val="67"/>
                    <w:tabs>
                      <w:tab w:val="left" w:pos="2340"/>
                    </w:tabs>
                    <w:adjustRightInd w:val="0"/>
                    <w:rPr>
                      <w:rFonts w:eastAsia="宋体"/>
                    </w:rPr>
                  </w:pPr>
                  <w:r>
                    <w:rPr>
                      <w:rFonts w:hint="eastAsia" w:eastAsia="宋体"/>
                    </w:rPr>
                    <w:t>76</w:t>
                  </w:r>
                </w:p>
              </w:tc>
              <w:tc>
                <w:tcPr>
                  <w:tcW w:w="808" w:type="dxa"/>
                  <w:vAlign w:val="center"/>
                </w:tcPr>
                <w:p>
                  <w:pPr>
                    <w:pStyle w:val="67"/>
                    <w:tabs>
                      <w:tab w:val="left" w:pos="2340"/>
                    </w:tabs>
                    <w:adjustRightInd w:val="0"/>
                    <w:rPr>
                      <w:rFonts w:eastAsia="宋体"/>
                    </w:rPr>
                  </w:pPr>
                  <w:r>
                    <w:rPr>
                      <w:rFonts w:hint="eastAsia" w:eastAsia="宋体"/>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达标</w:t>
                  </w:r>
                </w:p>
                <w:p>
                  <w:pPr>
                    <w:pStyle w:val="67"/>
                    <w:tabs>
                      <w:tab w:val="left" w:pos="2340"/>
                    </w:tabs>
                    <w:adjustRightInd w:val="0"/>
                    <w:rPr>
                      <w:rFonts w:eastAsia="宋体"/>
                    </w:rPr>
                  </w:pPr>
                  <w:r>
                    <w:rPr>
                      <w:rFonts w:eastAsia="宋体"/>
                    </w:rPr>
                    <w:t>情况</w:t>
                  </w:r>
                </w:p>
              </w:tc>
              <w:tc>
                <w:tcPr>
                  <w:tcW w:w="723" w:type="dxa"/>
                  <w:vAlign w:val="center"/>
                </w:tcPr>
                <w:p>
                  <w:pPr>
                    <w:pStyle w:val="67"/>
                    <w:tabs>
                      <w:tab w:val="left" w:pos="2340"/>
                    </w:tabs>
                    <w:adjustRightInd w:val="0"/>
                    <w:rPr>
                      <w:rFonts w:eastAsia="宋体"/>
                    </w:rPr>
                  </w:pPr>
                  <w:r>
                    <w:rPr>
                      <w:rFonts w:eastAsia="宋体"/>
                    </w:rPr>
                    <w:t>达标</w:t>
                  </w:r>
                </w:p>
              </w:tc>
              <w:tc>
                <w:tcPr>
                  <w:tcW w:w="930" w:type="dxa"/>
                  <w:vAlign w:val="center"/>
                </w:tcPr>
                <w:p>
                  <w:pPr>
                    <w:pStyle w:val="67"/>
                    <w:tabs>
                      <w:tab w:val="left" w:pos="2340"/>
                    </w:tabs>
                    <w:adjustRightInd w:val="0"/>
                    <w:rPr>
                      <w:rFonts w:eastAsia="宋体"/>
                    </w:rPr>
                  </w:pPr>
                  <w:r>
                    <w:rPr>
                      <w:rFonts w:eastAsia="宋体"/>
                    </w:rPr>
                    <w:t>达标</w:t>
                  </w:r>
                </w:p>
              </w:tc>
              <w:tc>
                <w:tcPr>
                  <w:tcW w:w="869" w:type="dxa"/>
                  <w:vAlign w:val="center"/>
                </w:tcPr>
                <w:p>
                  <w:pPr>
                    <w:pStyle w:val="67"/>
                    <w:tabs>
                      <w:tab w:val="left" w:pos="2340"/>
                    </w:tabs>
                    <w:adjustRightInd w:val="0"/>
                    <w:rPr>
                      <w:rFonts w:eastAsia="宋体"/>
                    </w:rPr>
                  </w:pPr>
                  <w:r>
                    <w:rPr>
                      <w:rFonts w:eastAsia="宋体"/>
                    </w:rPr>
                    <w:t>达标</w:t>
                  </w:r>
                </w:p>
              </w:tc>
              <w:tc>
                <w:tcPr>
                  <w:tcW w:w="708" w:type="dxa"/>
                  <w:vAlign w:val="center"/>
                </w:tcPr>
                <w:p>
                  <w:pPr>
                    <w:pStyle w:val="67"/>
                    <w:tabs>
                      <w:tab w:val="left" w:pos="2340"/>
                    </w:tabs>
                    <w:adjustRightInd w:val="0"/>
                    <w:rPr>
                      <w:rFonts w:eastAsia="宋体"/>
                    </w:rPr>
                  </w:pPr>
                  <w:r>
                    <w:rPr>
                      <w:rFonts w:eastAsia="宋体"/>
                    </w:rPr>
                    <w:t>达标</w:t>
                  </w:r>
                </w:p>
              </w:tc>
              <w:tc>
                <w:tcPr>
                  <w:tcW w:w="692" w:type="dxa"/>
                  <w:vAlign w:val="center"/>
                </w:tcPr>
                <w:p>
                  <w:pPr>
                    <w:pStyle w:val="67"/>
                    <w:tabs>
                      <w:tab w:val="left" w:pos="2340"/>
                    </w:tabs>
                    <w:adjustRightInd w:val="0"/>
                    <w:rPr>
                      <w:rFonts w:eastAsia="宋体"/>
                    </w:rPr>
                  </w:pPr>
                  <w:r>
                    <w:rPr>
                      <w:rFonts w:eastAsia="宋体"/>
                    </w:rPr>
                    <w:t>达标</w:t>
                  </w:r>
                </w:p>
              </w:tc>
              <w:tc>
                <w:tcPr>
                  <w:tcW w:w="644" w:type="dxa"/>
                  <w:vAlign w:val="center"/>
                </w:tcPr>
                <w:p>
                  <w:pPr>
                    <w:pStyle w:val="67"/>
                    <w:tabs>
                      <w:tab w:val="left" w:pos="2340"/>
                    </w:tabs>
                    <w:adjustRightInd w:val="0"/>
                    <w:rPr>
                      <w:rFonts w:eastAsia="宋体"/>
                    </w:rPr>
                  </w:pPr>
                  <w:r>
                    <w:rPr>
                      <w:rFonts w:eastAsia="宋体"/>
                    </w:rPr>
                    <w:t>达标</w:t>
                  </w:r>
                </w:p>
              </w:tc>
              <w:tc>
                <w:tcPr>
                  <w:tcW w:w="674" w:type="dxa"/>
                  <w:vAlign w:val="center"/>
                </w:tcPr>
                <w:p>
                  <w:pPr>
                    <w:pStyle w:val="67"/>
                    <w:tabs>
                      <w:tab w:val="left" w:pos="2340"/>
                    </w:tabs>
                    <w:adjustRightInd w:val="0"/>
                    <w:rPr>
                      <w:rFonts w:eastAsia="宋体"/>
                    </w:rPr>
                  </w:pPr>
                  <w:r>
                    <w:rPr>
                      <w:rFonts w:eastAsia="宋体"/>
                    </w:rPr>
                    <w:t>达标</w:t>
                  </w:r>
                </w:p>
              </w:tc>
              <w:tc>
                <w:tcPr>
                  <w:tcW w:w="830" w:type="dxa"/>
                  <w:vAlign w:val="center"/>
                </w:tcPr>
                <w:p>
                  <w:pPr>
                    <w:pStyle w:val="67"/>
                    <w:tabs>
                      <w:tab w:val="left" w:pos="2340"/>
                    </w:tabs>
                    <w:adjustRightInd w:val="0"/>
                    <w:rPr>
                      <w:rFonts w:eastAsia="宋体"/>
                    </w:rPr>
                  </w:pPr>
                  <w:r>
                    <w:rPr>
                      <w:rFonts w:eastAsia="宋体"/>
                    </w:rPr>
                    <w:t>达标</w:t>
                  </w:r>
                </w:p>
              </w:tc>
              <w:tc>
                <w:tcPr>
                  <w:tcW w:w="808" w:type="dxa"/>
                  <w:vAlign w:val="center"/>
                </w:tcPr>
                <w:p>
                  <w:pPr>
                    <w:pStyle w:val="67"/>
                    <w:tabs>
                      <w:tab w:val="left" w:pos="2340"/>
                    </w:tabs>
                    <w:adjustRightInd w:val="0"/>
                    <w:rPr>
                      <w:rFonts w:eastAsia="宋体"/>
                    </w:rPr>
                  </w:pPr>
                  <w:r>
                    <w:rPr>
                      <w:rFonts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污染物</w:t>
                  </w:r>
                </w:p>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2－氯酚</w:t>
                  </w:r>
                </w:p>
              </w:tc>
              <w:tc>
                <w:tcPr>
                  <w:tcW w:w="930" w:type="dxa"/>
                  <w:vAlign w:val="center"/>
                </w:tcPr>
                <w:p>
                  <w:pPr>
                    <w:pStyle w:val="67"/>
                    <w:tabs>
                      <w:tab w:val="left" w:pos="2340"/>
                    </w:tabs>
                    <w:adjustRightInd w:val="0"/>
                    <w:rPr>
                      <w:rFonts w:eastAsia="宋体"/>
                    </w:rPr>
                  </w:pPr>
                  <w:r>
                    <w:rPr>
                      <w:rFonts w:eastAsia="宋体"/>
                    </w:rPr>
                    <w:t>苯并[a]蒽</w:t>
                  </w:r>
                </w:p>
              </w:tc>
              <w:tc>
                <w:tcPr>
                  <w:tcW w:w="869" w:type="dxa"/>
                  <w:vAlign w:val="center"/>
                </w:tcPr>
                <w:p>
                  <w:pPr>
                    <w:pStyle w:val="67"/>
                    <w:tabs>
                      <w:tab w:val="left" w:pos="2340"/>
                    </w:tabs>
                    <w:adjustRightInd w:val="0"/>
                    <w:rPr>
                      <w:rFonts w:eastAsia="宋体"/>
                    </w:rPr>
                  </w:pPr>
                  <w:r>
                    <w:rPr>
                      <w:rFonts w:eastAsia="宋体"/>
                    </w:rPr>
                    <w:t>苯并[a]芘</w:t>
                  </w:r>
                </w:p>
              </w:tc>
              <w:tc>
                <w:tcPr>
                  <w:tcW w:w="708" w:type="dxa"/>
                  <w:vAlign w:val="center"/>
                </w:tcPr>
                <w:p>
                  <w:pPr>
                    <w:pStyle w:val="67"/>
                    <w:tabs>
                      <w:tab w:val="left" w:pos="2340"/>
                    </w:tabs>
                    <w:adjustRightInd w:val="0"/>
                    <w:rPr>
                      <w:rFonts w:eastAsia="宋体"/>
                    </w:rPr>
                  </w:pPr>
                  <w:r>
                    <w:rPr>
                      <w:rFonts w:eastAsia="宋体"/>
                    </w:rPr>
                    <w:t>苯并[b]荧蒽</w:t>
                  </w:r>
                </w:p>
              </w:tc>
              <w:tc>
                <w:tcPr>
                  <w:tcW w:w="692" w:type="dxa"/>
                  <w:vAlign w:val="center"/>
                </w:tcPr>
                <w:p>
                  <w:pPr>
                    <w:pStyle w:val="67"/>
                    <w:tabs>
                      <w:tab w:val="left" w:pos="2340"/>
                    </w:tabs>
                    <w:adjustRightInd w:val="0"/>
                    <w:rPr>
                      <w:rFonts w:eastAsia="宋体"/>
                    </w:rPr>
                  </w:pPr>
                  <w:r>
                    <w:rPr>
                      <w:rFonts w:eastAsia="宋体"/>
                    </w:rPr>
                    <w:t>苯并[k]荧蒽</w:t>
                  </w:r>
                </w:p>
              </w:tc>
              <w:tc>
                <w:tcPr>
                  <w:tcW w:w="644" w:type="dxa"/>
                  <w:vAlign w:val="center"/>
                </w:tcPr>
                <w:p>
                  <w:pPr>
                    <w:pStyle w:val="67"/>
                    <w:tabs>
                      <w:tab w:val="left" w:pos="2340"/>
                    </w:tabs>
                    <w:adjustRightInd w:val="0"/>
                    <w:rPr>
                      <w:rFonts w:eastAsia="宋体"/>
                    </w:rPr>
                  </w:pPr>
                  <w:r>
                    <w:rPr>
                      <w:rFonts w:eastAsia="宋体"/>
                    </w:rPr>
                    <w:t>䓛</w:t>
                  </w:r>
                </w:p>
              </w:tc>
              <w:tc>
                <w:tcPr>
                  <w:tcW w:w="674" w:type="dxa"/>
                  <w:vAlign w:val="center"/>
                </w:tcPr>
                <w:p>
                  <w:pPr>
                    <w:pStyle w:val="67"/>
                    <w:tabs>
                      <w:tab w:val="left" w:pos="2340"/>
                    </w:tabs>
                    <w:adjustRightInd w:val="0"/>
                    <w:rPr>
                      <w:rFonts w:eastAsia="宋体"/>
                    </w:rPr>
                  </w:pPr>
                  <w:r>
                    <w:rPr>
                      <w:rFonts w:eastAsia="宋体"/>
                    </w:rPr>
                    <w:t>二苯并[a, h]蒽</w:t>
                  </w:r>
                </w:p>
              </w:tc>
              <w:tc>
                <w:tcPr>
                  <w:tcW w:w="830" w:type="dxa"/>
                  <w:vAlign w:val="center"/>
                </w:tcPr>
                <w:p>
                  <w:pPr>
                    <w:pStyle w:val="67"/>
                    <w:tabs>
                      <w:tab w:val="left" w:pos="2340"/>
                    </w:tabs>
                    <w:adjustRightInd w:val="0"/>
                    <w:rPr>
                      <w:rFonts w:eastAsia="宋体"/>
                    </w:rPr>
                  </w:pPr>
                  <w:r>
                    <w:rPr>
                      <w:rFonts w:eastAsia="宋体"/>
                    </w:rPr>
                    <w:t>茚并[1,2,3-cd]芘</w:t>
                  </w:r>
                </w:p>
              </w:tc>
              <w:tc>
                <w:tcPr>
                  <w:tcW w:w="808" w:type="dxa"/>
                  <w:vAlign w:val="center"/>
                </w:tcPr>
                <w:p>
                  <w:pPr>
                    <w:pStyle w:val="67"/>
                    <w:tabs>
                      <w:tab w:val="left" w:pos="2340"/>
                    </w:tabs>
                    <w:adjustRightInd w:val="0"/>
                    <w:rPr>
                      <w:rFonts w:eastAsia="宋体"/>
                    </w:rPr>
                  </w:pPr>
                  <w:r>
                    <w:rPr>
                      <w:rFonts w:eastAsia="宋体"/>
                    </w:rPr>
                    <w:t>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eastAsia="宋体"/>
                    </w:rPr>
                    <w:t>ND</w:t>
                  </w:r>
                </w:p>
              </w:tc>
              <w:tc>
                <w:tcPr>
                  <w:tcW w:w="930" w:type="dxa"/>
                  <w:vAlign w:val="center"/>
                </w:tcPr>
                <w:p>
                  <w:pPr>
                    <w:pStyle w:val="67"/>
                    <w:tabs>
                      <w:tab w:val="left" w:pos="2340"/>
                    </w:tabs>
                    <w:adjustRightInd w:val="0"/>
                    <w:rPr>
                      <w:rFonts w:eastAsia="宋体"/>
                    </w:rPr>
                  </w:pPr>
                  <w:r>
                    <w:rPr>
                      <w:rFonts w:eastAsia="宋体"/>
                    </w:rPr>
                    <w:t>ND</w:t>
                  </w:r>
                </w:p>
              </w:tc>
              <w:tc>
                <w:tcPr>
                  <w:tcW w:w="869" w:type="dxa"/>
                  <w:vAlign w:val="center"/>
                </w:tcPr>
                <w:p>
                  <w:pPr>
                    <w:pStyle w:val="67"/>
                    <w:tabs>
                      <w:tab w:val="left" w:pos="2340"/>
                    </w:tabs>
                    <w:adjustRightInd w:val="0"/>
                    <w:rPr>
                      <w:rFonts w:eastAsia="宋体"/>
                    </w:rPr>
                  </w:pPr>
                  <w:r>
                    <w:rPr>
                      <w:rFonts w:eastAsia="宋体"/>
                    </w:rPr>
                    <w:t>ND</w:t>
                  </w:r>
                </w:p>
              </w:tc>
              <w:tc>
                <w:tcPr>
                  <w:tcW w:w="708" w:type="dxa"/>
                  <w:vAlign w:val="center"/>
                </w:tcPr>
                <w:p>
                  <w:pPr>
                    <w:pStyle w:val="67"/>
                    <w:tabs>
                      <w:tab w:val="left" w:pos="2340"/>
                    </w:tabs>
                    <w:adjustRightInd w:val="0"/>
                    <w:rPr>
                      <w:rFonts w:eastAsia="宋体"/>
                    </w:rPr>
                  </w:pPr>
                  <w:r>
                    <w:rPr>
                      <w:rFonts w:eastAsia="宋体"/>
                    </w:rPr>
                    <w:t>ND</w:t>
                  </w:r>
                </w:p>
              </w:tc>
              <w:tc>
                <w:tcPr>
                  <w:tcW w:w="692" w:type="dxa"/>
                  <w:vAlign w:val="center"/>
                </w:tcPr>
                <w:p>
                  <w:pPr>
                    <w:pStyle w:val="67"/>
                    <w:tabs>
                      <w:tab w:val="left" w:pos="2340"/>
                    </w:tabs>
                    <w:adjustRightInd w:val="0"/>
                    <w:rPr>
                      <w:rFonts w:eastAsia="宋体"/>
                    </w:rPr>
                  </w:pPr>
                  <w:r>
                    <w:rPr>
                      <w:rFonts w:eastAsia="宋体"/>
                    </w:rPr>
                    <w:t>ND</w:t>
                  </w:r>
                </w:p>
              </w:tc>
              <w:tc>
                <w:tcPr>
                  <w:tcW w:w="644" w:type="dxa"/>
                  <w:vAlign w:val="center"/>
                </w:tcPr>
                <w:p>
                  <w:pPr>
                    <w:pStyle w:val="67"/>
                    <w:tabs>
                      <w:tab w:val="left" w:pos="2340"/>
                    </w:tabs>
                    <w:adjustRightInd w:val="0"/>
                    <w:rPr>
                      <w:rFonts w:eastAsia="宋体"/>
                    </w:rPr>
                  </w:pPr>
                  <w:r>
                    <w:rPr>
                      <w:rFonts w:eastAsia="宋体"/>
                    </w:rPr>
                    <w:t>ND</w:t>
                  </w:r>
                </w:p>
              </w:tc>
              <w:tc>
                <w:tcPr>
                  <w:tcW w:w="674" w:type="dxa"/>
                  <w:vAlign w:val="center"/>
                </w:tcPr>
                <w:p>
                  <w:pPr>
                    <w:pStyle w:val="67"/>
                    <w:tabs>
                      <w:tab w:val="left" w:pos="2340"/>
                    </w:tabs>
                    <w:adjustRightInd w:val="0"/>
                    <w:rPr>
                      <w:rFonts w:eastAsia="宋体"/>
                    </w:rPr>
                  </w:pPr>
                  <w:r>
                    <w:rPr>
                      <w:rFonts w:eastAsia="宋体"/>
                    </w:rPr>
                    <w:t>ND</w:t>
                  </w:r>
                </w:p>
              </w:tc>
              <w:tc>
                <w:tcPr>
                  <w:tcW w:w="830" w:type="dxa"/>
                  <w:vAlign w:val="center"/>
                </w:tcPr>
                <w:p>
                  <w:pPr>
                    <w:pStyle w:val="67"/>
                    <w:tabs>
                      <w:tab w:val="left" w:pos="2340"/>
                    </w:tabs>
                    <w:adjustRightInd w:val="0"/>
                    <w:rPr>
                      <w:rFonts w:eastAsia="宋体"/>
                    </w:rPr>
                  </w:pPr>
                  <w:r>
                    <w:rPr>
                      <w:rFonts w:eastAsia="宋体"/>
                    </w:rPr>
                    <w:t>ND</w:t>
                  </w:r>
                </w:p>
              </w:tc>
              <w:tc>
                <w:tcPr>
                  <w:tcW w:w="808" w:type="dxa"/>
                  <w:vAlign w:val="center"/>
                </w:tcPr>
                <w:p>
                  <w:pPr>
                    <w:pStyle w:val="67"/>
                    <w:tabs>
                      <w:tab w:val="left" w:pos="2340"/>
                    </w:tabs>
                    <w:adjustRightInd w:val="0"/>
                    <w:rPr>
                      <w:rFonts w:eastAsia="宋体"/>
                    </w:rPr>
                  </w:pPr>
                  <w:r>
                    <w:rPr>
                      <w:rFonts w:eastAsia="宋体"/>
                    </w:rPr>
                    <w:t>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hint="eastAsia" w:eastAsia="宋体"/>
                    </w:rPr>
                    <w:t>2256</w:t>
                  </w:r>
                </w:p>
              </w:tc>
              <w:tc>
                <w:tcPr>
                  <w:tcW w:w="930" w:type="dxa"/>
                  <w:vAlign w:val="center"/>
                </w:tcPr>
                <w:p>
                  <w:pPr>
                    <w:pStyle w:val="67"/>
                    <w:tabs>
                      <w:tab w:val="left" w:pos="2340"/>
                    </w:tabs>
                    <w:adjustRightInd w:val="0"/>
                    <w:rPr>
                      <w:rFonts w:eastAsia="宋体"/>
                    </w:rPr>
                  </w:pPr>
                  <w:r>
                    <w:rPr>
                      <w:rFonts w:hint="eastAsia" w:eastAsia="宋体"/>
                    </w:rPr>
                    <w:t>15</w:t>
                  </w:r>
                </w:p>
              </w:tc>
              <w:tc>
                <w:tcPr>
                  <w:tcW w:w="869" w:type="dxa"/>
                  <w:vAlign w:val="center"/>
                </w:tcPr>
                <w:p>
                  <w:pPr>
                    <w:pStyle w:val="67"/>
                    <w:tabs>
                      <w:tab w:val="left" w:pos="2340"/>
                    </w:tabs>
                    <w:adjustRightInd w:val="0"/>
                    <w:rPr>
                      <w:rFonts w:eastAsia="宋体"/>
                    </w:rPr>
                  </w:pPr>
                  <w:r>
                    <w:rPr>
                      <w:rFonts w:hint="eastAsia" w:eastAsia="宋体"/>
                    </w:rPr>
                    <w:t>1.5</w:t>
                  </w:r>
                </w:p>
              </w:tc>
              <w:tc>
                <w:tcPr>
                  <w:tcW w:w="708" w:type="dxa"/>
                  <w:vAlign w:val="center"/>
                </w:tcPr>
                <w:p>
                  <w:pPr>
                    <w:pStyle w:val="67"/>
                    <w:tabs>
                      <w:tab w:val="left" w:pos="2340"/>
                    </w:tabs>
                    <w:adjustRightInd w:val="0"/>
                    <w:rPr>
                      <w:rFonts w:eastAsia="宋体"/>
                    </w:rPr>
                  </w:pPr>
                  <w:r>
                    <w:rPr>
                      <w:rFonts w:hint="eastAsia" w:eastAsia="宋体"/>
                    </w:rPr>
                    <w:t>15</w:t>
                  </w:r>
                </w:p>
              </w:tc>
              <w:tc>
                <w:tcPr>
                  <w:tcW w:w="692" w:type="dxa"/>
                  <w:vAlign w:val="center"/>
                </w:tcPr>
                <w:p>
                  <w:pPr>
                    <w:pStyle w:val="67"/>
                    <w:tabs>
                      <w:tab w:val="left" w:pos="2340"/>
                    </w:tabs>
                    <w:adjustRightInd w:val="0"/>
                    <w:rPr>
                      <w:rFonts w:eastAsia="宋体"/>
                    </w:rPr>
                  </w:pPr>
                  <w:r>
                    <w:rPr>
                      <w:rFonts w:hint="eastAsia" w:eastAsia="宋体"/>
                    </w:rPr>
                    <w:t>151</w:t>
                  </w:r>
                </w:p>
              </w:tc>
              <w:tc>
                <w:tcPr>
                  <w:tcW w:w="644" w:type="dxa"/>
                  <w:vAlign w:val="center"/>
                </w:tcPr>
                <w:p>
                  <w:pPr>
                    <w:pStyle w:val="67"/>
                    <w:tabs>
                      <w:tab w:val="left" w:pos="2340"/>
                    </w:tabs>
                    <w:adjustRightInd w:val="0"/>
                    <w:rPr>
                      <w:rFonts w:eastAsia="宋体"/>
                    </w:rPr>
                  </w:pPr>
                  <w:r>
                    <w:rPr>
                      <w:rFonts w:hint="eastAsia" w:eastAsia="宋体"/>
                    </w:rPr>
                    <w:t>1293</w:t>
                  </w:r>
                </w:p>
              </w:tc>
              <w:tc>
                <w:tcPr>
                  <w:tcW w:w="674" w:type="dxa"/>
                  <w:vAlign w:val="center"/>
                </w:tcPr>
                <w:p>
                  <w:pPr>
                    <w:pStyle w:val="67"/>
                    <w:tabs>
                      <w:tab w:val="left" w:pos="2340"/>
                    </w:tabs>
                    <w:adjustRightInd w:val="0"/>
                    <w:rPr>
                      <w:rFonts w:eastAsia="宋体"/>
                    </w:rPr>
                  </w:pPr>
                  <w:r>
                    <w:rPr>
                      <w:rFonts w:hint="eastAsia" w:eastAsia="宋体"/>
                    </w:rPr>
                    <w:t>1.5</w:t>
                  </w:r>
                </w:p>
              </w:tc>
              <w:tc>
                <w:tcPr>
                  <w:tcW w:w="830" w:type="dxa"/>
                  <w:vAlign w:val="center"/>
                </w:tcPr>
                <w:p>
                  <w:pPr>
                    <w:pStyle w:val="67"/>
                    <w:tabs>
                      <w:tab w:val="left" w:pos="2340"/>
                    </w:tabs>
                    <w:adjustRightInd w:val="0"/>
                    <w:rPr>
                      <w:rFonts w:eastAsia="宋体"/>
                    </w:rPr>
                  </w:pPr>
                  <w:r>
                    <w:rPr>
                      <w:rFonts w:hint="eastAsia" w:eastAsia="宋体"/>
                    </w:rPr>
                    <w:t>15</w:t>
                  </w:r>
                </w:p>
              </w:tc>
              <w:tc>
                <w:tcPr>
                  <w:tcW w:w="808" w:type="dxa"/>
                  <w:vAlign w:val="center"/>
                </w:tcPr>
                <w:p>
                  <w:pPr>
                    <w:pStyle w:val="67"/>
                    <w:tabs>
                      <w:tab w:val="left" w:pos="2340"/>
                    </w:tabs>
                    <w:adjustRightInd w:val="0"/>
                    <w:rPr>
                      <w:rFonts w:eastAsia="宋体"/>
                    </w:rPr>
                  </w:pPr>
                  <w:r>
                    <w:rPr>
                      <w:rFonts w:hint="eastAsia" w:eastAsia="宋体"/>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达标</w:t>
                  </w:r>
                </w:p>
                <w:p>
                  <w:pPr>
                    <w:pStyle w:val="67"/>
                    <w:tabs>
                      <w:tab w:val="left" w:pos="2340"/>
                    </w:tabs>
                    <w:adjustRightInd w:val="0"/>
                    <w:rPr>
                      <w:rFonts w:eastAsia="宋体"/>
                    </w:rPr>
                  </w:pPr>
                  <w:r>
                    <w:rPr>
                      <w:rFonts w:eastAsia="宋体"/>
                    </w:rPr>
                    <w:t>情况</w:t>
                  </w:r>
                </w:p>
              </w:tc>
              <w:tc>
                <w:tcPr>
                  <w:tcW w:w="723" w:type="dxa"/>
                  <w:vAlign w:val="center"/>
                </w:tcPr>
                <w:p>
                  <w:pPr>
                    <w:pStyle w:val="67"/>
                    <w:tabs>
                      <w:tab w:val="left" w:pos="2340"/>
                    </w:tabs>
                    <w:adjustRightInd w:val="0"/>
                    <w:rPr>
                      <w:rFonts w:eastAsia="宋体"/>
                    </w:rPr>
                  </w:pPr>
                  <w:r>
                    <w:rPr>
                      <w:rFonts w:eastAsia="宋体"/>
                    </w:rPr>
                    <w:t>达标</w:t>
                  </w:r>
                </w:p>
              </w:tc>
              <w:tc>
                <w:tcPr>
                  <w:tcW w:w="930" w:type="dxa"/>
                  <w:vAlign w:val="center"/>
                </w:tcPr>
                <w:p>
                  <w:pPr>
                    <w:pStyle w:val="67"/>
                    <w:tabs>
                      <w:tab w:val="left" w:pos="2340"/>
                    </w:tabs>
                    <w:adjustRightInd w:val="0"/>
                    <w:rPr>
                      <w:rFonts w:eastAsia="宋体"/>
                    </w:rPr>
                  </w:pPr>
                  <w:r>
                    <w:rPr>
                      <w:rFonts w:eastAsia="宋体"/>
                    </w:rPr>
                    <w:t>达标</w:t>
                  </w:r>
                </w:p>
              </w:tc>
              <w:tc>
                <w:tcPr>
                  <w:tcW w:w="869" w:type="dxa"/>
                  <w:vAlign w:val="center"/>
                </w:tcPr>
                <w:p>
                  <w:pPr>
                    <w:pStyle w:val="67"/>
                    <w:tabs>
                      <w:tab w:val="left" w:pos="2340"/>
                    </w:tabs>
                    <w:adjustRightInd w:val="0"/>
                    <w:rPr>
                      <w:rFonts w:eastAsia="宋体"/>
                    </w:rPr>
                  </w:pPr>
                  <w:r>
                    <w:rPr>
                      <w:rFonts w:eastAsia="宋体"/>
                    </w:rPr>
                    <w:t>达标</w:t>
                  </w:r>
                </w:p>
              </w:tc>
              <w:tc>
                <w:tcPr>
                  <w:tcW w:w="708" w:type="dxa"/>
                  <w:vAlign w:val="center"/>
                </w:tcPr>
                <w:p>
                  <w:pPr>
                    <w:pStyle w:val="67"/>
                    <w:tabs>
                      <w:tab w:val="left" w:pos="2340"/>
                    </w:tabs>
                    <w:adjustRightInd w:val="0"/>
                    <w:rPr>
                      <w:rFonts w:eastAsia="宋体"/>
                    </w:rPr>
                  </w:pPr>
                  <w:r>
                    <w:rPr>
                      <w:rFonts w:eastAsia="宋体"/>
                    </w:rPr>
                    <w:t>达标</w:t>
                  </w:r>
                </w:p>
              </w:tc>
              <w:tc>
                <w:tcPr>
                  <w:tcW w:w="692" w:type="dxa"/>
                  <w:vAlign w:val="center"/>
                </w:tcPr>
                <w:p>
                  <w:pPr>
                    <w:pStyle w:val="67"/>
                    <w:tabs>
                      <w:tab w:val="left" w:pos="2340"/>
                    </w:tabs>
                    <w:adjustRightInd w:val="0"/>
                    <w:rPr>
                      <w:rFonts w:eastAsia="宋体"/>
                    </w:rPr>
                  </w:pPr>
                  <w:r>
                    <w:rPr>
                      <w:rFonts w:eastAsia="宋体"/>
                    </w:rPr>
                    <w:t>达标</w:t>
                  </w:r>
                </w:p>
              </w:tc>
              <w:tc>
                <w:tcPr>
                  <w:tcW w:w="644" w:type="dxa"/>
                  <w:vAlign w:val="center"/>
                </w:tcPr>
                <w:p>
                  <w:pPr>
                    <w:pStyle w:val="67"/>
                    <w:tabs>
                      <w:tab w:val="left" w:pos="2340"/>
                    </w:tabs>
                    <w:adjustRightInd w:val="0"/>
                    <w:rPr>
                      <w:rFonts w:eastAsia="宋体"/>
                    </w:rPr>
                  </w:pPr>
                  <w:r>
                    <w:rPr>
                      <w:rFonts w:eastAsia="宋体"/>
                    </w:rPr>
                    <w:t>达标</w:t>
                  </w:r>
                </w:p>
              </w:tc>
              <w:tc>
                <w:tcPr>
                  <w:tcW w:w="674" w:type="dxa"/>
                  <w:vAlign w:val="center"/>
                </w:tcPr>
                <w:p>
                  <w:pPr>
                    <w:pStyle w:val="67"/>
                    <w:tabs>
                      <w:tab w:val="left" w:pos="2340"/>
                    </w:tabs>
                    <w:adjustRightInd w:val="0"/>
                    <w:rPr>
                      <w:rFonts w:eastAsia="宋体"/>
                    </w:rPr>
                  </w:pPr>
                  <w:r>
                    <w:rPr>
                      <w:rFonts w:eastAsia="宋体"/>
                    </w:rPr>
                    <w:t>达标</w:t>
                  </w:r>
                </w:p>
              </w:tc>
              <w:tc>
                <w:tcPr>
                  <w:tcW w:w="830" w:type="dxa"/>
                  <w:vAlign w:val="center"/>
                </w:tcPr>
                <w:p>
                  <w:pPr>
                    <w:pStyle w:val="67"/>
                    <w:tabs>
                      <w:tab w:val="left" w:pos="2340"/>
                    </w:tabs>
                    <w:adjustRightInd w:val="0"/>
                    <w:rPr>
                      <w:rFonts w:eastAsia="宋体"/>
                    </w:rPr>
                  </w:pPr>
                  <w:r>
                    <w:rPr>
                      <w:rFonts w:eastAsia="宋体"/>
                    </w:rPr>
                    <w:t>达标</w:t>
                  </w:r>
                </w:p>
              </w:tc>
              <w:tc>
                <w:tcPr>
                  <w:tcW w:w="808" w:type="dxa"/>
                  <w:vAlign w:val="center"/>
                </w:tcPr>
                <w:p>
                  <w:pPr>
                    <w:pStyle w:val="67"/>
                    <w:tabs>
                      <w:tab w:val="left" w:pos="2340"/>
                    </w:tabs>
                    <w:adjustRightInd w:val="0"/>
                    <w:rPr>
                      <w:rFonts w:eastAsia="宋体"/>
                    </w:rPr>
                  </w:pPr>
                  <w:r>
                    <w:rPr>
                      <w:rFonts w:eastAsia="宋体"/>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0" w:hRule="atLeast"/>
                <w:jc w:val="center"/>
              </w:trPr>
              <w:tc>
                <w:tcPr>
                  <w:tcW w:w="1037" w:type="dxa"/>
                  <w:vAlign w:val="center"/>
                </w:tcPr>
                <w:p>
                  <w:pPr>
                    <w:pStyle w:val="67"/>
                    <w:tabs>
                      <w:tab w:val="left" w:pos="2340"/>
                    </w:tabs>
                    <w:adjustRightInd w:val="0"/>
                    <w:rPr>
                      <w:rFonts w:eastAsia="宋体"/>
                    </w:rPr>
                  </w:pPr>
                  <w:r>
                    <w:rPr>
                      <w:rFonts w:eastAsia="宋体"/>
                    </w:rPr>
                    <w:t>项目</w:t>
                  </w:r>
                </w:p>
              </w:tc>
              <w:tc>
                <w:tcPr>
                  <w:tcW w:w="723" w:type="dxa"/>
                  <w:vAlign w:val="center"/>
                </w:tcPr>
                <w:p>
                  <w:pPr>
                    <w:pStyle w:val="67"/>
                    <w:tabs>
                      <w:tab w:val="left" w:pos="2340"/>
                    </w:tabs>
                    <w:adjustRightInd w:val="0"/>
                    <w:rPr>
                      <w:rFonts w:eastAsia="宋体"/>
                    </w:rPr>
                  </w:pPr>
                  <w:r>
                    <w:rPr>
                      <w:rFonts w:eastAsia="宋体"/>
                    </w:rPr>
                    <w:t>pH</w:t>
                  </w:r>
                </w:p>
                <w:p>
                  <w:pPr>
                    <w:pStyle w:val="67"/>
                    <w:tabs>
                      <w:tab w:val="left" w:pos="2340"/>
                    </w:tabs>
                    <w:adjustRightInd w:val="0"/>
                    <w:rPr>
                      <w:rFonts w:eastAsia="宋体"/>
                    </w:rPr>
                  </w:pPr>
                  <w:r>
                    <w:rPr>
                      <w:rFonts w:eastAsia="宋体"/>
                    </w:rPr>
                    <w:t>（无量纲）</w:t>
                  </w:r>
                </w:p>
              </w:tc>
              <w:tc>
                <w:tcPr>
                  <w:tcW w:w="930" w:type="dxa"/>
                  <w:vAlign w:val="center"/>
                </w:tcPr>
                <w:p>
                  <w:pPr>
                    <w:pStyle w:val="67"/>
                    <w:tabs>
                      <w:tab w:val="left" w:pos="2340"/>
                    </w:tabs>
                    <w:adjustRightInd w:val="0"/>
                    <w:rPr>
                      <w:rFonts w:eastAsia="宋体"/>
                    </w:rPr>
                  </w:pPr>
                  <w:r>
                    <w:rPr>
                      <w:rFonts w:eastAsia="宋体"/>
                    </w:rPr>
                    <w:t>阳离子交换量cmol/kg(+)</w:t>
                  </w:r>
                </w:p>
              </w:tc>
              <w:tc>
                <w:tcPr>
                  <w:tcW w:w="869" w:type="dxa"/>
                  <w:vAlign w:val="center"/>
                </w:tcPr>
                <w:p>
                  <w:pPr>
                    <w:pStyle w:val="67"/>
                    <w:tabs>
                      <w:tab w:val="left" w:pos="2340"/>
                    </w:tabs>
                    <w:adjustRightInd w:val="0"/>
                    <w:rPr>
                      <w:rFonts w:eastAsia="宋体"/>
                    </w:rPr>
                  </w:pPr>
                  <w:r>
                    <w:rPr>
                      <w:rFonts w:eastAsia="宋体"/>
                    </w:rPr>
                    <w:t>土壤容重</w:t>
                  </w:r>
                </w:p>
              </w:tc>
              <w:tc>
                <w:tcPr>
                  <w:tcW w:w="708" w:type="dxa"/>
                  <w:vAlign w:val="center"/>
                </w:tcPr>
                <w:p>
                  <w:pPr>
                    <w:pStyle w:val="67"/>
                    <w:tabs>
                      <w:tab w:val="left" w:pos="2340"/>
                    </w:tabs>
                    <w:adjustRightInd w:val="0"/>
                    <w:rPr>
                      <w:rFonts w:eastAsia="宋体"/>
                    </w:rPr>
                  </w:pPr>
                  <w:r>
                    <w:rPr>
                      <w:rFonts w:eastAsia="宋体"/>
                    </w:rPr>
                    <w:t>总孔隙度%</w:t>
                  </w:r>
                </w:p>
              </w:tc>
              <w:tc>
                <w:tcPr>
                  <w:tcW w:w="692" w:type="dxa"/>
                  <w:vAlign w:val="center"/>
                </w:tcPr>
                <w:p>
                  <w:pPr>
                    <w:pStyle w:val="67"/>
                    <w:tabs>
                      <w:tab w:val="left" w:pos="2340"/>
                    </w:tabs>
                    <w:adjustRightInd w:val="0"/>
                    <w:rPr>
                      <w:rFonts w:eastAsia="宋体"/>
                    </w:rPr>
                  </w:pPr>
                  <w:r>
                    <w:rPr>
                      <w:rFonts w:eastAsia="宋体"/>
                    </w:rPr>
                    <w:t>氧化还原电位</w:t>
                  </w:r>
                </w:p>
              </w:tc>
              <w:tc>
                <w:tcPr>
                  <w:tcW w:w="644" w:type="dxa"/>
                  <w:vAlign w:val="center"/>
                </w:tcPr>
                <w:p>
                  <w:pPr>
                    <w:pStyle w:val="67"/>
                    <w:tabs>
                      <w:tab w:val="left" w:pos="2340"/>
                    </w:tabs>
                    <w:adjustRightInd w:val="0"/>
                    <w:rPr>
                      <w:rFonts w:eastAsia="宋体"/>
                    </w:rPr>
                  </w:pPr>
                  <w:r>
                    <w:rPr>
                      <w:rFonts w:hint="eastAsia" w:eastAsia="宋体"/>
                    </w:rPr>
                    <w:t>土壤密度</w:t>
                  </w:r>
                </w:p>
              </w:tc>
              <w:tc>
                <w:tcPr>
                  <w:tcW w:w="674" w:type="dxa"/>
                  <w:vAlign w:val="center"/>
                </w:tcPr>
                <w:p>
                  <w:pPr>
                    <w:pStyle w:val="67"/>
                    <w:tabs>
                      <w:tab w:val="left" w:pos="2340"/>
                    </w:tabs>
                    <w:adjustRightInd w:val="0"/>
                    <w:rPr>
                      <w:rFonts w:eastAsia="宋体"/>
                    </w:rPr>
                  </w:pPr>
                </w:p>
              </w:tc>
              <w:tc>
                <w:tcPr>
                  <w:tcW w:w="830" w:type="dxa"/>
                  <w:vAlign w:val="center"/>
                </w:tcPr>
                <w:p>
                  <w:pPr>
                    <w:pStyle w:val="67"/>
                    <w:tabs>
                      <w:tab w:val="left" w:pos="2340"/>
                    </w:tabs>
                    <w:adjustRightInd w:val="0"/>
                    <w:rPr>
                      <w:rFonts w:eastAsia="宋体"/>
                    </w:rPr>
                  </w:pPr>
                  <w:r>
                    <w:rPr>
                      <w:rFonts w:eastAsia="宋体"/>
                    </w:rPr>
                    <w:t>/</w:t>
                  </w:r>
                </w:p>
              </w:tc>
              <w:tc>
                <w:tcPr>
                  <w:tcW w:w="808" w:type="dxa"/>
                  <w:vAlign w:val="center"/>
                </w:tcPr>
                <w:p>
                  <w:pPr>
                    <w:pStyle w:val="67"/>
                    <w:tabs>
                      <w:tab w:val="left" w:pos="2340"/>
                    </w:tabs>
                    <w:adjustRightInd w:val="0"/>
                    <w:rPr>
                      <w:rFonts w:eastAsia="宋体"/>
                    </w:rPr>
                  </w:pP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厂界内</w:t>
                  </w:r>
                  <w:r>
                    <w:rPr>
                      <w:rFonts w:eastAsia="宋体"/>
                    </w:rPr>
                    <w:t>）</w:t>
                  </w:r>
                </w:p>
              </w:tc>
              <w:tc>
                <w:tcPr>
                  <w:tcW w:w="723" w:type="dxa"/>
                  <w:vAlign w:val="center"/>
                </w:tcPr>
                <w:p>
                  <w:pPr>
                    <w:pStyle w:val="67"/>
                    <w:tabs>
                      <w:tab w:val="left" w:pos="2340"/>
                    </w:tabs>
                    <w:adjustRightInd w:val="0"/>
                    <w:rPr>
                      <w:rFonts w:eastAsia="宋体"/>
                    </w:rPr>
                  </w:pPr>
                  <w:r>
                    <w:rPr>
                      <w:rFonts w:hint="eastAsia" w:eastAsia="宋体"/>
                    </w:rPr>
                    <w:t>11.0</w:t>
                  </w:r>
                </w:p>
              </w:tc>
              <w:tc>
                <w:tcPr>
                  <w:tcW w:w="930" w:type="dxa"/>
                  <w:vAlign w:val="center"/>
                </w:tcPr>
                <w:p>
                  <w:pPr>
                    <w:pStyle w:val="67"/>
                    <w:tabs>
                      <w:tab w:val="left" w:pos="2340"/>
                    </w:tabs>
                    <w:adjustRightInd w:val="0"/>
                    <w:rPr>
                      <w:rFonts w:eastAsia="宋体"/>
                    </w:rPr>
                  </w:pPr>
                  <w:r>
                    <w:rPr>
                      <w:rFonts w:hint="eastAsia" w:eastAsia="宋体"/>
                    </w:rPr>
                    <w:t>9.7</w:t>
                  </w:r>
                </w:p>
              </w:tc>
              <w:tc>
                <w:tcPr>
                  <w:tcW w:w="869" w:type="dxa"/>
                  <w:vAlign w:val="center"/>
                </w:tcPr>
                <w:p>
                  <w:pPr>
                    <w:pStyle w:val="67"/>
                    <w:tabs>
                      <w:tab w:val="left" w:pos="2340"/>
                    </w:tabs>
                    <w:adjustRightInd w:val="0"/>
                    <w:rPr>
                      <w:rFonts w:eastAsia="宋体"/>
                    </w:rPr>
                  </w:pPr>
                  <w:r>
                    <w:rPr>
                      <w:rFonts w:hint="eastAsia" w:eastAsia="宋体"/>
                    </w:rPr>
                    <w:t>0.98</w:t>
                  </w:r>
                </w:p>
              </w:tc>
              <w:tc>
                <w:tcPr>
                  <w:tcW w:w="708" w:type="dxa"/>
                  <w:vAlign w:val="center"/>
                </w:tcPr>
                <w:p>
                  <w:pPr>
                    <w:pStyle w:val="67"/>
                    <w:tabs>
                      <w:tab w:val="left" w:pos="2340"/>
                    </w:tabs>
                    <w:adjustRightInd w:val="0"/>
                    <w:rPr>
                      <w:rFonts w:eastAsia="宋体"/>
                    </w:rPr>
                  </w:pPr>
                  <w:r>
                    <w:rPr>
                      <w:rFonts w:hint="eastAsia" w:eastAsia="宋体"/>
                    </w:rPr>
                    <w:t>45.6</w:t>
                  </w:r>
                </w:p>
              </w:tc>
              <w:tc>
                <w:tcPr>
                  <w:tcW w:w="692" w:type="dxa"/>
                  <w:vAlign w:val="center"/>
                </w:tcPr>
                <w:p>
                  <w:pPr>
                    <w:pStyle w:val="67"/>
                    <w:tabs>
                      <w:tab w:val="left" w:pos="2340"/>
                    </w:tabs>
                    <w:adjustRightInd w:val="0"/>
                    <w:rPr>
                      <w:rFonts w:eastAsia="宋体"/>
                    </w:rPr>
                  </w:pPr>
                  <w:r>
                    <w:rPr>
                      <w:rFonts w:hint="eastAsia" w:eastAsia="宋体"/>
                    </w:rPr>
                    <w:t>373</w:t>
                  </w:r>
                </w:p>
              </w:tc>
              <w:tc>
                <w:tcPr>
                  <w:tcW w:w="644" w:type="dxa"/>
                  <w:vAlign w:val="center"/>
                </w:tcPr>
                <w:p>
                  <w:pPr>
                    <w:pStyle w:val="67"/>
                    <w:tabs>
                      <w:tab w:val="left" w:pos="2340"/>
                    </w:tabs>
                    <w:adjustRightInd w:val="0"/>
                    <w:rPr>
                      <w:rFonts w:eastAsia="宋体"/>
                    </w:rPr>
                  </w:pPr>
                  <w:r>
                    <w:rPr>
                      <w:rFonts w:hint="eastAsia" w:eastAsia="宋体"/>
                    </w:rPr>
                    <w:t>1.80</w:t>
                  </w:r>
                </w:p>
              </w:tc>
              <w:tc>
                <w:tcPr>
                  <w:tcW w:w="674" w:type="dxa"/>
                  <w:vAlign w:val="center"/>
                </w:tcPr>
                <w:p>
                  <w:pPr>
                    <w:pStyle w:val="67"/>
                    <w:tabs>
                      <w:tab w:val="left" w:pos="2340"/>
                    </w:tabs>
                    <w:adjustRightInd w:val="0"/>
                    <w:rPr>
                      <w:rFonts w:eastAsia="宋体"/>
                    </w:rPr>
                  </w:pPr>
                </w:p>
              </w:tc>
              <w:tc>
                <w:tcPr>
                  <w:tcW w:w="830" w:type="dxa"/>
                  <w:vAlign w:val="center"/>
                </w:tcPr>
                <w:p>
                  <w:pPr>
                    <w:pStyle w:val="67"/>
                    <w:tabs>
                      <w:tab w:val="left" w:pos="2340"/>
                    </w:tabs>
                    <w:adjustRightInd w:val="0"/>
                    <w:rPr>
                      <w:rFonts w:eastAsia="宋体"/>
                    </w:rPr>
                  </w:pPr>
                  <w:r>
                    <w:rPr>
                      <w:rFonts w:eastAsia="宋体"/>
                    </w:rPr>
                    <w:t>/</w:t>
                  </w:r>
                </w:p>
              </w:tc>
              <w:tc>
                <w:tcPr>
                  <w:tcW w:w="808" w:type="dxa"/>
                  <w:vAlign w:val="center"/>
                </w:tcPr>
                <w:p>
                  <w:pPr>
                    <w:pStyle w:val="67"/>
                    <w:tabs>
                      <w:tab w:val="left" w:pos="2340"/>
                    </w:tabs>
                    <w:adjustRightInd w:val="0"/>
                    <w:rPr>
                      <w:rFonts w:eastAsia="宋体"/>
                    </w:rPr>
                  </w:pPr>
                  <w:r>
                    <w:rPr>
                      <w:rFonts w:eastAsia="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检测值（</w:t>
                  </w:r>
                  <w:r>
                    <w:rPr>
                      <w:rFonts w:hint="eastAsia" w:eastAsia="宋体"/>
                    </w:rPr>
                    <w:t>厂界外</w:t>
                  </w:r>
                  <w:r>
                    <w:rPr>
                      <w:rFonts w:eastAsia="宋体"/>
                    </w:rPr>
                    <w:t>）</w:t>
                  </w:r>
                </w:p>
              </w:tc>
              <w:tc>
                <w:tcPr>
                  <w:tcW w:w="723" w:type="dxa"/>
                  <w:vAlign w:val="center"/>
                </w:tcPr>
                <w:p>
                  <w:pPr>
                    <w:pStyle w:val="67"/>
                    <w:tabs>
                      <w:tab w:val="left" w:pos="2340"/>
                    </w:tabs>
                    <w:adjustRightInd w:val="0"/>
                    <w:rPr>
                      <w:rFonts w:eastAsia="宋体"/>
                    </w:rPr>
                  </w:pPr>
                  <w:r>
                    <w:rPr>
                      <w:rFonts w:hint="eastAsia" w:eastAsia="宋体"/>
                    </w:rPr>
                    <w:t>8.4</w:t>
                  </w:r>
                </w:p>
              </w:tc>
              <w:tc>
                <w:tcPr>
                  <w:tcW w:w="930" w:type="dxa"/>
                  <w:vAlign w:val="center"/>
                </w:tcPr>
                <w:p>
                  <w:pPr>
                    <w:pStyle w:val="67"/>
                    <w:tabs>
                      <w:tab w:val="left" w:pos="2340"/>
                    </w:tabs>
                    <w:adjustRightInd w:val="0"/>
                    <w:rPr>
                      <w:rFonts w:eastAsia="宋体"/>
                    </w:rPr>
                  </w:pPr>
                  <w:r>
                    <w:rPr>
                      <w:rFonts w:hint="eastAsia" w:eastAsia="宋体"/>
                    </w:rPr>
                    <w:t>11.6</w:t>
                  </w:r>
                </w:p>
              </w:tc>
              <w:tc>
                <w:tcPr>
                  <w:tcW w:w="869" w:type="dxa"/>
                  <w:vAlign w:val="center"/>
                </w:tcPr>
                <w:p>
                  <w:pPr>
                    <w:pStyle w:val="67"/>
                    <w:tabs>
                      <w:tab w:val="left" w:pos="2340"/>
                    </w:tabs>
                    <w:adjustRightInd w:val="0"/>
                    <w:rPr>
                      <w:rFonts w:eastAsia="宋体"/>
                    </w:rPr>
                  </w:pPr>
                  <w:r>
                    <w:rPr>
                      <w:rFonts w:hint="eastAsia" w:eastAsia="宋体"/>
                    </w:rPr>
                    <w:t>1.28</w:t>
                  </w:r>
                </w:p>
              </w:tc>
              <w:tc>
                <w:tcPr>
                  <w:tcW w:w="708" w:type="dxa"/>
                  <w:vAlign w:val="center"/>
                </w:tcPr>
                <w:p>
                  <w:pPr>
                    <w:pStyle w:val="67"/>
                    <w:tabs>
                      <w:tab w:val="left" w:pos="2340"/>
                    </w:tabs>
                    <w:adjustRightInd w:val="0"/>
                    <w:rPr>
                      <w:rFonts w:eastAsia="宋体"/>
                    </w:rPr>
                  </w:pPr>
                  <w:r>
                    <w:rPr>
                      <w:rFonts w:hint="eastAsia" w:eastAsia="宋体"/>
                    </w:rPr>
                    <w:t>48.6</w:t>
                  </w:r>
                </w:p>
              </w:tc>
              <w:tc>
                <w:tcPr>
                  <w:tcW w:w="692" w:type="dxa"/>
                  <w:vAlign w:val="center"/>
                </w:tcPr>
                <w:p>
                  <w:pPr>
                    <w:pStyle w:val="67"/>
                    <w:tabs>
                      <w:tab w:val="left" w:pos="2340"/>
                    </w:tabs>
                    <w:adjustRightInd w:val="0"/>
                    <w:rPr>
                      <w:rFonts w:eastAsia="宋体"/>
                    </w:rPr>
                  </w:pPr>
                  <w:r>
                    <w:rPr>
                      <w:rFonts w:hint="eastAsia" w:eastAsia="宋体"/>
                    </w:rPr>
                    <w:t>377</w:t>
                  </w:r>
                </w:p>
              </w:tc>
              <w:tc>
                <w:tcPr>
                  <w:tcW w:w="644" w:type="dxa"/>
                  <w:vAlign w:val="center"/>
                </w:tcPr>
                <w:p>
                  <w:pPr>
                    <w:pStyle w:val="67"/>
                    <w:tabs>
                      <w:tab w:val="left" w:pos="2340"/>
                    </w:tabs>
                    <w:adjustRightInd w:val="0"/>
                    <w:rPr>
                      <w:rFonts w:eastAsia="宋体"/>
                    </w:rPr>
                  </w:pPr>
                  <w:r>
                    <w:rPr>
                      <w:rFonts w:hint="eastAsia" w:eastAsia="宋体"/>
                    </w:rPr>
                    <w:t>2.49</w:t>
                  </w:r>
                </w:p>
              </w:tc>
              <w:tc>
                <w:tcPr>
                  <w:tcW w:w="674" w:type="dxa"/>
                  <w:vAlign w:val="center"/>
                </w:tcPr>
                <w:p>
                  <w:pPr>
                    <w:pStyle w:val="67"/>
                    <w:tabs>
                      <w:tab w:val="left" w:pos="2340"/>
                    </w:tabs>
                    <w:adjustRightInd w:val="0"/>
                    <w:rPr>
                      <w:rFonts w:eastAsia="宋体"/>
                    </w:rPr>
                  </w:pPr>
                </w:p>
              </w:tc>
              <w:tc>
                <w:tcPr>
                  <w:tcW w:w="830" w:type="dxa"/>
                  <w:vAlign w:val="center"/>
                </w:tcPr>
                <w:p>
                  <w:pPr>
                    <w:pStyle w:val="67"/>
                    <w:tabs>
                      <w:tab w:val="left" w:pos="2340"/>
                    </w:tabs>
                    <w:adjustRightInd w:val="0"/>
                    <w:rPr>
                      <w:rFonts w:eastAsia="宋体"/>
                    </w:rPr>
                  </w:pPr>
                </w:p>
              </w:tc>
              <w:tc>
                <w:tcPr>
                  <w:tcW w:w="808" w:type="dxa"/>
                  <w:vAlign w:val="center"/>
                </w:tcPr>
                <w:p>
                  <w:pPr>
                    <w:pStyle w:val="67"/>
                    <w:tabs>
                      <w:tab w:val="left" w:pos="2340"/>
                    </w:tabs>
                    <w:adjustRightInd w:val="0"/>
                    <w:rPr>
                      <w:rFonts w:eastAsia="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37" w:type="dxa"/>
                  <w:vAlign w:val="center"/>
                </w:tcPr>
                <w:p>
                  <w:pPr>
                    <w:pStyle w:val="67"/>
                    <w:tabs>
                      <w:tab w:val="left" w:pos="2340"/>
                    </w:tabs>
                    <w:adjustRightInd w:val="0"/>
                    <w:rPr>
                      <w:rFonts w:eastAsia="宋体"/>
                    </w:rPr>
                  </w:pPr>
                  <w:r>
                    <w:rPr>
                      <w:rFonts w:eastAsia="宋体"/>
                    </w:rPr>
                    <w:t>筛选值</w:t>
                  </w:r>
                </w:p>
              </w:tc>
              <w:tc>
                <w:tcPr>
                  <w:tcW w:w="723" w:type="dxa"/>
                  <w:vAlign w:val="center"/>
                </w:tcPr>
                <w:p>
                  <w:pPr>
                    <w:pStyle w:val="67"/>
                    <w:tabs>
                      <w:tab w:val="left" w:pos="2340"/>
                    </w:tabs>
                    <w:adjustRightInd w:val="0"/>
                    <w:rPr>
                      <w:rFonts w:eastAsia="宋体"/>
                    </w:rPr>
                  </w:pPr>
                  <w:r>
                    <w:rPr>
                      <w:rFonts w:eastAsia="宋体"/>
                    </w:rPr>
                    <w:t>/</w:t>
                  </w:r>
                </w:p>
              </w:tc>
              <w:tc>
                <w:tcPr>
                  <w:tcW w:w="930" w:type="dxa"/>
                  <w:vAlign w:val="center"/>
                </w:tcPr>
                <w:p>
                  <w:pPr>
                    <w:pStyle w:val="67"/>
                    <w:tabs>
                      <w:tab w:val="left" w:pos="2340"/>
                    </w:tabs>
                    <w:adjustRightInd w:val="0"/>
                    <w:rPr>
                      <w:rFonts w:eastAsia="宋体"/>
                    </w:rPr>
                  </w:pPr>
                  <w:r>
                    <w:rPr>
                      <w:rFonts w:eastAsia="宋体"/>
                    </w:rPr>
                    <w:t>/</w:t>
                  </w:r>
                </w:p>
              </w:tc>
              <w:tc>
                <w:tcPr>
                  <w:tcW w:w="869" w:type="dxa"/>
                  <w:vAlign w:val="center"/>
                </w:tcPr>
                <w:p>
                  <w:pPr>
                    <w:pStyle w:val="67"/>
                    <w:tabs>
                      <w:tab w:val="left" w:pos="2340"/>
                    </w:tabs>
                    <w:adjustRightInd w:val="0"/>
                    <w:rPr>
                      <w:rFonts w:eastAsia="宋体"/>
                    </w:rPr>
                  </w:pPr>
                  <w:r>
                    <w:rPr>
                      <w:rFonts w:eastAsia="宋体"/>
                    </w:rPr>
                    <w:t>/</w:t>
                  </w:r>
                </w:p>
              </w:tc>
              <w:tc>
                <w:tcPr>
                  <w:tcW w:w="708" w:type="dxa"/>
                  <w:vAlign w:val="center"/>
                </w:tcPr>
                <w:p>
                  <w:pPr>
                    <w:pStyle w:val="67"/>
                    <w:tabs>
                      <w:tab w:val="left" w:pos="2340"/>
                    </w:tabs>
                    <w:adjustRightInd w:val="0"/>
                    <w:rPr>
                      <w:rFonts w:eastAsia="宋体"/>
                    </w:rPr>
                  </w:pPr>
                  <w:r>
                    <w:rPr>
                      <w:rFonts w:eastAsia="宋体"/>
                    </w:rPr>
                    <w:t>/</w:t>
                  </w:r>
                </w:p>
              </w:tc>
              <w:tc>
                <w:tcPr>
                  <w:tcW w:w="692" w:type="dxa"/>
                  <w:vAlign w:val="center"/>
                </w:tcPr>
                <w:p>
                  <w:pPr>
                    <w:pStyle w:val="67"/>
                    <w:tabs>
                      <w:tab w:val="left" w:pos="2340"/>
                    </w:tabs>
                    <w:adjustRightInd w:val="0"/>
                    <w:rPr>
                      <w:rFonts w:eastAsia="宋体"/>
                    </w:rPr>
                  </w:pPr>
                  <w:r>
                    <w:rPr>
                      <w:rFonts w:eastAsia="宋体"/>
                    </w:rPr>
                    <w:t>/</w:t>
                  </w:r>
                </w:p>
              </w:tc>
              <w:tc>
                <w:tcPr>
                  <w:tcW w:w="644" w:type="dxa"/>
                  <w:vAlign w:val="center"/>
                </w:tcPr>
                <w:p>
                  <w:pPr>
                    <w:pStyle w:val="67"/>
                    <w:tabs>
                      <w:tab w:val="left" w:pos="2340"/>
                    </w:tabs>
                    <w:adjustRightInd w:val="0"/>
                    <w:rPr>
                      <w:rFonts w:eastAsia="宋体"/>
                    </w:rPr>
                  </w:pPr>
                  <w:r>
                    <w:rPr>
                      <w:rFonts w:eastAsia="宋体"/>
                    </w:rPr>
                    <w:t>/</w:t>
                  </w:r>
                </w:p>
              </w:tc>
              <w:tc>
                <w:tcPr>
                  <w:tcW w:w="674" w:type="dxa"/>
                  <w:vAlign w:val="center"/>
                </w:tcPr>
                <w:p>
                  <w:pPr>
                    <w:pStyle w:val="67"/>
                    <w:tabs>
                      <w:tab w:val="left" w:pos="2340"/>
                    </w:tabs>
                    <w:adjustRightInd w:val="0"/>
                    <w:rPr>
                      <w:rFonts w:eastAsia="宋体"/>
                    </w:rPr>
                  </w:pPr>
                </w:p>
              </w:tc>
              <w:tc>
                <w:tcPr>
                  <w:tcW w:w="830" w:type="dxa"/>
                  <w:vAlign w:val="center"/>
                </w:tcPr>
                <w:p>
                  <w:pPr>
                    <w:pStyle w:val="67"/>
                    <w:tabs>
                      <w:tab w:val="left" w:pos="2340"/>
                    </w:tabs>
                    <w:adjustRightInd w:val="0"/>
                    <w:rPr>
                      <w:rFonts w:eastAsia="宋体"/>
                    </w:rPr>
                  </w:pPr>
                </w:p>
              </w:tc>
              <w:tc>
                <w:tcPr>
                  <w:tcW w:w="808" w:type="dxa"/>
                  <w:vAlign w:val="center"/>
                </w:tcPr>
                <w:p>
                  <w:pPr>
                    <w:pStyle w:val="67"/>
                    <w:tabs>
                      <w:tab w:val="left" w:pos="2340"/>
                    </w:tabs>
                    <w:adjustRightInd w:val="0"/>
                    <w:rPr>
                      <w:rFonts w:eastAsia="宋体"/>
                    </w:rPr>
                  </w:pPr>
                </w:p>
              </w:tc>
            </w:tr>
          </w:tbl>
          <w:p>
            <w:pPr>
              <w:widowControl/>
              <w:adjustRightInd w:val="0"/>
              <w:snapToGrid w:val="0"/>
              <w:spacing w:line="480" w:lineRule="exact"/>
              <w:ind w:firstLine="480" w:firstLineChars="200"/>
            </w:pPr>
            <w:r>
              <w:t>根据土壤环境质量检测结果，</w:t>
            </w:r>
            <w:r>
              <w:rPr>
                <w:rFonts w:hint="eastAsia"/>
              </w:rPr>
              <w:t>场地范围外和</w:t>
            </w:r>
            <w:r>
              <w:t>场地范围内的土壤检测样各检测指标均可满足《土壤环境质量 建设用地土壤污染风险管控标准（试行）》（GB 36600-2018）</w:t>
            </w:r>
            <w:r>
              <w:rPr>
                <w:rFonts w:hint="eastAsia"/>
              </w:rPr>
              <w:t>表1中第二</w:t>
            </w:r>
            <w:r>
              <w:t>类用地土壤污染风险筛选值中的限值要求。</w:t>
            </w:r>
          </w:p>
          <w:p>
            <w:pPr>
              <w:widowControl/>
              <w:adjustRightInd w:val="0"/>
              <w:snapToGrid w:val="0"/>
              <w:spacing w:line="480" w:lineRule="exact"/>
              <w:ind w:firstLine="480" w:firstLineChars="200"/>
            </w:pPr>
          </w:p>
          <w:p>
            <w:pPr>
              <w:widowControl/>
              <w:adjustRightInd w:val="0"/>
              <w:snapToGrid w:val="0"/>
              <w:spacing w:line="480" w:lineRule="exact"/>
              <w:ind w:firstLine="480" w:firstLineChars="200"/>
            </w:pPr>
          </w:p>
          <w:p>
            <w:pPr>
              <w:widowControl/>
              <w:adjustRightInd w:val="0"/>
              <w:snapToGrid w:val="0"/>
              <w:spacing w:line="480" w:lineRule="exact"/>
              <w:ind w:firstLine="480" w:firstLineChars="200"/>
              <w:rPr>
                <w:bCs/>
                <w:color w:val="00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color w:val="000000"/>
                <w:kern w:val="0"/>
                <w:sz w:val="21"/>
                <w:szCs w:val="21"/>
              </w:rPr>
            </w:pPr>
            <w:r>
              <w:rPr>
                <w:color w:val="000000"/>
                <w:kern w:val="0"/>
                <w:sz w:val="21"/>
                <w:szCs w:val="21"/>
              </w:rPr>
              <w:t>环境</w:t>
            </w:r>
          </w:p>
          <w:p>
            <w:pPr>
              <w:adjustRightInd w:val="0"/>
              <w:snapToGrid w:val="0"/>
              <w:jc w:val="center"/>
              <w:rPr>
                <w:color w:val="000000"/>
                <w:kern w:val="0"/>
                <w:sz w:val="21"/>
                <w:szCs w:val="21"/>
              </w:rPr>
            </w:pPr>
            <w:r>
              <w:rPr>
                <w:color w:val="000000"/>
                <w:kern w:val="0"/>
                <w:sz w:val="21"/>
                <w:szCs w:val="21"/>
              </w:rPr>
              <w:t>保护</w:t>
            </w:r>
          </w:p>
          <w:p>
            <w:pPr>
              <w:adjustRightInd w:val="0"/>
              <w:snapToGrid w:val="0"/>
              <w:jc w:val="center"/>
              <w:rPr>
                <w:color w:val="000000"/>
                <w:kern w:val="0"/>
                <w:szCs w:val="21"/>
              </w:rPr>
            </w:pPr>
            <w:r>
              <w:rPr>
                <w:color w:val="000000"/>
                <w:kern w:val="0"/>
                <w:sz w:val="21"/>
                <w:szCs w:val="21"/>
              </w:rPr>
              <w:t>目标</w:t>
            </w:r>
          </w:p>
        </w:tc>
        <w:tc>
          <w:tcPr>
            <w:tcW w:w="8190" w:type="dxa"/>
            <w:vAlign w:val="center"/>
          </w:tcPr>
          <w:p>
            <w:pPr>
              <w:spacing w:line="500" w:lineRule="exact"/>
              <w:ind w:firstLine="480" w:firstLineChars="200"/>
              <w:jc w:val="left"/>
              <w:rPr>
                <w:color w:val="000000"/>
              </w:rPr>
            </w:pPr>
            <w:r>
              <w:rPr>
                <w:color w:val="000000"/>
              </w:rPr>
              <w:t>根据《建设项目环境影响评价分类管理名录》中对环境敏感因素的界定原则，经过调查了解，工程区域内无特殊保护区、</w:t>
            </w:r>
            <w:r>
              <w:rPr>
                <w:rFonts w:hint="eastAsia"/>
                <w:color w:val="000000"/>
              </w:rPr>
              <w:t>特殊地貌景观区、</w:t>
            </w:r>
            <w:r>
              <w:rPr>
                <w:color w:val="000000"/>
              </w:rPr>
              <w:t>生态敏感与脆弱区和社会关注区。评价区没有文物保护单位、名胜古迹和风景名胜区，无珍稀野生植物、动物等。</w:t>
            </w:r>
          </w:p>
          <w:p>
            <w:pPr>
              <w:spacing w:line="500" w:lineRule="exact"/>
              <w:ind w:firstLine="480" w:firstLineChars="200"/>
              <w:jc w:val="left"/>
              <w:rPr>
                <w:color w:val="000000"/>
              </w:rPr>
            </w:pPr>
            <w:r>
              <w:rPr>
                <w:rFonts w:hint="eastAsia"/>
                <w:color w:val="000000" w:themeColor="text1"/>
              </w:rPr>
              <w:t>本项目厂界外500m范围内环境空气保护目标主要为居民区，厂界外50米范围内无声环境敏感目标；厂界外500米范围内无地下水集中式饮用水水源和热水、矿泉水、温泉等特殊地下水资源，无生态保护目标具体</w:t>
            </w:r>
            <w:r>
              <w:rPr>
                <w:rFonts w:hint="eastAsia"/>
                <w:color w:val="000000"/>
              </w:rPr>
              <w:t>见下表。</w:t>
            </w:r>
          </w:p>
          <w:p>
            <w:pPr>
              <w:spacing w:line="480" w:lineRule="exact"/>
              <w:jc w:val="center"/>
              <w:rPr>
                <w:b/>
                <w:bCs/>
                <w:color w:val="000000"/>
              </w:rPr>
            </w:pPr>
            <w:r>
              <w:rPr>
                <w:b/>
                <w:color w:val="000000"/>
              </w:rPr>
              <w:t>表3-</w:t>
            </w:r>
            <w:r>
              <w:rPr>
                <w:rFonts w:hint="eastAsia"/>
                <w:b/>
                <w:color w:val="000000"/>
              </w:rPr>
              <w:t xml:space="preserve">6 </w:t>
            </w:r>
            <w:r>
              <w:rPr>
                <w:b/>
                <w:color w:val="000000"/>
              </w:rPr>
              <w:t xml:space="preserve"> 厂址周围主要敏感目标分布情况</w:t>
            </w:r>
          </w:p>
          <w:tbl>
            <w:tblPr>
              <w:tblStyle w:val="32"/>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294"/>
              <w:gridCol w:w="1182"/>
              <w:gridCol w:w="657"/>
              <w:gridCol w:w="622"/>
              <w:gridCol w:w="1363"/>
              <w:gridCol w:w="883"/>
              <w:gridCol w:w="1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 w:hRule="atLeast"/>
                <w:jc w:val="center"/>
              </w:trPr>
              <w:tc>
                <w:tcPr>
                  <w:tcW w:w="537" w:type="pct"/>
                  <w:vMerge w:val="restart"/>
                  <w:vAlign w:val="center"/>
                </w:tcPr>
                <w:p>
                  <w:pPr>
                    <w:pStyle w:val="4"/>
                    <w:spacing w:line="320" w:lineRule="exact"/>
                    <w:rPr>
                      <w:color w:val="000000"/>
                      <w:sz w:val="21"/>
                    </w:rPr>
                  </w:pPr>
                  <w:r>
                    <w:rPr>
                      <w:color w:val="000000"/>
                      <w:sz w:val="21"/>
                    </w:rPr>
                    <w:t>名称</w:t>
                  </w:r>
                </w:p>
              </w:tc>
              <w:tc>
                <w:tcPr>
                  <w:tcW w:w="1554" w:type="pct"/>
                  <w:gridSpan w:val="2"/>
                  <w:vAlign w:val="center"/>
                </w:tcPr>
                <w:p>
                  <w:pPr>
                    <w:pStyle w:val="4"/>
                    <w:spacing w:line="320" w:lineRule="exact"/>
                    <w:rPr>
                      <w:color w:val="000000"/>
                      <w:sz w:val="21"/>
                    </w:rPr>
                  </w:pPr>
                  <w:r>
                    <w:rPr>
                      <w:color w:val="000000"/>
                      <w:sz w:val="21"/>
                    </w:rPr>
                    <w:t>坐标/m</w:t>
                  </w:r>
                </w:p>
              </w:tc>
              <w:tc>
                <w:tcPr>
                  <w:tcW w:w="413" w:type="pct"/>
                  <w:vMerge w:val="restart"/>
                  <w:vAlign w:val="center"/>
                </w:tcPr>
                <w:p>
                  <w:pPr>
                    <w:pStyle w:val="4"/>
                    <w:spacing w:line="320" w:lineRule="exact"/>
                    <w:rPr>
                      <w:color w:val="000000"/>
                      <w:sz w:val="21"/>
                    </w:rPr>
                  </w:pPr>
                  <w:r>
                    <w:rPr>
                      <w:color w:val="000000"/>
                      <w:sz w:val="21"/>
                    </w:rPr>
                    <w:t>保护对象</w:t>
                  </w:r>
                </w:p>
              </w:tc>
              <w:tc>
                <w:tcPr>
                  <w:tcW w:w="391" w:type="pct"/>
                  <w:vMerge w:val="restart"/>
                  <w:vAlign w:val="center"/>
                </w:tcPr>
                <w:p>
                  <w:pPr>
                    <w:pStyle w:val="4"/>
                    <w:spacing w:line="320" w:lineRule="exact"/>
                    <w:rPr>
                      <w:color w:val="000000"/>
                      <w:sz w:val="21"/>
                    </w:rPr>
                  </w:pPr>
                  <w:r>
                    <w:rPr>
                      <w:color w:val="000000"/>
                      <w:sz w:val="21"/>
                    </w:rPr>
                    <w:t>保护内容</w:t>
                  </w:r>
                </w:p>
              </w:tc>
              <w:tc>
                <w:tcPr>
                  <w:tcW w:w="855" w:type="pct"/>
                  <w:vMerge w:val="restart"/>
                  <w:vAlign w:val="center"/>
                </w:tcPr>
                <w:p>
                  <w:pPr>
                    <w:pStyle w:val="4"/>
                    <w:spacing w:line="320" w:lineRule="exact"/>
                    <w:rPr>
                      <w:color w:val="000000"/>
                      <w:sz w:val="21"/>
                    </w:rPr>
                  </w:pPr>
                  <w:r>
                    <w:rPr>
                      <w:color w:val="000000"/>
                      <w:sz w:val="21"/>
                    </w:rPr>
                    <w:t>环境功能区</w:t>
                  </w:r>
                </w:p>
              </w:tc>
              <w:tc>
                <w:tcPr>
                  <w:tcW w:w="555" w:type="pct"/>
                  <w:vMerge w:val="restart"/>
                  <w:vAlign w:val="center"/>
                </w:tcPr>
                <w:p>
                  <w:pPr>
                    <w:pStyle w:val="4"/>
                    <w:spacing w:line="320" w:lineRule="exact"/>
                    <w:rPr>
                      <w:color w:val="000000"/>
                      <w:sz w:val="21"/>
                    </w:rPr>
                  </w:pPr>
                  <w:r>
                    <w:rPr>
                      <w:color w:val="000000"/>
                      <w:sz w:val="21"/>
                    </w:rPr>
                    <w:t>相对厂址方向</w:t>
                  </w:r>
                </w:p>
              </w:tc>
              <w:tc>
                <w:tcPr>
                  <w:tcW w:w="692" w:type="pct"/>
                  <w:vMerge w:val="restart"/>
                  <w:vAlign w:val="center"/>
                </w:tcPr>
                <w:p>
                  <w:pPr>
                    <w:pStyle w:val="4"/>
                    <w:spacing w:line="320" w:lineRule="exact"/>
                    <w:rPr>
                      <w:color w:val="000000"/>
                      <w:sz w:val="21"/>
                    </w:rPr>
                  </w:pPr>
                  <w:r>
                    <w:rPr>
                      <w:color w:val="000000"/>
                      <w:sz w:val="21"/>
                    </w:rPr>
                    <w:t>相对厂界距离/km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537" w:type="pct"/>
                  <w:vMerge w:val="continue"/>
                  <w:vAlign w:val="center"/>
                </w:tcPr>
                <w:p>
                  <w:pPr>
                    <w:pStyle w:val="4"/>
                    <w:spacing w:line="320" w:lineRule="exact"/>
                    <w:rPr>
                      <w:color w:val="000000"/>
                      <w:sz w:val="21"/>
                    </w:rPr>
                  </w:pPr>
                </w:p>
              </w:tc>
              <w:tc>
                <w:tcPr>
                  <w:tcW w:w="812" w:type="pct"/>
                  <w:vAlign w:val="center"/>
                </w:tcPr>
                <w:p>
                  <w:pPr>
                    <w:pStyle w:val="4"/>
                    <w:spacing w:line="320" w:lineRule="exact"/>
                    <w:rPr>
                      <w:color w:val="000000"/>
                      <w:sz w:val="21"/>
                    </w:rPr>
                  </w:pPr>
                  <w:r>
                    <w:rPr>
                      <w:color w:val="000000"/>
                      <w:sz w:val="21"/>
                    </w:rPr>
                    <w:t>X</w:t>
                  </w:r>
                  <w:r>
                    <w:rPr>
                      <w:rFonts w:hint="eastAsia"/>
                      <w:color w:val="000000"/>
                      <w:sz w:val="21"/>
                    </w:rPr>
                    <w:t>（°）</w:t>
                  </w:r>
                </w:p>
              </w:tc>
              <w:tc>
                <w:tcPr>
                  <w:tcW w:w="741" w:type="pct"/>
                  <w:vAlign w:val="center"/>
                </w:tcPr>
                <w:p>
                  <w:pPr>
                    <w:pStyle w:val="4"/>
                    <w:spacing w:line="320" w:lineRule="exact"/>
                    <w:rPr>
                      <w:color w:val="000000"/>
                      <w:sz w:val="21"/>
                    </w:rPr>
                  </w:pPr>
                  <w:r>
                    <w:rPr>
                      <w:color w:val="000000"/>
                      <w:sz w:val="21"/>
                    </w:rPr>
                    <w:t>Y</w:t>
                  </w:r>
                  <w:r>
                    <w:rPr>
                      <w:rFonts w:hint="eastAsia"/>
                      <w:color w:val="000000"/>
                      <w:sz w:val="21"/>
                    </w:rPr>
                    <w:t>（°）</w:t>
                  </w:r>
                </w:p>
              </w:tc>
              <w:tc>
                <w:tcPr>
                  <w:tcW w:w="413" w:type="pct"/>
                  <w:vMerge w:val="continue"/>
                  <w:vAlign w:val="center"/>
                </w:tcPr>
                <w:p>
                  <w:pPr>
                    <w:pStyle w:val="4"/>
                    <w:spacing w:line="320" w:lineRule="exact"/>
                    <w:rPr>
                      <w:color w:val="000000"/>
                      <w:sz w:val="21"/>
                    </w:rPr>
                  </w:pPr>
                </w:p>
              </w:tc>
              <w:tc>
                <w:tcPr>
                  <w:tcW w:w="391" w:type="pct"/>
                  <w:vMerge w:val="continue"/>
                  <w:vAlign w:val="center"/>
                </w:tcPr>
                <w:p>
                  <w:pPr>
                    <w:pStyle w:val="4"/>
                    <w:spacing w:line="320" w:lineRule="exact"/>
                    <w:rPr>
                      <w:color w:val="000000"/>
                      <w:sz w:val="21"/>
                    </w:rPr>
                  </w:pPr>
                </w:p>
              </w:tc>
              <w:tc>
                <w:tcPr>
                  <w:tcW w:w="855" w:type="pct"/>
                  <w:vMerge w:val="continue"/>
                  <w:vAlign w:val="center"/>
                </w:tcPr>
                <w:p>
                  <w:pPr>
                    <w:pStyle w:val="4"/>
                    <w:spacing w:line="320" w:lineRule="exact"/>
                    <w:rPr>
                      <w:color w:val="000000"/>
                      <w:sz w:val="21"/>
                    </w:rPr>
                  </w:pPr>
                </w:p>
              </w:tc>
              <w:tc>
                <w:tcPr>
                  <w:tcW w:w="555" w:type="pct"/>
                  <w:vMerge w:val="continue"/>
                  <w:vAlign w:val="center"/>
                </w:tcPr>
                <w:p>
                  <w:pPr>
                    <w:pStyle w:val="4"/>
                    <w:spacing w:line="320" w:lineRule="exact"/>
                    <w:rPr>
                      <w:color w:val="000000"/>
                      <w:sz w:val="21"/>
                    </w:rPr>
                  </w:pPr>
                </w:p>
              </w:tc>
              <w:tc>
                <w:tcPr>
                  <w:tcW w:w="692" w:type="pct"/>
                  <w:vMerge w:val="continue"/>
                  <w:vAlign w:val="center"/>
                </w:tcPr>
                <w:p>
                  <w:pPr>
                    <w:pStyle w:val="4"/>
                    <w:spacing w:line="320" w:lineRule="exact"/>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537" w:type="pct"/>
                  <w:vAlign w:val="center"/>
                </w:tcPr>
                <w:p>
                  <w:pPr>
                    <w:spacing w:line="240" w:lineRule="atLeast"/>
                    <w:jc w:val="center"/>
                    <w:rPr>
                      <w:color w:val="000000"/>
                      <w:sz w:val="21"/>
                      <w:szCs w:val="21"/>
                    </w:rPr>
                  </w:pPr>
                  <w:r>
                    <w:rPr>
                      <w:rFonts w:hint="eastAsia"/>
                      <w:color w:val="000000"/>
                      <w:sz w:val="21"/>
                      <w:szCs w:val="21"/>
                    </w:rPr>
                    <w:t>薛家庄</w:t>
                  </w:r>
                  <w:r>
                    <w:rPr>
                      <w:color w:val="000000"/>
                      <w:sz w:val="21"/>
                      <w:szCs w:val="21"/>
                    </w:rPr>
                    <w:t>村</w:t>
                  </w:r>
                </w:p>
              </w:tc>
              <w:tc>
                <w:tcPr>
                  <w:tcW w:w="812" w:type="pct"/>
                  <w:vAlign w:val="center"/>
                </w:tcPr>
                <w:p>
                  <w:pPr>
                    <w:jc w:val="center"/>
                    <w:rPr>
                      <w:color w:val="000000"/>
                      <w:sz w:val="21"/>
                      <w:szCs w:val="21"/>
                    </w:rPr>
                  </w:pPr>
                  <w:r>
                    <w:rPr>
                      <w:color w:val="000000"/>
                      <w:sz w:val="21"/>
                      <w:szCs w:val="21"/>
                    </w:rPr>
                    <w:t>112.976784</w:t>
                  </w:r>
                </w:p>
              </w:tc>
              <w:tc>
                <w:tcPr>
                  <w:tcW w:w="741" w:type="pct"/>
                  <w:vAlign w:val="center"/>
                </w:tcPr>
                <w:p>
                  <w:pPr>
                    <w:jc w:val="center"/>
                    <w:rPr>
                      <w:color w:val="000000"/>
                      <w:sz w:val="21"/>
                      <w:szCs w:val="21"/>
                    </w:rPr>
                  </w:pPr>
                  <w:r>
                    <w:rPr>
                      <w:color w:val="000000"/>
                      <w:sz w:val="21"/>
                      <w:szCs w:val="21"/>
                    </w:rPr>
                    <w:t>36.154192</w:t>
                  </w:r>
                </w:p>
              </w:tc>
              <w:tc>
                <w:tcPr>
                  <w:tcW w:w="413" w:type="pct"/>
                  <w:vAlign w:val="center"/>
                </w:tcPr>
                <w:p>
                  <w:pPr>
                    <w:pStyle w:val="4"/>
                    <w:spacing w:line="320" w:lineRule="exact"/>
                    <w:rPr>
                      <w:color w:val="000000"/>
                      <w:sz w:val="21"/>
                    </w:rPr>
                  </w:pPr>
                  <w:r>
                    <w:rPr>
                      <w:color w:val="000000"/>
                      <w:sz w:val="21"/>
                    </w:rPr>
                    <w:t>居民</w:t>
                  </w:r>
                </w:p>
              </w:tc>
              <w:tc>
                <w:tcPr>
                  <w:tcW w:w="391" w:type="pct"/>
                  <w:vAlign w:val="center"/>
                </w:tcPr>
                <w:p>
                  <w:pPr>
                    <w:pStyle w:val="4"/>
                    <w:spacing w:line="320" w:lineRule="exact"/>
                    <w:rPr>
                      <w:color w:val="000000"/>
                      <w:sz w:val="21"/>
                    </w:rPr>
                  </w:pPr>
                  <w:r>
                    <w:rPr>
                      <w:color w:val="000000"/>
                      <w:sz w:val="21"/>
                    </w:rPr>
                    <w:t>环境空气</w:t>
                  </w:r>
                </w:p>
              </w:tc>
              <w:tc>
                <w:tcPr>
                  <w:tcW w:w="855" w:type="pct"/>
                  <w:vAlign w:val="center"/>
                </w:tcPr>
                <w:p>
                  <w:pPr>
                    <w:pStyle w:val="4"/>
                    <w:spacing w:line="320" w:lineRule="exact"/>
                    <w:rPr>
                      <w:color w:val="000000"/>
                      <w:sz w:val="21"/>
                    </w:rPr>
                  </w:pPr>
                  <w:r>
                    <w:rPr>
                      <w:color w:val="000000"/>
                      <w:sz w:val="21"/>
                    </w:rPr>
                    <w:t>《环境空气质量标准》（GB3095-2012）二类区</w:t>
                  </w:r>
                </w:p>
              </w:tc>
              <w:tc>
                <w:tcPr>
                  <w:tcW w:w="555" w:type="pct"/>
                  <w:vAlign w:val="center"/>
                </w:tcPr>
                <w:p>
                  <w:pPr>
                    <w:jc w:val="center"/>
                    <w:rPr>
                      <w:color w:val="000000"/>
                      <w:sz w:val="21"/>
                      <w:szCs w:val="21"/>
                    </w:rPr>
                  </w:pPr>
                  <w:r>
                    <w:rPr>
                      <w:color w:val="000000"/>
                      <w:sz w:val="21"/>
                      <w:szCs w:val="21"/>
                    </w:rPr>
                    <w:t>N</w:t>
                  </w:r>
                  <w:r>
                    <w:rPr>
                      <w:rFonts w:hint="eastAsia"/>
                      <w:color w:val="000000"/>
                      <w:sz w:val="21"/>
                      <w:szCs w:val="21"/>
                    </w:rPr>
                    <w:t>E</w:t>
                  </w:r>
                </w:p>
              </w:tc>
              <w:tc>
                <w:tcPr>
                  <w:tcW w:w="692" w:type="pct"/>
                  <w:vAlign w:val="center"/>
                </w:tcPr>
                <w:p>
                  <w:pPr>
                    <w:spacing w:line="240" w:lineRule="atLeast"/>
                    <w:jc w:val="center"/>
                    <w:rPr>
                      <w:color w:val="000000"/>
                      <w:sz w:val="21"/>
                      <w:szCs w:val="21"/>
                    </w:rPr>
                  </w:pPr>
                  <w:r>
                    <w:rPr>
                      <w:rFonts w:hint="eastAsia"/>
                      <w:color w:val="000000"/>
                      <w:sz w:val="21"/>
                      <w:szCs w:val="21"/>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5" w:hRule="atLeast"/>
                <w:jc w:val="center"/>
              </w:trPr>
              <w:tc>
                <w:tcPr>
                  <w:tcW w:w="537" w:type="pct"/>
                  <w:vAlign w:val="center"/>
                </w:tcPr>
                <w:p>
                  <w:pPr>
                    <w:pStyle w:val="4"/>
                    <w:spacing w:line="320" w:lineRule="exact"/>
                    <w:rPr>
                      <w:color w:val="000000"/>
                      <w:sz w:val="21"/>
                    </w:rPr>
                  </w:pPr>
                  <w:r>
                    <w:rPr>
                      <w:rFonts w:hint="eastAsia"/>
                      <w:color w:val="000000"/>
                      <w:sz w:val="21"/>
                    </w:rPr>
                    <w:t>漳河</w:t>
                  </w:r>
                </w:p>
              </w:tc>
              <w:tc>
                <w:tcPr>
                  <w:tcW w:w="1554" w:type="pct"/>
                  <w:gridSpan w:val="2"/>
                  <w:vAlign w:val="center"/>
                </w:tcPr>
                <w:p>
                  <w:pPr>
                    <w:pStyle w:val="4"/>
                    <w:spacing w:line="320" w:lineRule="exact"/>
                    <w:rPr>
                      <w:color w:val="000000"/>
                      <w:sz w:val="21"/>
                    </w:rPr>
                  </w:pPr>
                  <w:r>
                    <w:rPr>
                      <w:color w:val="000000"/>
                      <w:sz w:val="21"/>
                    </w:rPr>
                    <w:t>/</w:t>
                  </w:r>
                </w:p>
              </w:tc>
              <w:tc>
                <w:tcPr>
                  <w:tcW w:w="413" w:type="pct"/>
                  <w:vAlign w:val="center"/>
                </w:tcPr>
                <w:p>
                  <w:pPr>
                    <w:pStyle w:val="4"/>
                    <w:spacing w:line="320" w:lineRule="exact"/>
                    <w:rPr>
                      <w:color w:val="000000"/>
                      <w:sz w:val="21"/>
                    </w:rPr>
                  </w:pPr>
                  <w:r>
                    <w:rPr>
                      <w:color w:val="000000"/>
                      <w:sz w:val="21"/>
                    </w:rPr>
                    <w:t>/</w:t>
                  </w:r>
                </w:p>
              </w:tc>
              <w:tc>
                <w:tcPr>
                  <w:tcW w:w="391" w:type="pct"/>
                  <w:vAlign w:val="center"/>
                </w:tcPr>
                <w:p>
                  <w:pPr>
                    <w:pStyle w:val="4"/>
                    <w:spacing w:line="320" w:lineRule="exact"/>
                    <w:rPr>
                      <w:color w:val="000000"/>
                      <w:sz w:val="21"/>
                    </w:rPr>
                  </w:pPr>
                  <w:r>
                    <w:rPr>
                      <w:color w:val="000000"/>
                      <w:sz w:val="21"/>
                    </w:rPr>
                    <w:t>地表水</w:t>
                  </w:r>
                </w:p>
              </w:tc>
              <w:tc>
                <w:tcPr>
                  <w:tcW w:w="855" w:type="pct"/>
                  <w:vAlign w:val="center"/>
                </w:tcPr>
                <w:p>
                  <w:pPr>
                    <w:pStyle w:val="4"/>
                    <w:spacing w:line="320" w:lineRule="exact"/>
                    <w:rPr>
                      <w:color w:val="000000"/>
                      <w:sz w:val="21"/>
                    </w:rPr>
                  </w:pPr>
                  <w:r>
                    <w:rPr>
                      <w:color w:val="000000"/>
                      <w:sz w:val="21"/>
                    </w:rPr>
                    <w:t>《地表水环境质量标准》</w:t>
                  </w:r>
                  <w:r>
                    <w:rPr>
                      <w:rFonts w:hint="eastAsia"/>
                      <w:color w:val="000000"/>
                      <w:sz w:val="21"/>
                    </w:rPr>
                    <w:t>（</w:t>
                  </w:r>
                  <w:r>
                    <w:rPr>
                      <w:color w:val="000000"/>
                      <w:sz w:val="21"/>
                    </w:rPr>
                    <w:t>GB 3838-2002</w:t>
                  </w:r>
                  <w:r>
                    <w:rPr>
                      <w:rFonts w:hint="eastAsia"/>
                      <w:color w:val="000000"/>
                      <w:sz w:val="21"/>
                    </w:rPr>
                    <w:t>）Ⅴ</w:t>
                  </w:r>
                  <w:r>
                    <w:rPr>
                      <w:color w:val="000000"/>
                      <w:sz w:val="21"/>
                    </w:rPr>
                    <w:t>类</w:t>
                  </w:r>
                </w:p>
              </w:tc>
              <w:tc>
                <w:tcPr>
                  <w:tcW w:w="555" w:type="pct"/>
                  <w:vAlign w:val="center"/>
                </w:tcPr>
                <w:p>
                  <w:pPr>
                    <w:pStyle w:val="4"/>
                    <w:rPr>
                      <w:color w:val="000000"/>
                      <w:sz w:val="21"/>
                    </w:rPr>
                  </w:pPr>
                  <w:r>
                    <w:rPr>
                      <w:color w:val="000000"/>
                      <w:sz w:val="21"/>
                    </w:rPr>
                    <w:t>S</w:t>
                  </w:r>
                  <w:r>
                    <w:rPr>
                      <w:rFonts w:hint="eastAsia"/>
                      <w:color w:val="000000"/>
                      <w:sz w:val="21"/>
                    </w:rPr>
                    <w:t>E</w:t>
                  </w:r>
                </w:p>
              </w:tc>
              <w:tc>
                <w:tcPr>
                  <w:tcW w:w="692" w:type="pct"/>
                  <w:vAlign w:val="center"/>
                </w:tcPr>
                <w:p>
                  <w:pPr>
                    <w:pStyle w:val="4"/>
                    <w:rPr>
                      <w:color w:val="000000"/>
                      <w:sz w:val="21"/>
                    </w:rPr>
                  </w:pPr>
                  <w:r>
                    <w:rPr>
                      <w:rFonts w:hint="eastAsia"/>
                      <w:color w:val="000000"/>
                      <w:sz w:val="21"/>
                    </w:rPr>
                    <w:t>2.01</w:t>
                  </w:r>
                </w:p>
              </w:tc>
            </w:tr>
          </w:tbl>
          <w:p>
            <w:pPr>
              <w:pStyle w:val="9"/>
              <w:widowControl/>
              <w:spacing w:line="480" w:lineRule="exact"/>
              <w:ind w:firstLine="0"/>
              <w:jc w:val="center"/>
              <w:textAlignment w:val="baseline"/>
              <w:rPr>
                <w:rFonts w:ascii="Times New Roman" w:hAnsi="Times New Roman" w:cs="Times New Roman"/>
                <w:b/>
                <w:color w:val="000000"/>
                <w:sz w:val="21"/>
                <w:szCs w:val="28"/>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spacing w:line="480" w:lineRule="exact"/>
              <w:jc w:val="left"/>
              <w:rPr>
                <w:color w:val="000000"/>
                <w:kern w:val="0"/>
                <w:szCs w:val="21"/>
              </w:rPr>
            </w:pPr>
          </w:p>
          <w:p>
            <w:pPr>
              <w:adjustRightInd w:val="0"/>
              <w:snapToGrid w:val="0"/>
              <w:jc w:val="center"/>
              <w:rPr>
                <w:color w:val="00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tcMar>
              <w:left w:w="28" w:type="dxa"/>
              <w:right w:w="28" w:type="dxa"/>
            </w:tcMar>
            <w:vAlign w:val="center"/>
          </w:tcPr>
          <w:p>
            <w:pPr>
              <w:adjustRightInd w:val="0"/>
              <w:snapToGrid w:val="0"/>
              <w:jc w:val="center"/>
              <w:rPr>
                <w:color w:val="000000"/>
                <w:kern w:val="0"/>
                <w:sz w:val="21"/>
                <w:szCs w:val="21"/>
              </w:rPr>
            </w:pPr>
            <w:r>
              <w:rPr>
                <w:color w:val="000000"/>
                <w:kern w:val="0"/>
                <w:sz w:val="21"/>
                <w:szCs w:val="21"/>
              </w:rPr>
              <w:t>污染</w:t>
            </w:r>
          </w:p>
          <w:p>
            <w:pPr>
              <w:adjustRightInd w:val="0"/>
              <w:snapToGrid w:val="0"/>
              <w:jc w:val="center"/>
              <w:rPr>
                <w:color w:val="000000"/>
                <w:kern w:val="0"/>
                <w:sz w:val="21"/>
                <w:szCs w:val="21"/>
              </w:rPr>
            </w:pPr>
            <w:r>
              <w:rPr>
                <w:color w:val="000000"/>
                <w:kern w:val="0"/>
                <w:sz w:val="21"/>
                <w:szCs w:val="21"/>
              </w:rPr>
              <w:t>物排</w:t>
            </w:r>
          </w:p>
          <w:p>
            <w:pPr>
              <w:adjustRightInd w:val="0"/>
              <w:snapToGrid w:val="0"/>
              <w:jc w:val="center"/>
              <w:rPr>
                <w:color w:val="000000"/>
                <w:kern w:val="0"/>
                <w:sz w:val="21"/>
                <w:szCs w:val="21"/>
              </w:rPr>
            </w:pPr>
            <w:r>
              <w:rPr>
                <w:color w:val="000000"/>
                <w:kern w:val="0"/>
                <w:sz w:val="21"/>
                <w:szCs w:val="21"/>
              </w:rPr>
              <w:t>放控</w:t>
            </w:r>
          </w:p>
          <w:p>
            <w:pPr>
              <w:adjustRightInd w:val="0"/>
              <w:snapToGrid w:val="0"/>
              <w:jc w:val="center"/>
              <w:rPr>
                <w:color w:val="000000"/>
                <w:kern w:val="0"/>
                <w:sz w:val="21"/>
                <w:szCs w:val="21"/>
              </w:rPr>
            </w:pPr>
            <w:r>
              <w:rPr>
                <w:color w:val="000000"/>
                <w:kern w:val="0"/>
                <w:sz w:val="21"/>
                <w:szCs w:val="21"/>
              </w:rPr>
              <w:t>制标</w:t>
            </w:r>
          </w:p>
          <w:p>
            <w:pPr>
              <w:adjustRightInd w:val="0"/>
              <w:snapToGrid w:val="0"/>
              <w:jc w:val="center"/>
              <w:rPr>
                <w:color w:val="000000"/>
                <w:kern w:val="0"/>
                <w:szCs w:val="21"/>
              </w:rPr>
            </w:pPr>
            <w:r>
              <w:rPr>
                <w:color w:val="000000"/>
                <w:kern w:val="0"/>
                <w:sz w:val="21"/>
                <w:szCs w:val="21"/>
              </w:rPr>
              <w:t>准</w:t>
            </w:r>
          </w:p>
        </w:tc>
        <w:tc>
          <w:tcPr>
            <w:tcW w:w="8190" w:type="dxa"/>
            <w:vAlign w:val="center"/>
          </w:tcPr>
          <w:p>
            <w:pPr>
              <w:spacing w:line="480" w:lineRule="exact"/>
              <w:rPr>
                <w:color w:val="000000"/>
              </w:rPr>
            </w:pPr>
            <w:r>
              <w:rPr>
                <w:color w:val="000000"/>
              </w:rPr>
              <w:t>1、大气污染物排放标准</w:t>
            </w:r>
          </w:p>
          <w:p>
            <w:pPr>
              <w:spacing w:line="480" w:lineRule="exact"/>
              <w:ind w:firstLine="480" w:firstLineChars="200"/>
              <w:rPr>
                <w:bCs/>
                <w:color w:val="000000"/>
              </w:rPr>
            </w:pPr>
            <w:r>
              <w:rPr>
                <w:rFonts w:hint="eastAsia"/>
              </w:rPr>
              <w:t>本</w:t>
            </w:r>
            <w:r>
              <w:t>项目运营期产生的颗粒物执行《长治市工业企业无组织排放治理实施方案》（长气防办【2019】9号）排放限值要求。具体数值见表3-</w:t>
            </w:r>
            <w:r>
              <w:rPr>
                <w:rFonts w:hint="eastAsia"/>
              </w:rPr>
              <w:t>7</w:t>
            </w:r>
            <w:r>
              <w:t>。</w:t>
            </w:r>
          </w:p>
          <w:p>
            <w:pPr>
              <w:spacing w:line="480" w:lineRule="exact"/>
              <w:ind w:firstLine="480" w:firstLineChars="200"/>
              <w:outlineLvl w:val="0"/>
              <w:rPr>
                <w:bCs/>
                <w:color w:val="000000"/>
              </w:rPr>
            </w:pPr>
            <w:r>
              <w:rPr>
                <w:rFonts w:hint="eastAsia"/>
                <w:bCs/>
                <w:color w:val="000000"/>
              </w:rPr>
              <w:t>本项目喷漆房</w:t>
            </w:r>
            <w:r>
              <w:rPr>
                <w:bCs/>
                <w:color w:val="000000"/>
              </w:rPr>
              <w:t>产生的</w:t>
            </w:r>
            <w:r>
              <w:rPr>
                <w:rFonts w:hint="eastAsia"/>
                <w:bCs/>
                <w:color w:val="000000"/>
              </w:rPr>
              <w:t>有组织有机废气</w:t>
            </w:r>
            <w:r>
              <w:t>苯、甲苯、二甲苯、非甲烷总烃排放执行《</w:t>
            </w:r>
            <w:r>
              <w:rPr>
                <w:rFonts w:hint="eastAsia"/>
              </w:rPr>
              <w:t>山西省重点行业挥发性有机物</w:t>
            </w:r>
            <w:r>
              <w:t>(VOCs)2017年专项治理方案》中表面涂装有机废气排放限值最高允许排放浓度要求和企业边界有机废气污染物浓度排放限值要求。</w:t>
            </w:r>
            <w:r>
              <w:rPr>
                <w:rFonts w:hint="eastAsia"/>
                <w:bCs/>
                <w:color w:val="000000"/>
              </w:rPr>
              <w:t>参照</w:t>
            </w:r>
            <w:r>
              <w:rPr>
                <w:bCs/>
                <w:color w:val="000000"/>
              </w:rPr>
              <w:t>执行</w:t>
            </w:r>
            <w:r>
              <w:rPr>
                <w:rFonts w:hint="eastAsia"/>
                <w:bCs/>
                <w:color w:val="000000"/>
              </w:rPr>
              <w:t>《长治市环境保护局关于进一步加强重点行业挥发性有机物（VOCS）污染治理的通知》中工业涂装</w:t>
            </w:r>
            <w:r>
              <w:rPr>
                <w:bCs/>
                <w:color w:val="000000"/>
              </w:rPr>
              <w:t>表</w:t>
            </w:r>
            <w:r>
              <w:rPr>
                <w:rFonts w:hint="eastAsia"/>
                <w:bCs/>
                <w:color w:val="000000"/>
              </w:rPr>
              <w:t>一</w:t>
            </w:r>
            <w:r>
              <w:rPr>
                <w:bCs/>
                <w:color w:val="000000"/>
              </w:rPr>
              <w:t>中</w:t>
            </w:r>
            <w:r>
              <w:rPr>
                <w:rFonts w:hint="eastAsia"/>
                <w:bCs/>
                <w:color w:val="000000"/>
              </w:rPr>
              <w:t>有组织源排放限值、边界排放限值</w:t>
            </w:r>
            <w:r>
              <w:rPr>
                <w:bCs/>
                <w:color w:val="000000"/>
              </w:rPr>
              <w:t>，详见表3-</w:t>
            </w:r>
            <w:r>
              <w:rPr>
                <w:rFonts w:hint="eastAsia"/>
                <w:bCs/>
                <w:color w:val="000000"/>
              </w:rPr>
              <w:t>8。</w:t>
            </w:r>
          </w:p>
          <w:p>
            <w:pPr>
              <w:spacing w:line="480" w:lineRule="exact"/>
              <w:ind w:firstLine="480" w:firstLineChars="200"/>
              <w:outlineLvl w:val="0"/>
              <w:rPr>
                <w:bCs/>
                <w:color w:val="000000"/>
              </w:rPr>
            </w:pPr>
            <w:r>
              <w:rPr>
                <w:rFonts w:hint="eastAsia"/>
                <w:bCs/>
                <w:color w:val="000000"/>
              </w:rPr>
              <w:t>本项目厂</w:t>
            </w:r>
            <w:r>
              <w:rPr>
                <w:bCs/>
                <w:color w:val="000000"/>
              </w:rPr>
              <w:t>区内的无组织有机废气排放执行《挥发性有机物无组织排放控制标准》（GB37822-2019）中的排放标准</w:t>
            </w:r>
            <w:r>
              <w:rPr>
                <w:rFonts w:hint="eastAsia"/>
                <w:bCs/>
                <w:color w:val="000000"/>
              </w:rPr>
              <w:t>。</w:t>
            </w:r>
          </w:p>
          <w:p>
            <w:pPr>
              <w:spacing w:line="480" w:lineRule="exact"/>
              <w:ind w:firstLine="480" w:firstLineChars="200"/>
              <w:outlineLvl w:val="0"/>
              <w:rPr>
                <w:bCs/>
                <w:color w:val="000000"/>
              </w:rPr>
            </w:pPr>
            <w:r>
              <w:rPr>
                <w:rFonts w:hint="eastAsia"/>
                <w:bCs/>
                <w:color w:val="000000"/>
              </w:rPr>
              <w:t>本项目食堂油烟执行</w:t>
            </w:r>
            <w:r>
              <w:rPr>
                <w:color w:val="000000"/>
              </w:rPr>
              <w:t>《饮食业油烟排放标准》（</w:t>
            </w:r>
            <w:r>
              <w:rPr>
                <w:rFonts w:hint="eastAsia"/>
                <w:color w:val="000000"/>
              </w:rPr>
              <w:t>GB18483-2001</w:t>
            </w:r>
            <w:r>
              <w:rPr>
                <w:color w:val="000000"/>
              </w:rPr>
              <w:t>）</w:t>
            </w:r>
            <w:r>
              <w:rPr>
                <w:rFonts w:hint="eastAsia"/>
                <w:color w:val="000000"/>
              </w:rPr>
              <w:t>中的相关限值，具体数值见表3-10。</w:t>
            </w:r>
          </w:p>
          <w:p>
            <w:pPr>
              <w:spacing w:line="480" w:lineRule="exact"/>
              <w:jc w:val="center"/>
              <w:rPr>
                <w:b/>
                <w:bCs/>
              </w:rPr>
            </w:pPr>
            <w:r>
              <w:rPr>
                <w:b/>
                <w:bCs/>
              </w:rPr>
              <w:t>表3-</w:t>
            </w:r>
            <w:r>
              <w:rPr>
                <w:rFonts w:hint="eastAsia"/>
                <w:b/>
                <w:bCs/>
              </w:rPr>
              <w:t>7</w:t>
            </w:r>
            <w:r>
              <w:rPr>
                <w:b/>
                <w:bCs/>
              </w:rPr>
              <w:t>《长治市工业企业无组织排放治理实施方案》（长气防办【2019】9号）</w:t>
            </w:r>
          </w:p>
          <w:tbl>
            <w:tblPr>
              <w:tblStyle w:val="31"/>
              <w:tblW w:w="79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0"/>
              <w:gridCol w:w="1555"/>
              <w:gridCol w:w="1324"/>
              <w:gridCol w:w="2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0"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生产过程</w:t>
                  </w:r>
                </w:p>
              </w:tc>
              <w:tc>
                <w:tcPr>
                  <w:tcW w:w="1555"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污染物项目</w:t>
                  </w:r>
                </w:p>
              </w:tc>
              <w:tc>
                <w:tcPr>
                  <w:tcW w:w="1324"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浓度限值</w:t>
                  </w:r>
                </w:p>
              </w:tc>
              <w:tc>
                <w:tcPr>
                  <w:tcW w:w="2142"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污染物排放监控位置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0" w:type="dxa"/>
                  <w:tcBorders>
                    <w:tl2br w:val="nil"/>
                    <w:tr2bl w:val="nil"/>
                  </w:tcBorders>
                  <w:vAlign w:val="center"/>
                </w:tcPr>
                <w:p>
                  <w:pPr>
                    <w:pStyle w:val="2"/>
                    <w:jc w:val="center"/>
                    <w:rPr>
                      <w:rFonts w:ascii="Times New Roman" w:hAnsi="Times New Roman" w:cs="Times New Roman"/>
                      <w:color w:val="auto"/>
                      <w:sz w:val="21"/>
                      <w:szCs w:val="21"/>
                    </w:rPr>
                  </w:pPr>
                  <w:r>
                    <w:rPr>
                      <w:rFonts w:hint="eastAsia" w:ascii="Times New Roman" w:hAnsi="Times New Roman" w:cs="Times New Roman"/>
                      <w:color w:val="auto"/>
                      <w:sz w:val="21"/>
                      <w:szCs w:val="21"/>
                    </w:rPr>
                    <w:t>切割、焊接</w:t>
                  </w:r>
                </w:p>
              </w:tc>
              <w:tc>
                <w:tcPr>
                  <w:tcW w:w="1555" w:type="dxa"/>
                  <w:vMerge w:val="restart"/>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颗粒物</w:t>
                  </w:r>
                </w:p>
              </w:tc>
              <w:tc>
                <w:tcPr>
                  <w:tcW w:w="1324" w:type="dxa"/>
                  <w:tcBorders>
                    <w:tl2br w:val="nil"/>
                    <w:tr2bl w:val="nil"/>
                  </w:tcBorders>
                  <w:vAlign w:val="center"/>
                </w:tcPr>
                <w:p>
                  <w:pPr>
                    <w:pStyle w:val="2"/>
                    <w:jc w:val="center"/>
                    <w:rPr>
                      <w:rFonts w:ascii="Times New Roman" w:hAnsi="Times New Roman" w:cs="Times New Roman"/>
                      <w:color w:val="auto"/>
                      <w:sz w:val="21"/>
                      <w:szCs w:val="21"/>
                    </w:rPr>
                  </w:pPr>
                  <w:r>
                    <w:rPr>
                      <w:rFonts w:ascii="Times New Roman" w:hAnsi="Times New Roman" w:cs="Times New Roman"/>
                      <w:color w:val="auto"/>
                      <w:sz w:val="21"/>
                      <w:szCs w:val="21"/>
                    </w:rPr>
                    <w:t>10mg/m</w:t>
                  </w:r>
                  <w:r>
                    <w:rPr>
                      <w:rFonts w:ascii="Times New Roman" w:hAnsi="Times New Roman" w:cs="Times New Roman"/>
                      <w:color w:val="auto"/>
                      <w:sz w:val="21"/>
                      <w:szCs w:val="21"/>
                      <w:vertAlign w:val="superscript"/>
                    </w:rPr>
                    <w:t>3</w:t>
                  </w:r>
                </w:p>
              </w:tc>
              <w:tc>
                <w:tcPr>
                  <w:tcW w:w="2142"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排气筒出口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940"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无组织</w:t>
                  </w:r>
                </w:p>
              </w:tc>
              <w:tc>
                <w:tcPr>
                  <w:tcW w:w="1555" w:type="dxa"/>
                  <w:vMerge w:val="continue"/>
                  <w:tcBorders>
                    <w:tl2br w:val="nil"/>
                    <w:tr2bl w:val="nil"/>
                  </w:tcBorders>
                  <w:vAlign w:val="center"/>
                </w:tcPr>
                <w:p>
                  <w:pPr>
                    <w:pStyle w:val="2"/>
                    <w:jc w:val="center"/>
                    <w:rPr>
                      <w:rFonts w:ascii="Times New Roman" w:hAnsi="Times New Roman" w:cs="Times New Roman"/>
                      <w:color w:val="auto"/>
                      <w:sz w:val="21"/>
                      <w:szCs w:val="21"/>
                    </w:rPr>
                  </w:pPr>
                </w:p>
              </w:tc>
              <w:tc>
                <w:tcPr>
                  <w:tcW w:w="1324" w:type="dxa"/>
                  <w:tcBorders>
                    <w:tl2br w:val="nil"/>
                    <w:tr2bl w:val="nil"/>
                  </w:tcBorders>
                  <w:vAlign w:val="center"/>
                </w:tcPr>
                <w:p>
                  <w:pPr>
                    <w:pStyle w:val="2"/>
                    <w:jc w:val="center"/>
                    <w:rPr>
                      <w:rFonts w:ascii="Times New Roman" w:hAnsi="Times New Roman" w:cs="Times New Roman"/>
                      <w:color w:val="auto"/>
                      <w:sz w:val="21"/>
                      <w:szCs w:val="21"/>
                    </w:rPr>
                  </w:pPr>
                  <w:r>
                    <w:rPr>
                      <w:rFonts w:ascii="Times New Roman" w:hAnsi="Times New Roman" w:cs="Times New Roman"/>
                      <w:color w:val="auto"/>
                      <w:sz w:val="21"/>
                      <w:szCs w:val="21"/>
                    </w:rPr>
                    <w:t>1.0mg/m</w:t>
                  </w:r>
                  <w:r>
                    <w:rPr>
                      <w:rFonts w:ascii="Times New Roman" w:hAnsi="Times New Roman" w:cs="Times New Roman"/>
                      <w:color w:val="auto"/>
                      <w:sz w:val="21"/>
                      <w:szCs w:val="21"/>
                      <w:vertAlign w:val="superscript"/>
                    </w:rPr>
                    <w:t>3</w:t>
                  </w:r>
                </w:p>
              </w:tc>
              <w:tc>
                <w:tcPr>
                  <w:tcW w:w="2142" w:type="dxa"/>
                  <w:tcBorders>
                    <w:tl2br w:val="nil"/>
                    <w:tr2bl w:val="nil"/>
                  </w:tcBorders>
                  <w:vAlign w:val="center"/>
                </w:tcPr>
                <w:p>
                  <w:pPr>
                    <w:pStyle w:val="2"/>
                    <w:jc w:val="center"/>
                    <w:rPr>
                      <w:rFonts w:ascii="Times New Roman" w:hAnsi="Times New Roman" w:cs="Times New Roman"/>
                      <w:color w:val="auto"/>
                      <w:sz w:val="21"/>
                      <w:szCs w:val="21"/>
                      <w:lang w:val="zh-CN"/>
                    </w:rPr>
                  </w:pPr>
                  <w:r>
                    <w:rPr>
                      <w:rFonts w:ascii="Times New Roman" w:hAnsi="Times New Roman" w:cs="Times New Roman"/>
                      <w:color w:val="auto"/>
                      <w:sz w:val="21"/>
                      <w:szCs w:val="21"/>
                      <w:lang w:val="zh-CN"/>
                    </w:rPr>
                    <w:t>厂界</w:t>
                  </w:r>
                </w:p>
              </w:tc>
            </w:tr>
          </w:tbl>
          <w:p>
            <w:pPr>
              <w:spacing w:line="480" w:lineRule="exact"/>
              <w:ind w:firstLine="480" w:firstLineChars="200"/>
              <w:textAlignment w:val="baseline"/>
            </w:pPr>
            <w:r>
              <w:t>苯、甲苯、二甲苯、非甲烷总烃排放执行《</w:t>
            </w:r>
            <w:r>
              <w:rPr>
                <w:rFonts w:hint="eastAsia"/>
              </w:rPr>
              <w:t>山西省重点行业挥发性有机物</w:t>
            </w:r>
            <w:r>
              <w:t>(VOCs)2017年专项治理方案》中表面涂装有机废气排放限值最高允许排放浓度要求和企业边界有机废气污染物浓度排放限值要求。</w:t>
            </w:r>
          </w:p>
          <w:p>
            <w:pPr>
              <w:spacing w:line="480" w:lineRule="exact"/>
              <w:jc w:val="center"/>
              <w:rPr>
                <w:b/>
                <w:bCs/>
              </w:rPr>
            </w:pPr>
            <w:r>
              <w:rPr>
                <w:b/>
                <w:bCs/>
              </w:rPr>
              <w:t>表</w:t>
            </w:r>
            <w:r>
              <w:rPr>
                <w:rFonts w:hint="eastAsia"/>
                <w:b/>
                <w:bCs/>
              </w:rPr>
              <w:t>3-8</w:t>
            </w:r>
            <w:r>
              <w:rPr>
                <w:b/>
                <w:bCs/>
              </w:rPr>
              <w:t xml:space="preserve"> 《</w:t>
            </w:r>
            <w:r>
              <w:rPr>
                <w:rFonts w:hint="eastAsia"/>
                <w:b/>
                <w:bCs/>
              </w:rPr>
              <w:t>山西省重点行业挥发性有机物</w:t>
            </w:r>
            <w:r>
              <w:rPr>
                <w:b/>
                <w:bCs/>
              </w:rPr>
              <w:t>(VOCs)2017年专项治理方案》</w:t>
            </w:r>
          </w:p>
          <w:tbl>
            <w:tblPr>
              <w:tblStyle w:val="31"/>
              <w:tblW w:w="8056"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57"/>
              <w:gridCol w:w="1127"/>
              <w:gridCol w:w="1779"/>
              <w:gridCol w:w="1384"/>
              <w:gridCol w:w="1441"/>
              <w:gridCol w:w="146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44" w:hRule="atLeast"/>
                <w:jc w:val="center"/>
              </w:trPr>
              <w:tc>
                <w:tcPr>
                  <w:tcW w:w="857" w:type="dxa"/>
                  <w:tcBorders>
                    <w:tl2br w:val="nil"/>
                    <w:tr2bl w:val="nil"/>
                  </w:tcBorders>
                  <w:vAlign w:val="center"/>
                </w:tcPr>
                <w:p>
                  <w:pPr>
                    <w:pStyle w:val="96"/>
                    <w:adjustRightInd w:val="0"/>
                    <w:snapToGrid w:val="0"/>
                    <w:jc w:val="center"/>
                    <w:rPr>
                      <w:color w:val="000000"/>
                      <w:sz w:val="21"/>
                    </w:rPr>
                  </w:pPr>
                  <w:r>
                    <w:rPr>
                      <w:color w:val="000000"/>
                      <w:sz w:val="21"/>
                    </w:rPr>
                    <w:t>行业</w:t>
                  </w:r>
                </w:p>
              </w:tc>
              <w:tc>
                <w:tcPr>
                  <w:tcW w:w="1127" w:type="dxa"/>
                  <w:tcBorders>
                    <w:tl2br w:val="nil"/>
                    <w:tr2bl w:val="nil"/>
                  </w:tcBorders>
                  <w:vAlign w:val="center"/>
                </w:tcPr>
                <w:p>
                  <w:pPr>
                    <w:pStyle w:val="96"/>
                    <w:adjustRightInd w:val="0"/>
                    <w:snapToGrid w:val="0"/>
                    <w:jc w:val="center"/>
                    <w:rPr>
                      <w:color w:val="000000"/>
                      <w:sz w:val="21"/>
                    </w:rPr>
                  </w:pPr>
                  <w:r>
                    <w:rPr>
                      <w:color w:val="000000"/>
                      <w:sz w:val="21"/>
                    </w:rPr>
                    <w:t>工艺设施</w:t>
                  </w: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污染物项目</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最高允许排放浓度</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最低去除效率（%）</w:t>
                  </w:r>
                </w:p>
              </w:tc>
              <w:tc>
                <w:tcPr>
                  <w:tcW w:w="1468" w:type="dxa"/>
                  <w:tcBorders>
                    <w:tl2br w:val="nil"/>
                    <w:tr2bl w:val="nil"/>
                  </w:tcBorders>
                  <w:vAlign w:val="center"/>
                </w:tcPr>
                <w:p>
                  <w:pPr>
                    <w:pStyle w:val="96"/>
                    <w:adjustRightInd w:val="0"/>
                    <w:snapToGrid w:val="0"/>
                    <w:jc w:val="center"/>
                    <w:rPr>
                      <w:color w:val="000000"/>
                      <w:sz w:val="21"/>
                    </w:rPr>
                  </w:pPr>
                  <w:r>
                    <w:rPr>
                      <w:color w:val="000000"/>
                      <w:sz w:val="21"/>
                    </w:rPr>
                    <w:t>污染物排放监控位置</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57" w:type="dxa"/>
                  <w:vMerge w:val="restart"/>
                  <w:tcBorders>
                    <w:tl2br w:val="nil"/>
                    <w:tr2bl w:val="nil"/>
                  </w:tcBorders>
                  <w:vAlign w:val="center"/>
                </w:tcPr>
                <w:p>
                  <w:pPr>
                    <w:pStyle w:val="96"/>
                    <w:adjustRightInd w:val="0"/>
                    <w:snapToGrid w:val="0"/>
                    <w:jc w:val="center"/>
                    <w:rPr>
                      <w:color w:val="000000"/>
                      <w:sz w:val="21"/>
                    </w:rPr>
                  </w:pPr>
                  <w:r>
                    <w:rPr>
                      <w:color w:val="000000"/>
                      <w:sz w:val="21"/>
                    </w:rPr>
                    <w:t>工业</w:t>
                  </w:r>
                </w:p>
                <w:p>
                  <w:pPr>
                    <w:pStyle w:val="96"/>
                    <w:adjustRightInd w:val="0"/>
                    <w:snapToGrid w:val="0"/>
                    <w:jc w:val="center"/>
                    <w:rPr>
                      <w:color w:val="000000"/>
                      <w:sz w:val="21"/>
                    </w:rPr>
                  </w:pPr>
                  <w:r>
                    <w:rPr>
                      <w:color w:val="000000"/>
                      <w:sz w:val="21"/>
                    </w:rPr>
                    <w:t>涂装</w:t>
                  </w:r>
                </w:p>
              </w:tc>
              <w:tc>
                <w:tcPr>
                  <w:tcW w:w="1127" w:type="dxa"/>
                  <w:vMerge w:val="restart"/>
                  <w:tcBorders>
                    <w:tl2br w:val="nil"/>
                    <w:tr2bl w:val="nil"/>
                  </w:tcBorders>
                  <w:vAlign w:val="center"/>
                </w:tcPr>
                <w:p>
                  <w:pPr>
                    <w:pStyle w:val="96"/>
                    <w:adjustRightInd w:val="0"/>
                    <w:snapToGrid w:val="0"/>
                    <w:jc w:val="center"/>
                    <w:rPr>
                      <w:color w:val="000000"/>
                      <w:sz w:val="21"/>
                    </w:rPr>
                  </w:pPr>
                  <w:r>
                    <w:rPr>
                      <w:color w:val="000000"/>
                      <w:sz w:val="21"/>
                    </w:rPr>
                    <w:t>有机废气排放口</w:t>
                  </w: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非甲烷总烃</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60</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70</w:t>
                  </w:r>
                </w:p>
              </w:tc>
              <w:tc>
                <w:tcPr>
                  <w:tcW w:w="1468" w:type="dxa"/>
                  <w:vMerge w:val="restart"/>
                  <w:tcBorders>
                    <w:tl2br w:val="nil"/>
                    <w:tr2bl w:val="nil"/>
                  </w:tcBorders>
                  <w:vAlign w:val="center"/>
                </w:tcPr>
                <w:p>
                  <w:pPr>
                    <w:pStyle w:val="96"/>
                    <w:adjustRightInd w:val="0"/>
                    <w:snapToGrid w:val="0"/>
                    <w:jc w:val="center"/>
                    <w:rPr>
                      <w:color w:val="000000"/>
                      <w:sz w:val="21"/>
                    </w:rPr>
                  </w:pPr>
                  <w:r>
                    <w:rPr>
                      <w:color w:val="000000"/>
                      <w:sz w:val="21"/>
                    </w:rPr>
                    <w:t>车间或生产设施排气筒</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9" w:hRule="atLeast"/>
                <w:jc w:val="center"/>
              </w:trPr>
              <w:tc>
                <w:tcPr>
                  <w:tcW w:w="857" w:type="dxa"/>
                  <w:vMerge w:val="continue"/>
                  <w:tcBorders>
                    <w:tl2br w:val="nil"/>
                    <w:tr2bl w:val="nil"/>
                  </w:tcBorders>
                  <w:vAlign w:val="center"/>
                </w:tcPr>
                <w:p>
                  <w:pPr>
                    <w:pStyle w:val="96"/>
                    <w:adjustRightInd w:val="0"/>
                    <w:snapToGrid w:val="0"/>
                    <w:jc w:val="center"/>
                    <w:rPr>
                      <w:color w:val="000000"/>
                      <w:sz w:val="21"/>
                    </w:rPr>
                  </w:pPr>
                </w:p>
              </w:tc>
              <w:tc>
                <w:tcPr>
                  <w:tcW w:w="1127" w:type="dxa"/>
                  <w:vMerge w:val="continue"/>
                  <w:tcBorders>
                    <w:tl2br w:val="nil"/>
                    <w:tr2bl w:val="nil"/>
                  </w:tcBorders>
                  <w:vAlign w:val="center"/>
                </w:tcPr>
                <w:p>
                  <w:pPr>
                    <w:pStyle w:val="96"/>
                    <w:adjustRightInd w:val="0"/>
                    <w:snapToGrid w:val="0"/>
                    <w:jc w:val="center"/>
                    <w:rPr>
                      <w:color w:val="000000"/>
                      <w:sz w:val="21"/>
                    </w:rPr>
                  </w:pP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甲苯与二甲苯合计</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20</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vMerge w:val="continue"/>
                  <w:tcBorders>
                    <w:tl2br w:val="nil"/>
                    <w:tr2bl w:val="nil"/>
                  </w:tcBorders>
                  <w:vAlign w:val="center"/>
                </w:tcPr>
                <w:p>
                  <w:pPr>
                    <w:pStyle w:val="96"/>
                    <w:adjustRightInd w:val="0"/>
                    <w:snapToGrid w:val="0"/>
                    <w:jc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857" w:type="dxa"/>
                  <w:vMerge w:val="continue"/>
                  <w:tcBorders>
                    <w:tl2br w:val="nil"/>
                    <w:tr2bl w:val="nil"/>
                  </w:tcBorders>
                  <w:vAlign w:val="center"/>
                </w:tcPr>
                <w:p>
                  <w:pPr>
                    <w:pStyle w:val="96"/>
                    <w:adjustRightInd w:val="0"/>
                    <w:snapToGrid w:val="0"/>
                    <w:jc w:val="center"/>
                    <w:rPr>
                      <w:color w:val="000000"/>
                      <w:sz w:val="21"/>
                    </w:rPr>
                  </w:pPr>
                </w:p>
              </w:tc>
              <w:tc>
                <w:tcPr>
                  <w:tcW w:w="1127" w:type="dxa"/>
                  <w:vMerge w:val="continue"/>
                  <w:tcBorders>
                    <w:tl2br w:val="nil"/>
                    <w:tr2bl w:val="nil"/>
                  </w:tcBorders>
                  <w:vAlign w:val="center"/>
                </w:tcPr>
                <w:p>
                  <w:pPr>
                    <w:pStyle w:val="96"/>
                    <w:adjustRightInd w:val="0"/>
                    <w:snapToGrid w:val="0"/>
                    <w:jc w:val="center"/>
                    <w:rPr>
                      <w:color w:val="000000"/>
                      <w:sz w:val="21"/>
                    </w:rPr>
                  </w:pP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苯</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1</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vMerge w:val="continue"/>
                  <w:tcBorders>
                    <w:tl2br w:val="nil"/>
                    <w:tr2bl w:val="nil"/>
                  </w:tcBorders>
                  <w:vAlign w:val="center"/>
                </w:tcPr>
                <w:p>
                  <w:pPr>
                    <w:pStyle w:val="96"/>
                    <w:adjustRightInd w:val="0"/>
                    <w:snapToGrid w:val="0"/>
                    <w:jc w:val="center"/>
                    <w:rPr>
                      <w:color w:val="000000"/>
                      <w:sz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1984" w:type="dxa"/>
                  <w:gridSpan w:val="2"/>
                  <w:vMerge w:val="restart"/>
                  <w:tcBorders>
                    <w:tl2br w:val="nil"/>
                    <w:tr2bl w:val="nil"/>
                  </w:tcBorders>
                  <w:vAlign w:val="center"/>
                </w:tcPr>
                <w:p>
                  <w:pPr>
                    <w:pStyle w:val="96"/>
                    <w:adjustRightInd w:val="0"/>
                    <w:snapToGrid w:val="0"/>
                    <w:jc w:val="center"/>
                    <w:rPr>
                      <w:color w:val="000000"/>
                      <w:sz w:val="21"/>
                    </w:rPr>
                  </w:pPr>
                  <w:r>
                    <w:rPr>
                      <w:color w:val="000000"/>
                      <w:sz w:val="21"/>
                    </w:rPr>
                    <w:t>厂界</w:t>
                  </w: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非甲烷总烃</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2.0</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tcBorders>
                    <w:tl2br w:val="nil"/>
                    <w:tr2bl w:val="nil"/>
                  </w:tcBorders>
                  <w:vAlign w:val="center"/>
                </w:tcPr>
                <w:p>
                  <w:pPr>
                    <w:pStyle w:val="96"/>
                    <w:adjustRightInd w:val="0"/>
                    <w:snapToGrid w:val="0"/>
                    <w:jc w:val="center"/>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1984" w:type="dxa"/>
                  <w:gridSpan w:val="2"/>
                  <w:vMerge w:val="continue"/>
                  <w:tcBorders>
                    <w:tl2br w:val="nil"/>
                    <w:tr2bl w:val="nil"/>
                  </w:tcBorders>
                  <w:vAlign w:val="center"/>
                </w:tcPr>
                <w:p>
                  <w:pPr>
                    <w:pStyle w:val="96"/>
                    <w:adjustRightInd w:val="0"/>
                    <w:snapToGrid w:val="0"/>
                    <w:jc w:val="center"/>
                    <w:rPr>
                      <w:color w:val="000000"/>
                      <w:sz w:val="21"/>
                    </w:rPr>
                  </w:pP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苯</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0.1</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tcBorders>
                    <w:tl2br w:val="nil"/>
                    <w:tr2bl w:val="nil"/>
                  </w:tcBorders>
                  <w:vAlign w:val="center"/>
                </w:tcPr>
                <w:p>
                  <w:pPr>
                    <w:pStyle w:val="96"/>
                    <w:adjustRightInd w:val="0"/>
                    <w:snapToGrid w:val="0"/>
                    <w:jc w:val="center"/>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51" w:hRule="atLeast"/>
                <w:jc w:val="center"/>
              </w:trPr>
              <w:tc>
                <w:tcPr>
                  <w:tcW w:w="1984" w:type="dxa"/>
                  <w:gridSpan w:val="2"/>
                  <w:vMerge w:val="continue"/>
                  <w:tcBorders>
                    <w:tl2br w:val="nil"/>
                    <w:tr2bl w:val="nil"/>
                  </w:tcBorders>
                  <w:vAlign w:val="center"/>
                </w:tcPr>
                <w:p>
                  <w:pPr>
                    <w:pStyle w:val="96"/>
                    <w:adjustRightInd w:val="0"/>
                    <w:snapToGrid w:val="0"/>
                    <w:jc w:val="center"/>
                    <w:rPr>
                      <w:color w:val="000000"/>
                      <w:sz w:val="21"/>
                    </w:rPr>
                  </w:pP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甲苯</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0.6</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tcBorders>
                    <w:tl2br w:val="nil"/>
                    <w:tr2bl w:val="nil"/>
                  </w:tcBorders>
                  <w:vAlign w:val="center"/>
                </w:tcPr>
                <w:p>
                  <w:pPr>
                    <w:pStyle w:val="96"/>
                    <w:adjustRightInd w:val="0"/>
                    <w:snapToGrid w:val="0"/>
                    <w:jc w:val="center"/>
                    <w:rPr>
                      <w:color w:val="000000"/>
                      <w:sz w:val="21"/>
                    </w:rPr>
                  </w:pPr>
                  <w:r>
                    <w:rPr>
                      <w:color w:val="000000"/>
                      <w:sz w:val="21"/>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80" w:hRule="atLeast"/>
                <w:jc w:val="center"/>
              </w:trPr>
              <w:tc>
                <w:tcPr>
                  <w:tcW w:w="1984" w:type="dxa"/>
                  <w:gridSpan w:val="2"/>
                  <w:vMerge w:val="continue"/>
                  <w:tcBorders>
                    <w:tl2br w:val="nil"/>
                    <w:tr2bl w:val="nil"/>
                  </w:tcBorders>
                  <w:vAlign w:val="center"/>
                </w:tcPr>
                <w:p>
                  <w:pPr>
                    <w:pStyle w:val="96"/>
                    <w:adjustRightInd w:val="0"/>
                    <w:snapToGrid w:val="0"/>
                    <w:jc w:val="center"/>
                    <w:rPr>
                      <w:color w:val="000000"/>
                      <w:sz w:val="21"/>
                    </w:rPr>
                  </w:pPr>
                </w:p>
              </w:tc>
              <w:tc>
                <w:tcPr>
                  <w:tcW w:w="1779" w:type="dxa"/>
                  <w:tcBorders>
                    <w:tl2br w:val="nil"/>
                    <w:tr2bl w:val="nil"/>
                  </w:tcBorders>
                  <w:vAlign w:val="center"/>
                </w:tcPr>
                <w:p>
                  <w:pPr>
                    <w:pStyle w:val="96"/>
                    <w:adjustRightInd w:val="0"/>
                    <w:snapToGrid w:val="0"/>
                    <w:jc w:val="center"/>
                    <w:rPr>
                      <w:color w:val="000000"/>
                      <w:sz w:val="21"/>
                    </w:rPr>
                  </w:pPr>
                  <w:r>
                    <w:rPr>
                      <w:color w:val="000000"/>
                      <w:sz w:val="21"/>
                    </w:rPr>
                    <w:t>二甲苯</w:t>
                  </w:r>
                </w:p>
              </w:tc>
              <w:tc>
                <w:tcPr>
                  <w:tcW w:w="1384" w:type="dxa"/>
                  <w:tcBorders>
                    <w:tl2br w:val="nil"/>
                    <w:tr2bl w:val="nil"/>
                  </w:tcBorders>
                  <w:vAlign w:val="center"/>
                </w:tcPr>
                <w:p>
                  <w:pPr>
                    <w:pStyle w:val="96"/>
                    <w:adjustRightInd w:val="0"/>
                    <w:snapToGrid w:val="0"/>
                    <w:jc w:val="center"/>
                    <w:rPr>
                      <w:color w:val="000000"/>
                      <w:sz w:val="21"/>
                    </w:rPr>
                  </w:pPr>
                  <w:r>
                    <w:rPr>
                      <w:color w:val="000000"/>
                      <w:sz w:val="21"/>
                    </w:rPr>
                    <w:t>0.2</w:t>
                  </w:r>
                </w:p>
              </w:tc>
              <w:tc>
                <w:tcPr>
                  <w:tcW w:w="1441" w:type="dxa"/>
                  <w:tcBorders>
                    <w:tl2br w:val="nil"/>
                    <w:tr2bl w:val="nil"/>
                  </w:tcBorders>
                  <w:vAlign w:val="center"/>
                </w:tcPr>
                <w:p>
                  <w:pPr>
                    <w:pStyle w:val="96"/>
                    <w:adjustRightInd w:val="0"/>
                    <w:snapToGrid w:val="0"/>
                    <w:jc w:val="center"/>
                    <w:rPr>
                      <w:color w:val="000000"/>
                      <w:sz w:val="21"/>
                    </w:rPr>
                  </w:pPr>
                  <w:r>
                    <w:rPr>
                      <w:color w:val="000000"/>
                      <w:sz w:val="21"/>
                    </w:rPr>
                    <w:t>--</w:t>
                  </w:r>
                </w:p>
              </w:tc>
              <w:tc>
                <w:tcPr>
                  <w:tcW w:w="1468" w:type="dxa"/>
                  <w:tcBorders>
                    <w:tl2br w:val="nil"/>
                    <w:tr2bl w:val="nil"/>
                  </w:tcBorders>
                  <w:vAlign w:val="center"/>
                </w:tcPr>
                <w:p>
                  <w:pPr>
                    <w:pStyle w:val="96"/>
                    <w:adjustRightInd w:val="0"/>
                    <w:snapToGrid w:val="0"/>
                    <w:jc w:val="center"/>
                    <w:rPr>
                      <w:color w:val="000000"/>
                      <w:sz w:val="21"/>
                    </w:rPr>
                  </w:pPr>
                  <w:r>
                    <w:rPr>
                      <w:color w:val="000000"/>
                      <w:sz w:val="21"/>
                    </w:rPr>
                    <w:t>--</w:t>
                  </w:r>
                </w:p>
              </w:tc>
            </w:tr>
          </w:tbl>
          <w:p>
            <w:pPr>
              <w:widowControl/>
              <w:adjustRightInd w:val="0"/>
              <w:snapToGrid w:val="0"/>
              <w:spacing w:line="480" w:lineRule="exact"/>
              <w:jc w:val="center"/>
              <w:rPr>
                <w:b/>
                <w:color w:val="000000"/>
              </w:rPr>
            </w:pPr>
            <w:r>
              <w:rPr>
                <w:b/>
                <w:color w:val="000000"/>
              </w:rPr>
              <w:t>表3-</w:t>
            </w:r>
            <w:r>
              <w:rPr>
                <w:rFonts w:hint="eastAsia"/>
                <w:b/>
                <w:color w:val="000000"/>
              </w:rPr>
              <w:t>9</w:t>
            </w:r>
            <w:r>
              <w:rPr>
                <w:b/>
                <w:color w:val="000000"/>
              </w:rPr>
              <w:t xml:space="preserve"> </w:t>
            </w:r>
            <w:r>
              <w:rPr>
                <w:rFonts w:hint="eastAsia"/>
                <w:b/>
                <w:color w:val="000000"/>
              </w:rPr>
              <w:t xml:space="preserve"> 《挥发性有机物无组织排放控制标准》（G</w:t>
            </w:r>
            <w:r>
              <w:rPr>
                <w:b/>
                <w:color w:val="000000"/>
              </w:rPr>
              <w:t>B37822-2019</w:t>
            </w:r>
            <w:r>
              <w:rPr>
                <w:rFonts w:hint="eastAsia"/>
                <w:b/>
                <w:color w:val="000000"/>
              </w:rPr>
              <w:t>）</w:t>
            </w:r>
          </w:p>
          <w:tbl>
            <w:tblPr>
              <w:tblStyle w:val="32"/>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700"/>
              <w:gridCol w:w="3291"/>
              <w:gridCol w:w="1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Align w:val="center"/>
                </w:tcPr>
                <w:p>
                  <w:pPr>
                    <w:spacing w:line="320" w:lineRule="exact"/>
                    <w:jc w:val="center"/>
                    <w:rPr>
                      <w:color w:val="000000"/>
                      <w:sz w:val="21"/>
                      <w:szCs w:val="21"/>
                    </w:rPr>
                  </w:pPr>
                  <w:r>
                    <w:rPr>
                      <w:rFonts w:hint="eastAsia"/>
                      <w:color w:val="000000"/>
                      <w:sz w:val="21"/>
                      <w:szCs w:val="21"/>
                    </w:rPr>
                    <w:t>污染物项目</w:t>
                  </w:r>
                </w:p>
              </w:tc>
              <w:tc>
                <w:tcPr>
                  <w:tcW w:w="1700" w:type="dxa"/>
                  <w:vAlign w:val="center"/>
                </w:tcPr>
                <w:p>
                  <w:pPr>
                    <w:spacing w:line="320" w:lineRule="exact"/>
                    <w:jc w:val="center"/>
                    <w:rPr>
                      <w:color w:val="000000"/>
                      <w:sz w:val="21"/>
                      <w:szCs w:val="21"/>
                    </w:rPr>
                  </w:pPr>
                  <w:r>
                    <w:rPr>
                      <w:rFonts w:hint="eastAsia"/>
                      <w:color w:val="000000"/>
                      <w:sz w:val="21"/>
                      <w:szCs w:val="21"/>
                    </w:rPr>
                    <w:t>特别排放限值（mg/m</w:t>
                  </w:r>
                  <w:r>
                    <w:rPr>
                      <w:rFonts w:hint="eastAsia"/>
                      <w:color w:val="000000"/>
                      <w:sz w:val="21"/>
                      <w:szCs w:val="21"/>
                      <w:vertAlign w:val="superscript"/>
                    </w:rPr>
                    <w:t>3</w:t>
                  </w:r>
                  <w:r>
                    <w:rPr>
                      <w:rFonts w:hint="eastAsia"/>
                      <w:color w:val="000000"/>
                      <w:sz w:val="21"/>
                      <w:szCs w:val="21"/>
                    </w:rPr>
                    <w:t>）</w:t>
                  </w:r>
                </w:p>
              </w:tc>
              <w:tc>
                <w:tcPr>
                  <w:tcW w:w="3291" w:type="dxa"/>
                  <w:vAlign w:val="center"/>
                </w:tcPr>
                <w:p>
                  <w:pPr>
                    <w:spacing w:line="320" w:lineRule="exact"/>
                    <w:jc w:val="center"/>
                    <w:rPr>
                      <w:color w:val="000000"/>
                      <w:sz w:val="21"/>
                      <w:szCs w:val="21"/>
                    </w:rPr>
                  </w:pPr>
                  <w:r>
                    <w:rPr>
                      <w:rFonts w:hint="eastAsia"/>
                      <w:color w:val="000000"/>
                      <w:sz w:val="21"/>
                      <w:szCs w:val="21"/>
                    </w:rPr>
                    <w:t>限值含义</w:t>
                  </w:r>
                </w:p>
              </w:tc>
              <w:tc>
                <w:tcPr>
                  <w:tcW w:w="1994" w:type="dxa"/>
                  <w:vAlign w:val="center"/>
                </w:tcPr>
                <w:p>
                  <w:pPr>
                    <w:spacing w:line="320" w:lineRule="exact"/>
                    <w:jc w:val="center"/>
                    <w:rPr>
                      <w:color w:val="000000"/>
                      <w:sz w:val="21"/>
                      <w:szCs w:val="21"/>
                    </w:rPr>
                  </w:pPr>
                  <w:r>
                    <w:rPr>
                      <w:rFonts w:hint="eastAsia"/>
                      <w:color w:val="000000"/>
                      <w:sz w:val="21"/>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restart"/>
                  <w:vAlign w:val="center"/>
                </w:tcPr>
                <w:p>
                  <w:pPr>
                    <w:spacing w:line="320" w:lineRule="exact"/>
                    <w:jc w:val="center"/>
                    <w:rPr>
                      <w:color w:val="000000"/>
                      <w:sz w:val="21"/>
                      <w:szCs w:val="21"/>
                    </w:rPr>
                  </w:pPr>
                  <w:r>
                    <w:rPr>
                      <w:rFonts w:hint="eastAsia"/>
                      <w:color w:val="000000"/>
                      <w:sz w:val="21"/>
                      <w:szCs w:val="21"/>
                    </w:rPr>
                    <w:t>NMHC</w:t>
                  </w:r>
                </w:p>
              </w:tc>
              <w:tc>
                <w:tcPr>
                  <w:tcW w:w="1700" w:type="dxa"/>
                  <w:vAlign w:val="center"/>
                </w:tcPr>
                <w:p>
                  <w:pPr>
                    <w:spacing w:line="320" w:lineRule="exact"/>
                    <w:jc w:val="center"/>
                    <w:rPr>
                      <w:color w:val="000000"/>
                      <w:sz w:val="21"/>
                      <w:szCs w:val="21"/>
                    </w:rPr>
                  </w:pPr>
                  <w:r>
                    <w:rPr>
                      <w:rFonts w:hint="eastAsia"/>
                      <w:color w:val="000000"/>
                      <w:sz w:val="21"/>
                      <w:szCs w:val="21"/>
                    </w:rPr>
                    <w:t>6</w:t>
                  </w:r>
                </w:p>
              </w:tc>
              <w:tc>
                <w:tcPr>
                  <w:tcW w:w="3291" w:type="dxa"/>
                  <w:vAlign w:val="center"/>
                </w:tcPr>
                <w:p>
                  <w:pPr>
                    <w:spacing w:line="320" w:lineRule="exact"/>
                    <w:jc w:val="center"/>
                    <w:rPr>
                      <w:color w:val="000000"/>
                      <w:sz w:val="21"/>
                      <w:szCs w:val="21"/>
                    </w:rPr>
                  </w:pPr>
                  <w:r>
                    <w:rPr>
                      <w:rFonts w:hint="eastAsia"/>
                      <w:color w:val="000000"/>
                      <w:sz w:val="21"/>
                      <w:szCs w:val="21"/>
                    </w:rPr>
                    <w:t>监控点处1h平均浓度</w:t>
                  </w:r>
                </w:p>
              </w:tc>
              <w:tc>
                <w:tcPr>
                  <w:tcW w:w="1994" w:type="dxa"/>
                  <w:vMerge w:val="restart"/>
                  <w:vAlign w:val="center"/>
                </w:tcPr>
                <w:p>
                  <w:pPr>
                    <w:spacing w:line="320" w:lineRule="exact"/>
                    <w:jc w:val="center"/>
                    <w:rPr>
                      <w:color w:val="000000"/>
                      <w:sz w:val="21"/>
                      <w:szCs w:val="21"/>
                    </w:rPr>
                  </w:pPr>
                  <w:r>
                    <w:rPr>
                      <w:rFonts w:hint="eastAsia"/>
                      <w:color w:val="000000"/>
                      <w:sz w:val="21"/>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9" w:type="dxa"/>
                  <w:vMerge w:val="continue"/>
                </w:tcPr>
                <w:p>
                  <w:pPr>
                    <w:spacing w:line="320" w:lineRule="exact"/>
                    <w:jc w:val="center"/>
                    <w:rPr>
                      <w:color w:val="000000"/>
                      <w:sz w:val="21"/>
                      <w:szCs w:val="21"/>
                    </w:rPr>
                  </w:pPr>
                </w:p>
              </w:tc>
              <w:tc>
                <w:tcPr>
                  <w:tcW w:w="1700" w:type="dxa"/>
                </w:tcPr>
                <w:p>
                  <w:pPr>
                    <w:spacing w:line="320" w:lineRule="exact"/>
                    <w:jc w:val="center"/>
                    <w:rPr>
                      <w:color w:val="000000"/>
                      <w:sz w:val="21"/>
                      <w:szCs w:val="21"/>
                    </w:rPr>
                  </w:pPr>
                  <w:r>
                    <w:rPr>
                      <w:rFonts w:hint="eastAsia"/>
                      <w:color w:val="000000"/>
                      <w:sz w:val="21"/>
                      <w:szCs w:val="21"/>
                    </w:rPr>
                    <w:t>20</w:t>
                  </w:r>
                </w:p>
              </w:tc>
              <w:tc>
                <w:tcPr>
                  <w:tcW w:w="3291" w:type="dxa"/>
                </w:tcPr>
                <w:p>
                  <w:pPr>
                    <w:spacing w:line="320" w:lineRule="exact"/>
                    <w:jc w:val="center"/>
                    <w:rPr>
                      <w:color w:val="000000"/>
                      <w:sz w:val="21"/>
                      <w:szCs w:val="21"/>
                    </w:rPr>
                  </w:pPr>
                  <w:r>
                    <w:rPr>
                      <w:rFonts w:hint="eastAsia"/>
                      <w:color w:val="000000"/>
                      <w:sz w:val="21"/>
                      <w:szCs w:val="21"/>
                    </w:rPr>
                    <w:t>监控点处任意一次浓度值</w:t>
                  </w:r>
                </w:p>
              </w:tc>
              <w:tc>
                <w:tcPr>
                  <w:tcW w:w="1994" w:type="dxa"/>
                  <w:vMerge w:val="continue"/>
                </w:tcPr>
                <w:p>
                  <w:pPr>
                    <w:spacing w:line="320" w:lineRule="exact"/>
                    <w:jc w:val="center"/>
                    <w:rPr>
                      <w:color w:val="000000"/>
                      <w:sz w:val="21"/>
                      <w:szCs w:val="21"/>
                    </w:rPr>
                  </w:pPr>
                </w:p>
              </w:tc>
            </w:tr>
          </w:tbl>
          <w:p>
            <w:pPr>
              <w:spacing w:line="480" w:lineRule="exact"/>
              <w:jc w:val="center"/>
              <w:rPr>
                <w:b/>
                <w:bCs/>
              </w:rPr>
            </w:pPr>
            <w:r>
              <w:rPr>
                <w:b/>
              </w:rPr>
              <w:t>表3-</w:t>
            </w:r>
            <w:r>
              <w:rPr>
                <w:rFonts w:hint="eastAsia"/>
                <w:b/>
              </w:rPr>
              <w:t>10</w:t>
            </w:r>
            <w:r>
              <w:rPr>
                <w:b/>
              </w:rPr>
              <w:t xml:space="preserve">  《饮食业油烟排放标准》（GB18486-2001）</w:t>
            </w:r>
          </w:p>
          <w:tbl>
            <w:tblPr>
              <w:tblStyle w:val="31"/>
              <w:tblW w:w="81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9"/>
              <w:gridCol w:w="4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9" w:type="dxa"/>
                </w:tcPr>
                <w:p>
                  <w:pPr>
                    <w:snapToGrid w:val="0"/>
                    <w:spacing w:line="320" w:lineRule="exact"/>
                    <w:jc w:val="center"/>
                    <w:rPr>
                      <w:sz w:val="21"/>
                      <w:szCs w:val="21"/>
                    </w:rPr>
                  </w:pPr>
                  <w:r>
                    <w:rPr>
                      <w:sz w:val="21"/>
                      <w:szCs w:val="21"/>
                    </w:rPr>
                    <w:t>规模</w:t>
                  </w:r>
                </w:p>
              </w:tc>
              <w:tc>
                <w:tcPr>
                  <w:tcW w:w="4070" w:type="dxa"/>
                </w:tcPr>
                <w:p>
                  <w:pPr>
                    <w:snapToGrid w:val="0"/>
                    <w:spacing w:line="320" w:lineRule="exact"/>
                    <w:jc w:val="center"/>
                    <w:rPr>
                      <w:sz w:val="21"/>
                      <w:szCs w:val="21"/>
                    </w:rPr>
                  </w:pPr>
                  <w:r>
                    <w:rPr>
                      <w:sz w:val="21"/>
                      <w:szCs w:val="21"/>
                    </w:rPr>
                    <w:t>大型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9" w:type="dxa"/>
                </w:tcPr>
                <w:p>
                  <w:pPr>
                    <w:snapToGrid w:val="0"/>
                    <w:spacing w:line="320" w:lineRule="exact"/>
                    <w:jc w:val="center"/>
                    <w:rPr>
                      <w:sz w:val="21"/>
                      <w:szCs w:val="21"/>
                    </w:rPr>
                  </w:pPr>
                  <w:r>
                    <w:rPr>
                      <w:sz w:val="21"/>
                      <w:szCs w:val="21"/>
                    </w:rPr>
                    <w:t>基准灶头数</w:t>
                  </w:r>
                </w:p>
              </w:tc>
              <w:tc>
                <w:tcPr>
                  <w:tcW w:w="4070" w:type="dxa"/>
                </w:tcPr>
                <w:p>
                  <w:pPr>
                    <w:snapToGrid w:val="0"/>
                    <w:spacing w:line="320" w:lineRule="exact"/>
                    <w:jc w:val="center"/>
                    <w:rPr>
                      <w:sz w:val="21"/>
                      <w:szCs w:val="21"/>
                    </w:rPr>
                  </w:pPr>
                  <w:r>
                    <w:rPr>
                      <w:sz w:val="21"/>
                      <w:szCs w:val="21"/>
                    </w:rPr>
                    <w:t>≥</w:t>
                  </w:r>
                  <w:r>
                    <w:rPr>
                      <w:rFonts w:hint="eastAsia"/>
                      <w:sz w:val="21"/>
                      <w:szCs w:val="21"/>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9" w:type="dxa"/>
                </w:tcPr>
                <w:p>
                  <w:pPr>
                    <w:snapToGrid w:val="0"/>
                    <w:spacing w:line="320" w:lineRule="exact"/>
                    <w:jc w:val="center"/>
                    <w:rPr>
                      <w:sz w:val="21"/>
                      <w:szCs w:val="21"/>
                    </w:rPr>
                  </w:pPr>
                  <w:r>
                    <w:rPr>
                      <w:sz w:val="21"/>
                      <w:szCs w:val="21"/>
                    </w:rPr>
                    <w:t>最高允许排放浓度（mg/m</w:t>
                  </w:r>
                  <w:r>
                    <w:rPr>
                      <w:sz w:val="21"/>
                      <w:szCs w:val="21"/>
                      <w:vertAlign w:val="superscript"/>
                    </w:rPr>
                    <w:t>3</w:t>
                  </w:r>
                  <w:r>
                    <w:rPr>
                      <w:sz w:val="21"/>
                      <w:szCs w:val="21"/>
                    </w:rPr>
                    <w:t>）</w:t>
                  </w:r>
                </w:p>
              </w:tc>
              <w:tc>
                <w:tcPr>
                  <w:tcW w:w="4070" w:type="dxa"/>
                </w:tcPr>
                <w:p>
                  <w:pPr>
                    <w:snapToGrid w:val="0"/>
                    <w:spacing w:line="320" w:lineRule="exact"/>
                    <w:jc w:val="center"/>
                    <w:rPr>
                      <w:sz w:val="21"/>
                      <w:szCs w:val="21"/>
                    </w:rPr>
                  </w:pPr>
                  <w:r>
                    <w:rPr>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69" w:type="dxa"/>
                </w:tcPr>
                <w:p>
                  <w:pPr>
                    <w:snapToGrid w:val="0"/>
                    <w:spacing w:line="320" w:lineRule="exact"/>
                    <w:jc w:val="center"/>
                    <w:rPr>
                      <w:sz w:val="21"/>
                      <w:szCs w:val="21"/>
                    </w:rPr>
                  </w:pPr>
                  <w:r>
                    <w:rPr>
                      <w:sz w:val="21"/>
                      <w:szCs w:val="21"/>
                    </w:rPr>
                    <w:t>净化设施最低去除效率（%）</w:t>
                  </w:r>
                </w:p>
              </w:tc>
              <w:tc>
                <w:tcPr>
                  <w:tcW w:w="4070" w:type="dxa"/>
                </w:tcPr>
                <w:p>
                  <w:pPr>
                    <w:snapToGrid w:val="0"/>
                    <w:spacing w:line="320" w:lineRule="exact"/>
                    <w:jc w:val="center"/>
                    <w:rPr>
                      <w:sz w:val="21"/>
                      <w:szCs w:val="21"/>
                    </w:rPr>
                  </w:pPr>
                  <w:r>
                    <w:rPr>
                      <w:rFonts w:hint="eastAsia"/>
                      <w:sz w:val="21"/>
                      <w:szCs w:val="21"/>
                    </w:rPr>
                    <w:t>60</w:t>
                  </w:r>
                </w:p>
              </w:tc>
            </w:tr>
          </w:tbl>
          <w:p>
            <w:pPr>
              <w:widowControl/>
              <w:adjustRightInd w:val="0"/>
              <w:snapToGrid w:val="0"/>
              <w:spacing w:line="480" w:lineRule="exact"/>
              <w:rPr>
                <w:color w:val="000000"/>
              </w:rPr>
            </w:pPr>
            <w:r>
              <w:rPr>
                <w:rFonts w:hint="eastAsia"/>
                <w:color w:val="000000"/>
                <w:kern w:val="0"/>
              </w:rPr>
              <w:t>2</w:t>
            </w:r>
            <w:r>
              <w:rPr>
                <w:color w:val="000000"/>
                <w:kern w:val="0"/>
              </w:rPr>
              <w:t>、厂界噪声排放标准</w:t>
            </w:r>
          </w:p>
          <w:p>
            <w:pPr>
              <w:spacing w:line="480" w:lineRule="exact"/>
              <w:ind w:firstLine="480" w:firstLineChars="200"/>
              <w:rPr>
                <w:color w:val="000000"/>
              </w:rPr>
            </w:pPr>
            <w:r>
              <w:rPr>
                <w:color w:val="000000"/>
              </w:rPr>
              <w:t>施工期项目边界噪声执行《建筑施工厂界环境噪声排放标准》（GB12523-2011），具体取值见表3-</w:t>
            </w:r>
            <w:r>
              <w:rPr>
                <w:rFonts w:hint="eastAsia"/>
                <w:color w:val="000000"/>
              </w:rPr>
              <w:t>11</w:t>
            </w:r>
            <w:r>
              <w:rPr>
                <w:color w:val="000000"/>
              </w:rPr>
              <w:t>。</w:t>
            </w:r>
          </w:p>
          <w:p>
            <w:pPr>
              <w:spacing w:line="480" w:lineRule="exact"/>
              <w:ind w:firstLine="480" w:firstLineChars="200"/>
              <w:rPr>
                <w:color w:val="000000"/>
              </w:rPr>
            </w:pPr>
            <w:r>
              <w:rPr>
                <w:color w:val="000000"/>
              </w:rPr>
              <w:t>项目运营期厂界噪声执行《工业企业厂界环境噪声排放标准》（GB12348-2008）中2类标准。具体限值见下表：</w:t>
            </w:r>
          </w:p>
          <w:p>
            <w:pPr>
              <w:spacing w:line="480" w:lineRule="exact"/>
              <w:ind w:firstLine="481" w:firstLineChars="200"/>
              <w:jc w:val="center"/>
              <w:rPr>
                <w:b/>
                <w:bCs/>
                <w:color w:val="000000"/>
              </w:rPr>
            </w:pPr>
            <w:r>
              <w:rPr>
                <w:b/>
                <w:bCs/>
                <w:color w:val="000000"/>
              </w:rPr>
              <w:t>表3-</w:t>
            </w:r>
            <w:r>
              <w:rPr>
                <w:rFonts w:hint="eastAsia"/>
                <w:b/>
                <w:bCs/>
                <w:color w:val="000000"/>
              </w:rPr>
              <w:t>11</w:t>
            </w:r>
            <w:r>
              <w:rPr>
                <w:b/>
                <w:bCs/>
                <w:color w:val="000000"/>
              </w:rPr>
              <w:t xml:space="preserve">  建筑施工边界环境噪声排放标准</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4"/>
              <w:gridCol w:w="3214"/>
              <w:gridCol w:w="1360"/>
              <w:gridCol w:w="1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vMerge w:val="restart"/>
                  <w:tcBorders>
                    <w:tl2br w:val="nil"/>
                    <w:tr2bl w:val="nil"/>
                  </w:tcBorders>
                  <w:vAlign w:val="center"/>
                </w:tcPr>
                <w:p>
                  <w:pPr>
                    <w:pStyle w:val="67"/>
                    <w:snapToGrid/>
                    <w:spacing w:line="320" w:lineRule="exact"/>
                    <w:rPr>
                      <w:rFonts w:eastAsia="宋体"/>
                      <w:color w:val="000000"/>
                    </w:rPr>
                  </w:pPr>
                  <w:r>
                    <w:rPr>
                      <w:rFonts w:eastAsia="宋体"/>
                      <w:color w:val="000000"/>
                    </w:rPr>
                    <w:t>执行时段</w:t>
                  </w:r>
                </w:p>
              </w:tc>
              <w:tc>
                <w:tcPr>
                  <w:tcW w:w="2018" w:type="pct"/>
                  <w:vMerge w:val="restart"/>
                  <w:tcBorders>
                    <w:tl2br w:val="nil"/>
                    <w:tr2bl w:val="nil"/>
                  </w:tcBorders>
                  <w:vAlign w:val="center"/>
                </w:tcPr>
                <w:p>
                  <w:pPr>
                    <w:pStyle w:val="67"/>
                    <w:snapToGrid/>
                    <w:spacing w:line="320" w:lineRule="exact"/>
                    <w:rPr>
                      <w:rFonts w:eastAsia="宋体"/>
                      <w:color w:val="000000"/>
                    </w:rPr>
                  </w:pPr>
                  <w:r>
                    <w:rPr>
                      <w:rFonts w:eastAsia="宋体"/>
                      <w:color w:val="000000"/>
                    </w:rPr>
                    <w:t>标准类别</w:t>
                  </w:r>
                </w:p>
              </w:tc>
              <w:tc>
                <w:tcPr>
                  <w:tcW w:w="2101" w:type="pct"/>
                  <w:gridSpan w:val="2"/>
                  <w:tcBorders>
                    <w:tl2br w:val="nil"/>
                    <w:tr2bl w:val="nil"/>
                  </w:tcBorders>
                  <w:vAlign w:val="center"/>
                </w:tcPr>
                <w:p>
                  <w:pPr>
                    <w:pStyle w:val="67"/>
                    <w:snapToGrid/>
                    <w:spacing w:line="320" w:lineRule="exact"/>
                    <w:rPr>
                      <w:rFonts w:eastAsia="宋体"/>
                      <w:color w:val="000000"/>
                    </w:rPr>
                  </w:pPr>
                  <w:r>
                    <w:rPr>
                      <w:rFonts w:eastAsia="宋体"/>
                      <w:color w:val="000000"/>
                    </w:rPr>
                    <w:t>噪声限值dB（A）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881" w:type="pct"/>
                  <w:vMerge w:val="continue"/>
                  <w:tcBorders>
                    <w:tl2br w:val="nil"/>
                    <w:tr2bl w:val="nil"/>
                  </w:tcBorders>
                  <w:vAlign w:val="center"/>
                </w:tcPr>
                <w:p>
                  <w:pPr>
                    <w:pStyle w:val="67"/>
                    <w:snapToGrid/>
                    <w:spacing w:line="320" w:lineRule="exact"/>
                    <w:rPr>
                      <w:rFonts w:eastAsia="宋体"/>
                      <w:color w:val="000000"/>
                    </w:rPr>
                  </w:pPr>
                </w:p>
              </w:tc>
              <w:tc>
                <w:tcPr>
                  <w:tcW w:w="2018" w:type="pct"/>
                  <w:vMerge w:val="continue"/>
                  <w:tcBorders>
                    <w:tl2br w:val="nil"/>
                    <w:tr2bl w:val="nil"/>
                  </w:tcBorders>
                  <w:vAlign w:val="center"/>
                </w:tcPr>
                <w:p>
                  <w:pPr>
                    <w:pStyle w:val="67"/>
                    <w:snapToGrid/>
                    <w:spacing w:line="320" w:lineRule="exact"/>
                    <w:rPr>
                      <w:rFonts w:eastAsia="宋体"/>
                      <w:color w:val="000000"/>
                    </w:rPr>
                  </w:pPr>
                </w:p>
              </w:tc>
              <w:tc>
                <w:tcPr>
                  <w:tcW w:w="854" w:type="pct"/>
                  <w:tcBorders>
                    <w:tl2br w:val="nil"/>
                    <w:tr2bl w:val="nil"/>
                  </w:tcBorders>
                  <w:vAlign w:val="center"/>
                </w:tcPr>
                <w:p>
                  <w:pPr>
                    <w:pStyle w:val="67"/>
                    <w:snapToGrid/>
                    <w:spacing w:line="320" w:lineRule="exact"/>
                    <w:rPr>
                      <w:rFonts w:eastAsia="宋体"/>
                      <w:color w:val="000000"/>
                    </w:rPr>
                  </w:pPr>
                  <w:r>
                    <w:rPr>
                      <w:rFonts w:eastAsia="宋体"/>
                      <w:color w:val="000000"/>
                    </w:rPr>
                    <w:t>昼 间</w:t>
                  </w:r>
                </w:p>
              </w:tc>
              <w:tc>
                <w:tcPr>
                  <w:tcW w:w="1247" w:type="pct"/>
                  <w:tcBorders>
                    <w:tl2br w:val="nil"/>
                    <w:tr2bl w:val="nil"/>
                  </w:tcBorders>
                  <w:vAlign w:val="center"/>
                </w:tcPr>
                <w:p>
                  <w:pPr>
                    <w:pStyle w:val="67"/>
                    <w:snapToGrid/>
                    <w:spacing w:line="320" w:lineRule="exact"/>
                    <w:rPr>
                      <w:rFonts w:eastAsia="宋体"/>
                      <w:color w:val="000000"/>
                    </w:rPr>
                  </w:pPr>
                  <w:r>
                    <w:rPr>
                      <w:rFonts w:eastAsia="宋体"/>
                      <w:color w:val="000000"/>
                    </w:rPr>
                    <w:t>夜 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1" w:type="pct"/>
                  <w:tcBorders>
                    <w:tl2br w:val="nil"/>
                    <w:tr2bl w:val="nil"/>
                  </w:tcBorders>
                  <w:vAlign w:val="center"/>
                </w:tcPr>
                <w:p>
                  <w:pPr>
                    <w:pStyle w:val="67"/>
                    <w:snapToGrid/>
                    <w:spacing w:line="320" w:lineRule="exact"/>
                    <w:rPr>
                      <w:rFonts w:eastAsia="宋体"/>
                      <w:color w:val="000000"/>
                    </w:rPr>
                  </w:pPr>
                  <w:r>
                    <w:rPr>
                      <w:rFonts w:eastAsia="宋体"/>
                      <w:color w:val="000000"/>
                    </w:rPr>
                    <w:t>施工期</w:t>
                  </w:r>
                </w:p>
              </w:tc>
              <w:tc>
                <w:tcPr>
                  <w:tcW w:w="2018" w:type="pct"/>
                  <w:tcBorders>
                    <w:tl2br w:val="nil"/>
                    <w:tr2bl w:val="nil"/>
                  </w:tcBorders>
                  <w:vAlign w:val="center"/>
                </w:tcPr>
                <w:p>
                  <w:pPr>
                    <w:pStyle w:val="67"/>
                    <w:snapToGrid/>
                    <w:spacing w:line="320" w:lineRule="exact"/>
                    <w:rPr>
                      <w:rFonts w:eastAsia="宋体"/>
                      <w:color w:val="000000"/>
                    </w:rPr>
                  </w:pPr>
                  <w:r>
                    <w:rPr>
                      <w:rFonts w:eastAsia="宋体"/>
                      <w:color w:val="000000"/>
                    </w:rPr>
                    <w:t>《建筑施工厂界环境噪声排放标准》（GB12523-2011）</w:t>
                  </w:r>
                </w:p>
              </w:tc>
              <w:tc>
                <w:tcPr>
                  <w:tcW w:w="854" w:type="pct"/>
                  <w:tcBorders>
                    <w:tl2br w:val="nil"/>
                    <w:tr2bl w:val="nil"/>
                  </w:tcBorders>
                  <w:vAlign w:val="center"/>
                </w:tcPr>
                <w:p>
                  <w:pPr>
                    <w:pStyle w:val="67"/>
                    <w:snapToGrid/>
                    <w:spacing w:line="320" w:lineRule="exact"/>
                    <w:rPr>
                      <w:rFonts w:eastAsia="宋体"/>
                      <w:color w:val="000000"/>
                    </w:rPr>
                  </w:pPr>
                  <w:r>
                    <w:rPr>
                      <w:rFonts w:eastAsia="宋体"/>
                      <w:color w:val="000000"/>
                    </w:rPr>
                    <w:t>70</w:t>
                  </w:r>
                </w:p>
              </w:tc>
              <w:tc>
                <w:tcPr>
                  <w:tcW w:w="1247" w:type="pct"/>
                  <w:tcBorders>
                    <w:tl2br w:val="nil"/>
                    <w:tr2bl w:val="nil"/>
                  </w:tcBorders>
                  <w:vAlign w:val="center"/>
                </w:tcPr>
                <w:p>
                  <w:pPr>
                    <w:pStyle w:val="67"/>
                    <w:snapToGrid/>
                    <w:spacing w:line="320" w:lineRule="exact"/>
                    <w:rPr>
                      <w:rFonts w:eastAsia="宋体"/>
                      <w:color w:val="000000"/>
                    </w:rPr>
                  </w:pPr>
                  <w:r>
                    <w:rPr>
                      <w:rFonts w:eastAsia="宋体"/>
                      <w:color w:val="000000"/>
                    </w:rPr>
                    <w:t>55</w:t>
                  </w:r>
                </w:p>
              </w:tc>
            </w:tr>
          </w:tbl>
          <w:p>
            <w:pPr>
              <w:pStyle w:val="9"/>
              <w:widowControl/>
              <w:spacing w:line="480" w:lineRule="exact"/>
              <w:ind w:firstLine="0"/>
              <w:jc w:val="center"/>
              <w:textAlignment w:val="baseline"/>
              <w:rPr>
                <w:rFonts w:ascii="Times New Roman" w:hAnsi="Times New Roman" w:cs="Times New Roman"/>
                <w:b/>
                <w:color w:val="000000"/>
                <w:sz w:val="24"/>
                <w:szCs w:val="24"/>
              </w:rPr>
            </w:pPr>
            <w:r>
              <w:rPr>
                <w:rFonts w:ascii="Times New Roman" w:hAnsi="Times New Roman" w:cs="Times New Roman"/>
                <w:b/>
                <w:color w:val="000000"/>
                <w:sz w:val="24"/>
                <w:szCs w:val="24"/>
              </w:rPr>
              <w:t>表3-</w:t>
            </w:r>
            <w:r>
              <w:rPr>
                <w:rFonts w:hint="eastAsia" w:ascii="Times New Roman" w:hAnsi="Times New Roman" w:cs="Times New Roman"/>
                <w:b/>
                <w:color w:val="000000"/>
                <w:sz w:val="24"/>
                <w:szCs w:val="24"/>
              </w:rPr>
              <w:t xml:space="preserve">12  </w:t>
            </w:r>
            <w:r>
              <w:rPr>
                <w:rFonts w:ascii="Times New Roman" w:hAnsi="Times New Roman" w:cs="Times New Roman"/>
                <w:b/>
                <w:color w:val="000000"/>
                <w:sz w:val="24"/>
                <w:szCs w:val="24"/>
              </w:rPr>
              <w:t>《工业企业厂界环境噪声排放标准》（GB12348-2008）</w:t>
            </w:r>
            <w:r>
              <w:rPr>
                <w:rFonts w:hint="eastAsia" w:ascii="Times New Roman" w:hAnsi="Times New Roman" w:cs="Times New Roman"/>
                <w:b/>
                <w:color w:val="000000"/>
                <w:sz w:val="24"/>
                <w:szCs w:val="24"/>
              </w:rPr>
              <w:t xml:space="preserve">  </w:t>
            </w:r>
            <w:r>
              <w:rPr>
                <w:rFonts w:ascii="Times New Roman" w:hAnsi="Times New Roman" w:cs="Times New Roman"/>
                <w:b/>
                <w:color w:val="000000"/>
                <w:sz w:val="24"/>
                <w:szCs w:val="24"/>
              </w:rPr>
              <w:t>单位：dB(A)</w:t>
            </w:r>
          </w:p>
          <w:tbl>
            <w:tblPr>
              <w:tblStyle w:val="31"/>
              <w:tblW w:w="792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324"/>
              <w:gridCol w:w="1701"/>
              <w:gridCol w:w="1313"/>
              <w:gridCol w:w="25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jc w:val="center"/>
              </w:trPr>
              <w:tc>
                <w:tcPr>
                  <w:tcW w:w="2324" w:type="dxa"/>
                  <w:tcBorders>
                    <w:top w:val="single" w:color="000000" w:sz="4" w:space="0"/>
                    <w:left w:val="single" w:color="000000" w:sz="4" w:space="0"/>
                    <w:bottom w:val="single" w:color="000000" w:sz="4" w:space="0"/>
                    <w:right w:val="single" w:color="000000" w:sz="4" w:space="0"/>
                    <w:tl2br w:val="single" w:color="auto" w:sz="4" w:space="0"/>
                  </w:tcBorders>
                  <w:vAlign w:val="center"/>
                </w:tcPr>
                <w:p>
                  <w:pPr>
                    <w:spacing w:line="320" w:lineRule="exact"/>
                    <w:jc w:val="right"/>
                    <w:rPr>
                      <w:color w:val="000000"/>
                      <w:sz w:val="21"/>
                      <w:szCs w:val="21"/>
                    </w:rPr>
                  </w:pPr>
                  <w:r>
                    <w:rPr>
                      <w:color w:val="000000"/>
                      <w:sz w:val="21"/>
                      <w:szCs w:val="21"/>
                    </w:rPr>
                    <w:t>时段</w:t>
                  </w:r>
                </w:p>
                <w:p>
                  <w:pPr>
                    <w:spacing w:line="320" w:lineRule="exact"/>
                    <w:jc w:val="left"/>
                    <w:rPr>
                      <w:color w:val="000000"/>
                      <w:sz w:val="21"/>
                      <w:szCs w:val="21"/>
                    </w:rPr>
                  </w:pPr>
                  <w:r>
                    <w:rPr>
                      <w:color w:val="000000"/>
                      <w:sz w:val="21"/>
                      <w:szCs w:val="21"/>
                    </w:rPr>
                    <w:t>类别</w:t>
                  </w:r>
                </w:p>
              </w:tc>
              <w:tc>
                <w:tcPr>
                  <w:tcW w:w="17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昼间</w:t>
                  </w:r>
                </w:p>
              </w:tc>
              <w:tc>
                <w:tcPr>
                  <w:tcW w:w="13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夜间</w:t>
                  </w:r>
                </w:p>
              </w:tc>
              <w:tc>
                <w:tcPr>
                  <w:tcW w:w="259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324"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2类</w:t>
                  </w:r>
                </w:p>
              </w:tc>
              <w:tc>
                <w:tcPr>
                  <w:tcW w:w="170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60</w:t>
                  </w:r>
                </w:p>
              </w:tc>
              <w:tc>
                <w:tcPr>
                  <w:tcW w:w="1313"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50</w:t>
                  </w:r>
                </w:p>
              </w:tc>
              <w:tc>
                <w:tcPr>
                  <w:tcW w:w="2591" w:type="dxa"/>
                  <w:tcBorders>
                    <w:top w:val="single" w:color="000000" w:sz="4" w:space="0"/>
                    <w:left w:val="single" w:color="000000" w:sz="4" w:space="0"/>
                    <w:bottom w:val="single" w:color="000000" w:sz="4" w:space="0"/>
                    <w:right w:val="single" w:color="000000" w:sz="4" w:space="0"/>
                  </w:tcBorders>
                  <w:vAlign w:val="center"/>
                </w:tcPr>
                <w:p>
                  <w:pPr>
                    <w:adjustRightInd w:val="0"/>
                    <w:snapToGrid w:val="0"/>
                    <w:spacing w:line="320" w:lineRule="exact"/>
                    <w:jc w:val="center"/>
                    <w:rPr>
                      <w:color w:val="000000"/>
                      <w:sz w:val="21"/>
                      <w:szCs w:val="21"/>
                    </w:rPr>
                  </w:pPr>
                  <w:r>
                    <w:rPr>
                      <w:color w:val="000000"/>
                      <w:sz w:val="21"/>
                      <w:szCs w:val="21"/>
                    </w:rPr>
                    <w:t>其余厂界</w:t>
                  </w:r>
                </w:p>
              </w:tc>
            </w:tr>
          </w:tbl>
          <w:p>
            <w:pPr>
              <w:pStyle w:val="27"/>
              <w:widowControl w:val="0"/>
              <w:spacing w:before="0" w:beforeAutospacing="0" w:after="0" w:afterAutospacing="0" w:line="480" w:lineRule="exact"/>
              <w:jc w:val="both"/>
              <w:rPr>
                <w:rFonts w:ascii="Times New Roman" w:hAnsi="Times New Roman"/>
                <w:color w:val="000000"/>
                <w:kern w:val="2"/>
                <w:szCs w:val="24"/>
              </w:rPr>
            </w:pPr>
            <w:r>
              <w:rPr>
                <w:rFonts w:hint="eastAsia" w:ascii="Times New Roman" w:hAnsi="Times New Roman"/>
                <w:color w:val="000000"/>
                <w:kern w:val="2"/>
                <w:szCs w:val="24"/>
              </w:rPr>
              <w:t>3、废水排放标准</w:t>
            </w:r>
          </w:p>
          <w:p>
            <w:pPr>
              <w:adjustRightInd w:val="0"/>
              <w:snapToGrid w:val="0"/>
              <w:spacing w:line="480" w:lineRule="exact"/>
              <w:ind w:firstLine="480" w:firstLineChars="200"/>
              <w:rPr>
                <w:color w:val="000000"/>
              </w:rPr>
            </w:pPr>
            <w:r>
              <w:rPr>
                <w:rFonts w:hint="eastAsia"/>
                <w:color w:val="000000"/>
              </w:rPr>
              <w:t>本项目的生活污水排入市政管网执行《污水排入城镇下水道水质标准》（GB/T31962-2015）中的一级A标准要求。</w:t>
            </w:r>
          </w:p>
          <w:p>
            <w:pPr>
              <w:adjustRightInd w:val="0"/>
              <w:snapToGrid w:val="0"/>
              <w:spacing w:line="480" w:lineRule="exact"/>
              <w:jc w:val="center"/>
              <w:rPr>
                <w:b/>
                <w:bCs/>
                <w:color w:val="000000"/>
              </w:rPr>
            </w:pPr>
            <w:r>
              <w:rPr>
                <w:b/>
                <w:bCs/>
                <w:color w:val="000000"/>
              </w:rPr>
              <w:t>表3-1</w:t>
            </w:r>
            <w:r>
              <w:rPr>
                <w:rFonts w:hint="eastAsia"/>
                <w:b/>
                <w:bCs/>
                <w:color w:val="000000"/>
              </w:rPr>
              <w:t>3</w:t>
            </w:r>
            <w:r>
              <w:rPr>
                <w:b/>
                <w:bCs/>
                <w:color w:val="000000"/>
              </w:rPr>
              <w:t xml:space="preserve">  </w:t>
            </w:r>
            <w:r>
              <w:rPr>
                <w:rFonts w:hint="eastAsia"/>
                <w:b/>
                <w:bCs/>
                <w:color w:val="000000"/>
              </w:rPr>
              <w:t>《污水排入城镇下水道水质标准》（GB/T31962-2015）</w:t>
            </w:r>
            <w:r>
              <w:rPr>
                <w:b/>
                <w:bCs/>
                <w:color w:val="000000"/>
              </w:rPr>
              <w:t xml:space="preserve">  单位：</w:t>
            </w:r>
            <w:r>
              <w:rPr>
                <w:b/>
                <w:bCs/>
                <w:color w:val="000000"/>
                <w:kern w:val="0"/>
              </w:rPr>
              <w:t>mg/m</w:t>
            </w:r>
            <w:r>
              <w:rPr>
                <w:b/>
                <w:bCs/>
                <w:color w:val="000000"/>
                <w:kern w:val="0"/>
                <w:vertAlign w:val="superscript"/>
              </w:rPr>
              <w:t>3</w:t>
            </w:r>
          </w:p>
          <w:tbl>
            <w:tblPr>
              <w:tblStyle w:val="31"/>
              <w:tblW w:w="0" w:type="auto"/>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722"/>
              <w:gridCol w:w="2077"/>
              <w:gridCol w:w="2043"/>
              <w:gridCol w:w="207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3" w:hRule="atLeast"/>
              </w:trPr>
              <w:tc>
                <w:tcPr>
                  <w:tcW w:w="1722" w:type="dxa"/>
                  <w:vAlign w:val="center"/>
                </w:tcPr>
                <w:p>
                  <w:pPr>
                    <w:jc w:val="center"/>
                    <w:rPr>
                      <w:bCs/>
                      <w:color w:val="000000"/>
                      <w:sz w:val="21"/>
                      <w:szCs w:val="21"/>
                    </w:rPr>
                  </w:pPr>
                  <w:r>
                    <w:rPr>
                      <w:bCs/>
                      <w:color w:val="000000"/>
                      <w:sz w:val="21"/>
                      <w:szCs w:val="21"/>
                    </w:rPr>
                    <w:t>污染因子</w:t>
                  </w:r>
                </w:p>
              </w:tc>
              <w:tc>
                <w:tcPr>
                  <w:tcW w:w="2077" w:type="dxa"/>
                  <w:vAlign w:val="center"/>
                </w:tcPr>
                <w:p>
                  <w:pPr>
                    <w:jc w:val="center"/>
                    <w:rPr>
                      <w:bCs/>
                      <w:color w:val="000000"/>
                      <w:sz w:val="21"/>
                      <w:szCs w:val="21"/>
                    </w:rPr>
                  </w:pPr>
                  <w:r>
                    <w:rPr>
                      <w:bCs/>
                      <w:color w:val="000000"/>
                      <w:sz w:val="21"/>
                      <w:szCs w:val="21"/>
                    </w:rPr>
                    <w:t>最高允许值（mg/l）</w:t>
                  </w:r>
                </w:p>
              </w:tc>
              <w:tc>
                <w:tcPr>
                  <w:tcW w:w="2043" w:type="dxa"/>
                  <w:vAlign w:val="center"/>
                </w:tcPr>
                <w:p>
                  <w:pPr>
                    <w:jc w:val="center"/>
                    <w:rPr>
                      <w:bCs/>
                      <w:color w:val="000000"/>
                      <w:sz w:val="21"/>
                      <w:szCs w:val="21"/>
                    </w:rPr>
                  </w:pPr>
                  <w:r>
                    <w:rPr>
                      <w:bCs/>
                      <w:color w:val="000000"/>
                      <w:sz w:val="21"/>
                      <w:szCs w:val="21"/>
                    </w:rPr>
                    <w:t>污染因子</w:t>
                  </w:r>
                </w:p>
              </w:tc>
              <w:tc>
                <w:tcPr>
                  <w:tcW w:w="2076" w:type="dxa"/>
                  <w:vAlign w:val="center"/>
                </w:tcPr>
                <w:p>
                  <w:pPr>
                    <w:jc w:val="center"/>
                    <w:rPr>
                      <w:bCs/>
                      <w:color w:val="000000"/>
                      <w:sz w:val="21"/>
                      <w:szCs w:val="21"/>
                    </w:rPr>
                  </w:pPr>
                  <w:r>
                    <w:rPr>
                      <w:bCs/>
                      <w:color w:val="000000"/>
                      <w:sz w:val="21"/>
                      <w:szCs w:val="21"/>
                    </w:rPr>
                    <w:t>最高允许值（mg/l）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4" w:hRule="atLeast"/>
              </w:trPr>
              <w:tc>
                <w:tcPr>
                  <w:tcW w:w="1722" w:type="dxa"/>
                  <w:vAlign w:val="center"/>
                </w:tcPr>
                <w:p>
                  <w:pPr>
                    <w:jc w:val="center"/>
                    <w:rPr>
                      <w:bCs/>
                      <w:color w:val="000000"/>
                      <w:sz w:val="21"/>
                      <w:szCs w:val="21"/>
                    </w:rPr>
                  </w:pPr>
                  <w:r>
                    <w:rPr>
                      <w:bCs/>
                      <w:color w:val="000000"/>
                      <w:sz w:val="21"/>
                      <w:szCs w:val="21"/>
                    </w:rPr>
                    <w:t>pH</w:t>
                  </w:r>
                </w:p>
              </w:tc>
              <w:tc>
                <w:tcPr>
                  <w:tcW w:w="2077" w:type="dxa"/>
                  <w:vAlign w:val="center"/>
                </w:tcPr>
                <w:p>
                  <w:pPr>
                    <w:jc w:val="center"/>
                    <w:rPr>
                      <w:bCs/>
                      <w:color w:val="000000"/>
                      <w:sz w:val="21"/>
                      <w:szCs w:val="21"/>
                    </w:rPr>
                  </w:pPr>
                  <w:r>
                    <w:rPr>
                      <w:bCs/>
                      <w:color w:val="000000"/>
                      <w:sz w:val="21"/>
                      <w:szCs w:val="21"/>
                    </w:rPr>
                    <w:t>6.5~9.5</w:t>
                  </w:r>
                </w:p>
              </w:tc>
              <w:tc>
                <w:tcPr>
                  <w:tcW w:w="2043" w:type="dxa"/>
                  <w:vAlign w:val="center"/>
                </w:tcPr>
                <w:p>
                  <w:pPr>
                    <w:jc w:val="center"/>
                    <w:rPr>
                      <w:bCs/>
                      <w:color w:val="000000"/>
                      <w:sz w:val="21"/>
                      <w:szCs w:val="21"/>
                    </w:rPr>
                  </w:pPr>
                  <w:r>
                    <w:rPr>
                      <w:bCs/>
                      <w:color w:val="000000"/>
                      <w:sz w:val="21"/>
                      <w:szCs w:val="21"/>
                    </w:rPr>
                    <w:t>NH</w:t>
                  </w:r>
                  <w:r>
                    <w:rPr>
                      <w:bCs/>
                      <w:color w:val="000000"/>
                      <w:sz w:val="21"/>
                      <w:szCs w:val="21"/>
                      <w:vertAlign w:val="subscript"/>
                    </w:rPr>
                    <w:t>3</w:t>
                  </w:r>
                  <w:r>
                    <w:rPr>
                      <w:bCs/>
                      <w:color w:val="000000"/>
                      <w:sz w:val="21"/>
                      <w:szCs w:val="21"/>
                    </w:rPr>
                    <w:t>-N</w:t>
                  </w:r>
                </w:p>
              </w:tc>
              <w:tc>
                <w:tcPr>
                  <w:tcW w:w="2076" w:type="dxa"/>
                  <w:vAlign w:val="center"/>
                </w:tcPr>
                <w:p>
                  <w:pPr>
                    <w:jc w:val="center"/>
                    <w:rPr>
                      <w:bCs/>
                      <w:color w:val="000000"/>
                      <w:sz w:val="21"/>
                      <w:szCs w:val="21"/>
                    </w:rPr>
                  </w:pPr>
                  <w:r>
                    <w:rPr>
                      <w:bCs/>
                      <w:color w:val="000000"/>
                      <w:sz w:val="21"/>
                      <w:szCs w:val="21"/>
                    </w:rPr>
                    <w:t>45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0" w:hRule="atLeast"/>
              </w:trPr>
              <w:tc>
                <w:tcPr>
                  <w:tcW w:w="1722" w:type="dxa"/>
                  <w:vAlign w:val="center"/>
                </w:tcPr>
                <w:p>
                  <w:pPr>
                    <w:jc w:val="center"/>
                    <w:rPr>
                      <w:bCs/>
                      <w:color w:val="000000"/>
                      <w:sz w:val="21"/>
                      <w:szCs w:val="21"/>
                    </w:rPr>
                  </w:pPr>
                  <w:r>
                    <w:rPr>
                      <w:bCs/>
                      <w:color w:val="000000"/>
                      <w:sz w:val="21"/>
                      <w:szCs w:val="21"/>
                    </w:rPr>
                    <w:t>COD</w:t>
                  </w:r>
                </w:p>
              </w:tc>
              <w:tc>
                <w:tcPr>
                  <w:tcW w:w="2077" w:type="dxa"/>
                  <w:vAlign w:val="center"/>
                </w:tcPr>
                <w:p>
                  <w:pPr>
                    <w:jc w:val="center"/>
                    <w:rPr>
                      <w:bCs/>
                      <w:color w:val="000000"/>
                      <w:sz w:val="21"/>
                      <w:szCs w:val="21"/>
                    </w:rPr>
                  </w:pPr>
                  <w:r>
                    <w:rPr>
                      <w:bCs/>
                      <w:color w:val="000000"/>
                      <w:sz w:val="21"/>
                      <w:szCs w:val="21"/>
                    </w:rPr>
                    <w:t>500</w:t>
                  </w:r>
                </w:p>
              </w:tc>
              <w:tc>
                <w:tcPr>
                  <w:tcW w:w="2043" w:type="dxa"/>
                  <w:vAlign w:val="center"/>
                </w:tcPr>
                <w:p>
                  <w:pPr>
                    <w:jc w:val="center"/>
                    <w:rPr>
                      <w:bCs/>
                      <w:color w:val="000000"/>
                      <w:sz w:val="21"/>
                      <w:szCs w:val="21"/>
                    </w:rPr>
                  </w:pPr>
                  <w:r>
                    <w:rPr>
                      <w:bCs/>
                      <w:color w:val="000000"/>
                      <w:sz w:val="21"/>
                      <w:szCs w:val="21"/>
                    </w:rPr>
                    <w:t>SS</w:t>
                  </w:r>
                </w:p>
              </w:tc>
              <w:tc>
                <w:tcPr>
                  <w:tcW w:w="2076" w:type="dxa"/>
                  <w:vAlign w:val="center"/>
                </w:tcPr>
                <w:p>
                  <w:pPr>
                    <w:jc w:val="center"/>
                    <w:rPr>
                      <w:bCs/>
                      <w:color w:val="000000"/>
                      <w:sz w:val="21"/>
                      <w:szCs w:val="21"/>
                    </w:rPr>
                  </w:pPr>
                  <w:r>
                    <w:rPr>
                      <w:bCs/>
                      <w:color w:val="000000"/>
                      <w:sz w:val="21"/>
                      <w:szCs w:val="21"/>
                    </w:rPr>
                    <w:t>400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8" w:hRule="atLeast"/>
              </w:trPr>
              <w:tc>
                <w:tcPr>
                  <w:tcW w:w="1722" w:type="dxa"/>
                  <w:vAlign w:val="center"/>
                </w:tcPr>
                <w:p>
                  <w:pPr>
                    <w:jc w:val="center"/>
                    <w:rPr>
                      <w:bCs/>
                      <w:color w:val="000000"/>
                      <w:sz w:val="21"/>
                      <w:szCs w:val="21"/>
                    </w:rPr>
                  </w:pPr>
                  <w:r>
                    <w:rPr>
                      <w:bCs/>
                      <w:color w:val="000000"/>
                      <w:sz w:val="21"/>
                      <w:szCs w:val="21"/>
                    </w:rPr>
                    <w:t>BOD</w:t>
                  </w:r>
                  <w:r>
                    <w:rPr>
                      <w:bCs/>
                      <w:color w:val="000000"/>
                      <w:sz w:val="21"/>
                      <w:szCs w:val="21"/>
                      <w:vertAlign w:val="subscript"/>
                    </w:rPr>
                    <w:t>5</w:t>
                  </w:r>
                </w:p>
              </w:tc>
              <w:tc>
                <w:tcPr>
                  <w:tcW w:w="2077" w:type="dxa"/>
                  <w:vAlign w:val="center"/>
                </w:tcPr>
                <w:p>
                  <w:pPr>
                    <w:jc w:val="center"/>
                    <w:rPr>
                      <w:bCs/>
                      <w:color w:val="000000"/>
                      <w:sz w:val="21"/>
                      <w:szCs w:val="21"/>
                    </w:rPr>
                  </w:pPr>
                  <w:r>
                    <w:rPr>
                      <w:bCs/>
                      <w:color w:val="000000"/>
                      <w:sz w:val="21"/>
                      <w:szCs w:val="21"/>
                    </w:rPr>
                    <w:t>350</w:t>
                  </w:r>
                </w:p>
              </w:tc>
              <w:tc>
                <w:tcPr>
                  <w:tcW w:w="2043" w:type="dxa"/>
                  <w:vAlign w:val="center"/>
                </w:tcPr>
                <w:p>
                  <w:pPr>
                    <w:jc w:val="center"/>
                    <w:rPr>
                      <w:bCs/>
                      <w:color w:val="000000"/>
                      <w:sz w:val="21"/>
                      <w:szCs w:val="21"/>
                    </w:rPr>
                  </w:pPr>
                  <w:r>
                    <w:rPr>
                      <w:bCs/>
                      <w:color w:val="000000"/>
                      <w:sz w:val="21"/>
                      <w:szCs w:val="21"/>
                    </w:rPr>
                    <w:t>动植物油</w:t>
                  </w:r>
                </w:p>
              </w:tc>
              <w:tc>
                <w:tcPr>
                  <w:tcW w:w="2076" w:type="dxa"/>
                  <w:vAlign w:val="center"/>
                </w:tcPr>
                <w:p>
                  <w:pPr>
                    <w:jc w:val="center"/>
                    <w:rPr>
                      <w:bCs/>
                      <w:color w:val="000000"/>
                      <w:sz w:val="21"/>
                      <w:szCs w:val="21"/>
                    </w:rPr>
                  </w:pPr>
                  <w:r>
                    <w:rPr>
                      <w:bCs/>
                      <w:color w:val="000000"/>
                      <w:sz w:val="21"/>
                      <w:szCs w:val="21"/>
                    </w:rPr>
                    <w:t>100</w:t>
                  </w:r>
                </w:p>
              </w:tc>
            </w:tr>
          </w:tbl>
          <w:p>
            <w:pPr>
              <w:pStyle w:val="27"/>
              <w:widowControl w:val="0"/>
              <w:spacing w:before="0" w:beforeAutospacing="0" w:after="0" w:afterAutospacing="0" w:line="480" w:lineRule="exact"/>
              <w:jc w:val="both"/>
              <w:rPr>
                <w:rFonts w:ascii="Times New Roman" w:hAnsi="Times New Roman"/>
                <w:color w:val="000000"/>
                <w:szCs w:val="24"/>
              </w:rPr>
            </w:pPr>
            <w:r>
              <w:rPr>
                <w:rFonts w:hint="eastAsia" w:ascii="Times New Roman" w:hAnsi="Times New Roman"/>
                <w:color w:val="000000"/>
                <w:kern w:val="2"/>
                <w:szCs w:val="24"/>
              </w:rPr>
              <w:t>4</w:t>
            </w:r>
            <w:r>
              <w:rPr>
                <w:rFonts w:ascii="Times New Roman" w:hAnsi="Times New Roman"/>
                <w:color w:val="000000"/>
                <w:kern w:val="2"/>
                <w:szCs w:val="24"/>
              </w:rPr>
              <w:t>、固体废物</w:t>
            </w:r>
          </w:p>
          <w:p>
            <w:pPr>
              <w:spacing w:line="480" w:lineRule="exact"/>
              <w:ind w:firstLine="480" w:firstLineChars="200"/>
              <w:rPr>
                <w:color w:val="000000"/>
              </w:rPr>
            </w:pPr>
            <w:r>
              <w:rPr>
                <w:color w:val="000000"/>
              </w:rPr>
              <w:t>一般工业固废执行《一般工业固废贮存和填埋污染控制标准》(GB18599-2020）；危险废物执行《危险废物贮存污染控制标准》（GB18597-2001）及环境保护部公告（2013年第36号）修改单。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color w:val="000000"/>
                <w:kern w:val="0"/>
                <w:sz w:val="21"/>
                <w:szCs w:val="21"/>
              </w:rPr>
            </w:pPr>
            <w:r>
              <w:rPr>
                <w:color w:val="000000"/>
                <w:kern w:val="0"/>
                <w:sz w:val="21"/>
                <w:szCs w:val="21"/>
              </w:rPr>
              <w:t>总量</w:t>
            </w:r>
          </w:p>
          <w:p>
            <w:pPr>
              <w:adjustRightInd w:val="0"/>
              <w:snapToGrid w:val="0"/>
              <w:jc w:val="center"/>
              <w:rPr>
                <w:color w:val="000000"/>
                <w:kern w:val="0"/>
                <w:sz w:val="21"/>
                <w:szCs w:val="21"/>
              </w:rPr>
            </w:pPr>
            <w:r>
              <w:rPr>
                <w:color w:val="000000"/>
                <w:kern w:val="0"/>
                <w:sz w:val="21"/>
                <w:szCs w:val="21"/>
              </w:rPr>
              <w:t>控制</w:t>
            </w:r>
          </w:p>
          <w:p>
            <w:pPr>
              <w:adjustRightInd w:val="0"/>
              <w:snapToGrid w:val="0"/>
              <w:jc w:val="center"/>
              <w:rPr>
                <w:color w:val="000000"/>
                <w:kern w:val="0"/>
                <w:szCs w:val="21"/>
              </w:rPr>
            </w:pPr>
            <w:r>
              <w:rPr>
                <w:color w:val="000000"/>
                <w:kern w:val="0"/>
                <w:sz w:val="21"/>
                <w:szCs w:val="21"/>
              </w:rPr>
              <w:t>指标</w:t>
            </w:r>
          </w:p>
        </w:tc>
        <w:tc>
          <w:tcPr>
            <w:tcW w:w="8190" w:type="dxa"/>
            <w:vAlign w:val="center"/>
          </w:tcPr>
          <w:p>
            <w:pPr>
              <w:autoSpaceDE w:val="0"/>
              <w:autoSpaceDN w:val="0"/>
              <w:spacing w:line="480" w:lineRule="exact"/>
              <w:ind w:firstLine="480" w:firstLineChars="200"/>
              <w:rPr>
                <w:color w:val="000000"/>
              </w:rPr>
            </w:pPr>
            <w:r>
              <w:rPr>
                <w:color w:val="000000"/>
              </w:rPr>
              <w:t>根据山西省环境保护厅文件晋环发〔2015〕25号关于印发《山西省环境保护厅建设项目主要污染物排放总量核定办法》的通知</w:t>
            </w:r>
            <w:r>
              <w:rPr>
                <w:rFonts w:hint="eastAsia"/>
                <w:color w:val="000000"/>
              </w:rPr>
              <w:t>。</w:t>
            </w:r>
          </w:p>
          <w:p>
            <w:pPr>
              <w:autoSpaceDE w:val="0"/>
              <w:autoSpaceDN w:val="0"/>
              <w:spacing w:line="480" w:lineRule="exact"/>
              <w:ind w:firstLine="480" w:firstLineChars="200"/>
              <w:rPr>
                <w:color w:val="000000" w:themeColor="text1"/>
              </w:rPr>
            </w:pPr>
            <w:r>
              <w:rPr>
                <w:rFonts w:hint="eastAsia"/>
                <w:color w:val="000000" w:themeColor="text1"/>
              </w:rPr>
              <w:t>本项目的总量为：颗粒物：2.76t/a。</w:t>
            </w:r>
          </w:p>
          <w:p>
            <w:pPr>
              <w:autoSpaceDE w:val="0"/>
              <w:autoSpaceDN w:val="0"/>
              <w:spacing w:line="480" w:lineRule="exact"/>
              <w:ind w:firstLine="480" w:firstLineChars="200"/>
              <w:rPr>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rFonts w:hint="eastAsia"/>
                <w:color w:val="000000"/>
                <w:kern w:val="0"/>
                <w:szCs w:val="21"/>
              </w:rPr>
            </w:pPr>
          </w:p>
          <w:p>
            <w:pPr>
              <w:autoSpaceDE w:val="0"/>
              <w:autoSpaceDN w:val="0"/>
              <w:spacing w:line="480" w:lineRule="exact"/>
              <w:ind w:firstLine="480" w:firstLineChars="200"/>
              <w:rPr>
                <w:color w:val="000000"/>
                <w:kern w:val="0"/>
                <w:szCs w:val="21"/>
              </w:rPr>
            </w:pPr>
          </w:p>
          <w:p>
            <w:pPr>
              <w:autoSpaceDE w:val="0"/>
              <w:autoSpaceDN w:val="0"/>
              <w:spacing w:line="480" w:lineRule="exact"/>
              <w:ind w:firstLine="480" w:firstLineChars="200"/>
              <w:rPr>
                <w:color w:val="000000"/>
                <w:kern w:val="0"/>
                <w:szCs w:val="21"/>
              </w:rPr>
            </w:pPr>
          </w:p>
        </w:tc>
      </w:tr>
    </w:tbl>
    <w:p>
      <w:pPr>
        <w:pStyle w:val="2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6"/>
          <w:szCs w:val="36"/>
        </w:rPr>
        <w:br w:type="page"/>
      </w:r>
      <w:r>
        <w:rPr>
          <w:rFonts w:ascii="Times New Roman" w:hAnsi="Times New Roman" w:eastAsia="黑体"/>
          <w:snapToGrid w:val="0"/>
          <w:color w:val="000000"/>
          <w:sz w:val="30"/>
          <w:szCs w:val="30"/>
        </w:rPr>
        <w:t>四、主要环境影响和保护措施</w:t>
      </w:r>
    </w:p>
    <w:tbl>
      <w:tblPr>
        <w:tblStyle w:val="3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6" w:hRule="atLeast"/>
          <w:jc w:val="center"/>
        </w:trPr>
        <w:tc>
          <w:tcPr>
            <w:tcW w:w="746" w:type="dxa"/>
            <w:tcMar>
              <w:left w:w="28" w:type="dxa"/>
              <w:right w:w="28" w:type="dxa"/>
            </w:tcMar>
            <w:vAlign w:val="center"/>
          </w:tcPr>
          <w:p>
            <w:pPr>
              <w:adjustRightInd w:val="0"/>
              <w:snapToGrid w:val="0"/>
              <w:jc w:val="center"/>
              <w:rPr>
                <w:bCs/>
                <w:color w:val="000000"/>
              </w:rPr>
            </w:pPr>
            <w:r>
              <w:rPr>
                <w:bCs/>
                <w:color w:val="000000"/>
              </w:rPr>
              <w:t>施工</w:t>
            </w:r>
          </w:p>
          <w:p>
            <w:pPr>
              <w:adjustRightInd w:val="0"/>
              <w:snapToGrid w:val="0"/>
              <w:jc w:val="center"/>
              <w:rPr>
                <w:bCs/>
                <w:color w:val="000000"/>
              </w:rPr>
            </w:pPr>
            <w:r>
              <w:rPr>
                <w:bCs/>
                <w:color w:val="000000"/>
              </w:rPr>
              <w:t>期环</w:t>
            </w:r>
          </w:p>
          <w:p>
            <w:pPr>
              <w:adjustRightInd w:val="0"/>
              <w:snapToGrid w:val="0"/>
              <w:jc w:val="center"/>
              <w:rPr>
                <w:bCs/>
                <w:color w:val="000000"/>
              </w:rPr>
            </w:pPr>
            <w:r>
              <w:rPr>
                <w:bCs/>
                <w:color w:val="000000"/>
              </w:rPr>
              <w:t>境保</w:t>
            </w:r>
          </w:p>
          <w:p>
            <w:pPr>
              <w:adjustRightInd w:val="0"/>
              <w:snapToGrid w:val="0"/>
              <w:jc w:val="center"/>
              <w:rPr>
                <w:bCs/>
                <w:color w:val="000000"/>
              </w:rPr>
            </w:pPr>
            <w:r>
              <w:rPr>
                <w:bCs/>
                <w:color w:val="000000"/>
              </w:rPr>
              <w:t>护措</w:t>
            </w:r>
          </w:p>
          <w:p>
            <w:pPr>
              <w:adjustRightInd w:val="0"/>
              <w:snapToGrid w:val="0"/>
              <w:jc w:val="center"/>
              <w:rPr>
                <w:bCs/>
                <w:color w:val="000000"/>
              </w:rPr>
            </w:pPr>
            <w:r>
              <w:rPr>
                <w:bCs/>
                <w:color w:val="000000"/>
              </w:rPr>
              <w:t>施</w:t>
            </w:r>
          </w:p>
        </w:tc>
        <w:tc>
          <w:tcPr>
            <w:tcW w:w="8162" w:type="dxa"/>
            <w:vAlign w:val="center"/>
          </w:tcPr>
          <w:p>
            <w:pPr>
              <w:spacing w:line="480" w:lineRule="exact"/>
              <w:ind w:firstLine="481" w:firstLineChars="200"/>
            </w:pPr>
            <w:r>
              <w:rPr>
                <w:b/>
                <w:bCs/>
              </w:rPr>
              <w:t>1、施工期环境空气污染影响环节及污染防治措施</w:t>
            </w:r>
          </w:p>
          <w:p>
            <w:pPr>
              <w:spacing w:line="480" w:lineRule="exact"/>
              <w:ind w:firstLine="480" w:firstLineChars="200"/>
            </w:pPr>
            <w:r>
              <w:t>（1）环境空气影响分析</w:t>
            </w:r>
          </w:p>
          <w:p>
            <w:pPr>
              <w:spacing w:line="480" w:lineRule="exact"/>
              <w:ind w:firstLine="480" w:firstLineChars="200"/>
            </w:pPr>
            <w:r>
              <w:t>施工期间的环境空气污染主要表现为施工扬尘排放，施工扬尘来自土方的挖填及现场堆放扬尘；建筑材料（白灰、水泥、砂子、石子、砖）的现场搬运及现场堆放扬尘；施工垃圾和施工生活区生活垃圾的清理及堆放扬尘；人来车往造成的现场道路扬尘，对空气造成污染。</w:t>
            </w:r>
          </w:p>
          <w:p>
            <w:pPr>
              <w:spacing w:line="480" w:lineRule="exact"/>
              <w:ind w:firstLine="480" w:firstLineChars="200"/>
            </w:pPr>
            <w:r>
              <w:t>（2）施工扬尘污染防治措施</w:t>
            </w:r>
          </w:p>
          <w:p>
            <w:pPr>
              <w:spacing w:line="480" w:lineRule="exact"/>
              <w:ind w:firstLine="480" w:firstLineChars="200"/>
              <w:rPr>
                <w:lang w:val="zh-CN"/>
              </w:rPr>
            </w:pPr>
            <w:r>
              <w:rPr>
                <w:lang w:val="zh-CN"/>
              </w:rPr>
              <w:t>结合施工场地位置，本项目施工期间应设置如下防治施工扬尘措施：</w:t>
            </w:r>
          </w:p>
          <w:p>
            <w:pPr>
              <w:spacing w:line="480" w:lineRule="exact"/>
              <w:ind w:firstLine="480" w:firstLineChars="200"/>
              <w:rPr>
                <w:lang w:val="zh-CN"/>
              </w:rPr>
            </w:pPr>
            <w:r>
              <w:rPr>
                <w:lang w:val="zh-CN"/>
              </w:rPr>
              <w:t>①确保建筑工地扬尘污染控制达到</w:t>
            </w:r>
            <w:r>
              <w:rPr>
                <w:rFonts w:hint="eastAsia"/>
                <w:lang w:val="zh-CN"/>
              </w:rPr>
              <w:t>“</w:t>
            </w:r>
            <w:r>
              <w:rPr>
                <w:lang w:val="zh-CN"/>
              </w:rPr>
              <w:t>6个百分之百</w:t>
            </w:r>
            <w:r>
              <w:rPr>
                <w:rFonts w:hint="eastAsia"/>
                <w:lang w:val="zh-CN"/>
              </w:rPr>
              <w:t>”</w:t>
            </w:r>
            <w:r>
              <w:rPr>
                <w:lang w:val="zh-CN"/>
              </w:rPr>
              <w:t>，即：工地周边围挡、物料堆放覆盖、土方开挖湿法作业、路面硬化、出入车辆清洗、渣土车辆密闭运输，有效控制建设项目施工期间扬尘对环境造成的影响。</w:t>
            </w:r>
          </w:p>
          <w:p>
            <w:pPr>
              <w:spacing w:line="480" w:lineRule="exact"/>
              <w:ind w:firstLine="480" w:firstLineChars="200"/>
              <w:rPr>
                <w:lang w:val="zh-CN"/>
              </w:rPr>
            </w:pPr>
            <w:r>
              <w:rPr>
                <w:lang w:val="zh-CN"/>
              </w:rPr>
              <w:t>②施工工地边界设置不低于1.8m围挡；</w:t>
            </w:r>
          </w:p>
          <w:p>
            <w:pPr>
              <w:spacing w:line="480" w:lineRule="exact"/>
              <w:ind w:firstLine="480" w:firstLineChars="200"/>
              <w:rPr>
                <w:lang w:val="zh-CN"/>
              </w:rPr>
            </w:pPr>
            <w:r>
              <w:rPr>
                <w:lang w:val="zh-CN"/>
              </w:rPr>
              <w:t>③施工道路进行硬化处理；</w:t>
            </w:r>
          </w:p>
          <w:p>
            <w:pPr>
              <w:spacing w:line="480" w:lineRule="exact"/>
              <w:ind w:firstLine="480" w:firstLineChars="200"/>
              <w:rPr>
                <w:lang w:val="zh-CN"/>
              </w:rPr>
            </w:pPr>
            <w:r>
              <w:rPr>
                <w:lang w:val="zh-CN"/>
              </w:rPr>
              <w:t>④设置洗车平台和清洗设备，并设置沉淀池，对出入车辆进行冲洗；</w:t>
            </w:r>
          </w:p>
          <w:p>
            <w:pPr>
              <w:spacing w:line="480" w:lineRule="exact"/>
              <w:ind w:firstLine="480" w:firstLineChars="200"/>
              <w:rPr>
                <w:lang w:val="zh-CN"/>
              </w:rPr>
            </w:pPr>
            <w:r>
              <w:rPr>
                <w:lang w:val="zh-CN"/>
              </w:rPr>
              <w:t>⑤裸露土方堆放整齐、成形，土方用密目网苫盖；</w:t>
            </w:r>
          </w:p>
          <w:p>
            <w:pPr>
              <w:spacing w:line="480" w:lineRule="exact"/>
              <w:ind w:firstLine="480" w:firstLineChars="200"/>
              <w:rPr>
                <w:lang w:val="zh-CN"/>
              </w:rPr>
            </w:pPr>
            <w:r>
              <w:rPr>
                <w:lang w:val="zh-CN"/>
              </w:rPr>
              <w:t>⑥施工垃圾应在48小时内完成清运，不能及时清运的，采取苫盖或其他有效防尘措施；</w:t>
            </w:r>
          </w:p>
          <w:p>
            <w:pPr>
              <w:spacing w:line="480" w:lineRule="exact"/>
              <w:ind w:firstLine="480" w:firstLineChars="200"/>
              <w:rPr>
                <w:lang w:val="zh-CN"/>
              </w:rPr>
            </w:pPr>
            <w:r>
              <w:rPr>
                <w:lang w:val="zh-CN"/>
              </w:rPr>
              <w:t>⑦所有砂石、灰土、灰浆等易扬尘物料都必须以不透水的隔尘布完全覆盖或放置在顶部和四周围均有遮蔽的</w:t>
            </w:r>
            <w:r>
              <w:t>场地</w:t>
            </w:r>
            <w:r>
              <w:rPr>
                <w:lang w:val="zh-CN"/>
              </w:rPr>
              <w:t>内，且防尘布或遮蔽装置的完好率必须大于95%；不得凌空抛掷建筑垃圾或易扬尘物料；</w:t>
            </w:r>
          </w:p>
          <w:p>
            <w:pPr>
              <w:spacing w:line="480" w:lineRule="exact"/>
              <w:ind w:firstLine="480" w:firstLineChars="200"/>
              <w:rPr>
                <w:lang w:val="zh-CN"/>
              </w:rPr>
            </w:pPr>
            <w:r>
              <w:rPr>
                <w:lang w:val="zh-CN"/>
              </w:rPr>
              <w:t>⑧遇四级（含四级）以上大风、扬沙天气或空气质量预警时，停止施工；</w:t>
            </w:r>
          </w:p>
          <w:p>
            <w:pPr>
              <w:spacing w:line="480" w:lineRule="exact"/>
              <w:ind w:firstLine="480" w:firstLineChars="200"/>
              <w:rPr>
                <w:lang w:val="zh-CN"/>
              </w:rPr>
            </w:pPr>
            <w:r>
              <w:rPr>
                <w:lang w:val="zh-CN"/>
              </w:rPr>
              <w:t>⑨规划好施工车辆的运行路线，尽量避开生活区和人流密集的交通要道，避免交通堵塞及注意车辆维修保养，以减少汽车尾气排放。</w:t>
            </w:r>
          </w:p>
          <w:p>
            <w:pPr>
              <w:spacing w:line="480" w:lineRule="exact"/>
              <w:ind w:firstLine="480" w:firstLineChars="200"/>
            </w:pPr>
            <w:r>
              <w:t>采取上述措施后，可有效控制本项目施工期扬尘对周围环境的影响。</w:t>
            </w:r>
          </w:p>
          <w:p>
            <w:pPr>
              <w:spacing w:line="480" w:lineRule="exact"/>
              <w:ind w:firstLine="481" w:firstLineChars="200"/>
              <w:rPr>
                <w:b/>
                <w:bCs/>
              </w:rPr>
            </w:pPr>
            <w:r>
              <w:rPr>
                <w:b/>
                <w:bCs/>
              </w:rPr>
              <w:t>2、施工期水环境污染影响环节及污染防治措施</w:t>
            </w:r>
          </w:p>
          <w:p>
            <w:pPr>
              <w:spacing w:line="480" w:lineRule="exact"/>
              <w:ind w:firstLine="480" w:firstLineChars="200"/>
            </w:pPr>
            <w:r>
              <w:t>施工期废污水主要来自施工生活区的生活废水和施工机械清洗污水。</w:t>
            </w:r>
          </w:p>
          <w:p>
            <w:pPr>
              <w:spacing w:line="480" w:lineRule="exact"/>
              <w:ind w:firstLine="480" w:firstLineChars="200"/>
            </w:pPr>
            <w:r>
              <w:t>施工车辆冲洗废水悬浮物浓度较大，应设置两级串联废水沉淀池（防渗结构），废水经沉淀后用于施工物料混合用水或地面浇洒，禁止废水乱排。</w:t>
            </w:r>
          </w:p>
          <w:p>
            <w:pPr>
              <w:spacing w:line="480" w:lineRule="exact"/>
              <w:ind w:firstLine="480" w:firstLineChars="200"/>
            </w:pPr>
            <w:r>
              <w:t>职工日常生活产生的洗漱废水，污染物以COD</w:t>
            </w:r>
            <w:r>
              <w:rPr>
                <w:vertAlign w:val="subscript"/>
              </w:rPr>
              <w:t>cr</w:t>
            </w:r>
            <w:r>
              <w:t>、BOD</w:t>
            </w:r>
            <w:r>
              <w:rPr>
                <w:vertAlign w:val="subscript"/>
              </w:rPr>
              <w:t>5</w:t>
            </w:r>
            <w:r>
              <w:t>、SS为主，污染成分较为简单，可全部用于洒水降尘。施工区内增设必要的排水沟道，有利于雨水排放。</w:t>
            </w:r>
          </w:p>
          <w:p>
            <w:pPr>
              <w:spacing w:line="480" w:lineRule="exact"/>
              <w:ind w:firstLine="481" w:firstLineChars="200"/>
            </w:pPr>
            <w:r>
              <w:rPr>
                <w:b/>
                <w:bCs/>
              </w:rPr>
              <w:t>3、施工期声环境影响环节及污染防治措施</w:t>
            </w:r>
          </w:p>
          <w:p>
            <w:pPr>
              <w:spacing w:line="480" w:lineRule="exact"/>
              <w:ind w:firstLine="480" w:firstLineChars="200"/>
            </w:pPr>
            <w:r>
              <w:t>本项目施工期的噪声主要来源于施工现场的各类机械设备和物资运输的交通噪声；物料装卸碰撞噪声及施工人员的活动噪声。施工期间，施工厂界噪声一般不能满足《建筑施工场界环境噪声排放标准》（GB12523-2011）中所规定的施工厂界噪声限值，一般昼间超标10～15dB(A)，夜间超标20～30dB(A)，对施工人员和周围临近人们的生活有一定的影响。</w:t>
            </w:r>
          </w:p>
          <w:p>
            <w:pPr>
              <w:spacing w:line="480" w:lineRule="exact"/>
              <w:ind w:firstLine="480" w:firstLineChars="200"/>
            </w:pPr>
            <w:r>
              <w:t>在施工阶段要选用先进的低噪声施工机械设备，产生噪声的机械设备使用前，要精心润滑、调试和管理，使其噪声降到最低程度；施工场界须设置临时声屏障以避免或减轻对临近单位、村民的噪声干扰；使用商品混凝土，禁止现场搅拌混凝土；合理安排施工时间，并禁止在中午休息时间（12:00～14:00）或夜间休息时间（晚22:00～次日凌晨6:00）施工，不得影响周围人们的工作、学习和生活。</w:t>
            </w:r>
          </w:p>
          <w:p>
            <w:pPr>
              <w:spacing w:line="480" w:lineRule="exact"/>
              <w:ind w:firstLine="481" w:firstLineChars="200"/>
              <w:rPr>
                <w:b/>
                <w:bCs/>
              </w:rPr>
            </w:pPr>
            <w:r>
              <w:rPr>
                <w:b/>
                <w:bCs/>
              </w:rPr>
              <w:t>4、施工期固体废物污染影响</w:t>
            </w:r>
          </w:p>
          <w:p>
            <w:pPr>
              <w:widowControl/>
              <w:autoSpaceDE w:val="0"/>
              <w:autoSpaceDN w:val="0"/>
              <w:adjustRightInd w:val="0"/>
              <w:snapToGrid w:val="0"/>
              <w:spacing w:line="480" w:lineRule="exact"/>
              <w:ind w:firstLine="480" w:firstLineChars="200"/>
              <w:rPr>
                <w:kern w:val="0"/>
              </w:rPr>
            </w:pPr>
            <w:r>
              <w:rPr>
                <w:kern w:val="0"/>
              </w:rPr>
              <w:t>施工期间垃圾主要是来自施工所产生的建筑垃圾以及施工人员产生的生活垃圾。</w:t>
            </w:r>
          </w:p>
          <w:p>
            <w:pPr>
              <w:widowControl/>
              <w:autoSpaceDE w:val="0"/>
              <w:autoSpaceDN w:val="0"/>
              <w:adjustRightInd w:val="0"/>
              <w:snapToGrid w:val="0"/>
              <w:spacing w:line="480" w:lineRule="exact"/>
              <w:ind w:firstLine="480" w:firstLineChars="200"/>
              <w:rPr>
                <w:kern w:val="0"/>
              </w:rPr>
            </w:pPr>
            <w:r>
              <w:rPr>
                <w:kern w:val="0"/>
              </w:rPr>
              <w:t>本次环评要求：施工过程中产生的建筑垃圾应优先进行综合利用，不能综合利用的要及时清运至</w:t>
            </w:r>
            <w:r>
              <w:t>指定的建筑垃圾填埋场处置</w:t>
            </w:r>
            <w:r>
              <w:rPr>
                <w:kern w:val="0"/>
              </w:rPr>
              <w:t>，防止其因长期堆放而产生扬尘；施工场地设垃圾桶，及时清运并处置施工现场的生活垃圾。</w:t>
            </w:r>
          </w:p>
          <w:p>
            <w:pPr>
              <w:spacing w:line="480" w:lineRule="exact"/>
              <w:ind w:firstLine="480" w:firstLineChars="200"/>
              <w:rPr>
                <w:color w:val="000000"/>
              </w:rPr>
            </w:pPr>
            <w:r>
              <w:rPr>
                <w:kern w:val="0"/>
              </w:rPr>
              <w:t>采取环评要求的措施后，本项目施工期固体废物对周围环境产生影响较小。</w:t>
            </w:r>
          </w:p>
          <w:p>
            <w:pPr>
              <w:autoSpaceDE w:val="0"/>
              <w:autoSpaceDN w:val="0"/>
              <w:spacing w:line="480" w:lineRule="exact"/>
              <w:ind w:firstLine="480" w:firstLineChars="200"/>
              <w:jc w:val="left"/>
              <w:rPr>
                <w:bCs/>
                <w:color w:val="000000"/>
                <w:spacing w:val="-10"/>
                <w:szCs w:val="21"/>
              </w:rPr>
            </w:pPr>
            <w:r>
              <w:rPr>
                <w:rFonts w:hint="eastAsia"/>
                <w:bCs/>
                <w:color w:val="000000"/>
              </w:rPr>
              <w:t>综上，项目产生的废物均得到了合理处置，不会对周围环境产生影响。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45" w:hRule="atLeast"/>
          <w:jc w:val="center"/>
        </w:trPr>
        <w:tc>
          <w:tcPr>
            <w:tcW w:w="746" w:type="dxa"/>
            <w:tcMar>
              <w:left w:w="28" w:type="dxa"/>
              <w:right w:w="28" w:type="dxa"/>
            </w:tcMar>
            <w:vAlign w:val="center"/>
          </w:tcPr>
          <w:p>
            <w:pPr>
              <w:adjustRightInd w:val="0"/>
              <w:snapToGrid w:val="0"/>
              <w:jc w:val="center"/>
              <w:rPr>
                <w:bCs/>
                <w:color w:val="000000"/>
              </w:rPr>
            </w:pPr>
            <w:r>
              <w:rPr>
                <w:bCs/>
                <w:color w:val="000000"/>
              </w:rPr>
              <w:t>运营</w:t>
            </w:r>
          </w:p>
          <w:p>
            <w:pPr>
              <w:adjustRightInd w:val="0"/>
              <w:snapToGrid w:val="0"/>
              <w:jc w:val="center"/>
              <w:rPr>
                <w:bCs/>
                <w:color w:val="000000"/>
              </w:rPr>
            </w:pPr>
            <w:r>
              <w:rPr>
                <w:bCs/>
                <w:color w:val="000000"/>
              </w:rPr>
              <w:t>期环</w:t>
            </w:r>
          </w:p>
          <w:p>
            <w:pPr>
              <w:adjustRightInd w:val="0"/>
              <w:snapToGrid w:val="0"/>
              <w:jc w:val="center"/>
              <w:rPr>
                <w:bCs/>
                <w:color w:val="000000"/>
              </w:rPr>
            </w:pPr>
            <w:r>
              <w:rPr>
                <w:bCs/>
                <w:color w:val="000000"/>
              </w:rPr>
              <w:t>境影</w:t>
            </w:r>
          </w:p>
          <w:p>
            <w:pPr>
              <w:adjustRightInd w:val="0"/>
              <w:snapToGrid w:val="0"/>
              <w:jc w:val="center"/>
              <w:rPr>
                <w:bCs/>
                <w:color w:val="000000"/>
              </w:rPr>
            </w:pPr>
            <w:r>
              <w:rPr>
                <w:bCs/>
                <w:color w:val="000000"/>
              </w:rPr>
              <w:t>响和</w:t>
            </w:r>
          </w:p>
          <w:p>
            <w:pPr>
              <w:adjustRightInd w:val="0"/>
              <w:snapToGrid w:val="0"/>
              <w:jc w:val="center"/>
              <w:rPr>
                <w:bCs/>
                <w:color w:val="000000"/>
              </w:rPr>
            </w:pPr>
            <w:r>
              <w:rPr>
                <w:bCs/>
                <w:color w:val="000000"/>
              </w:rPr>
              <w:t>保护</w:t>
            </w:r>
          </w:p>
          <w:p>
            <w:pPr>
              <w:adjustRightInd w:val="0"/>
              <w:snapToGrid w:val="0"/>
              <w:jc w:val="center"/>
              <w:rPr>
                <w:bCs/>
                <w:color w:val="000000"/>
              </w:rPr>
            </w:pPr>
            <w:r>
              <w:rPr>
                <w:bCs/>
                <w:color w:val="000000"/>
              </w:rPr>
              <w:t>措施</w:t>
            </w:r>
          </w:p>
        </w:tc>
        <w:tc>
          <w:tcPr>
            <w:tcW w:w="8162" w:type="dxa"/>
            <w:vAlign w:val="center"/>
          </w:tcPr>
          <w:p>
            <w:pPr>
              <w:adjustRightInd w:val="0"/>
              <w:snapToGrid w:val="0"/>
              <w:spacing w:line="480" w:lineRule="exact"/>
              <w:rPr>
                <w:color w:val="000000"/>
              </w:rPr>
            </w:pPr>
            <w:r>
              <w:rPr>
                <w:color w:val="000000"/>
              </w:rPr>
              <w:t>一、大气环境影响分析</w:t>
            </w:r>
          </w:p>
          <w:p>
            <w:pPr>
              <w:spacing w:line="500" w:lineRule="exact"/>
              <w:ind w:firstLine="361" w:firstLineChars="150"/>
              <w:jc w:val="center"/>
              <w:rPr>
                <w:b/>
                <w:bCs/>
                <w:color w:val="000000"/>
              </w:rPr>
            </w:pPr>
            <w:r>
              <w:rPr>
                <w:b/>
                <w:bCs/>
                <w:color w:val="000000"/>
              </w:rPr>
              <w:t>表4-1  建设项目主要废气污染源及主要污染物统计表</w:t>
            </w:r>
          </w:p>
          <w:tbl>
            <w:tblPr>
              <w:tblStyle w:val="32"/>
              <w:tblW w:w="7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5375"/>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1527" w:type="dxa"/>
                  <w:vAlign w:val="center"/>
                </w:tcPr>
                <w:p>
                  <w:pPr>
                    <w:spacing w:line="320" w:lineRule="exact"/>
                    <w:jc w:val="center"/>
                    <w:rPr>
                      <w:color w:val="000000"/>
                      <w:sz w:val="21"/>
                      <w:szCs w:val="21"/>
                    </w:rPr>
                  </w:pPr>
                  <w:r>
                    <w:rPr>
                      <w:rFonts w:hint="eastAsia"/>
                      <w:color w:val="000000"/>
                      <w:sz w:val="21"/>
                      <w:szCs w:val="21"/>
                    </w:rPr>
                    <w:t>产污工序</w:t>
                  </w:r>
                </w:p>
              </w:tc>
              <w:tc>
                <w:tcPr>
                  <w:tcW w:w="5375" w:type="dxa"/>
                  <w:vAlign w:val="center"/>
                </w:tcPr>
                <w:p>
                  <w:pPr>
                    <w:spacing w:line="320" w:lineRule="exact"/>
                    <w:jc w:val="center"/>
                    <w:rPr>
                      <w:color w:val="000000"/>
                      <w:sz w:val="21"/>
                      <w:szCs w:val="21"/>
                    </w:rPr>
                  </w:pPr>
                  <w:r>
                    <w:rPr>
                      <w:rFonts w:hint="eastAsia"/>
                      <w:color w:val="000000"/>
                      <w:sz w:val="21"/>
                      <w:szCs w:val="21"/>
                    </w:rPr>
                    <w:t>主要污染产生分析</w:t>
                  </w:r>
                </w:p>
              </w:tc>
              <w:tc>
                <w:tcPr>
                  <w:tcW w:w="1036" w:type="dxa"/>
                  <w:vAlign w:val="center"/>
                </w:tcPr>
                <w:p>
                  <w:pPr>
                    <w:spacing w:line="320" w:lineRule="exact"/>
                    <w:jc w:val="center"/>
                    <w:rPr>
                      <w:color w:val="000000"/>
                      <w:sz w:val="21"/>
                      <w:szCs w:val="21"/>
                    </w:rPr>
                  </w:pPr>
                  <w:r>
                    <w:rPr>
                      <w:rFonts w:hint="eastAsia"/>
                      <w:color w:val="000000"/>
                      <w:sz w:val="21"/>
                      <w:szCs w:val="21"/>
                    </w:rPr>
                    <w:t>污染物类别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1527" w:type="dxa"/>
                  <w:vAlign w:val="center"/>
                </w:tcPr>
                <w:p>
                  <w:pPr>
                    <w:widowControl/>
                    <w:spacing w:line="320" w:lineRule="exact"/>
                    <w:jc w:val="center"/>
                    <w:rPr>
                      <w:color w:val="000000"/>
                      <w:sz w:val="21"/>
                      <w:szCs w:val="21"/>
                    </w:rPr>
                  </w:pPr>
                  <w:r>
                    <w:rPr>
                      <w:rFonts w:hint="eastAsia"/>
                      <w:color w:val="000000"/>
                      <w:sz w:val="21"/>
                      <w:szCs w:val="21"/>
                    </w:rPr>
                    <w:t>联合厂房（一）生产过程中产生的废气</w:t>
                  </w:r>
                </w:p>
              </w:tc>
              <w:tc>
                <w:tcPr>
                  <w:tcW w:w="5375" w:type="dxa"/>
                  <w:vAlign w:val="center"/>
                </w:tcPr>
                <w:p>
                  <w:pPr>
                    <w:widowControl/>
                    <w:spacing w:line="320" w:lineRule="exact"/>
                    <w:rPr>
                      <w:color w:val="000000"/>
                      <w:sz w:val="21"/>
                      <w:szCs w:val="21"/>
                    </w:rPr>
                  </w:pPr>
                  <w:r>
                    <w:rPr>
                      <w:rFonts w:hint="eastAsia"/>
                      <w:color w:val="000000"/>
                      <w:sz w:val="21"/>
                      <w:szCs w:val="21"/>
                    </w:rPr>
                    <w:t>本项目在联合厂房（一）内设一套中央除尘系统，对联合厂房（一）的各生产环节产生的烟尘进行收集和处理。在1台数控等离子切割机和2台激光切割机的侧面设侧吸式集气罩（4×0.4m），周围设围挡，废气经集气罩收集后通入布袋除尘器中处理；3台锯床的顶部分别设顶吸式集气罩（1×0.5m），周围设围挡，废气经集气罩收集后通入布袋除尘器中处理；在</w:t>
                  </w:r>
                  <w:r>
                    <w:rPr>
                      <w:color w:val="000000"/>
                      <w:sz w:val="21"/>
                      <w:szCs w:val="21"/>
                    </w:rPr>
                    <w:t>1台</w:t>
                  </w:r>
                  <w:r>
                    <w:rPr>
                      <w:rFonts w:hint="eastAsia"/>
                      <w:color w:val="000000"/>
                      <w:sz w:val="21"/>
                      <w:szCs w:val="21"/>
                    </w:rPr>
                    <w:t>龙门焊和1台门扇自动焊的焊接机上设顶吸式集气罩，周围设围挡废气经集气罩收集后通入布袋除尘器处理；对35台二保</w:t>
                  </w:r>
                  <w:r>
                    <w:rPr>
                      <w:color w:val="000000"/>
                      <w:sz w:val="21"/>
                      <w:szCs w:val="21"/>
                    </w:rPr>
                    <w:t>焊机</w:t>
                  </w:r>
                  <w:r>
                    <w:rPr>
                      <w:rFonts w:hint="eastAsia"/>
                      <w:color w:val="000000"/>
                      <w:sz w:val="21"/>
                      <w:szCs w:val="21"/>
                    </w:rPr>
                    <w:t>产生的废气，设18台顶吸式集气罩，其中2台二保焊机共用一台集气罩，集气罩的周围设围挡，废气经集气罩收集后通入布袋除尘器处理。废气经处理后经15m高排气筒（DA001）排放。</w:t>
                  </w:r>
                </w:p>
              </w:tc>
              <w:tc>
                <w:tcPr>
                  <w:tcW w:w="1036" w:type="dxa"/>
                  <w:vAlign w:val="center"/>
                </w:tcPr>
                <w:p>
                  <w:pPr>
                    <w:spacing w:line="320" w:lineRule="exact"/>
                    <w:jc w:val="center"/>
                    <w:rPr>
                      <w:color w:val="000000"/>
                      <w:sz w:val="21"/>
                      <w:szCs w:val="21"/>
                    </w:rPr>
                  </w:pPr>
                  <w:r>
                    <w:rPr>
                      <w:rFonts w:hint="eastAsia"/>
                      <w:color w:val="000000"/>
                      <w:sz w:val="21"/>
                      <w:szCs w:val="21"/>
                    </w:rPr>
                    <w:t>烟尘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trPr>
              <w:tc>
                <w:tcPr>
                  <w:tcW w:w="1527" w:type="dxa"/>
                  <w:vAlign w:val="center"/>
                </w:tcPr>
                <w:p>
                  <w:pPr>
                    <w:widowControl/>
                    <w:spacing w:line="320" w:lineRule="exact"/>
                    <w:jc w:val="center"/>
                    <w:rPr>
                      <w:color w:val="000000"/>
                      <w:sz w:val="21"/>
                      <w:szCs w:val="21"/>
                    </w:rPr>
                  </w:pPr>
                  <w:r>
                    <w:rPr>
                      <w:rFonts w:hint="eastAsia"/>
                      <w:color w:val="000000"/>
                      <w:sz w:val="21"/>
                      <w:szCs w:val="21"/>
                    </w:rPr>
                    <w:t>喷砂房产生的废气</w:t>
                  </w:r>
                </w:p>
              </w:tc>
              <w:tc>
                <w:tcPr>
                  <w:tcW w:w="5375" w:type="dxa"/>
                  <w:vAlign w:val="center"/>
                </w:tcPr>
                <w:p>
                  <w:pPr>
                    <w:widowControl/>
                    <w:spacing w:line="320" w:lineRule="exact"/>
                    <w:jc w:val="center"/>
                    <w:rPr>
                      <w:color w:val="000000"/>
                      <w:sz w:val="21"/>
                      <w:szCs w:val="21"/>
                    </w:rPr>
                  </w:pPr>
                  <w:r>
                    <w:rPr>
                      <w:rFonts w:hint="eastAsia"/>
                      <w:color w:val="000000"/>
                      <w:sz w:val="21"/>
                      <w:szCs w:val="21"/>
                    </w:rPr>
                    <w:t>设置一座喷砂房，喷砂房为封闭的空间，喷砂时内部为负压状态，产生的废气经排气口通入一套布袋除尘器中处理，处理后的废气经15m高的排气筒（DA002）排放。</w:t>
                  </w:r>
                </w:p>
              </w:tc>
              <w:tc>
                <w:tcPr>
                  <w:tcW w:w="1036" w:type="dxa"/>
                  <w:vAlign w:val="center"/>
                </w:tcPr>
                <w:p>
                  <w:pPr>
                    <w:spacing w:line="320" w:lineRule="exact"/>
                    <w:jc w:val="center"/>
                    <w:rPr>
                      <w:color w:val="000000"/>
                      <w:sz w:val="21"/>
                      <w:szCs w:val="21"/>
                    </w:rPr>
                  </w:pPr>
                  <w:r>
                    <w:rPr>
                      <w:rFonts w:hint="eastAsia"/>
                      <w:color w:val="000000"/>
                      <w:sz w:val="21"/>
                      <w:szCs w:val="21"/>
                    </w:rPr>
                    <w:t>粉尘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7" w:hRule="atLeast"/>
              </w:trPr>
              <w:tc>
                <w:tcPr>
                  <w:tcW w:w="1527" w:type="dxa"/>
                  <w:vAlign w:val="center"/>
                </w:tcPr>
                <w:p>
                  <w:pPr>
                    <w:widowControl/>
                    <w:spacing w:line="320" w:lineRule="exact"/>
                    <w:jc w:val="center"/>
                    <w:rPr>
                      <w:color w:val="000000"/>
                      <w:sz w:val="21"/>
                      <w:szCs w:val="21"/>
                    </w:rPr>
                  </w:pPr>
                  <w:r>
                    <w:rPr>
                      <w:rFonts w:hint="eastAsia"/>
                      <w:color w:val="000000"/>
                      <w:sz w:val="21"/>
                      <w:szCs w:val="21"/>
                    </w:rPr>
                    <w:t>喷漆房产生的废气</w:t>
                  </w:r>
                </w:p>
              </w:tc>
              <w:tc>
                <w:tcPr>
                  <w:tcW w:w="5375" w:type="dxa"/>
                  <w:vAlign w:val="center"/>
                </w:tcPr>
                <w:p>
                  <w:pPr>
                    <w:widowControl/>
                    <w:spacing w:line="320" w:lineRule="exact"/>
                    <w:jc w:val="center"/>
                    <w:rPr>
                      <w:color w:val="000000"/>
                      <w:sz w:val="21"/>
                      <w:szCs w:val="21"/>
                    </w:rPr>
                  </w:pPr>
                  <w:r>
                    <w:rPr>
                      <w:rFonts w:hint="eastAsia"/>
                      <w:color w:val="000000"/>
                      <w:sz w:val="21"/>
                      <w:szCs w:val="21"/>
                    </w:rPr>
                    <w:t>设置一个喷漆房，喷漆房为封闭的空间，喷漆时内部为负压状态，</w:t>
                  </w:r>
                  <w:r>
                    <w:rPr>
                      <w:color w:val="000000"/>
                      <w:sz w:val="21"/>
                      <w:szCs w:val="21"/>
                    </w:rPr>
                    <w:t>喷漆工序</w:t>
                  </w:r>
                  <w:r>
                    <w:rPr>
                      <w:rFonts w:hint="eastAsia"/>
                      <w:color w:val="000000"/>
                      <w:sz w:val="21"/>
                      <w:szCs w:val="21"/>
                    </w:rPr>
                    <w:t>、烘干工序</w:t>
                  </w:r>
                  <w:r>
                    <w:rPr>
                      <w:color w:val="000000"/>
                      <w:sz w:val="21"/>
                      <w:szCs w:val="21"/>
                    </w:rPr>
                    <w:t>产生的废气经</w:t>
                  </w:r>
                  <w:r>
                    <w:rPr>
                      <w:rFonts w:hint="eastAsia"/>
                      <w:color w:val="000000"/>
                      <w:sz w:val="21"/>
                      <w:szCs w:val="21"/>
                    </w:rPr>
                    <w:t>排气口通入预处理装置</w:t>
                  </w:r>
                  <w:r>
                    <w:rPr>
                      <w:color w:val="000000"/>
                      <w:sz w:val="21"/>
                      <w:szCs w:val="21"/>
                    </w:rPr>
                    <w:t>+</w:t>
                  </w:r>
                  <w:r>
                    <w:rPr>
                      <w:rFonts w:hint="eastAsia"/>
                      <w:color w:val="000000"/>
                      <w:sz w:val="21"/>
                      <w:szCs w:val="21"/>
                    </w:rPr>
                    <w:t>活性炭吸附脱附+催化燃烧</w:t>
                  </w:r>
                  <w:r>
                    <w:rPr>
                      <w:color w:val="000000"/>
                      <w:sz w:val="21"/>
                      <w:szCs w:val="21"/>
                    </w:rPr>
                    <w:t>处理后，经1</w:t>
                  </w:r>
                  <w:r>
                    <w:rPr>
                      <w:rFonts w:hint="eastAsia"/>
                      <w:color w:val="000000"/>
                      <w:sz w:val="21"/>
                      <w:szCs w:val="21"/>
                    </w:rPr>
                    <w:t>5</w:t>
                  </w:r>
                  <w:r>
                    <w:rPr>
                      <w:color w:val="000000"/>
                      <w:sz w:val="21"/>
                      <w:szCs w:val="21"/>
                    </w:rPr>
                    <w:t>m</w:t>
                  </w:r>
                  <w:r>
                    <w:rPr>
                      <w:rFonts w:hint="eastAsia"/>
                      <w:color w:val="000000"/>
                      <w:sz w:val="21"/>
                      <w:szCs w:val="21"/>
                    </w:rPr>
                    <w:t>高的</w:t>
                  </w:r>
                  <w:r>
                    <w:rPr>
                      <w:color w:val="000000"/>
                      <w:sz w:val="21"/>
                      <w:szCs w:val="21"/>
                    </w:rPr>
                    <w:t>排气筒</w:t>
                  </w:r>
                  <w:r>
                    <w:rPr>
                      <w:rFonts w:hint="eastAsia"/>
                      <w:color w:val="000000"/>
                      <w:sz w:val="21"/>
                      <w:szCs w:val="21"/>
                    </w:rPr>
                    <w:t>（DA003）</w:t>
                  </w:r>
                  <w:r>
                    <w:rPr>
                      <w:color w:val="000000"/>
                      <w:sz w:val="21"/>
                      <w:szCs w:val="21"/>
                    </w:rPr>
                    <w:t>排放</w:t>
                  </w:r>
                </w:p>
              </w:tc>
              <w:tc>
                <w:tcPr>
                  <w:tcW w:w="1036" w:type="dxa"/>
                  <w:vAlign w:val="center"/>
                </w:tcPr>
                <w:p>
                  <w:pPr>
                    <w:spacing w:line="320" w:lineRule="exact"/>
                    <w:jc w:val="center"/>
                    <w:rPr>
                      <w:color w:val="000000"/>
                      <w:sz w:val="21"/>
                      <w:szCs w:val="21"/>
                    </w:rPr>
                  </w:pPr>
                  <w:r>
                    <w:rPr>
                      <w:rFonts w:hint="eastAsia"/>
                      <w:color w:val="000000"/>
                      <w:sz w:val="21"/>
                      <w:szCs w:val="21"/>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 w:hRule="atLeast"/>
              </w:trPr>
              <w:tc>
                <w:tcPr>
                  <w:tcW w:w="1527" w:type="dxa"/>
                  <w:vAlign w:val="center"/>
                </w:tcPr>
                <w:p>
                  <w:pPr>
                    <w:widowControl/>
                    <w:spacing w:line="320" w:lineRule="exact"/>
                    <w:jc w:val="center"/>
                    <w:rPr>
                      <w:color w:val="000000"/>
                      <w:sz w:val="21"/>
                      <w:szCs w:val="21"/>
                    </w:rPr>
                  </w:pPr>
                  <w:r>
                    <w:rPr>
                      <w:rFonts w:hint="eastAsia"/>
                      <w:color w:val="000000"/>
                      <w:sz w:val="21"/>
                      <w:szCs w:val="21"/>
                    </w:rPr>
                    <w:t>食堂产生的油烟</w:t>
                  </w:r>
                </w:p>
              </w:tc>
              <w:tc>
                <w:tcPr>
                  <w:tcW w:w="5375" w:type="dxa"/>
                  <w:vAlign w:val="center"/>
                </w:tcPr>
                <w:p>
                  <w:pPr>
                    <w:widowControl/>
                    <w:spacing w:line="320" w:lineRule="exact"/>
                    <w:jc w:val="center"/>
                    <w:rPr>
                      <w:color w:val="000000"/>
                      <w:sz w:val="21"/>
                      <w:szCs w:val="21"/>
                    </w:rPr>
                  </w:pPr>
                  <w:r>
                    <w:rPr>
                      <w:rFonts w:hint="eastAsia"/>
                      <w:color w:val="000000"/>
                      <w:sz w:val="21"/>
                      <w:szCs w:val="21"/>
                    </w:rPr>
                    <w:t>在办公区的一楼西侧建设一间食堂，食堂产生的废气经处理效率为60%的油烟净化器处理后经排气筒排放</w:t>
                  </w:r>
                </w:p>
              </w:tc>
              <w:tc>
                <w:tcPr>
                  <w:tcW w:w="1036" w:type="dxa"/>
                  <w:vAlign w:val="center"/>
                </w:tcPr>
                <w:p>
                  <w:pPr>
                    <w:spacing w:line="320" w:lineRule="exact"/>
                    <w:jc w:val="center"/>
                    <w:rPr>
                      <w:color w:val="000000"/>
                      <w:sz w:val="21"/>
                      <w:szCs w:val="21"/>
                    </w:rPr>
                  </w:pPr>
                  <w:r>
                    <w:rPr>
                      <w:rFonts w:hint="eastAsia"/>
                      <w:color w:val="000000"/>
                      <w:sz w:val="21"/>
                      <w:szCs w:val="21"/>
                    </w:rPr>
                    <w:t>油烟</w:t>
                  </w:r>
                </w:p>
              </w:tc>
            </w:tr>
          </w:tbl>
          <w:p>
            <w:pPr>
              <w:autoSpaceDE w:val="0"/>
              <w:autoSpaceDN w:val="0"/>
              <w:spacing w:line="480" w:lineRule="exact"/>
              <w:jc w:val="left"/>
              <w:rPr>
                <w:color w:val="000000"/>
              </w:rPr>
            </w:pPr>
            <w:r>
              <w:rPr>
                <w:color w:val="000000"/>
              </w:rPr>
              <w:t>1、</w:t>
            </w:r>
            <w:r>
              <w:rPr>
                <w:rFonts w:hint="eastAsia"/>
                <w:color w:val="000000"/>
              </w:rPr>
              <w:t>联合厂房一的生产工序</w:t>
            </w:r>
          </w:p>
          <w:p>
            <w:pPr>
              <w:autoSpaceDE w:val="0"/>
              <w:autoSpaceDN w:val="0"/>
              <w:spacing w:line="480" w:lineRule="exact"/>
              <w:ind w:firstLine="480" w:firstLineChars="200"/>
              <w:jc w:val="left"/>
              <w:rPr>
                <w:bCs/>
                <w:color w:val="000000"/>
              </w:rPr>
            </w:pPr>
            <w:r>
              <w:rPr>
                <w:rFonts w:hint="eastAsia"/>
                <w:bCs/>
                <w:color w:val="000000"/>
              </w:rPr>
              <w:t>本项目对联合厂房一产生的污染物共设一台布袋除尘器处理，废气经布袋除尘器处理后通过15m高的排气筒排放。</w:t>
            </w:r>
          </w:p>
          <w:p>
            <w:pPr>
              <w:autoSpaceDE w:val="0"/>
              <w:autoSpaceDN w:val="0"/>
              <w:spacing w:line="480" w:lineRule="exact"/>
              <w:ind w:firstLine="480" w:firstLineChars="200"/>
              <w:jc w:val="left"/>
            </w:pPr>
            <w:r>
              <w:rPr>
                <w:rFonts w:hint="eastAsia"/>
              </w:rPr>
              <w:t>（1）源强计算</w:t>
            </w:r>
          </w:p>
          <w:p>
            <w:pPr>
              <w:autoSpaceDE w:val="0"/>
              <w:autoSpaceDN w:val="0"/>
              <w:spacing w:line="480" w:lineRule="exact"/>
              <w:ind w:firstLine="480" w:firstLineChars="200"/>
              <w:jc w:val="left"/>
              <w:rPr>
                <w:bCs/>
                <w:color w:val="000000"/>
              </w:rPr>
            </w:pPr>
            <w:r>
              <w:rPr>
                <w:bCs/>
                <w:color w:val="000000"/>
              </w:rPr>
              <w:t>1</w:t>
            </w:r>
            <w:r>
              <w:rPr>
                <w:bCs/>
                <w:color w:val="000000"/>
                <w:lang w:val="en-GB"/>
              </w:rPr>
              <w:t>）</w:t>
            </w:r>
            <w:r>
              <w:rPr>
                <w:bCs/>
                <w:color w:val="000000"/>
              </w:rPr>
              <w:t>切割</w:t>
            </w:r>
            <w:r>
              <w:rPr>
                <w:rFonts w:hint="eastAsia"/>
                <w:bCs/>
                <w:color w:val="000000"/>
              </w:rPr>
              <w:t>工序产生的烟尘</w:t>
            </w:r>
          </w:p>
          <w:p>
            <w:pPr>
              <w:adjustRightInd w:val="0"/>
              <w:snapToGrid w:val="0"/>
              <w:spacing w:line="480" w:lineRule="exact"/>
              <w:ind w:firstLine="480" w:firstLineChars="200"/>
              <w:rPr>
                <w:color w:val="000000"/>
              </w:rPr>
            </w:pPr>
            <w:r>
              <w:rPr>
                <w:rFonts w:hint="eastAsia"/>
                <w:bCs/>
              </w:rPr>
              <w:t>切割工序拟建</w:t>
            </w:r>
            <w:r>
              <w:rPr>
                <w:bCs/>
              </w:rPr>
              <w:t>2台</w:t>
            </w:r>
            <w:r>
              <w:rPr>
                <w:rFonts w:hint="eastAsia"/>
                <w:bCs/>
              </w:rPr>
              <w:t>激光</w:t>
            </w:r>
            <w:r>
              <w:rPr>
                <w:bCs/>
              </w:rPr>
              <w:t>切割机</w:t>
            </w:r>
            <w:r>
              <w:rPr>
                <w:rFonts w:hint="eastAsia"/>
                <w:bCs/>
              </w:rPr>
              <w:t>、</w:t>
            </w:r>
            <w:r>
              <w:rPr>
                <w:bCs/>
              </w:rPr>
              <w:t>1台4m数控等离子切割机</w:t>
            </w:r>
            <w:r>
              <w:rPr>
                <w:rFonts w:hint="eastAsia"/>
                <w:bCs/>
              </w:rPr>
              <w:t>和3台锯床，在进行切割时会产生烟尘</w:t>
            </w:r>
            <w:r>
              <w:rPr>
                <w:rFonts w:hint="eastAsia"/>
                <w:bCs/>
                <w:color w:val="000000"/>
              </w:rPr>
              <w:t>。</w:t>
            </w:r>
          </w:p>
          <w:p>
            <w:pPr>
              <w:adjustRightInd w:val="0"/>
              <w:snapToGrid w:val="0"/>
              <w:spacing w:line="480" w:lineRule="exact"/>
              <w:ind w:firstLine="480" w:firstLineChars="200"/>
            </w:pPr>
            <w:r>
              <w:rPr>
                <w:rFonts w:hint="eastAsia"/>
                <w:bCs/>
                <w:color w:val="000000"/>
              </w:rPr>
              <w:t>①</w:t>
            </w:r>
            <w:r>
              <w:rPr>
                <w:bCs/>
                <w:color w:val="000000"/>
              </w:rPr>
              <w:t>数控等离子切割机</w:t>
            </w:r>
            <w:r>
              <w:rPr>
                <w:rFonts w:hint="eastAsia"/>
                <w:bCs/>
                <w:color w:val="000000"/>
              </w:rPr>
              <w:t>和激光切割机</w:t>
            </w:r>
            <w:r>
              <w:rPr>
                <w:bCs/>
                <w:color w:val="000000"/>
              </w:rPr>
              <w:t>切割</w:t>
            </w:r>
            <w:r>
              <w:rPr>
                <w:rFonts w:hint="eastAsia"/>
                <w:bCs/>
                <w:color w:val="000000"/>
              </w:rPr>
              <w:t>时产生的烟尘</w:t>
            </w:r>
          </w:p>
          <w:p>
            <w:pPr>
              <w:adjustRightInd w:val="0"/>
              <w:snapToGrid w:val="0"/>
              <w:spacing w:line="480" w:lineRule="exact"/>
              <w:ind w:firstLine="480" w:firstLineChars="200"/>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，等离子切割下料</w:t>
            </w:r>
            <w:r>
              <w:rPr>
                <w:color w:val="000000"/>
              </w:rPr>
              <w:t>工业废气的排污系数为4635立方米/吨-原料，颗粒物产污系数为1.10千克/吨-原料。本</w:t>
            </w:r>
            <w:r>
              <w:rPr>
                <w:rFonts w:hint="eastAsia"/>
                <w:color w:val="000000"/>
              </w:rPr>
              <w:t>项目</w:t>
            </w:r>
            <w:r>
              <w:rPr>
                <w:bCs/>
                <w:color w:val="000000"/>
              </w:rPr>
              <w:t>数控等离子切割机</w:t>
            </w:r>
            <w:r>
              <w:rPr>
                <w:rFonts w:hint="eastAsia"/>
                <w:bCs/>
                <w:color w:val="000000"/>
              </w:rPr>
              <w:t>和激光切割机主要切割的材料为钢板，</w:t>
            </w:r>
            <w:r>
              <w:rPr>
                <w:rFonts w:hint="eastAsia"/>
                <w:color w:val="000000"/>
              </w:rPr>
              <w:t>每年</w:t>
            </w:r>
            <w:r>
              <w:rPr>
                <w:color w:val="000000"/>
              </w:rPr>
              <w:t>需切割的钢</w:t>
            </w:r>
            <w:r>
              <w:rPr>
                <w:rFonts w:hint="eastAsia"/>
                <w:color w:val="000000"/>
              </w:rPr>
              <w:t>板</w:t>
            </w:r>
            <w:r>
              <w:rPr>
                <w:color w:val="000000"/>
              </w:rPr>
              <w:t>量为</w:t>
            </w:r>
            <w:r>
              <w:rPr>
                <w:rFonts w:hint="eastAsia"/>
                <w:color w:val="000000"/>
              </w:rPr>
              <w:t>3000</w:t>
            </w:r>
            <w:r>
              <w:rPr>
                <w:color w:val="000000"/>
              </w:rPr>
              <w:t>t，则废气的产生量为</w:t>
            </w:r>
            <w:r>
              <w:rPr>
                <w:rFonts w:hint="eastAsia"/>
                <w:color w:val="000000"/>
              </w:rPr>
              <w:t>13905000</w:t>
            </w:r>
            <w:r>
              <w:rPr>
                <w:color w:val="000000"/>
              </w:rPr>
              <w:t>m</w:t>
            </w:r>
            <w:r>
              <w:rPr>
                <w:color w:val="000000"/>
                <w:vertAlign w:val="superscript"/>
              </w:rPr>
              <w:t>3</w:t>
            </w:r>
            <w:r>
              <w:rPr>
                <w:color w:val="000000"/>
              </w:rPr>
              <w:t>，颗粒物的产生量为</w:t>
            </w:r>
            <w:r>
              <w:rPr>
                <w:rFonts w:hint="eastAsia"/>
                <w:bCs/>
                <w:color w:val="000000"/>
              </w:rPr>
              <w:t>3.3t</w:t>
            </w:r>
            <w:r>
              <w:rPr>
                <w:rFonts w:hint="eastAsia"/>
                <w:color w:val="000000"/>
              </w:rPr>
              <w:t>。</w:t>
            </w:r>
          </w:p>
          <w:p>
            <w:pPr>
              <w:adjustRightInd w:val="0"/>
              <w:snapToGrid w:val="0"/>
              <w:spacing w:line="480" w:lineRule="exact"/>
              <w:ind w:firstLine="480" w:firstLineChars="200"/>
              <w:rPr>
                <w:color w:val="000000"/>
                <w:kern w:val="0"/>
              </w:rPr>
            </w:pPr>
            <w:r>
              <w:t>集气罩的设计参数见下表</w:t>
            </w:r>
            <w:r>
              <w:rPr>
                <w:rFonts w:hint="eastAsia"/>
              </w:rPr>
              <w:t>。</w:t>
            </w:r>
          </w:p>
          <w:p>
            <w:pPr>
              <w:adjustRightInd w:val="0"/>
              <w:snapToGrid w:val="0"/>
              <w:spacing w:line="480" w:lineRule="exact"/>
              <w:jc w:val="center"/>
              <w:rPr>
                <w:b/>
                <w:bCs/>
                <w:color w:val="000000"/>
                <w:kern w:val="0"/>
              </w:rPr>
            </w:pPr>
            <w:r>
              <w:rPr>
                <w:rFonts w:hint="eastAsia"/>
                <w:b/>
                <w:bCs/>
                <w:color w:val="000000"/>
                <w:kern w:val="0"/>
              </w:rPr>
              <w:t>表4-2  集气罩技术参数一览表</w:t>
            </w:r>
          </w:p>
          <w:tbl>
            <w:tblPr>
              <w:tblStyle w:val="32"/>
              <w:tblW w:w="7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0"/>
              <w:gridCol w:w="1797"/>
              <w:gridCol w:w="1738"/>
              <w:gridCol w:w="1337"/>
              <w:gridCol w:w="14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80"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设备名称</w:t>
                  </w:r>
                </w:p>
              </w:tc>
              <w:tc>
                <w:tcPr>
                  <w:tcW w:w="1797"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集气罩尺寸（m）</w:t>
                  </w:r>
                </w:p>
              </w:tc>
              <w:tc>
                <w:tcPr>
                  <w:tcW w:w="173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安装高度（m）</w:t>
                  </w:r>
                </w:p>
              </w:tc>
              <w:tc>
                <w:tcPr>
                  <w:tcW w:w="1337"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处理设备</w:t>
                  </w:r>
                </w:p>
              </w:tc>
              <w:tc>
                <w:tcPr>
                  <w:tcW w:w="144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集气罩数量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580" w:type="dxa"/>
                  <w:vAlign w:val="center"/>
                </w:tcPr>
                <w:p>
                  <w:pPr>
                    <w:adjustRightInd w:val="0"/>
                    <w:snapToGrid w:val="0"/>
                    <w:spacing w:line="320" w:lineRule="exact"/>
                    <w:jc w:val="center"/>
                    <w:rPr>
                      <w:color w:val="000000"/>
                      <w:kern w:val="0"/>
                      <w:sz w:val="21"/>
                      <w:szCs w:val="21"/>
                    </w:rPr>
                  </w:pPr>
                  <w:r>
                    <w:rPr>
                      <w:bCs/>
                      <w:color w:val="000000"/>
                      <w:sz w:val="21"/>
                      <w:szCs w:val="21"/>
                    </w:rPr>
                    <w:t>数控等离子切割机</w:t>
                  </w:r>
                </w:p>
              </w:tc>
              <w:tc>
                <w:tcPr>
                  <w:tcW w:w="1797"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4×0.4</w:t>
                  </w:r>
                </w:p>
              </w:tc>
              <w:tc>
                <w:tcPr>
                  <w:tcW w:w="173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0.5</w:t>
                  </w:r>
                </w:p>
              </w:tc>
              <w:tc>
                <w:tcPr>
                  <w:tcW w:w="1337" w:type="dxa"/>
                  <w:vMerge w:val="restart"/>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布袋除尘器</w:t>
                  </w:r>
                </w:p>
              </w:tc>
              <w:tc>
                <w:tcPr>
                  <w:tcW w:w="144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1580" w:type="dxa"/>
                  <w:vAlign w:val="center"/>
                </w:tcPr>
                <w:p>
                  <w:pPr>
                    <w:adjustRightInd w:val="0"/>
                    <w:snapToGrid w:val="0"/>
                    <w:spacing w:line="320" w:lineRule="exact"/>
                    <w:jc w:val="center"/>
                    <w:rPr>
                      <w:bCs/>
                      <w:color w:val="000000"/>
                      <w:sz w:val="21"/>
                      <w:szCs w:val="21"/>
                    </w:rPr>
                  </w:pPr>
                  <w:r>
                    <w:rPr>
                      <w:rFonts w:hint="eastAsia"/>
                      <w:bCs/>
                      <w:color w:val="000000"/>
                      <w:sz w:val="21"/>
                      <w:szCs w:val="21"/>
                    </w:rPr>
                    <w:t>激光切割机</w:t>
                  </w:r>
                </w:p>
              </w:tc>
              <w:tc>
                <w:tcPr>
                  <w:tcW w:w="1797"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4×0.4</w:t>
                  </w:r>
                </w:p>
              </w:tc>
              <w:tc>
                <w:tcPr>
                  <w:tcW w:w="173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0.5</w:t>
                  </w:r>
                </w:p>
              </w:tc>
              <w:tc>
                <w:tcPr>
                  <w:tcW w:w="1337" w:type="dxa"/>
                  <w:vMerge w:val="continue"/>
                  <w:vAlign w:val="center"/>
                </w:tcPr>
                <w:p>
                  <w:pPr>
                    <w:adjustRightInd w:val="0"/>
                    <w:snapToGrid w:val="0"/>
                    <w:spacing w:line="320" w:lineRule="exact"/>
                    <w:jc w:val="center"/>
                    <w:rPr>
                      <w:color w:val="000000"/>
                      <w:kern w:val="0"/>
                      <w:sz w:val="21"/>
                      <w:szCs w:val="21"/>
                    </w:rPr>
                  </w:pPr>
                </w:p>
              </w:tc>
              <w:tc>
                <w:tcPr>
                  <w:tcW w:w="144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2</w:t>
                  </w:r>
                </w:p>
              </w:tc>
            </w:tr>
          </w:tbl>
          <w:p>
            <w:pPr>
              <w:adjustRightInd w:val="0"/>
              <w:snapToGrid w:val="0"/>
              <w:spacing w:line="480" w:lineRule="exact"/>
              <w:ind w:firstLine="480" w:firstLineChars="200"/>
              <w:rPr>
                <w:color w:val="000000"/>
                <w:kern w:val="0"/>
              </w:rPr>
            </w:pPr>
            <w:r>
              <w:rPr>
                <w:rFonts w:hint="eastAsia"/>
                <w:color w:val="000000"/>
                <w:kern w:val="0"/>
              </w:rPr>
              <w:t>集气罩需配套的风机风量按以下公式计算：</w:t>
            </w:r>
          </w:p>
          <w:p>
            <w:pPr>
              <w:adjustRightInd w:val="0"/>
              <w:snapToGrid w:val="0"/>
              <w:spacing w:line="480" w:lineRule="exact"/>
              <w:ind w:firstLine="480" w:firstLineChars="200"/>
              <w:rPr>
                <w:color w:val="000000"/>
                <w:kern w:val="0"/>
              </w:rPr>
            </w:pPr>
            <w:r>
              <w:rPr>
                <w:rFonts w:hint="eastAsia"/>
                <w:color w:val="000000"/>
                <w:kern w:val="0"/>
              </w:rPr>
              <w:t>L=v</w:t>
            </w:r>
            <w:r>
              <w:rPr>
                <w:rFonts w:hint="eastAsia"/>
                <w:color w:val="000000"/>
                <w:kern w:val="0"/>
                <w:vertAlign w:val="subscript"/>
              </w:rPr>
              <w:t>x</w:t>
            </w:r>
            <w:r>
              <w:rPr>
                <w:rFonts w:hint="eastAsia"/>
                <w:color w:val="000000"/>
                <w:kern w:val="0"/>
              </w:rPr>
              <w:t>（5x</w:t>
            </w:r>
            <w:r>
              <w:rPr>
                <w:rFonts w:hint="eastAsia"/>
                <w:color w:val="000000"/>
                <w:kern w:val="0"/>
                <w:vertAlign w:val="superscript"/>
              </w:rPr>
              <w:t>2</w:t>
            </w:r>
            <w:r>
              <w:rPr>
                <w:rFonts w:hint="eastAsia"/>
                <w:color w:val="000000"/>
                <w:kern w:val="0"/>
              </w:rPr>
              <w:t>+F）×3600</w:t>
            </w:r>
          </w:p>
          <w:p>
            <w:pPr>
              <w:adjustRightInd w:val="0"/>
              <w:snapToGrid w:val="0"/>
              <w:spacing w:line="480" w:lineRule="exact"/>
              <w:ind w:firstLine="480" w:firstLineChars="200"/>
              <w:rPr>
                <w:color w:val="000000"/>
                <w:kern w:val="0"/>
              </w:rPr>
            </w:pPr>
            <w:r>
              <w:rPr>
                <w:rFonts w:hint="eastAsia"/>
                <w:color w:val="000000"/>
                <w:kern w:val="0"/>
              </w:rPr>
              <w:t>V</w:t>
            </w:r>
            <w:r>
              <w:rPr>
                <w:rFonts w:hint="eastAsia"/>
                <w:color w:val="000000"/>
                <w:kern w:val="0"/>
                <w:vertAlign w:val="subscript"/>
              </w:rPr>
              <w:t>k</w:t>
            </w:r>
            <w:r>
              <w:rPr>
                <w:rFonts w:hint="eastAsia"/>
                <w:color w:val="000000"/>
                <w:kern w:val="0"/>
              </w:rPr>
              <w:t>/v</w:t>
            </w:r>
            <w:r>
              <w:rPr>
                <w:rFonts w:hint="eastAsia"/>
                <w:color w:val="000000"/>
                <w:kern w:val="0"/>
                <w:vertAlign w:val="subscript"/>
              </w:rPr>
              <w:t>x</w:t>
            </w:r>
            <w:r>
              <w:rPr>
                <w:rFonts w:hint="eastAsia"/>
                <w:color w:val="000000"/>
                <w:kern w:val="0"/>
              </w:rPr>
              <w:t>=（10x</w:t>
            </w:r>
            <w:r>
              <w:rPr>
                <w:rFonts w:hint="eastAsia"/>
                <w:color w:val="000000"/>
                <w:kern w:val="0"/>
                <w:vertAlign w:val="superscript"/>
              </w:rPr>
              <w:t>2</w:t>
            </w:r>
            <w:r>
              <w:rPr>
                <w:rFonts w:hint="eastAsia"/>
                <w:color w:val="000000"/>
                <w:kern w:val="0"/>
              </w:rPr>
              <w:t>+F）/F</w:t>
            </w:r>
          </w:p>
          <w:p>
            <w:pPr>
              <w:adjustRightInd w:val="0"/>
              <w:snapToGrid w:val="0"/>
              <w:spacing w:line="480" w:lineRule="exact"/>
              <w:ind w:firstLine="480" w:firstLineChars="200"/>
              <w:rPr>
                <w:color w:val="000000"/>
                <w:kern w:val="0"/>
              </w:rPr>
            </w:pPr>
            <w:r>
              <w:rPr>
                <w:rFonts w:hint="eastAsia"/>
                <w:color w:val="000000"/>
                <w:kern w:val="0"/>
              </w:rPr>
              <w:t>式中：L--排风量，（m</w:t>
            </w:r>
            <w:r>
              <w:rPr>
                <w:rFonts w:hint="eastAsia"/>
                <w:color w:val="000000"/>
                <w:kern w:val="0"/>
                <w:vertAlign w:val="superscript"/>
              </w:rPr>
              <w:t>3</w:t>
            </w:r>
            <w:r>
              <w:rPr>
                <w:rFonts w:hint="eastAsia"/>
                <w:color w:val="000000"/>
                <w:kern w:val="0"/>
              </w:rPr>
              <w:t>/h）；</w:t>
            </w:r>
          </w:p>
          <w:p>
            <w:pPr>
              <w:adjustRightInd w:val="0"/>
              <w:snapToGrid w:val="0"/>
              <w:spacing w:line="480" w:lineRule="exact"/>
              <w:ind w:firstLine="480" w:firstLineChars="200"/>
              <w:rPr>
                <w:color w:val="000000"/>
                <w:kern w:val="0"/>
              </w:rPr>
            </w:pPr>
            <w:r>
              <w:rPr>
                <w:rFonts w:hint="eastAsia"/>
                <w:color w:val="000000"/>
                <w:kern w:val="0"/>
              </w:rPr>
              <w:t>F--罩口面积（m</w:t>
            </w:r>
            <w:r>
              <w:rPr>
                <w:rFonts w:hint="eastAsia"/>
                <w:color w:val="000000"/>
                <w:kern w:val="0"/>
                <w:vertAlign w:val="superscript"/>
              </w:rPr>
              <w:t>2</w:t>
            </w:r>
            <w:r>
              <w:rPr>
                <w:rFonts w:hint="eastAsia"/>
                <w:color w:val="000000"/>
                <w:kern w:val="0"/>
              </w:rPr>
              <w:t>）；</w:t>
            </w:r>
          </w:p>
          <w:p>
            <w:pPr>
              <w:adjustRightInd w:val="0"/>
              <w:snapToGrid w:val="0"/>
              <w:spacing w:line="480" w:lineRule="exact"/>
              <w:ind w:firstLine="480" w:firstLineChars="200"/>
              <w:rPr>
                <w:color w:val="000000"/>
                <w:kern w:val="0"/>
              </w:rPr>
            </w:pPr>
            <w:r>
              <w:rPr>
                <w:rFonts w:hint="eastAsia"/>
                <w:color w:val="000000"/>
                <w:kern w:val="0"/>
              </w:rPr>
              <w:t>v</w:t>
            </w:r>
            <w:r>
              <w:rPr>
                <w:rFonts w:hint="eastAsia"/>
                <w:color w:val="000000"/>
                <w:kern w:val="0"/>
                <w:vertAlign w:val="subscript"/>
              </w:rPr>
              <w:t>x</w:t>
            </w:r>
            <w:r>
              <w:rPr>
                <w:rFonts w:hint="eastAsia"/>
                <w:color w:val="000000"/>
                <w:kern w:val="0"/>
              </w:rPr>
              <w:t>--罩口平均风速（m/s，取0.3）；</w:t>
            </w:r>
          </w:p>
          <w:p>
            <w:pPr>
              <w:adjustRightInd w:val="0"/>
              <w:snapToGrid w:val="0"/>
              <w:spacing w:line="480" w:lineRule="exact"/>
              <w:ind w:firstLine="480" w:firstLineChars="200"/>
              <w:rPr>
                <w:color w:val="000000"/>
                <w:kern w:val="0"/>
              </w:rPr>
            </w:pPr>
            <w:r>
              <w:rPr>
                <w:rFonts w:hint="eastAsia"/>
                <w:color w:val="000000"/>
                <w:kern w:val="0"/>
              </w:rPr>
              <w:t>V</w:t>
            </w:r>
            <w:r>
              <w:rPr>
                <w:rFonts w:hint="eastAsia"/>
                <w:color w:val="000000"/>
                <w:kern w:val="0"/>
                <w:vertAlign w:val="subscript"/>
              </w:rPr>
              <w:t>k</w:t>
            </w:r>
            <w:r>
              <w:rPr>
                <w:rFonts w:hint="eastAsia"/>
                <w:color w:val="000000"/>
                <w:kern w:val="0"/>
              </w:rPr>
              <w:t>--罩口风速（m/s）；</w:t>
            </w:r>
          </w:p>
          <w:p>
            <w:pPr>
              <w:adjustRightInd w:val="0"/>
              <w:snapToGrid w:val="0"/>
              <w:spacing w:line="480" w:lineRule="exact"/>
              <w:ind w:firstLine="480" w:firstLineChars="200"/>
            </w:pPr>
            <w:r>
              <w:rPr>
                <w:rFonts w:hint="eastAsia"/>
              </w:rPr>
              <w:t>x--罩口离扩散物的距离（m）。</w:t>
            </w:r>
          </w:p>
          <w:p>
            <w:pPr>
              <w:adjustRightInd w:val="0"/>
              <w:snapToGrid w:val="0"/>
              <w:spacing w:line="480" w:lineRule="exact"/>
              <w:ind w:firstLine="480" w:firstLineChars="200"/>
            </w:pPr>
            <w:r>
              <w:rPr>
                <w:rFonts w:hint="eastAsia"/>
              </w:rPr>
              <w:t>经计算设备需要的风量为3078</w:t>
            </w:r>
            <w:r>
              <w:t>m</w:t>
            </w:r>
            <w:r>
              <w:rPr>
                <w:vertAlign w:val="superscript"/>
              </w:rPr>
              <w:t>3</w:t>
            </w:r>
            <w:r>
              <w:t>/h</w:t>
            </w:r>
            <w:r>
              <w:rPr>
                <w:rFonts w:hint="eastAsia"/>
              </w:rPr>
              <w:t>，本工序共设3个集气罩，因此本工序需总风量为9234</w:t>
            </w:r>
            <w:r>
              <w:t>m</w:t>
            </w:r>
            <w:r>
              <w:rPr>
                <w:vertAlign w:val="superscript"/>
              </w:rPr>
              <w:t>3</w:t>
            </w:r>
            <w:r>
              <w:t>/h</w:t>
            </w:r>
            <w:r>
              <w:rPr>
                <w:rFonts w:hint="eastAsia"/>
              </w:rPr>
              <w:t>。</w:t>
            </w:r>
          </w:p>
          <w:p>
            <w:pPr>
              <w:adjustRightInd w:val="0"/>
              <w:snapToGrid w:val="0"/>
              <w:spacing w:line="480" w:lineRule="exact"/>
              <w:ind w:firstLine="480" w:firstLineChars="200"/>
              <w:rPr>
                <w:bCs/>
                <w:color w:val="000000"/>
              </w:rPr>
            </w:pPr>
            <w:r>
              <w:rPr>
                <w:rFonts w:hint="eastAsia"/>
                <w:bCs/>
              </w:rPr>
              <w:t>②锯床</w:t>
            </w:r>
            <w:r>
              <w:rPr>
                <w:bCs/>
              </w:rPr>
              <w:t>切割</w:t>
            </w:r>
            <w:r>
              <w:rPr>
                <w:rFonts w:hint="eastAsia"/>
                <w:bCs/>
              </w:rPr>
              <w:t>工序产生的</w:t>
            </w:r>
            <w:r>
              <w:rPr>
                <w:rFonts w:hint="eastAsia"/>
                <w:bCs/>
                <w:color w:val="000000"/>
              </w:rPr>
              <w:t>烟尘</w:t>
            </w:r>
          </w:p>
          <w:p>
            <w:pPr>
              <w:adjustRightInd w:val="0"/>
              <w:snapToGrid w:val="0"/>
              <w:spacing w:line="480" w:lineRule="exact"/>
              <w:ind w:firstLine="480" w:firstLineChars="200"/>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，锯床切割下料</w:t>
            </w:r>
            <w:r>
              <w:rPr>
                <w:color w:val="000000"/>
              </w:rPr>
              <w:t>工业废气的排污系数为4635立方米/吨-原料，颗粒物产污系数为</w:t>
            </w:r>
            <w:r>
              <w:rPr>
                <w:rFonts w:hint="eastAsia"/>
                <w:color w:val="000000"/>
              </w:rPr>
              <w:t>5.30</w:t>
            </w:r>
            <w:r>
              <w:rPr>
                <w:color w:val="000000"/>
              </w:rPr>
              <w:t>千克/吨-原料。本</w:t>
            </w:r>
            <w:r>
              <w:rPr>
                <w:rFonts w:hint="eastAsia"/>
                <w:color w:val="000000"/>
              </w:rPr>
              <w:t>工序</w:t>
            </w:r>
            <w:r>
              <w:rPr>
                <w:color w:val="000000"/>
              </w:rPr>
              <w:t>切割的</w:t>
            </w:r>
            <w:r>
              <w:rPr>
                <w:rFonts w:hint="eastAsia"/>
                <w:color w:val="000000"/>
              </w:rPr>
              <w:t>主要为方管和圆管，</w:t>
            </w:r>
            <w:r>
              <w:rPr>
                <w:color w:val="000000"/>
              </w:rPr>
              <w:t>钢材量为</w:t>
            </w:r>
            <w:r>
              <w:rPr>
                <w:rFonts w:hint="eastAsia"/>
                <w:color w:val="000000"/>
              </w:rPr>
              <w:t>250</w:t>
            </w:r>
            <w:r>
              <w:rPr>
                <w:color w:val="000000"/>
              </w:rPr>
              <w:t>t，则废气的产生量为</w:t>
            </w:r>
            <w:r>
              <w:rPr>
                <w:rFonts w:hint="eastAsia"/>
                <w:color w:val="000000"/>
              </w:rPr>
              <w:t>1158750</w:t>
            </w:r>
            <w:r>
              <w:rPr>
                <w:color w:val="000000"/>
              </w:rPr>
              <w:t>m</w:t>
            </w:r>
            <w:r>
              <w:rPr>
                <w:color w:val="000000"/>
                <w:vertAlign w:val="superscript"/>
              </w:rPr>
              <w:t>3</w:t>
            </w:r>
            <w:r>
              <w:rPr>
                <w:color w:val="000000"/>
              </w:rPr>
              <w:t>，颗粒物的产生量为</w:t>
            </w:r>
            <w:r>
              <w:rPr>
                <w:rFonts w:hint="eastAsia"/>
                <w:bCs/>
                <w:color w:val="000000"/>
              </w:rPr>
              <w:t>1.32t</w:t>
            </w:r>
            <w:r>
              <w:rPr>
                <w:rFonts w:hint="eastAsia"/>
                <w:color w:val="000000"/>
              </w:rPr>
              <w:t>。</w:t>
            </w:r>
          </w:p>
          <w:p>
            <w:pPr>
              <w:adjustRightInd w:val="0"/>
              <w:snapToGrid w:val="0"/>
              <w:spacing w:line="480" w:lineRule="exact"/>
              <w:ind w:firstLine="480" w:firstLineChars="200"/>
              <w:rPr>
                <w:color w:val="000000"/>
                <w:kern w:val="0"/>
              </w:rPr>
            </w:pPr>
            <w:r>
              <w:t>集气罩的设计参数见下表</w:t>
            </w:r>
            <w:r>
              <w:rPr>
                <w:rFonts w:hint="eastAsia"/>
              </w:rPr>
              <w:t>。</w:t>
            </w:r>
          </w:p>
          <w:p>
            <w:pPr>
              <w:adjustRightInd w:val="0"/>
              <w:snapToGrid w:val="0"/>
              <w:spacing w:line="480" w:lineRule="exact"/>
              <w:jc w:val="center"/>
              <w:rPr>
                <w:b/>
                <w:bCs/>
                <w:color w:val="000000"/>
                <w:kern w:val="0"/>
              </w:rPr>
            </w:pPr>
            <w:r>
              <w:rPr>
                <w:rFonts w:hint="eastAsia"/>
                <w:b/>
                <w:bCs/>
                <w:color w:val="000000"/>
                <w:kern w:val="0"/>
              </w:rPr>
              <w:t>表4-3  集气罩技术参数一览表</w:t>
            </w:r>
          </w:p>
          <w:tbl>
            <w:tblPr>
              <w:tblStyle w:val="32"/>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1"/>
              <w:gridCol w:w="2008"/>
              <w:gridCol w:w="1615"/>
              <w:gridCol w:w="1410"/>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 w:hRule="atLeast"/>
              </w:trPr>
              <w:tc>
                <w:tcPr>
                  <w:tcW w:w="1351"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设备名称</w:t>
                  </w:r>
                </w:p>
              </w:tc>
              <w:tc>
                <w:tcPr>
                  <w:tcW w:w="200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集气罩尺寸（m）</w:t>
                  </w:r>
                </w:p>
              </w:tc>
              <w:tc>
                <w:tcPr>
                  <w:tcW w:w="1615"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安装高度（m）</w:t>
                  </w:r>
                </w:p>
              </w:tc>
              <w:tc>
                <w:tcPr>
                  <w:tcW w:w="1410"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处理设备</w:t>
                  </w:r>
                </w:p>
              </w:tc>
              <w:tc>
                <w:tcPr>
                  <w:tcW w:w="1596"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集气罩数量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351" w:type="dxa"/>
                  <w:vAlign w:val="center"/>
                </w:tcPr>
                <w:p>
                  <w:pPr>
                    <w:adjustRightInd w:val="0"/>
                    <w:snapToGrid w:val="0"/>
                    <w:spacing w:line="320" w:lineRule="exact"/>
                    <w:jc w:val="center"/>
                    <w:rPr>
                      <w:color w:val="000000"/>
                      <w:kern w:val="0"/>
                      <w:sz w:val="21"/>
                      <w:szCs w:val="21"/>
                    </w:rPr>
                  </w:pPr>
                  <w:r>
                    <w:rPr>
                      <w:rFonts w:hint="eastAsia"/>
                      <w:bCs/>
                      <w:color w:val="000000"/>
                      <w:sz w:val="21"/>
                      <w:szCs w:val="21"/>
                    </w:rPr>
                    <w:t>锯床</w:t>
                  </w:r>
                </w:p>
              </w:tc>
              <w:tc>
                <w:tcPr>
                  <w:tcW w:w="2008"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1×0.5</w:t>
                  </w:r>
                </w:p>
              </w:tc>
              <w:tc>
                <w:tcPr>
                  <w:tcW w:w="1615"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0.5</w:t>
                  </w:r>
                </w:p>
              </w:tc>
              <w:tc>
                <w:tcPr>
                  <w:tcW w:w="1410"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布袋除尘器</w:t>
                  </w:r>
                </w:p>
              </w:tc>
              <w:tc>
                <w:tcPr>
                  <w:tcW w:w="1596" w:type="dxa"/>
                  <w:vAlign w:val="center"/>
                </w:tcPr>
                <w:p>
                  <w:pPr>
                    <w:adjustRightInd w:val="0"/>
                    <w:snapToGrid w:val="0"/>
                    <w:spacing w:line="320" w:lineRule="exact"/>
                    <w:jc w:val="center"/>
                    <w:rPr>
                      <w:color w:val="000000"/>
                      <w:kern w:val="0"/>
                      <w:sz w:val="21"/>
                      <w:szCs w:val="21"/>
                    </w:rPr>
                  </w:pPr>
                  <w:r>
                    <w:rPr>
                      <w:rFonts w:hint="eastAsia"/>
                      <w:color w:val="000000"/>
                      <w:kern w:val="0"/>
                      <w:sz w:val="21"/>
                      <w:szCs w:val="21"/>
                    </w:rPr>
                    <w:t>3</w:t>
                  </w:r>
                </w:p>
              </w:tc>
            </w:tr>
          </w:tbl>
          <w:p>
            <w:pPr>
              <w:adjustRightInd w:val="0"/>
              <w:snapToGrid w:val="0"/>
              <w:spacing w:line="480" w:lineRule="exact"/>
              <w:ind w:firstLine="480" w:firstLineChars="200"/>
              <w:rPr>
                <w:color w:val="000000"/>
                <w:kern w:val="0"/>
              </w:rPr>
            </w:pPr>
            <w:r>
              <w:rPr>
                <w:rFonts w:hint="eastAsia"/>
                <w:color w:val="000000"/>
                <w:kern w:val="0"/>
              </w:rPr>
              <w:t>集气罩需配套的风机风量按以下公式计算：</w:t>
            </w:r>
          </w:p>
          <w:p>
            <w:pPr>
              <w:adjustRightInd w:val="0"/>
              <w:snapToGrid w:val="0"/>
              <w:spacing w:line="480" w:lineRule="exact"/>
              <w:ind w:firstLine="480" w:firstLineChars="200"/>
              <w:rPr>
                <w:color w:val="000000"/>
                <w:kern w:val="0"/>
              </w:rPr>
            </w:pPr>
            <w:r>
              <w:rPr>
                <w:rFonts w:hint="eastAsia"/>
                <w:color w:val="000000"/>
                <w:kern w:val="0"/>
              </w:rPr>
              <w:t>L=3600×VX×F</w:t>
            </w:r>
          </w:p>
          <w:p>
            <w:pPr>
              <w:adjustRightInd w:val="0"/>
              <w:snapToGrid w:val="0"/>
              <w:spacing w:line="480" w:lineRule="exact"/>
              <w:ind w:firstLine="480" w:firstLineChars="200"/>
              <w:rPr>
                <w:color w:val="000000"/>
                <w:kern w:val="0"/>
              </w:rPr>
            </w:pPr>
            <w:r>
              <w:rPr>
                <w:rFonts w:hint="eastAsia"/>
                <w:color w:val="000000"/>
                <w:kern w:val="0"/>
              </w:rPr>
              <w:t>F=(a+0.5H)×(b+0.5H)</w:t>
            </w:r>
          </w:p>
          <w:p>
            <w:pPr>
              <w:adjustRightInd w:val="0"/>
              <w:snapToGrid w:val="0"/>
              <w:spacing w:line="480" w:lineRule="exact"/>
              <w:ind w:firstLine="480" w:firstLineChars="200"/>
              <w:rPr>
                <w:color w:val="000000"/>
                <w:kern w:val="0"/>
              </w:rPr>
            </w:pPr>
            <w:r>
              <w:rPr>
                <w:rFonts w:hint="eastAsia"/>
                <w:color w:val="000000"/>
                <w:kern w:val="0"/>
              </w:rPr>
              <w:t>式中：L--排风量，（m</w:t>
            </w:r>
            <w:r>
              <w:rPr>
                <w:rFonts w:hint="eastAsia"/>
                <w:color w:val="000000"/>
                <w:kern w:val="0"/>
                <w:vertAlign w:val="superscript"/>
              </w:rPr>
              <w:t>3</w:t>
            </w:r>
            <w:r>
              <w:rPr>
                <w:rFonts w:hint="eastAsia"/>
                <w:color w:val="000000"/>
                <w:kern w:val="0"/>
              </w:rPr>
              <w:t>/h）</w:t>
            </w:r>
          </w:p>
          <w:p>
            <w:pPr>
              <w:adjustRightInd w:val="0"/>
              <w:snapToGrid w:val="0"/>
              <w:spacing w:line="480" w:lineRule="exact"/>
              <w:ind w:firstLine="480" w:firstLineChars="200"/>
              <w:rPr>
                <w:color w:val="000000"/>
                <w:kern w:val="0"/>
              </w:rPr>
            </w:pPr>
            <w:r>
              <w:rPr>
                <w:rFonts w:hint="eastAsia"/>
                <w:color w:val="000000"/>
                <w:kern w:val="0"/>
              </w:rPr>
              <w:t>F--罩口面积（m</w:t>
            </w:r>
            <w:r>
              <w:rPr>
                <w:rFonts w:hint="eastAsia"/>
                <w:color w:val="000000"/>
                <w:kern w:val="0"/>
                <w:vertAlign w:val="superscript"/>
              </w:rPr>
              <w:t>2</w:t>
            </w:r>
            <w:r>
              <w:rPr>
                <w:rFonts w:hint="eastAsia"/>
                <w:color w:val="000000"/>
                <w:kern w:val="0"/>
              </w:rPr>
              <w:t>）</w:t>
            </w:r>
          </w:p>
          <w:p>
            <w:pPr>
              <w:adjustRightInd w:val="0"/>
              <w:snapToGrid w:val="0"/>
              <w:spacing w:line="480" w:lineRule="exact"/>
              <w:ind w:firstLine="480" w:firstLineChars="200"/>
              <w:rPr>
                <w:color w:val="000000"/>
                <w:kern w:val="0"/>
              </w:rPr>
            </w:pPr>
            <w:r>
              <w:rPr>
                <w:rFonts w:hint="eastAsia"/>
                <w:color w:val="000000"/>
                <w:kern w:val="0"/>
              </w:rPr>
              <w:t>VX--罩口平均风速（m/s，取1）</w:t>
            </w:r>
          </w:p>
          <w:p>
            <w:pPr>
              <w:adjustRightInd w:val="0"/>
              <w:snapToGrid w:val="0"/>
              <w:spacing w:line="480" w:lineRule="exact"/>
              <w:ind w:firstLine="480" w:firstLineChars="200"/>
              <w:rPr>
                <w:color w:val="000000"/>
                <w:kern w:val="0"/>
              </w:rPr>
            </w:pPr>
            <w:r>
              <w:rPr>
                <w:rFonts w:hint="eastAsia"/>
                <w:color w:val="000000"/>
                <w:kern w:val="0"/>
              </w:rPr>
              <w:t>F--罩口面积（m</w:t>
            </w:r>
            <w:r>
              <w:rPr>
                <w:rFonts w:hint="eastAsia"/>
                <w:color w:val="000000"/>
                <w:kern w:val="0"/>
                <w:vertAlign w:val="superscript"/>
              </w:rPr>
              <w:t>2</w:t>
            </w:r>
            <w:r>
              <w:rPr>
                <w:rFonts w:hint="eastAsia"/>
                <w:color w:val="000000"/>
                <w:kern w:val="0"/>
              </w:rPr>
              <w:t>）</w:t>
            </w:r>
          </w:p>
          <w:p>
            <w:pPr>
              <w:adjustRightInd w:val="0"/>
              <w:snapToGrid w:val="0"/>
              <w:spacing w:line="480" w:lineRule="exact"/>
              <w:ind w:firstLine="480" w:firstLineChars="200"/>
              <w:rPr>
                <w:color w:val="000000"/>
                <w:kern w:val="0"/>
              </w:rPr>
            </w:pPr>
            <w:r>
              <w:rPr>
                <w:rFonts w:hint="eastAsia"/>
                <w:color w:val="000000"/>
                <w:kern w:val="0"/>
              </w:rPr>
              <w:t>a--设备平面的长（m）</w:t>
            </w:r>
          </w:p>
          <w:p>
            <w:pPr>
              <w:adjustRightInd w:val="0"/>
              <w:snapToGrid w:val="0"/>
              <w:spacing w:line="480" w:lineRule="exact"/>
              <w:ind w:firstLine="480" w:firstLineChars="200"/>
              <w:rPr>
                <w:color w:val="000000"/>
                <w:kern w:val="0"/>
              </w:rPr>
            </w:pPr>
            <w:r>
              <w:rPr>
                <w:rFonts w:hint="eastAsia"/>
                <w:color w:val="000000"/>
                <w:kern w:val="0"/>
              </w:rPr>
              <w:t>b--设备平面的宽（m）</w:t>
            </w:r>
          </w:p>
          <w:p>
            <w:pPr>
              <w:adjustRightInd w:val="0"/>
              <w:snapToGrid w:val="0"/>
              <w:spacing w:line="480" w:lineRule="exact"/>
              <w:ind w:firstLine="480" w:firstLineChars="200"/>
              <w:rPr>
                <w:color w:val="000000"/>
                <w:kern w:val="0"/>
              </w:rPr>
            </w:pPr>
            <w:r>
              <w:rPr>
                <w:rFonts w:hint="eastAsia"/>
                <w:color w:val="000000"/>
                <w:kern w:val="0"/>
              </w:rPr>
              <w:t>H--罩口离设备面的高度（m）</w:t>
            </w:r>
          </w:p>
          <w:p>
            <w:pPr>
              <w:spacing w:line="480" w:lineRule="exact"/>
              <w:ind w:firstLine="480" w:firstLineChars="200"/>
              <w:outlineLvl w:val="0"/>
            </w:pPr>
            <w:r>
              <w:rPr>
                <w:rFonts w:hint="eastAsia"/>
                <w:color w:val="000000"/>
                <w:kern w:val="0"/>
              </w:rPr>
              <w:t>经计算设备需要的风量为2025</w:t>
            </w:r>
            <w:r>
              <w:rPr>
                <w:color w:val="000000"/>
                <w:kern w:val="0"/>
              </w:rPr>
              <w:t>m</w:t>
            </w:r>
            <w:r>
              <w:rPr>
                <w:color w:val="000000"/>
                <w:kern w:val="0"/>
                <w:vertAlign w:val="superscript"/>
              </w:rPr>
              <w:t>3</w:t>
            </w:r>
            <w:r>
              <w:rPr>
                <w:color w:val="000000"/>
                <w:kern w:val="0"/>
              </w:rPr>
              <w:t>/h</w:t>
            </w:r>
            <w:r>
              <w:rPr>
                <w:rFonts w:hint="eastAsia"/>
                <w:color w:val="000000"/>
                <w:kern w:val="0"/>
              </w:rPr>
              <w:t>，本工序共设3台集气罩，则总风量为6075</w:t>
            </w:r>
            <w:r>
              <w:rPr>
                <w:color w:val="000000"/>
                <w:kern w:val="0"/>
              </w:rPr>
              <w:t>m</w:t>
            </w:r>
            <w:r>
              <w:rPr>
                <w:color w:val="000000"/>
                <w:kern w:val="0"/>
                <w:vertAlign w:val="superscript"/>
              </w:rPr>
              <w:t>3</w:t>
            </w:r>
            <w:r>
              <w:rPr>
                <w:color w:val="000000"/>
                <w:kern w:val="0"/>
              </w:rPr>
              <w:t>/h</w:t>
            </w:r>
            <w:r>
              <w:rPr>
                <w:rFonts w:hint="eastAsia"/>
                <w:color w:val="000000"/>
                <w:kern w:val="0"/>
              </w:rPr>
              <w:t>。</w:t>
            </w:r>
          </w:p>
          <w:p>
            <w:pPr>
              <w:adjustRightInd w:val="0"/>
              <w:snapToGrid w:val="0"/>
              <w:spacing w:line="480" w:lineRule="exact"/>
              <w:ind w:firstLine="480" w:firstLineChars="200"/>
              <w:rPr>
                <w:color w:val="000000"/>
              </w:rPr>
            </w:pPr>
            <w:r>
              <w:rPr>
                <w:rFonts w:hint="eastAsia"/>
                <w:color w:val="000000"/>
              </w:rPr>
              <w:t>2）焊接工序产生的烟尘</w:t>
            </w:r>
          </w:p>
          <w:p>
            <w:pPr>
              <w:adjustRightInd w:val="0"/>
              <w:snapToGrid w:val="0"/>
              <w:spacing w:line="480" w:lineRule="exact"/>
              <w:ind w:firstLine="480" w:firstLineChars="200"/>
              <w:rPr>
                <w:color w:val="000000"/>
              </w:rPr>
            </w:pPr>
            <w:r>
              <w:rPr>
                <w:rFonts w:hint="eastAsia"/>
              </w:rPr>
              <w:t>在车间内焊接区域</w:t>
            </w:r>
            <w:r>
              <w:t>建有</w:t>
            </w:r>
            <w:r>
              <w:rPr>
                <w:rFonts w:hint="eastAsia"/>
              </w:rPr>
              <w:t>龙门焊</w:t>
            </w:r>
            <w:r>
              <w:t>1台</w:t>
            </w:r>
            <w:r>
              <w:rPr>
                <w:rFonts w:hint="eastAsia"/>
              </w:rPr>
              <w:t>、二保</w:t>
            </w:r>
            <w:r>
              <w:t>焊机</w:t>
            </w:r>
            <w:r>
              <w:rPr>
                <w:rFonts w:hint="eastAsia"/>
              </w:rPr>
              <w:t>35台、门扇自动焊1台，焊接时会产生烟尘。本项目设置18个焊接工位使用二保焊机进行焊接，废气通过集气罩收集后经15m高的排气筒排放。</w:t>
            </w:r>
          </w:p>
          <w:p>
            <w:pPr>
              <w:adjustRightInd w:val="0"/>
              <w:snapToGrid w:val="0"/>
              <w:spacing w:line="480" w:lineRule="exact"/>
              <w:ind w:firstLine="480" w:firstLineChars="200"/>
              <w:rPr>
                <w:color w:val="000000"/>
              </w:rPr>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，使用实芯焊丝焊接</w:t>
            </w:r>
            <w:r>
              <w:rPr>
                <w:color w:val="000000"/>
              </w:rPr>
              <w:t>工业废气的排污系数为2130193立方米/吨-原料，颗粒物产污系数为</w:t>
            </w:r>
            <w:r>
              <w:rPr>
                <w:rFonts w:hint="eastAsia"/>
                <w:color w:val="000000"/>
              </w:rPr>
              <w:t>9.19</w:t>
            </w:r>
            <w:r>
              <w:rPr>
                <w:color w:val="000000"/>
              </w:rPr>
              <w:t>千克/吨-原料。焊接材料有</w:t>
            </w:r>
            <w:r>
              <w:rPr>
                <w:rFonts w:hint="eastAsia"/>
                <w:color w:val="000000"/>
              </w:rPr>
              <w:t>15</w:t>
            </w:r>
            <w:r>
              <w:rPr>
                <w:color w:val="000000"/>
              </w:rPr>
              <w:t>t，</w:t>
            </w:r>
            <w:r>
              <w:rPr>
                <w:rFonts w:hint="eastAsia"/>
                <w:color w:val="000000"/>
              </w:rPr>
              <w:t>焊接工序</w:t>
            </w:r>
            <w:r>
              <w:rPr>
                <w:color w:val="000000"/>
              </w:rPr>
              <w:t>产生的焊接废气量为</w:t>
            </w:r>
            <w:r>
              <w:rPr>
                <w:rFonts w:hint="eastAsia"/>
                <w:color w:val="000000"/>
              </w:rPr>
              <w:t>31952895</w:t>
            </w:r>
            <w:r>
              <w:rPr>
                <w:color w:val="000000"/>
              </w:rPr>
              <w:t>m</w:t>
            </w:r>
            <w:r>
              <w:rPr>
                <w:color w:val="000000"/>
                <w:vertAlign w:val="superscript"/>
              </w:rPr>
              <w:t>3</w:t>
            </w:r>
            <w:r>
              <w:rPr>
                <w:color w:val="000000"/>
              </w:rPr>
              <w:t>，则颗粒物的产生量为</w:t>
            </w:r>
            <w:r>
              <w:rPr>
                <w:rFonts w:hint="eastAsia"/>
                <w:color w:val="000000"/>
              </w:rPr>
              <w:t>0.138</w:t>
            </w:r>
            <w:r>
              <w:rPr>
                <w:color w:val="000000"/>
              </w:rPr>
              <w:t>t</w:t>
            </w:r>
            <w:r>
              <w:rPr>
                <w:rFonts w:hint="eastAsia"/>
                <w:color w:val="000000"/>
              </w:rPr>
              <w:t>。</w:t>
            </w:r>
          </w:p>
          <w:p>
            <w:pPr>
              <w:adjustRightInd w:val="0"/>
              <w:snapToGrid w:val="0"/>
              <w:spacing w:line="480" w:lineRule="exact"/>
              <w:ind w:firstLine="480" w:firstLineChars="200"/>
              <w:rPr>
                <w:color w:val="000000" w:themeColor="text1"/>
                <w:kern w:val="0"/>
              </w:rPr>
            </w:pPr>
            <w:r>
              <w:t>集气罩的设计参</w:t>
            </w:r>
            <w:r>
              <w:rPr>
                <w:color w:val="000000" w:themeColor="text1"/>
              </w:rPr>
              <w:t>数见下表</w:t>
            </w:r>
            <w:r>
              <w:rPr>
                <w:rFonts w:hint="eastAsia"/>
                <w:color w:val="000000" w:themeColor="text1"/>
              </w:rPr>
              <w:t>。</w:t>
            </w:r>
          </w:p>
          <w:p>
            <w:pPr>
              <w:adjustRightInd w:val="0"/>
              <w:snapToGrid w:val="0"/>
              <w:spacing w:line="480" w:lineRule="exact"/>
              <w:jc w:val="center"/>
              <w:rPr>
                <w:b/>
                <w:bCs/>
                <w:color w:val="000000" w:themeColor="text1"/>
                <w:kern w:val="0"/>
              </w:rPr>
            </w:pPr>
            <w:r>
              <w:rPr>
                <w:rFonts w:hint="eastAsia"/>
                <w:b/>
                <w:bCs/>
                <w:color w:val="000000" w:themeColor="text1"/>
                <w:kern w:val="0"/>
              </w:rPr>
              <w:t>表4-4  集气罩技术参数一览表</w:t>
            </w:r>
          </w:p>
          <w:tbl>
            <w:tblPr>
              <w:tblStyle w:val="32"/>
              <w:tblW w:w="79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96"/>
              <w:gridCol w:w="1705"/>
              <w:gridCol w:w="1487"/>
              <w:gridCol w:w="1596"/>
              <w:gridCol w:w="15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设备名称</w:t>
                  </w:r>
                </w:p>
              </w:tc>
              <w:tc>
                <w:tcPr>
                  <w:tcW w:w="1705"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集气罩尺寸（m）</w:t>
                  </w:r>
                </w:p>
              </w:tc>
              <w:tc>
                <w:tcPr>
                  <w:tcW w:w="1487"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安装高度（m）</w:t>
                  </w:r>
                </w:p>
              </w:tc>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处理设备</w:t>
                  </w:r>
                </w:p>
              </w:tc>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集气罩数量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sz w:val="21"/>
                      <w:szCs w:val="21"/>
                    </w:rPr>
                    <w:t>龙门焊</w:t>
                  </w:r>
                </w:p>
              </w:tc>
              <w:tc>
                <w:tcPr>
                  <w:tcW w:w="1705"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4×0.5</w:t>
                  </w:r>
                </w:p>
              </w:tc>
              <w:tc>
                <w:tcPr>
                  <w:tcW w:w="1487"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0.5</w:t>
                  </w:r>
                </w:p>
              </w:tc>
              <w:tc>
                <w:tcPr>
                  <w:tcW w:w="1596" w:type="dxa"/>
                  <w:vMerge w:val="restart"/>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布袋除尘器</w:t>
                  </w:r>
                </w:p>
              </w:tc>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sz w:val="21"/>
                      <w:szCs w:val="21"/>
                    </w:rPr>
                    <w:t>门扇自动焊</w:t>
                  </w:r>
                </w:p>
              </w:tc>
              <w:tc>
                <w:tcPr>
                  <w:tcW w:w="1705"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4×0.5</w:t>
                  </w:r>
                </w:p>
              </w:tc>
              <w:tc>
                <w:tcPr>
                  <w:tcW w:w="1487"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0.5</w:t>
                  </w:r>
                </w:p>
              </w:tc>
              <w:tc>
                <w:tcPr>
                  <w:tcW w:w="1596" w:type="dxa"/>
                  <w:vMerge w:val="continue"/>
                  <w:vAlign w:val="center"/>
                </w:tcPr>
                <w:p>
                  <w:pPr>
                    <w:adjustRightInd w:val="0"/>
                    <w:snapToGrid w:val="0"/>
                    <w:spacing w:line="320" w:lineRule="exact"/>
                    <w:jc w:val="center"/>
                    <w:rPr>
                      <w:color w:val="000000" w:themeColor="text1"/>
                      <w:kern w:val="0"/>
                      <w:sz w:val="21"/>
                      <w:szCs w:val="21"/>
                    </w:rPr>
                  </w:pPr>
                </w:p>
              </w:tc>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1596" w:type="dxa"/>
                  <w:vAlign w:val="center"/>
                </w:tcPr>
                <w:p>
                  <w:pPr>
                    <w:adjustRightInd w:val="0"/>
                    <w:snapToGrid w:val="0"/>
                    <w:spacing w:line="320" w:lineRule="exact"/>
                    <w:jc w:val="center"/>
                    <w:rPr>
                      <w:color w:val="000000" w:themeColor="text1"/>
                      <w:sz w:val="21"/>
                      <w:szCs w:val="21"/>
                    </w:rPr>
                  </w:pPr>
                  <w:r>
                    <w:rPr>
                      <w:rFonts w:hint="eastAsia"/>
                      <w:color w:val="000000" w:themeColor="text1"/>
                      <w:sz w:val="21"/>
                      <w:szCs w:val="21"/>
                    </w:rPr>
                    <w:t>二保焊机</w:t>
                  </w:r>
                </w:p>
              </w:tc>
              <w:tc>
                <w:tcPr>
                  <w:tcW w:w="1705"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0.8×0.8</w:t>
                  </w:r>
                </w:p>
              </w:tc>
              <w:tc>
                <w:tcPr>
                  <w:tcW w:w="1487"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0.5</w:t>
                  </w:r>
                </w:p>
              </w:tc>
              <w:tc>
                <w:tcPr>
                  <w:tcW w:w="1596" w:type="dxa"/>
                  <w:vMerge w:val="continue"/>
                  <w:vAlign w:val="center"/>
                </w:tcPr>
                <w:p>
                  <w:pPr>
                    <w:adjustRightInd w:val="0"/>
                    <w:snapToGrid w:val="0"/>
                    <w:spacing w:line="320" w:lineRule="exact"/>
                    <w:jc w:val="center"/>
                    <w:rPr>
                      <w:color w:val="000000" w:themeColor="text1"/>
                      <w:kern w:val="0"/>
                      <w:sz w:val="21"/>
                      <w:szCs w:val="21"/>
                    </w:rPr>
                  </w:pPr>
                </w:p>
              </w:tc>
              <w:tc>
                <w:tcPr>
                  <w:tcW w:w="1596" w:type="dxa"/>
                  <w:vAlign w:val="center"/>
                </w:tcPr>
                <w:p>
                  <w:pPr>
                    <w:adjustRightInd w:val="0"/>
                    <w:snapToGrid w:val="0"/>
                    <w:spacing w:line="320" w:lineRule="exact"/>
                    <w:jc w:val="center"/>
                    <w:rPr>
                      <w:color w:val="000000" w:themeColor="text1"/>
                      <w:kern w:val="0"/>
                      <w:sz w:val="21"/>
                      <w:szCs w:val="21"/>
                    </w:rPr>
                  </w:pPr>
                  <w:r>
                    <w:rPr>
                      <w:rFonts w:hint="eastAsia"/>
                      <w:color w:val="000000" w:themeColor="text1"/>
                      <w:kern w:val="0"/>
                      <w:sz w:val="21"/>
                      <w:szCs w:val="21"/>
                    </w:rPr>
                    <w:t>18</w:t>
                  </w:r>
                </w:p>
              </w:tc>
            </w:tr>
          </w:tbl>
          <w:p>
            <w:pPr>
              <w:adjustRightInd w:val="0"/>
              <w:snapToGrid w:val="0"/>
              <w:spacing w:line="480" w:lineRule="exact"/>
              <w:ind w:firstLine="480" w:firstLineChars="200"/>
              <w:rPr>
                <w:color w:val="000000" w:themeColor="text1"/>
                <w:kern w:val="0"/>
              </w:rPr>
            </w:pPr>
            <w:r>
              <w:rPr>
                <w:rFonts w:hint="eastAsia"/>
                <w:color w:val="000000" w:themeColor="text1"/>
                <w:kern w:val="0"/>
              </w:rPr>
              <w:t>集气罩需配套的风机风量按以下公式计算：</w:t>
            </w:r>
          </w:p>
          <w:p>
            <w:pPr>
              <w:adjustRightInd w:val="0"/>
              <w:snapToGrid w:val="0"/>
              <w:spacing w:line="480" w:lineRule="exact"/>
              <w:ind w:firstLine="480" w:firstLineChars="200"/>
              <w:rPr>
                <w:color w:val="000000"/>
                <w:kern w:val="0"/>
              </w:rPr>
            </w:pPr>
            <w:r>
              <w:rPr>
                <w:rFonts w:hint="eastAsia"/>
                <w:color w:val="000000"/>
                <w:kern w:val="0"/>
              </w:rPr>
              <w:t>L=3600×VX×F</w:t>
            </w:r>
          </w:p>
          <w:p>
            <w:pPr>
              <w:adjustRightInd w:val="0"/>
              <w:snapToGrid w:val="0"/>
              <w:spacing w:line="480" w:lineRule="exact"/>
              <w:ind w:firstLine="480" w:firstLineChars="200"/>
              <w:rPr>
                <w:color w:val="000000"/>
                <w:kern w:val="0"/>
              </w:rPr>
            </w:pPr>
            <w:r>
              <w:rPr>
                <w:rFonts w:hint="eastAsia"/>
                <w:color w:val="000000"/>
                <w:kern w:val="0"/>
              </w:rPr>
              <w:t>F=(a+0.5H)×(b+0.5H)</w:t>
            </w:r>
          </w:p>
          <w:p>
            <w:pPr>
              <w:adjustRightInd w:val="0"/>
              <w:snapToGrid w:val="0"/>
              <w:spacing w:line="480" w:lineRule="exact"/>
              <w:ind w:firstLine="480" w:firstLineChars="200"/>
              <w:rPr>
                <w:color w:val="000000"/>
                <w:kern w:val="0"/>
              </w:rPr>
            </w:pPr>
            <w:r>
              <w:rPr>
                <w:rFonts w:hint="eastAsia"/>
                <w:color w:val="000000"/>
                <w:kern w:val="0"/>
              </w:rPr>
              <w:t>式中：L--排风量，（m</w:t>
            </w:r>
            <w:r>
              <w:rPr>
                <w:rFonts w:hint="eastAsia"/>
                <w:color w:val="000000"/>
                <w:kern w:val="0"/>
                <w:vertAlign w:val="superscript"/>
              </w:rPr>
              <w:t>3</w:t>
            </w:r>
            <w:r>
              <w:rPr>
                <w:rFonts w:hint="eastAsia"/>
                <w:color w:val="000000"/>
                <w:kern w:val="0"/>
              </w:rPr>
              <w:t>/h）</w:t>
            </w:r>
          </w:p>
          <w:p>
            <w:pPr>
              <w:adjustRightInd w:val="0"/>
              <w:snapToGrid w:val="0"/>
              <w:spacing w:line="480" w:lineRule="exact"/>
              <w:ind w:firstLine="480" w:firstLineChars="200"/>
              <w:rPr>
                <w:color w:val="000000"/>
                <w:kern w:val="0"/>
              </w:rPr>
            </w:pPr>
            <w:r>
              <w:rPr>
                <w:rFonts w:hint="eastAsia"/>
                <w:color w:val="000000"/>
                <w:kern w:val="0"/>
              </w:rPr>
              <w:t>F--罩口面积（m</w:t>
            </w:r>
            <w:r>
              <w:rPr>
                <w:rFonts w:hint="eastAsia"/>
                <w:color w:val="000000"/>
                <w:kern w:val="0"/>
                <w:vertAlign w:val="superscript"/>
              </w:rPr>
              <w:t>2</w:t>
            </w:r>
            <w:r>
              <w:rPr>
                <w:rFonts w:hint="eastAsia"/>
                <w:color w:val="000000"/>
                <w:kern w:val="0"/>
              </w:rPr>
              <w:t>）</w:t>
            </w:r>
          </w:p>
          <w:p>
            <w:pPr>
              <w:adjustRightInd w:val="0"/>
              <w:snapToGrid w:val="0"/>
              <w:spacing w:line="480" w:lineRule="exact"/>
              <w:ind w:firstLine="480" w:firstLineChars="200"/>
              <w:rPr>
                <w:color w:val="000000"/>
                <w:kern w:val="0"/>
              </w:rPr>
            </w:pPr>
            <w:r>
              <w:rPr>
                <w:rFonts w:hint="eastAsia"/>
                <w:color w:val="000000"/>
                <w:kern w:val="0"/>
              </w:rPr>
              <w:t>VX--罩口平均风速（m/s，取1）</w:t>
            </w:r>
          </w:p>
          <w:p>
            <w:pPr>
              <w:adjustRightInd w:val="0"/>
              <w:snapToGrid w:val="0"/>
              <w:spacing w:line="480" w:lineRule="exact"/>
              <w:ind w:firstLine="480" w:firstLineChars="200"/>
              <w:rPr>
                <w:color w:val="000000"/>
                <w:kern w:val="0"/>
              </w:rPr>
            </w:pPr>
            <w:r>
              <w:rPr>
                <w:rFonts w:hint="eastAsia"/>
                <w:color w:val="000000"/>
                <w:kern w:val="0"/>
              </w:rPr>
              <w:t>F--罩口面积（m</w:t>
            </w:r>
            <w:r>
              <w:rPr>
                <w:rFonts w:hint="eastAsia"/>
                <w:color w:val="000000"/>
                <w:kern w:val="0"/>
                <w:vertAlign w:val="superscript"/>
              </w:rPr>
              <w:t>2</w:t>
            </w:r>
            <w:r>
              <w:rPr>
                <w:rFonts w:hint="eastAsia"/>
                <w:color w:val="000000"/>
                <w:kern w:val="0"/>
              </w:rPr>
              <w:t>）</w:t>
            </w:r>
          </w:p>
          <w:p>
            <w:pPr>
              <w:adjustRightInd w:val="0"/>
              <w:snapToGrid w:val="0"/>
              <w:spacing w:line="480" w:lineRule="exact"/>
              <w:ind w:firstLine="480" w:firstLineChars="200"/>
              <w:rPr>
                <w:color w:val="000000"/>
                <w:kern w:val="0"/>
              </w:rPr>
            </w:pPr>
            <w:r>
              <w:rPr>
                <w:rFonts w:hint="eastAsia"/>
                <w:color w:val="000000"/>
                <w:kern w:val="0"/>
              </w:rPr>
              <w:t>a--设备平面的长（m）</w:t>
            </w:r>
          </w:p>
          <w:p>
            <w:pPr>
              <w:adjustRightInd w:val="0"/>
              <w:snapToGrid w:val="0"/>
              <w:spacing w:line="480" w:lineRule="exact"/>
              <w:ind w:firstLine="480" w:firstLineChars="200"/>
              <w:rPr>
                <w:color w:val="000000"/>
                <w:kern w:val="0"/>
              </w:rPr>
            </w:pPr>
            <w:r>
              <w:rPr>
                <w:rFonts w:hint="eastAsia"/>
                <w:color w:val="000000"/>
                <w:kern w:val="0"/>
              </w:rPr>
              <w:t>b--设备平面的宽（m）</w:t>
            </w:r>
          </w:p>
          <w:p>
            <w:pPr>
              <w:adjustRightInd w:val="0"/>
              <w:snapToGrid w:val="0"/>
              <w:spacing w:line="480" w:lineRule="exact"/>
              <w:ind w:firstLine="480" w:firstLineChars="200"/>
              <w:rPr>
                <w:color w:val="000000"/>
                <w:kern w:val="0"/>
              </w:rPr>
            </w:pPr>
            <w:r>
              <w:rPr>
                <w:rFonts w:hint="eastAsia"/>
                <w:color w:val="000000"/>
                <w:kern w:val="0"/>
              </w:rPr>
              <w:t>H--罩口离设备面的高度（m）</w:t>
            </w:r>
          </w:p>
          <w:p>
            <w:pPr>
              <w:adjustRightInd w:val="0"/>
              <w:snapToGrid w:val="0"/>
              <w:spacing w:line="480" w:lineRule="exact"/>
              <w:ind w:firstLine="480" w:firstLineChars="200"/>
              <w:rPr>
                <w:color w:val="000000"/>
                <w:kern w:val="0"/>
              </w:rPr>
            </w:pPr>
            <w:r>
              <w:rPr>
                <w:rFonts w:hint="eastAsia"/>
                <w:color w:val="000000"/>
                <w:kern w:val="0"/>
              </w:rPr>
              <w:t>经计算龙门焊需要的风量为5737.5</w:t>
            </w:r>
            <w:r>
              <w:rPr>
                <w:color w:val="000000"/>
                <w:kern w:val="0"/>
              </w:rPr>
              <w:t>m</w:t>
            </w:r>
            <w:r>
              <w:rPr>
                <w:color w:val="000000"/>
                <w:kern w:val="0"/>
                <w:vertAlign w:val="superscript"/>
              </w:rPr>
              <w:t>3</w:t>
            </w:r>
            <w:r>
              <w:rPr>
                <w:color w:val="000000"/>
                <w:kern w:val="0"/>
              </w:rPr>
              <w:t>/h</w:t>
            </w:r>
            <w:r>
              <w:rPr>
                <w:rFonts w:hint="eastAsia"/>
                <w:color w:val="000000"/>
                <w:kern w:val="0"/>
              </w:rPr>
              <w:t>，门扇自动焊需要的风量为5737.5</w:t>
            </w:r>
            <w:r>
              <w:rPr>
                <w:color w:val="000000"/>
                <w:kern w:val="0"/>
              </w:rPr>
              <w:t>m</w:t>
            </w:r>
            <w:r>
              <w:rPr>
                <w:color w:val="000000"/>
                <w:kern w:val="0"/>
                <w:vertAlign w:val="superscript"/>
              </w:rPr>
              <w:t>3</w:t>
            </w:r>
            <w:r>
              <w:rPr>
                <w:color w:val="000000"/>
                <w:kern w:val="0"/>
              </w:rPr>
              <w:t>/h</w:t>
            </w:r>
            <w:r>
              <w:rPr>
                <w:rFonts w:hint="eastAsia"/>
                <w:color w:val="000000"/>
                <w:kern w:val="0"/>
              </w:rPr>
              <w:t>，二保焊机的1个集气罩需要的风量为2381</w:t>
            </w:r>
            <w:r>
              <w:rPr>
                <w:color w:val="000000"/>
                <w:kern w:val="0"/>
              </w:rPr>
              <w:t>m</w:t>
            </w:r>
            <w:r>
              <w:rPr>
                <w:color w:val="000000"/>
                <w:kern w:val="0"/>
                <w:vertAlign w:val="superscript"/>
              </w:rPr>
              <w:t>3</w:t>
            </w:r>
            <w:r>
              <w:rPr>
                <w:color w:val="000000"/>
                <w:kern w:val="0"/>
              </w:rPr>
              <w:t>/h</w:t>
            </w:r>
            <w:r>
              <w:rPr>
                <w:rFonts w:hint="eastAsia"/>
                <w:color w:val="000000"/>
                <w:kern w:val="0"/>
              </w:rPr>
              <w:t>，焊接工序需总风量为54333</w:t>
            </w:r>
            <w:r>
              <w:rPr>
                <w:color w:val="000000"/>
                <w:kern w:val="0"/>
              </w:rPr>
              <w:t>m</w:t>
            </w:r>
            <w:r>
              <w:rPr>
                <w:color w:val="000000"/>
                <w:kern w:val="0"/>
                <w:vertAlign w:val="superscript"/>
              </w:rPr>
              <w:t>3</w:t>
            </w:r>
            <w:r>
              <w:rPr>
                <w:color w:val="000000"/>
                <w:kern w:val="0"/>
              </w:rPr>
              <w:t>/h。</w:t>
            </w:r>
          </w:p>
          <w:p>
            <w:pPr>
              <w:adjustRightInd w:val="0"/>
              <w:snapToGrid w:val="0"/>
              <w:spacing w:line="480" w:lineRule="exact"/>
              <w:ind w:firstLine="480" w:firstLineChars="200"/>
              <w:rPr>
                <w:color w:val="000000"/>
                <w:kern w:val="0"/>
              </w:rPr>
            </w:pPr>
            <w:r>
              <w:rPr>
                <w:rFonts w:hint="eastAsia"/>
                <w:color w:val="000000"/>
                <w:kern w:val="0"/>
              </w:rPr>
              <w:t>3）在产品焊接完成后会对表面进行打磨处理，</w:t>
            </w:r>
            <w:r>
              <w:rPr>
                <w:lang w:val="en-GB"/>
              </w:rPr>
              <w:t>处理过程会有少量粉尘产生，类比同类企业，粉尘产生量约占原材料（</w:t>
            </w:r>
            <w:r>
              <w:rPr>
                <w:rFonts w:hint="eastAsia"/>
              </w:rPr>
              <w:t>钢材</w:t>
            </w:r>
            <w:r>
              <w:rPr>
                <w:lang w:val="en-GB"/>
              </w:rPr>
              <w:t>）</w:t>
            </w:r>
            <w:r>
              <w:t>0.01</w:t>
            </w:r>
            <w:r>
              <w:rPr>
                <w:lang w:val="en-GB"/>
              </w:rPr>
              <w:t>%，项目生产时</w:t>
            </w:r>
            <w:r>
              <w:rPr>
                <w:rFonts w:hint="eastAsia"/>
              </w:rPr>
              <w:t>钢材</w:t>
            </w:r>
            <w:r>
              <w:rPr>
                <w:lang w:val="en-GB"/>
              </w:rPr>
              <w:t>使用量约为</w:t>
            </w:r>
            <w:r>
              <w:rPr>
                <w:rFonts w:hint="eastAsia"/>
              </w:rPr>
              <w:t>3250</w:t>
            </w:r>
            <w:r>
              <w:rPr>
                <w:lang w:val="en-GB"/>
              </w:rPr>
              <w:t>t，则打磨时产生的粉尘量约为</w:t>
            </w:r>
            <w:r>
              <w:rPr>
                <w:rFonts w:hint="eastAsia"/>
              </w:rPr>
              <w:t>0.3250</w:t>
            </w:r>
            <w:r>
              <w:rPr>
                <w:lang w:val="en-GB"/>
              </w:rPr>
              <w:t>t/a，打磨区设</w:t>
            </w:r>
            <w:r>
              <w:t>2个集气罩，收集后粉尘经一台</w:t>
            </w:r>
            <w:r>
              <w:rPr>
                <w:lang w:val="en-GB"/>
              </w:rPr>
              <w:t>布袋除尘器处理，排气量为</w:t>
            </w:r>
            <w:r>
              <w:rPr>
                <w:rFonts w:hint="eastAsia"/>
              </w:rPr>
              <w:t>2</w:t>
            </w:r>
            <w:r>
              <w:rPr>
                <w:lang w:val="en-GB"/>
              </w:rPr>
              <w:t>000m</w:t>
            </w:r>
            <w:r>
              <w:rPr>
                <w:vertAlign w:val="superscript"/>
              </w:rPr>
              <w:t>3</w:t>
            </w:r>
            <w:r>
              <w:rPr>
                <w:lang w:val="en-GB"/>
              </w:rPr>
              <w:t>/h，集尘效率90%，处理效率99%</w:t>
            </w:r>
            <w:r>
              <w:rPr>
                <w:rFonts w:hint="eastAsia"/>
                <w:lang w:val="en-GB"/>
              </w:rPr>
              <w:t>。</w:t>
            </w:r>
          </w:p>
          <w:p>
            <w:pPr>
              <w:adjustRightInd w:val="0"/>
              <w:snapToGrid w:val="0"/>
              <w:spacing w:line="480" w:lineRule="exact"/>
              <w:ind w:firstLine="480" w:firstLineChars="200"/>
            </w:pPr>
            <w:r>
              <w:rPr>
                <w:rFonts w:hint="eastAsia"/>
              </w:rPr>
              <w:t>（2）</w:t>
            </w:r>
            <w:r>
              <w:t>治理措施</w:t>
            </w:r>
          </w:p>
          <w:p>
            <w:pPr>
              <w:adjustRightInd w:val="0"/>
              <w:snapToGrid w:val="0"/>
              <w:spacing w:line="480" w:lineRule="exact"/>
              <w:ind w:firstLine="480" w:firstLineChars="200"/>
            </w:pPr>
            <w:r>
              <w:rPr>
                <w:rFonts w:hint="eastAsia"/>
              </w:rPr>
              <w:t>本项目在联合厂房一内设一套中央除尘系统，对联合厂房一的各生产环节产生的烟尘进行收集和处理。在1台数控等离子切割机和2台激光切割机的侧面设侧吸式集气罩</w:t>
            </w:r>
            <w:r>
              <w:rPr>
                <w:rFonts w:hint="eastAsia"/>
                <w:bCs/>
              </w:rPr>
              <w:t>（4×0.4m）</w:t>
            </w:r>
            <w:r>
              <w:rPr>
                <w:rFonts w:hint="eastAsia"/>
              </w:rPr>
              <w:t>，周围设围挡，废气经集气罩收集后通入布袋除尘器中处理</w:t>
            </w:r>
            <w:r>
              <w:rPr>
                <w:rFonts w:hint="eastAsia"/>
                <w:bCs/>
              </w:rPr>
              <w:t>；</w:t>
            </w:r>
            <w:r>
              <w:rPr>
                <w:rFonts w:hint="eastAsia"/>
              </w:rPr>
              <w:t>3台锯床的顶部分别设顶吸式集气罩</w:t>
            </w:r>
            <w:r>
              <w:rPr>
                <w:rFonts w:hint="eastAsia"/>
                <w:bCs/>
              </w:rPr>
              <w:t>（1×0.5m）</w:t>
            </w:r>
            <w:r>
              <w:rPr>
                <w:rFonts w:hint="eastAsia"/>
              </w:rPr>
              <w:t>，周围设围挡，废气经集气罩收集后通入布袋除尘器中处理</w:t>
            </w:r>
            <w:r>
              <w:rPr>
                <w:rFonts w:hint="eastAsia"/>
                <w:bCs/>
              </w:rPr>
              <w:t>；在</w:t>
            </w:r>
            <w:r>
              <w:t>1台</w:t>
            </w:r>
            <w:r>
              <w:rPr>
                <w:rFonts w:hint="eastAsia"/>
              </w:rPr>
              <w:t>龙门焊和1台门扇自动焊的焊接机上设顶吸式集气罩，周围设围挡废气经集气罩收集后通入布袋除尘器处理；对35台二保</w:t>
            </w:r>
            <w:r>
              <w:t>焊机</w:t>
            </w:r>
            <w:r>
              <w:rPr>
                <w:rFonts w:hint="eastAsia"/>
              </w:rPr>
              <w:t>产生的废气，设18台顶吸式集气罩，其中2台二保焊机共用一台集气罩，集气罩的周围设围挡，废气经集气罩收集后通入布袋除尘器处理</w:t>
            </w:r>
            <w:r>
              <w:rPr>
                <w:rFonts w:hint="eastAsia"/>
                <w:bCs/>
                <w:color w:val="000000"/>
              </w:rPr>
              <w:t>。综上所有的集气罩共需54333+6075+9234+2000=71642</w:t>
            </w:r>
            <w:r>
              <w:rPr>
                <w:color w:val="000000"/>
                <w:kern w:val="0"/>
              </w:rPr>
              <w:t>m</w:t>
            </w:r>
            <w:r>
              <w:rPr>
                <w:color w:val="000000"/>
                <w:kern w:val="0"/>
                <w:vertAlign w:val="superscript"/>
              </w:rPr>
              <w:t>3</w:t>
            </w:r>
            <w:r>
              <w:rPr>
                <w:color w:val="000000"/>
                <w:kern w:val="0"/>
              </w:rPr>
              <w:t>/h</w:t>
            </w:r>
            <w:r>
              <w:rPr>
                <w:rFonts w:hint="eastAsia"/>
                <w:color w:val="000000"/>
                <w:kern w:val="0"/>
              </w:rPr>
              <w:t>，因此本项目联合厂房一的中央除尘器的风量取72000</w:t>
            </w:r>
            <w:r>
              <w:rPr>
                <w:color w:val="000000"/>
                <w:kern w:val="0"/>
              </w:rPr>
              <w:t>m</w:t>
            </w:r>
            <w:r>
              <w:rPr>
                <w:color w:val="000000"/>
                <w:kern w:val="0"/>
                <w:vertAlign w:val="superscript"/>
              </w:rPr>
              <w:t>3</w:t>
            </w:r>
            <w:r>
              <w:rPr>
                <w:color w:val="000000"/>
                <w:kern w:val="0"/>
              </w:rPr>
              <w:t>/h</w:t>
            </w:r>
            <w:r>
              <w:rPr>
                <w:rFonts w:hint="eastAsia"/>
                <w:color w:val="000000"/>
                <w:kern w:val="0"/>
              </w:rPr>
              <w:t>。废气经</w:t>
            </w:r>
            <w:r>
              <w:rPr>
                <w:rFonts w:hint="eastAsia"/>
              </w:rPr>
              <w:t>处理后经15m高排气筒（DA001）排放，本工序采取的</w:t>
            </w:r>
            <w:r>
              <w:t>“集气罩+</w:t>
            </w:r>
            <w:r>
              <w:rPr>
                <w:rFonts w:hint="eastAsia"/>
              </w:rPr>
              <w:t>布袋除尘+15m高排气筒</w:t>
            </w:r>
            <w:r>
              <w:t>”</w:t>
            </w:r>
            <w:r>
              <w:rPr>
                <w:rFonts w:hint="eastAsia"/>
              </w:rPr>
              <w:t>处理措施，可在一定程度上减少对环境的影响</w:t>
            </w:r>
            <w:r>
              <w:t>。</w:t>
            </w:r>
          </w:p>
          <w:p>
            <w:pPr>
              <w:adjustRightInd w:val="0"/>
              <w:snapToGrid w:val="0"/>
              <w:spacing w:line="480" w:lineRule="exact"/>
              <w:ind w:firstLine="480" w:firstLineChars="200"/>
            </w:pPr>
            <w:r>
              <w:rPr>
                <w:rFonts w:hint="eastAsia"/>
              </w:rPr>
              <w:t>（3）环境影响分析</w:t>
            </w:r>
          </w:p>
          <w:p>
            <w:pPr>
              <w:adjustRightInd w:val="0"/>
              <w:snapToGrid w:val="0"/>
              <w:spacing w:line="480" w:lineRule="exact"/>
              <w:ind w:firstLine="480" w:firstLineChars="200"/>
            </w:pPr>
            <w:r>
              <w:rPr>
                <w:rFonts w:hint="eastAsia"/>
              </w:rPr>
              <w:t>联合厂房一生产的过程中主要污染物为颗粒物，</w:t>
            </w:r>
            <w:r>
              <w:t>年工作时间约</w:t>
            </w:r>
            <w:r>
              <w:rPr>
                <w:rFonts w:hint="eastAsia"/>
              </w:rPr>
              <w:t>2560</w:t>
            </w:r>
            <w:r>
              <w:t>h</w:t>
            </w:r>
            <w:r>
              <w:rPr>
                <w:rFonts w:hint="eastAsia"/>
              </w:rPr>
              <w:t>，</w:t>
            </w:r>
            <w:r>
              <w:t>则颗粒物产生浓度为</w:t>
            </w:r>
            <w:r>
              <w:rPr>
                <w:rFonts w:hint="eastAsia"/>
              </w:rPr>
              <w:t>27.57</w:t>
            </w:r>
            <w:r>
              <w:t>mg/m</w:t>
            </w:r>
            <w:r>
              <w:rPr>
                <w:vertAlign w:val="superscript"/>
              </w:rPr>
              <w:t>3</w:t>
            </w:r>
            <w:r>
              <w:rPr>
                <w:rFonts w:hint="eastAsia"/>
              </w:rPr>
              <w:t>；布袋除尘器的除尘效率可达到99.9%，则除尘后的颗粒物排放浓度以10</w:t>
            </w:r>
            <w:r>
              <w:rPr>
                <w:lang w:val="en-GB"/>
              </w:rPr>
              <w:t>mg/m</w:t>
            </w:r>
            <w:r>
              <w:rPr>
                <w:vertAlign w:val="superscript"/>
              </w:rPr>
              <w:t>3</w:t>
            </w:r>
            <w:r>
              <w:rPr>
                <w:rFonts w:hint="eastAsia"/>
              </w:rPr>
              <w:t>计算，颗粒物的排放量为1.84t/a。在采取集气罩+布袋除尘器+15m高排气筒的处理设施后，颗粒物排放浓度能够满足《</w:t>
            </w:r>
            <w:r>
              <w:t>长治市工业企业无组织排放治理实施方案》（长气防办【2019】9号）</w:t>
            </w:r>
            <w:r>
              <w:rPr>
                <w:rFonts w:hint="eastAsia"/>
              </w:rPr>
              <w:t>中的相关要求，项目建成后对周边环境的影响较小。</w:t>
            </w:r>
          </w:p>
          <w:p>
            <w:pPr>
              <w:adjustRightInd w:val="0"/>
              <w:snapToGrid w:val="0"/>
              <w:spacing w:line="480" w:lineRule="exact"/>
            </w:pPr>
            <w:r>
              <w:rPr>
                <w:rFonts w:hint="eastAsia"/>
              </w:rPr>
              <w:t>2、喷砂工序产生的粉尘</w:t>
            </w:r>
          </w:p>
          <w:p>
            <w:pPr>
              <w:adjustRightInd w:val="0"/>
              <w:snapToGrid w:val="0"/>
              <w:spacing w:line="480" w:lineRule="exact"/>
              <w:ind w:firstLine="480" w:firstLineChars="200"/>
              <w:rPr>
                <w:color w:val="000000"/>
              </w:rPr>
            </w:pPr>
            <w:r>
              <w:rPr>
                <w:rFonts w:hint="eastAsia"/>
                <w:color w:val="000000"/>
              </w:rPr>
              <w:t>（1）源强计算</w:t>
            </w:r>
          </w:p>
          <w:p>
            <w:pPr>
              <w:adjustRightInd w:val="0"/>
              <w:snapToGrid w:val="0"/>
              <w:spacing w:line="480" w:lineRule="exact"/>
              <w:ind w:firstLine="480" w:firstLineChars="200"/>
              <w:rPr>
                <w:color w:val="000000"/>
              </w:rPr>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，喷砂粉尘的</w:t>
            </w:r>
            <w:r>
              <w:rPr>
                <w:color w:val="000000"/>
              </w:rPr>
              <w:t>工业废气量产排污系数为8500立方米/吨-原料，颗粒物的排污</w:t>
            </w:r>
            <w:r>
              <w:t>系数为2.19千克/吨-原料。</w:t>
            </w:r>
            <w:r>
              <w:rPr>
                <w:rFonts w:hint="eastAsia"/>
              </w:rPr>
              <w:t>喷砂房的设计容积为756</w:t>
            </w:r>
            <w:r>
              <w:t>m</w:t>
            </w:r>
            <w:r>
              <w:rPr>
                <w:vertAlign w:val="superscript"/>
              </w:rPr>
              <w:t>3</w:t>
            </w:r>
            <w:r>
              <w:t>（18×</w:t>
            </w:r>
            <w:r>
              <w:rPr>
                <w:rFonts w:hint="eastAsia"/>
              </w:rPr>
              <w:t>7</w:t>
            </w:r>
            <w:r>
              <w:t>×</w:t>
            </w:r>
            <w:r>
              <w:rPr>
                <w:rFonts w:hint="eastAsia"/>
              </w:rPr>
              <w:t>6</w:t>
            </w:r>
            <w:r>
              <w:t>m）</w:t>
            </w:r>
            <w:r>
              <w:rPr>
                <w:rFonts w:hint="eastAsia"/>
                <w:color w:val="000000"/>
              </w:rPr>
              <w:t>，喷砂房的控制风速范围在0.2-0.3m/s的要求。本项目的喷漆房风速选取0.3m/s。颗粒物</w:t>
            </w:r>
            <w:r>
              <w:rPr>
                <w:color w:val="000000"/>
              </w:rPr>
              <w:t>的产污系数为</w:t>
            </w:r>
            <w:r>
              <w:rPr>
                <w:rFonts w:hint="eastAsia"/>
                <w:color w:val="000000"/>
              </w:rPr>
              <w:t>2.19</w:t>
            </w:r>
            <w:r>
              <w:rPr>
                <w:color w:val="000000"/>
              </w:rPr>
              <w:t>千克/吨-原料。</w:t>
            </w:r>
          </w:p>
          <w:p>
            <w:pPr>
              <w:adjustRightInd w:val="0"/>
              <w:snapToGrid w:val="0"/>
              <w:spacing w:line="480" w:lineRule="exact"/>
              <w:ind w:firstLine="480" w:firstLineChars="200"/>
              <w:rPr>
                <w:color w:val="000000"/>
              </w:rPr>
            </w:pPr>
            <w:r>
              <w:rPr>
                <w:rFonts w:hint="eastAsia"/>
                <w:color w:val="000000"/>
              </w:rPr>
              <w:t>本工序年喷砂产品的量为3250t，</w:t>
            </w:r>
            <w:r>
              <w:rPr>
                <w:color w:val="000000"/>
              </w:rPr>
              <w:t>则喷</w:t>
            </w:r>
            <w:r>
              <w:rPr>
                <w:rFonts w:hint="eastAsia"/>
                <w:color w:val="000000"/>
              </w:rPr>
              <w:t>砂</w:t>
            </w:r>
            <w:r>
              <w:rPr>
                <w:color w:val="000000"/>
              </w:rPr>
              <w:t>房的废气产生量为</w:t>
            </w:r>
            <w:r>
              <w:rPr>
                <w:rFonts w:hint="eastAsia"/>
                <w:color w:val="000000"/>
              </w:rPr>
              <w:t>27625000</w:t>
            </w:r>
            <w:r>
              <w:rPr>
                <w:color w:val="000000"/>
              </w:rPr>
              <w:t>m</w:t>
            </w:r>
            <w:r>
              <w:rPr>
                <w:color w:val="000000"/>
                <w:vertAlign w:val="superscript"/>
              </w:rPr>
              <w:t>3</w:t>
            </w:r>
            <w:r>
              <w:rPr>
                <w:color w:val="000000"/>
              </w:rPr>
              <w:t>，</w:t>
            </w:r>
            <w:r>
              <w:rPr>
                <w:rFonts w:hint="eastAsia"/>
                <w:color w:val="000000"/>
              </w:rPr>
              <w:t>颗粒物</w:t>
            </w:r>
            <w:r>
              <w:rPr>
                <w:color w:val="000000"/>
              </w:rPr>
              <w:t>的产生量为</w:t>
            </w:r>
            <w:r>
              <w:rPr>
                <w:rFonts w:hint="eastAsia"/>
                <w:color w:val="000000"/>
              </w:rPr>
              <w:t>7.12</w:t>
            </w:r>
            <w:r>
              <w:rPr>
                <w:color w:val="000000"/>
              </w:rPr>
              <w:t>t</w:t>
            </w:r>
            <w:r>
              <w:rPr>
                <w:rFonts w:hint="eastAsia"/>
                <w:color w:val="000000"/>
              </w:rPr>
              <w:t>。则本工序风机的风量为0.3×7×6×3600=45360m</w:t>
            </w:r>
            <w:r>
              <w:rPr>
                <w:rFonts w:hint="eastAsia"/>
                <w:color w:val="000000"/>
                <w:vertAlign w:val="superscript"/>
              </w:rPr>
              <w:t>3</w:t>
            </w:r>
            <w:r>
              <w:rPr>
                <w:rFonts w:hint="eastAsia"/>
                <w:color w:val="000000"/>
              </w:rPr>
              <w:t>/h。本项目的风机取风量50000m</w:t>
            </w:r>
            <w:r>
              <w:rPr>
                <w:rFonts w:hint="eastAsia"/>
                <w:color w:val="000000"/>
                <w:vertAlign w:val="superscript"/>
              </w:rPr>
              <w:t>3</w:t>
            </w:r>
            <w:r>
              <w:rPr>
                <w:rFonts w:hint="eastAsia"/>
                <w:color w:val="000000"/>
              </w:rPr>
              <w:t>/h。</w:t>
            </w:r>
          </w:p>
          <w:p>
            <w:pPr>
              <w:adjustRightInd w:val="0"/>
              <w:snapToGrid w:val="0"/>
              <w:spacing w:line="480" w:lineRule="exact"/>
              <w:ind w:firstLine="480" w:firstLineChars="200"/>
            </w:pPr>
            <w:r>
              <w:rPr>
                <w:rFonts w:hint="eastAsia"/>
              </w:rPr>
              <w:t>（2）</w:t>
            </w:r>
            <w:r>
              <w:t>治理措施</w:t>
            </w:r>
          </w:p>
          <w:p>
            <w:pPr>
              <w:adjustRightInd w:val="0"/>
              <w:snapToGrid w:val="0"/>
              <w:spacing w:line="480" w:lineRule="exact"/>
              <w:ind w:firstLine="480" w:firstLineChars="200"/>
            </w:pPr>
            <w:r>
              <w:rPr>
                <w:rFonts w:hint="eastAsia"/>
              </w:rPr>
              <w:t>本项目建设有一间全封闭的喷砂车间，车间内为上送风下抽风结构，对</w:t>
            </w:r>
            <w:r>
              <w:rPr>
                <w:rFonts w:hint="eastAsia"/>
                <w:color w:val="000000" w:themeColor="text1"/>
              </w:rPr>
              <w:t>喷砂产生的废气收集后通入一台布袋除尘器中处理后，经15m高排气筒（DA002）排放</w:t>
            </w:r>
            <w:r>
              <w:rPr>
                <w:rFonts w:hint="eastAsia"/>
              </w:rPr>
              <w:t>，本工序采取的</w:t>
            </w:r>
            <w:r>
              <w:t>“</w:t>
            </w:r>
            <w:r>
              <w:rPr>
                <w:rFonts w:hint="eastAsia"/>
              </w:rPr>
              <w:t>布袋除尘+15m高排气筒</w:t>
            </w:r>
            <w:r>
              <w:t>”</w:t>
            </w:r>
            <w:r>
              <w:rPr>
                <w:rFonts w:hint="eastAsia"/>
              </w:rPr>
              <w:t>，可在一定程度上减少了对环境的影响</w:t>
            </w:r>
            <w:r>
              <w:t>。</w:t>
            </w:r>
          </w:p>
          <w:p>
            <w:pPr>
              <w:adjustRightInd w:val="0"/>
              <w:snapToGrid w:val="0"/>
              <w:spacing w:line="480" w:lineRule="exact"/>
              <w:ind w:firstLine="480" w:firstLineChars="200"/>
            </w:pPr>
            <w:r>
              <w:rPr>
                <w:rFonts w:hint="eastAsia"/>
              </w:rPr>
              <w:t>喷砂处理的原理是利用高速砂流的冲击作用清理和粗化基体表面的过程，使工件的表面获得一定的清洁度和不同的粗糙度，使工件表面的机械性能得到改善，因此提高了工件的抗疲劳性，增加了它和涂层之间的附着力，延长了涂膜的耐久性，也有利于涂料的流平和装饰。该工序在喷砂室进行，采这种表面处理工艺是成熟有效的，已经被广泛采用。喷砂室设备供应商一般都会提供配套的除尘装置，如布袋除尘装置，净化效率≥</w:t>
            </w:r>
            <w:r>
              <w:t>99%</w:t>
            </w:r>
            <w:r>
              <w:rPr>
                <w:rFonts w:hint="eastAsia"/>
              </w:rPr>
              <w:t>，通过除尘，大部分粉尘被截留下来，外排废气完全可以达标，经过</w:t>
            </w:r>
            <w:r>
              <w:t>15m</w:t>
            </w:r>
            <w:r>
              <w:rPr>
                <w:rFonts w:hint="eastAsia"/>
              </w:rPr>
              <w:t>高的排气筒外排。</w:t>
            </w:r>
          </w:p>
          <w:p>
            <w:pPr>
              <w:adjustRightInd w:val="0"/>
              <w:snapToGrid w:val="0"/>
              <w:spacing w:line="480" w:lineRule="exact"/>
              <w:ind w:firstLine="480" w:firstLineChars="200"/>
            </w:pPr>
            <w:r>
              <w:rPr>
                <w:rFonts w:hint="eastAsia"/>
              </w:rPr>
              <w:t>因此，通过布袋除尘来治理抛丸废气在技术上是合理、可行。</w:t>
            </w:r>
          </w:p>
          <w:p>
            <w:pPr>
              <w:adjustRightInd w:val="0"/>
              <w:snapToGrid w:val="0"/>
              <w:spacing w:line="420" w:lineRule="exact"/>
              <w:ind w:firstLine="480" w:firstLineChars="200"/>
            </w:pPr>
            <w:r>
              <w:rPr>
                <w:rFonts w:hint="eastAsia"/>
              </w:rPr>
              <w:t>（3）环境影响分析</w:t>
            </w:r>
          </w:p>
          <w:p>
            <w:pPr>
              <w:adjustRightInd w:val="0"/>
              <w:snapToGrid w:val="0"/>
              <w:spacing w:line="480" w:lineRule="exact"/>
              <w:ind w:firstLine="480" w:firstLineChars="200"/>
              <w:rPr>
                <w:color w:val="FF0000"/>
              </w:rPr>
            </w:pPr>
            <w:r>
              <w:rPr>
                <w:rFonts w:hint="eastAsia"/>
              </w:rPr>
              <w:t>本项目该工序主要污染物为颗粒物，</w:t>
            </w:r>
            <w:r>
              <w:rPr>
                <w:rFonts w:hint="eastAsia"/>
                <w:color w:val="000000"/>
              </w:rPr>
              <w:t>本工序的喷砂机自带一台布袋除尘器，除尘器的风量取48000</w:t>
            </w:r>
            <w:r>
              <w:rPr>
                <w:color w:val="000000"/>
                <w:kern w:val="0"/>
              </w:rPr>
              <w:t>m</w:t>
            </w:r>
            <w:r>
              <w:rPr>
                <w:color w:val="000000"/>
                <w:kern w:val="0"/>
                <w:vertAlign w:val="superscript"/>
              </w:rPr>
              <w:t>3</w:t>
            </w:r>
            <w:r>
              <w:rPr>
                <w:color w:val="000000"/>
                <w:kern w:val="0"/>
              </w:rPr>
              <w:t>/h</w:t>
            </w:r>
            <w:r>
              <w:rPr>
                <w:rFonts w:hint="eastAsia"/>
                <w:color w:val="000000"/>
                <w:kern w:val="0"/>
              </w:rPr>
              <w:t>，抛丸机每天工作6h，年工作320天，其年工作时间为1920h，</w:t>
            </w:r>
            <w:r>
              <w:rPr>
                <w:color w:val="000000"/>
                <w:kern w:val="0"/>
              </w:rPr>
              <w:t>则颗粒物产生浓</w:t>
            </w:r>
            <w:r>
              <w:rPr>
                <w:kern w:val="0"/>
              </w:rPr>
              <w:t>度为</w:t>
            </w:r>
            <w:r>
              <w:rPr>
                <w:rFonts w:hint="eastAsia"/>
                <w:kern w:val="0"/>
              </w:rPr>
              <w:t>74.16</w:t>
            </w:r>
            <w:r>
              <w:rPr>
                <w:kern w:val="0"/>
              </w:rPr>
              <w:t>mg/m</w:t>
            </w:r>
            <w:r>
              <w:rPr>
                <w:kern w:val="0"/>
                <w:vertAlign w:val="superscript"/>
              </w:rPr>
              <w:t>3</w:t>
            </w:r>
            <w:r>
              <w:rPr>
                <w:rFonts w:hint="eastAsia"/>
                <w:kern w:val="0"/>
              </w:rPr>
              <w:t>；</w:t>
            </w:r>
            <w:r>
              <w:rPr>
                <w:rFonts w:hint="eastAsia"/>
                <w:color w:val="000000"/>
                <w:kern w:val="0"/>
              </w:rPr>
              <w:t>除尘器的除尘效率可达到99.9%，则除尘后的颗粒物排放浓度以10</w:t>
            </w:r>
            <w:r>
              <w:rPr>
                <w:color w:val="000000"/>
                <w:lang w:val="en-GB"/>
              </w:rPr>
              <w:t>mg/m</w:t>
            </w:r>
            <w:r>
              <w:rPr>
                <w:color w:val="000000"/>
                <w:vertAlign w:val="superscript"/>
              </w:rPr>
              <w:t>3</w:t>
            </w:r>
            <w:r>
              <w:rPr>
                <w:rFonts w:hint="eastAsia"/>
                <w:color w:val="000000"/>
              </w:rPr>
              <w:t>计算</w:t>
            </w:r>
            <w:r>
              <w:rPr>
                <w:rFonts w:hint="eastAsia"/>
                <w:color w:val="000000"/>
                <w:kern w:val="0"/>
              </w:rPr>
              <w:t>，颗粒物的排放量为0.92t/a。</w:t>
            </w:r>
            <w:r>
              <w:rPr>
                <w:rFonts w:hint="eastAsia"/>
              </w:rPr>
              <w:t>在采取集气罩+布袋除尘器+15m高排气筒的处理设施后，</w:t>
            </w:r>
            <w:r>
              <w:rPr>
                <w:rFonts w:hint="eastAsia"/>
                <w:color w:val="000000"/>
                <w:spacing w:val="4"/>
              </w:rPr>
              <w:t>喷砂房粉尘</w:t>
            </w:r>
            <w:r>
              <w:rPr>
                <w:color w:val="000000"/>
                <w:spacing w:val="4"/>
              </w:rPr>
              <w:t>排放浓度能够满</w:t>
            </w:r>
            <w:r>
              <w:rPr>
                <w:spacing w:val="4"/>
              </w:rPr>
              <w:t>足</w:t>
            </w:r>
            <w:r>
              <w:rPr>
                <w:rFonts w:hint="eastAsia"/>
              </w:rPr>
              <w:t>《</w:t>
            </w:r>
            <w:r>
              <w:t>长治市工业企业无组织排放治理实施方案》（长气防办【2019】9号）</w:t>
            </w:r>
            <w:r>
              <w:rPr>
                <w:rFonts w:hint="eastAsia"/>
              </w:rPr>
              <w:t>中的相关要求</w:t>
            </w:r>
            <w:r>
              <w:rPr>
                <w:rFonts w:hint="eastAsia"/>
                <w:spacing w:val="4"/>
              </w:rPr>
              <w:t>，</w:t>
            </w:r>
            <w:r>
              <w:rPr>
                <w:rFonts w:hint="eastAsia"/>
              </w:rPr>
              <w:t>项目建成后对周边环境的影响较小。</w:t>
            </w:r>
          </w:p>
          <w:p>
            <w:pPr>
              <w:pStyle w:val="2"/>
              <w:spacing w:line="480" w:lineRule="exact"/>
              <w:rPr>
                <w:rFonts w:ascii="Times New Roman" w:hAnsi="Times New Roman" w:cs="Times New Roman"/>
              </w:rPr>
            </w:pPr>
            <w:r>
              <w:rPr>
                <w:rFonts w:hint="eastAsia" w:ascii="Times New Roman" w:hAnsi="Times New Roman" w:cs="Times New Roman"/>
              </w:rPr>
              <w:t>3、</w:t>
            </w:r>
            <w:r>
              <w:rPr>
                <w:rFonts w:ascii="Times New Roman" w:hAnsi="Times New Roman" w:cs="Times New Roman"/>
              </w:rPr>
              <w:t>喷漆</w:t>
            </w:r>
            <w:r>
              <w:rPr>
                <w:rFonts w:hint="eastAsia" w:ascii="Times New Roman" w:hAnsi="Times New Roman" w:cs="Times New Roman"/>
              </w:rPr>
              <w:t>工序和烘干工序产生的废气</w:t>
            </w:r>
          </w:p>
          <w:p>
            <w:pPr>
              <w:adjustRightInd w:val="0"/>
              <w:snapToGrid w:val="0"/>
              <w:spacing w:line="480" w:lineRule="exact"/>
              <w:ind w:firstLine="480" w:firstLineChars="200"/>
              <w:rPr>
                <w:color w:val="000000"/>
              </w:rPr>
            </w:pPr>
            <w:r>
              <w:rPr>
                <w:rFonts w:hint="eastAsia"/>
                <w:color w:val="000000"/>
              </w:rPr>
              <w:t>（1）源强计算</w:t>
            </w:r>
          </w:p>
          <w:p>
            <w:pPr>
              <w:adjustRightInd w:val="0"/>
              <w:snapToGrid w:val="0"/>
              <w:spacing w:line="480" w:lineRule="exact"/>
              <w:ind w:firstLine="480" w:firstLineChars="200"/>
              <w:rPr>
                <w:color w:val="000000"/>
              </w:rPr>
            </w:pPr>
            <w:r>
              <w:rPr>
                <w:rFonts w:hint="eastAsia"/>
                <w:color w:val="000000"/>
              </w:rPr>
              <w:t>1）喷漆废气源强计算</w:t>
            </w:r>
          </w:p>
          <w:p>
            <w:pPr>
              <w:adjustRightInd w:val="0"/>
              <w:snapToGrid w:val="0"/>
              <w:spacing w:line="480" w:lineRule="exact"/>
              <w:ind w:firstLine="480" w:firstLineChars="200"/>
              <w:rPr>
                <w:color w:val="000000"/>
              </w:rPr>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，联合厂房二里</w:t>
            </w:r>
            <w:r>
              <w:rPr>
                <w:color w:val="000000"/>
              </w:rPr>
              <w:t>设1座全封闭式喷漆</w:t>
            </w:r>
            <w:r>
              <w:rPr>
                <w:rFonts w:hint="eastAsia"/>
                <w:color w:val="000000"/>
              </w:rPr>
              <w:t>和烤漆一体的喷漆房</w:t>
            </w:r>
            <w:r>
              <w:rPr>
                <w:color w:val="000000"/>
              </w:rPr>
              <w:t>，喷漆房设计容积为</w:t>
            </w:r>
            <w:r>
              <w:rPr>
                <w:rFonts w:hint="eastAsia"/>
                <w:color w:val="000000"/>
              </w:rPr>
              <w:t>810</w:t>
            </w:r>
            <w:r>
              <w:rPr>
                <w:color w:val="000000"/>
              </w:rPr>
              <w:t>m</w:t>
            </w:r>
            <w:r>
              <w:rPr>
                <w:color w:val="000000"/>
                <w:vertAlign w:val="superscript"/>
              </w:rPr>
              <w:t>3</w:t>
            </w:r>
            <w:r>
              <w:rPr>
                <w:color w:val="000000"/>
              </w:rPr>
              <w:t>（18×</w:t>
            </w:r>
            <w:r>
              <w:rPr>
                <w:rFonts w:hint="eastAsia"/>
                <w:color w:val="000000"/>
              </w:rPr>
              <w:t>7.5</w:t>
            </w:r>
            <w:r>
              <w:rPr>
                <w:color w:val="000000"/>
              </w:rPr>
              <w:t>×</w:t>
            </w:r>
            <w:r>
              <w:rPr>
                <w:rFonts w:hint="eastAsia"/>
                <w:color w:val="000000"/>
              </w:rPr>
              <w:t>6</w:t>
            </w:r>
            <w:r>
              <w:rPr>
                <w:color w:val="000000"/>
              </w:rPr>
              <w:t>m）。中小型喷漆室控制风速范围在</w:t>
            </w:r>
            <w:r>
              <w:rPr>
                <w:rFonts w:hint="eastAsia"/>
                <w:color w:val="000000"/>
              </w:rPr>
              <w:t>0.67-0.89</w:t>
            </w:r>
            <w:r>
              <w:rPr>
                <w:color w:val="000000"/>
              </w:rPr>
              <w:t>m/s的要求。</w:t>
            </w:r>
            <w:r>
              <w:rPr>
                <w:rFonts w:hint="eastAsia"/>
                <w:color w:val="000000"/>
              </w:rPr>
              <w:t>本项目的喷漆房风速选取0.75m/s，本项目的喷漆室门的设计尺寸为5×4m，则本工序风机的风量为0.75×5×4×3600=54000m</w:t>
            </w:r>
            <w:r>
              <w:rPr>
                <w:rFonts w:hint="eastAsia"/>
                <w:color w:val="000000"/>
                <w:vertAlign w:val="superscript"/>
              </w:rPr>
              <w:t>3</w:t>
            </w:r>
            <w:r>
              <w:rPr>
                <w:rFonts w:hint="eastAsia"/>
                <w:color w:val="000000"/>
              </w:rPr>
              <w:t>/h。非甲烷总烃</w:t>
            </w:r>
            <w:r>
              <w:rPr>
                <w:color w:val="000000"/>
              </w:rPr>
              <w:t>的产污系数为135千克/吨-原料。</w:t>
            </w:r>
          </w:p>
          <w:p>
            <w:pPr>
              <w:adjustRightInd w:val="0"/>
              <w:snapToGrid w:val="0"/>
              <w:spacing w:line="480" w:lineRule="exact"/>
              <w:ind w:firstLine="480" w:firstLineChars="200"/>
              <w:rPr>
                <w:color w:val="000000"/>
              </w:rPr>
            </w:pPr>
            <w:r>
              <w:rPr>
                <w:rFonts w:hint="eastAsia"/>
                <w:color w:val="000000"/>
              </w:rPr>
              <w:t>根据计算本工序年使用水性漆15.36t，年工作320天，每天工作4h，</w:t>
            </w:r>
            <w:r>
              <w:rPr>
                <w:color w:val="000000"/>
              </w:rPr>
              <w:t>则喷漆房的废气产生量为</w:t>
            </w:r>
            <w:r>
              <w:rPr>
                <w:rFonts w:hint="eastAsia"/>
                <w:color w:val="000000"/>
              </w:rPr>
              <w:t>69120000</w:t>
            </w:r>
            <w:r>
              <w:rPr>
                <w:color w:val="000000"/>
              </w:rPr>
              <w:t>m</w:t>
            </w:r>
            <w:r>
              <w:rPr>
                <w:color w:val="000000"/>
                <w:vertAlign w:val="superscript"/>
              </w:rPr>
              <w:t>3</w:t>
            </w:r>
            <w:r>
              <w:rPr>
                <w:color w:val="000000"/>
              </w:rPr>
              <w:t>，</w:t>
            </w:r>
            <w:r>
              <w:rPr>
                <w:rFonts w:hint="eastAsia"/>
                <w:color w:val="000000"/>
              </w:rPr>
              <w:t>非甲烷总烃</w:t>
            </w:r>
            <w:r>
              <w:rPr>
                <w:color w:val="000000"/>
              </w:rPr>
              <w:t>的产生量为</w:t>
            </w:r>
            <w:r>
              <w:rPr>
                <w:rFonts w:hint="eastAsia"/>
                <w:color w:val="000000"/>
              </w:rPr>
              <w:t>2.07</w:t>
            </w:r>
            <w:r>
              <w:rPr>
                <w:color w:val="000000"/>
              </w:rPr>
              <w:t>t</w:t>
            </w:r>
            <w:r>
              <w:rPr>
                <w:rFonts w:hint="eastAsia"/>
                <w:color w:val="000000"/>
              </w:rPr>
              <w:t>。</w:t>
            </w:r>
          </w:p>
          <w:p>
            <w:pPr>
              <w:adjustRightInd w:val="0"/>
              <w:snapToGrid w:val="0"/>
              <w:spacing w:line="480" w:lineRule="exact"/>
              <w:ind w:firstLine="480" w:firstLineChars="200"/>
            </w:pPr>
            <w:r>
              <w:rPr>
                <w:rFonts w:hint="eastAsia"/>
              </w:rPr>
              <w:t>2）烘干废气源强计算</w:t>
            </w:r>
          </w:p>
          <w:p>
            <w:pPr>
              <w:adjustRightInd w:val="0"/>
              <w:snapToGrid w:val="0"/>
              <w:spacing w:line="480" w:lineRule="exact"/>
              <w:ind w:firstLine="480" w:firstLineChars="200"/>
              <w:rPr>
                <w:color w:val="000000"/>
              </w:rPr>
            </w:pPr>
            <w:r>
              <w:rPr>
                <w:color w:val="000000"/>
              </w:rPr>
              <w:t>根据《排放源统计调查产排污核算方法和系数手册》中</w:t>
            </w:r>
            <w:r>
              <w:rPr>
                <w:rFonts w:hint="eastAsia"/>
                <w:color w:val="000000"/>
              </w:rPr>
              <w:t>33-37、431-434机械行业系数手册中的</w:t>
            </w:r>
            <w:r>
              <w:rPr>
                <w:color w:val="000000"/>
              </w:rPr>
              <w:t>金属制品制造</w:t>
            </w:r>
            <w:r>
              <w:rPr>
                <w:rFonts w:hint="eastAsia"/>
                <w:color w:val="000000"/>
              </w:rPr>
              <w:t>业</w:t>
            </w:r>
            <w:r>
              <w:rPr>
                <w:color w:val="000000"/>
              </w:rPr>
              <w:t>中</w:t>
            </w:r>
            <w:r>
              <w:rPr>
                <w:rFonts w:hint="eastAsia"/>
                <w:color w:val="000000"/>
              </w:rPr>
              <w:t>，</w:t>
            </w:r>
            <w:r>
              <w:rPr>
                <w:color w:val="000000"/>
              </w:rPr>
              <w:t>烘干的工业废气量产污系数为108126立方米/吨-原料，</w:t>
            </w:r>
            <w:r>
              <w:rPr>
                <w:rFonts w:hint="eastAsia"/>
                <w:color w:val="000000"/>
              </w:rPr>
              <w:t>非甲烷总烃</w:t>
            </w:r>
            <w:r>
              <w:rPr>
                <w:color w:val="000000"/>
              </w:rPr>
              <w:t>的产污系数为15千克/吨-原料。</w:t>
            </w:r>
          </w:p>
          <w:p>
            <w:pPr>
              <w:adjustRightInd w:val="0"/>
              <w:snapToGrid w:val="0"/>
              <w:spacing w:line="480" w:lineRule="exact"/>
              <w:ind w:firstLine="480" w:firstLineChars="200"/>
            </w:pPr>
            <w:r>
              <w:rPr>
                <w:rFonts w:hint="eastAsia"/>
                <w:color w:val="000000"/>
              </w:rPr>
              <w:t>根据计算本工序年使</w:t>
            </w:r>
            <w:r>
              <w:rPr>
                <w:rFonts w:hint="eastAsia"/>
              </w:rPr>
              <w:t>用水性漆15.36t，</w:t>
            </w:r>
            <w:r>
              <w:t>烘干的废气产生量为</w:t>
            </w:r>
            <w:r>
              <w:rPr>
                <w:rFonts w:hint="eastAsia"/>
              </w:rPr>
              <w:t>1660815</w:t>
            </w:r>
            <w:r>
              <w:t>m</w:t>
            </w:r>
            <w:r>
              <w:rPr>
                <w:vertAlign w:val="superscript"/>
              </w:rPr>
              <w:t>3</w:t>
            </w:r>
            <w:r>
              <w:t>，</w:t>
            </w:r>
            <w:r>
              <w:rPr>
                <w:rFonts w:hint="eastAsia"/>
              </w:rPr>
              <w:t>即1298m</w:t>
            </w:r>
            <w:r>
              <w:rPr>
                <w:rFonts w:hint="eastAsia"/>
                <w:vertAlign w:val="superscript"/>
              </w:rPr>
              <w:t>3</w:t>
            </w:r>
            <w:r>
              <w:rPr>
                <w:rFonts w:hint="eastAsia"/>
              </w:rPr>
              <w:t>/h，</w:t>
            </w:r>
            <w:r>
              <w:rPr>
                <w:rFonts w:hint="eastAsia"/>
                <w:color w:val="000000"/>
              </w:rPr>
              <w:t>非甲烷总烃</w:t>
            </w:r>
            <w:r>
              <w:rPr>
                <w:color w:val="000000"/>
              </w:rPr>
              <w:t>的产生量为</w:t>
            </w:r>
            <w:r>
              <w:rPr>
                <w:rFonts w:hint="eastAsia"/>
                <w:color w:val="000000"/>
              </w:rPr>
              <w:t>0.23</w:t>
            </w:r>
            <w:r>
              <w:rPr>
                <w:color w:val="000000"/>
              </w:rPr>
              <w:t>t</w:t>
            </w:r>
            <w:r>
              <w:rPr>
                <w:rFonts w:hint="eastAsia"/>
                <w:color w:val="000000"/>
              </w:rPr>
              <w:t>。</w:t>
            </w:r>
          </w:p>
          <w:p>
            <w:pPr>
              <w:adjustRightInd w:val="0"/>
              <w:snapToGrid w:val="0"/>
              <w:spacing w:line="480" w:lineRule="exact"/>
              <w:ind w:firstLine="480" w:firstLineChars="200"/>
            </w:pPr>
            <w:r>
              <w:rPr>
                <w:rFonts w:hint="eastAsia"/>
              </w:rPr>
              <w:t>（2）</w:t>
            </w:r>
            <w:r>
              <w:t>治理措施</w:t>
            </w:r>
          </w:p>
          <w:p>
            <w:pPr>
              <w:adjustRightInd w:val="0"/>
              <w:snapToGrid w:val="0"/>
              <w:spacing w:line="480" w:lineRule="exact"/>
              <w:ind w:firstLine="480" w:firstLineChars="200"/>
            </w:pPr>
            <w:r>
              <w:rPr>
                <w:rFonts w:hint="eastAsia"/>
                <w:color w:val="000000"/>
              </w:rPr>
              <w:t>喷漆房采用一套预处理装置+活性炭吸附脱附</w:t>
            </w:r>
            <w:r>
              <w:rPr>
                <w:color w:val="000000"/>
              </w:rPr>
              <w:t>+催化燃烧设施来处理废气</w:t>
            </w:r>
            <w:r>
              <w:rPr>
                <w:rFonts w:hint="eastAsia"/>
                <w:color w:val="000000"/>
              </w:rPr>
              <w:t>，经计算，本项目的喷漆房需风量为1298+54000=55298</w:t>
            </w:r>
            <w:r>
              <w:rPr>
                <w:color w:val="000000"/>
              </w:rPr>
              <w:t>m</w:t>
            </w:r>
            <w:r>
              <w:rPr>
                <w:rFonts w:hint="eastAsia"/>
                <w:color w:val="000000"/>
                <w:vertAlign w:val="superscript"/>
              </w:rPr>
              <w:t>3</w:t>
            </w:r>
            <w:r>
              <w:rPr>
                <w:rFonts w:hint="eastAsia"/>
                <w:color w:val="000000"/>
              </w:rPr>
              <w:t>/h，因此本项目喷漆房的装置风量取60000</w:t>
            </w:r>
            <w:r>
              <w:rPr>
                <w:color w:val="000000"/>
              </w:rPr>
              <w:t>m</w:t>
            </w:r>
            <w:r>
              <w:rPr>
                <w:rFonts w:hint="eastAsia"/>
                <w:color w:val="000000"/>
                <w:vertAlign w:val="superscript"/>
              </w:rPr>
              <w:t>3</w:t>
            </w:r>
            <w:r>
              <w:rPr>
                <w:rFonts w:hint="eastAsia"/>
                <w:color w:val="000000"/>
              </w:rPr>
              <w:t>/h。其中水性漆调配和喷漆烤漆在同一个喷漆房内，喷漆房</w:t>
            </w:r>
            <w:r>
              <w:rPr>
                <w:rFonts w:hint="eastAsia" w:ascii="宋体" w:hAnsi="宋体"/>
                <w:color w:val="000000"/>
              </w:rPr>
              <w:t>采用顶部送风，</w:t>
            </w:r>
            <w:r>
              <w:rPr>
                <w:color w:val="000000"/>
              </w:rPr>
              <w:t>底部排风</w:t>
            </w:r>
            <w:r>
              <w:rPr>
                <w:rFonts w:hint="eastAsia" w:ascii="宋体" w:hAnsi="宋体"/>
                <w:color w:val="000000"/>
              </w:rPr>
              <w:t>的方式</w:t>
            </w:r>
            <w:r>
              <w:rPr>
                <w:color w:val="000000"/>
              </w:rPr>
              <w:t>，总排风量为</w:t>
            </w:r>
            <w:r>
              <w:rPr>
                <w:rFonts w:hint="eastAsia"/>
                <w:color w:val="000000"/>
              </w:rPr>
              <w:t>60</w:t>
            </w:r>
            <w:r>
              <w:rPr>
                <w:color w:val="000000"/>
              </w:rPr>
              <w:t>000m</w:t>
            </w:r>
            <w:r>
              <w:rPr>
                <w:color w:val="000000"/>
                <w:vertAlign w:val="superscript"/>
              </w:rPr>
              <w:t>3</w:t>
            </w:r>
            <w:r>
              <w:rPr>
                <w:color w:val="000000"/>
              </w:rPr>
              <w:t>/h，通过送风量和排风量的差异使喷漆房内形成微负压，使废气排出</w:t>
            </w:r>
            <w:r>
              <w:rPr>
                <w:rFonts w:hint="eastAsia"/>
                <w:color w:val="000000"/>
              </w:rPr>
              <w:t>；烘干时采用电烘干，产生的废气，经催化燃烧装置处理。处理后的废气经1根15m高排气筒</w:t>
            </w:r>
            <w:r>
              <w:rPr>
                <w:rFonts w:hint="eastAsia"/>
                <w:color w:val="000000" w:themeColor="text1"/>
              </w:rPr>
              <w:t>（DA003）排</w:t>
            </w:r>
            <w:r>
              <w:rPr>
                <w:rFonts w:hint="eastAsia"/>
                <w:color w:val="000000"/>
              </w:rPr>
              <w:t>放。</w:t>
            </w:r>
            <w:r>
              <w:rPr>
                <w:rFonts w:hint="eastAsia"/>
              </w:rPr>
              <w:t>本工序采取的</w:t>
            </w:r>
            <w:r>
              <w:t>“</w:t>
            </w:r>
            <w:r>
              <w:rPr>
                <w:rFonts w:hint="eastAsia"/>
                <w:color w:val="000000"/>
              </w:rPr>
              <w:t>预处理装置+活性炭吸附脱附</w:t>
            </w:r>
            <w:r>
              <w:rPr>
                <w:color w:val="000000"/>
              </w:rPr>
              <w:t>+催化燃烧</w:t>
            </w:r>
            <w:r>
              <w:rPr>
                <w:rFonts w:hint="eastAsia"/>
              </w:rPr>
              <w:t>+15m高排气筒</w:t>
            </w:r>
            <w:r>
              <w:t>”</w:t>
            </w:r>
            <w:r>
              <w:rPr>
                <w:rFonts w:hint="eastAsia"/>
              </w:rPr>
              <w:t>，可在一定程度上减少了对环境的影响</w:t>
            </w:r>
            <w:r>
              <w:t>。</w:t>
            </w:r>
          </w:p>
          <w:p>
            <w:pPr>
              <w:adjustRightInd w:val="0"/>
              <w:snapToGrid w:val="0"/>
              <w:spacing w:line="480" w:lineRule="exact"/>
              <w:ind w:firstLine="480" w:firstLineChars="200"/>
              <w:rPr>
                <w:color w:val="000000"/>
              </w:rPr>
            </w:pPr>
            <w:r>
              <w:rPr>
                <w:rFonts w:hint="eastAsia"/>
                <w:color w:val="000000"/>
              </w:rPr>
              <w:t>催化燃烧设备原理：有机废气先通过干式过滤，将废气中颗粒状污染物截留去除，然后进入吸附床进行吸附，利用蜂窝状活性炭将有机溶剂吸附在活性炭表面，处理后的洁净气体经过风机、烟囱高空排放。活性炭经过吸附运行一段时间后达到饱和，启动系统的脱附催化燃烧过程，通过热气流将原来已经吸附在活性炭表面的有机溶剂脱附出来，并经过催化燃烧反应转化成二氧化碳和水蒸气等无害物质，并放出热量，反应产生的热量经过热交换部分回用到脱附热气流中，当脱附达到一定程度时释放热，使脱附加热达到平衡，系统在不借助外加热的情况下完成脱附再生过程。</w:t>
            </w:r>
          </w:p>
          <w:p>
            <w:pPr>
              <w:adjustRightInd w:val="0"/>
              <w:snapToGrid w:val="0"/>
              <w:spacing w:line="480" w:lineRule="exact"/>
              <w:ind w:firstLine="480" w:firstLineChars="200"/>
            </w:pPr>
            <w:r>
              <w:rPr>
                <w:rFonts w:hint="eastAsia"/>
              </w:rPr>
              <w:t>（3）环境影响分析</w:t>
            </w:r>
          </w:p>
          <w:p>
            <w:pPr>
              <w:adjustRightInd w:val="0"/>
              <w:snapToGrid w:val="0"/>
              <w:spacing w:line="480" w:lineRule="exact"/>
              <w:ind w:firstLine="480" w:firstLineChars="200"/>
              <w:rPr>
                <w:color w:val="000000"/>
              </w:rPr>
            </w:pPr>
            <w:r>
              <w:rPr>
                <w:rFonts w:hint="eastAsia"/>
              </w:rPr>
              <w:t>本项目该工序主要污染物为非甲烷总烃，</w:t>
            </w:r>
            <w:r>
              <w:rPr>
                <w:rFonts w:hint="eastAsia"/>
                <w:color w:val="000000"/>
              </w:rPr>
              <w:t>本工序的喷漆房产生的废气经1套风量为60000</w:t>
            </w:r>
            <w:r>
              <w:rPr>
                <w:color w:val="000000"/>
              </w:rPr>
              <w:t>m</w:t>
            </w:r>
            <w:r>
              <w:rPr>
                <w:color w:val="000000"/>
                <w:vertAlign w:val="superscript"/>
              </w:rPr>
              <w:t>3</w:t>
            </w:r>
            <w:r>
              <w:rPr>
                <w:color w:val="000000"/>
              </w:rPr>
              <w:t>/h</w:t>
            </w:r>
            <w:r>
              <w:rPr>
                <w:rFonts w:hint="eastAsia"/>
                <w:color w:val="000000"/>
              </w:rPr>
              <w:t>的预处理装置（过滤棉）+活性炭吸附脱附</w:t>
            </w:r>
            <w:r>
              <w:rPr>
                <w:color w:val="000000"/>
              </w:rPr>
              <w:t>+催化燃烧设施</w:t>
            </w:r>
            <w:r>
              <w:rPr>
                <w:rFonts w:hint="eastAsia"/>
                <w:color w:val="000000"/>
              </w:rPr>
              <w:t>处理，喷漆室年工作时间为320天，每天工作4h，催化燃烧的净化效率为90%，本项目的</w:t>
            </w:r>
            <w:r>
              <w:rPr>
                <w:rFonts w:hint="eastAsia"/>
              </w:rPr>
              <w:t>非甲烷总烃的产生量为2.30t/a，产生浓度为29.94mg/m</w:t>
            </w:r>
            <w:r>
              <w:rPr>
                <w:rFonts w:hint="eastAsia"/>
                <w:vertAlign w:val="superscript"/>
              </w:rPr>
              <w:t>3</w:t>
            </w:r>
            <w:r>
              <w:rPr>
                <w:rFonts w:hint="eastAsia"/>
              </w:rPr>
              <w:t>，</w:t>
            </w:r>
            <w:r>
              <w:rPr>
                <w:color w:val="000000"/>
              </w:rPr>
              <w:t>经处</w:t>
            </w:r>
            <w:r>
              <w:rPr>
                <w:rFonts w:hint="eastAsia"/>
                <w:color w:val="000000"/>
              </w:rPr>
              <w:t>理后非甲烷总烃的排放量为0.23t/a</w:t>
            </w:r>
            <w:r>
              <w:rPr>
                <w:rFonts w:hint="eastAsia"/>
                <w:color w:val="000000"/>
                <w:kern w:val="0"/>
              </w:rPr>
              <w:t>。</w:t>
            </w:r>
            <w:r>
              <w:rPr>
                <w:rFonts w:hint="eastAsia"/>
              </w:rPr>
              <w:t>在采取措施后，非甲烷总烃</w:t>
            </w:r>
            <w:r>
              <w:rPr>
                <w:color w:val="000000"/>
                <w:spacing w:val="4"/>
              </w:rPr>
              <w:t>排放浓度能够满足</w:t>
            </w:r>
            <w:r>
              <w:rPr>
                <w:rFonts w:hint="eastAsia"/>
                <w:bCs/>
                <w:color w:val="000000"/>
              </w:rPr>
              <w:t>《长治市环境保护局关于进一步加强重点行业挥发性有机物（VOCS）污染治理的通知》中工业涂装</w:t>
            </w:r>
            <w:r>
              <w:rPr>
                <w:bCs/>
                <w:color w:val="000000"/>
              </w:rPr>
              <w:t>表</w:t>
            </w:r>
            <w:r>
              <w:rPr>
                <w:rFonts w:hint="eastAsia"/>
                <w:bCs/>
                <w:color w:val="000000"/>
              </w:rPr>
              <w:t>一</w:t>
            </w:r>
            <w:r>
              <w:rPr>
                <w:bCs/>
                <w:color w:val="000000"/>
              </w:rPr>
              <w:t>中</w:t>
            </w:r>
            <w:r>
              <w:rPr>
                <w:rFonts w:hint="eastAsia"/>
                <w:bCs/>
                <w:color w:val="000000"/>
              </w:rPr>
              <w:t>有组织源排放限值、边界排放限值</w:t>
            </w:r>
            <w:r>
              <w:rPr>
                <w:rFonts w:hint="eastAsia"/>
                <w:color w:val="000000"/>
              </w:rPr>
              <w:t>。</w:t>
            </w:r>
            <w:r>
              <w:rPr>
                <w:rFonts w:hint="eastAsia"/>
              </w:rPr>
              <w:t>项目建成后对周边环境的影响较小。</w:t>
            </w:r>
          </w:p>
          <w:p>
            <w:pPr>
              <w:adjustRightInd w:val="0"/>
              <w:snapToGrid w:val="0"/>
              <w:spacing w:line="480" w:lineRule="exact"/>
              <w:ind w:firstLine="480" w:firstLineChars="200"/>
              <w:rPr>
                <w:color w:val="000000"/>
              </w:rPr>
            </w:pPr>
            <w:r>
              <w:rPr>
                <w:color w:val="000000"/>
              </w:rPr>
              <w:t>根据《重点行业挥发性有机物综合治理方案》（三）中工业涂装VOCs综合治理。加大汽车、家具、集装箱、电子产品、工程机械等行业VOCs治理力度，重点区域应结合本地产业特征，加快实施其他行业涂装VOCs综合治理；推进建设适宜高效的治污设施，喷涂废气应设置高效漆雾处理装置，喷涂、烤干废气宜采用</w:t>
            </w:r>
            <w:r>
              <w:rPr>
                <w:rFonts w:hint="eastAsia"/>
                <w:color w:val="000000"/>
              </w:rPr>
              <w:t>吸附脱附</w:t>
            </w:r>
            <w:r>
              <w:rPr>
                <w:color w:val="000000"/>
              </w:rPr>
              <w:t>浓缩+燃烧处理方式。根据《挥发性有机物无组织排放控制标准》（GB37822-2019）中要求涂装行业应在封闭空间内操作，废气应排至VOCs废气收集处理系统中。</w:t>
            </w:r>
            <w:r>
              <w:rPr>
                <w:rFonts w:hint="eastAsia"/>
                <w:color w:val="000000"/>
              </w:rPr>
              <w:t>联合厂房二</w:t>
            </w:r>
            <w:r>
              <w:rPr>
                <w:color w:val="000000"/>
              </w:rPr>
              <w:t>设1座全封闭式喷漆房</w:t>
            </w:r>
            <w:r>
              <w:rPr>
                <w:rFonts w:hint="eastAsia"/>
                <w:color w:val="000000"/>
              </w:rPr>
              <w:t>，</w:t>
            </w:r>
            <w:r>
              <w:rPr>
                <w:color w:val="000000"/>
              </w:rPr>
              <w:t>喷漆房设计容积为</w:t>
            </w:r>
            <w:r>
              <w:rPr>
                <w:rFonts w:hint="eastAsia"/>
                <w:color w:val="000000"/>
              </w:rPr>
              <w:t>810</w:t>
            </w:r>
            <w:r>
              <w:rPr>
                <w:color w:val="000000"/>
              </w:rPr>
              <w:t>m</w:t>
            </w:r>
            <w:r>
              <w:rPr>
                <w:color w:val="000000"/>
                <w:vertAlign w:val="superscript"/>
              </w:rPr>
              <w:t>3</w:t>
            </w:r>
            <w:r>
              <w:rPr>
                <w:color w:val="000000"/>
              </w:rPr>
              <w:t>（18×</w:t>
            </w:r>
            <w:r>
              <w:rPr>
                <w:rFonts w:hint="eastAsia"/>
                <w:color w:val="000000"/>
              </w:rPr>
              <w:t>7.5</w:t>
            </w:r>
            <w:r>
              <w:rPr>
                <w:color w:val="000000"/>
              </w:rPr>
              <w:t>×</w:t>
            </w:r>
            <w:r>
              <w:rPr>
                <w:rFonts w:hint="eastAsia"/>
                <w:color w:val="000000"/>
              </w:rPr>
              <w:t>6</w:t>
            </w:r>
            <w:r>
              <w:rPr>
                <w:color w:val="000000"/>
              </w:rPr>
              <w:t>m）。结构分为：喷漆房、送风装置、漆雾处理装置、加热装置、废气处理装置、电气控制等。</w:t>
            </w:r>
            <w:r>
              <w:rPr>
                <w:rFonts w:hint="eastAsia"/>
                <w:color w:val="000000"/>
              </w:rPr>
              <w:t>喷漆和烤漆均在喷漆室进行</w:t>
            </w:r>
            <w:r>
              <w:rPr>
                <w:color w:val="000000"/>
              </w:rPr>
              <w:t>，环评要求建设单位定期对喷漆房进行换风，喷漆房风速应满足《涂装作业安全规程 喷漆室安全技术规定》（GB14444-2006）表1中中小型喷漆室控制风速范围在0.67~0.89m/s的要求。喷漆房采用上送风下排风系统，送风温度15~25℃（夏季送风为常温），经过送风系统过滤，具有较高的洁净度，充分保证漆膜质量，室体顶部设有均压层，使喷漆房内形成均匀向下的层压气流，可防止漆雾飞散。在喷漆时，室外新鲜空气以均匀的风速进入到喷漆房内，喷漆产生的废气经“</w:t>
            </w:r>
            <w:r>
              <w:rPr>
                <w:rFonts w:hint="eastAsia"/>
                <w:color w:val="000000"/>
              </w:rPr>
              <w:t>预处理装置</w:t>
            </w:r>
            <w:r>
              <w:rPr>
                <w:color w:val="000000"/>
              </w:rPr>
              <w:t>+活性炭</w:t>
            </w:r>
            <w:r>
              <w:rPr>
                <w:rFonts w:hint="eastAsia"/>
                <w:color w:val="000000"/>
              </w:rPr>
              <w:t>吸附脱附</w:t>
            </w:r>
            <w:r>
              <w:rPr>
                <w:color w:val="000000"/>
              </w:rPr>
              <w:t>+催化燃烧装置”的方式进行处理，最后经1根1</w:t>
            </w:r>
            <w:r>
              <w:rPr>
                <w:rFonts w:hint="eastAsia"/>
                <w:color w:val="000000"/>
              </w:rPr>
              <w:t>5</w:t>
            </w:r>
            <w:r>
              <w:rPr>
                <w:color w:val="000000"/>
              </w:rPr>
              <w:t>m高的排气</w:t>
            </w:r>
            <w:r>
              <w:t>筒</w:t>
            </w:r>
            <w:r>
              <w:rPr>
                <w:rFonts w:hint="eastAsia"/>
              </w:rPr>
              <w:t>（DA003）</w:t>
            </w:r>
            <w:r>
              <w:t>排</w:t>
            </w:r>
            <w:r>
              <w:rPr>
                <w:color w:val="000000"/>
              </w:rPr>
              <w:t>放，处理风量为</w:t>
            </w:r>
            <w:r>
              <w:rPr>
                <w:rFonts w:hint="eastAsia"/>
                <w:color w:val="000000"/>
              </w:rPr>
              <w:t>60000</w:t>
            </w:r>
            <w:r>
              <w:rPr>
                <w:color w:val="000000"/>
              </w:rPr>
              <w:t>m</w:t>
            </w:r>
            <w:r>
              <w:rPr>
                <w:color w:val="000000"/>
                <w:vertAlign w:val="superscript"/>
              </w:rPr>
              <w:t>3</w:t>
            </w:r>
            <w:r>
              <w:rPr>
                <w:color w:val="000000"/>
              </w:rPr>
              <w:t>/h。</w:t>
            </w:r>
          </w:p>
          <w:p>
            <w:pPr>
              <w:pStyle w:val="91"/>
              <w:tabs>
                <w:tab w:val="left" w:pos="889"/>
              </w:tabs>
              <w:spacing w:line="480" w:lineRule="exact"/>
              <w:ind w:left="0" w:firstLine="0"/>
              <w:jc w:val="left"/>
              <w:rPr>
                <w:rFonts w:ascii="Times New Roman" w:hAnsi="Times New Roman" w:cs="Times New Roman"/>
                <w:color w:val="000000" w:themeColor="text1"/>
              </w:rPr>
            </w:pPr>
            <w:r>
              <w:rPr>
                <w:rFonts w:hint="eastAsia" w:ascii="Times New Roman" w:hAnsi="Times New Roman" w:cs="Times New Roman"/>
                <w:color w:val="000000" w:themeColor="text1"/>
                <w:spacing w:val="-11"/>
              </w:rPr>
              <w:t>4、</w:t>
            </w:r>
            <w:r>
              <w:rPr>
                <w:rFonts w:ascii="Times New Roman" w:hAnsi="Times New Roman" w:cs="Times New Roman"/>
                <w:color w:val="000000" w:themeColor="text1"/>
                <w:spacing w:val="-11"/>
              </w:rPr>
              <w:t>食堂油烟</w:t>
            </w:r>
          </w:p>
          <w:p>
            <w:pPr>
              <w:adjustRightInd w:val="0"/>
              <w:snapToGrid w:val="0"/>
              <w:spacing w:line="480" w:lineRule="exact"/>
              <w:ind w:firstLine="480" w:firstLineChars="200"/>
              <w:rPr>
                <w:color w:val="000000"/>
              </w:rPr>
            </w:pPr>
            <w:r>
              <w:rPr>
                <w:color w:val="000000" w:themeColor="text1"/>
              </w:rPr>
              <w:t>项目设有食堂，食堂内共设1个基准炉灶，对照《</w:t>
            </w:r>
            <w:r>
              <w:rPr>
                <w:bCs/>
                <w:color w:val="000000" w:themeColor="text1"/>
              </w:rPr>
              <w:t>饮食业油烟排放标准》（</w:t>
            </w:r>
            <w:r>
              <w:rPr>
                <w:rFonts w:hint="eastAsia"/>
                <w:bCs/>
                <w:color w:val="000000" w:themeColor="text1"/>
              </w:rPr>
              <w:t>GB18483-2001</w:t>
            </w:r>
            <w:r>
              <w:rPr>
                <w:bCs/>
                <w:color w:val="000000" w:themeColor="text1"/>
              </w:rPr>
              <w:t>），本项目饮食业单位的规模为小型</w:t>
            </w:r>
            <w:r>
              <w:rPr>
                <w:color w:val="000000" w:themeColor="text1"/>
              </w:rPr>
              <w:t>。炊事过程中会产生油烟，据资料统计，人均食用油量按50g/人·d计，一般油烟挥发量占总耗油量的3%，本项目食堂主要面向院内职工，就餐的人数</w:t>
            </w:r>
            <w:r>
              <w:rPr>
                <w:rFonts w:hint="eastAsia"/>
                <w:color w:val="000000" w:themeColor="text1"/>
              </w:rPr>
              <w:t>为35</w:t>
            </w:r>
            <w:r>
              <w:rPr>
                <w:color w:val="000000" w:themeColor="text1"/>
              </w:rPr>
              <w:t>人，则油烟产生量最多为0.0</w:t>
            </w:r>
            <w:r>
              <w:rPr>
                <w:rFonts w:hint="eastAsia"/>
                <w:color w:val="000000" w:themeColor="text1"/>
              </w:rPr>
              <w:t>17</w:t>
            </w:r>
            <w:r>
              <w:rPr>
                <w:color w:val="000000" w:themeColor="text1"/>
              </w:rPr>
              <w:t>t/a。</w:t>
            </w:r>
            <w:r>
              <w:rPr>
                <w:rFonts w:hint="eastAsia"/>
                <w:color w:val="000000" w:themeColor="text1"/>
              </w:rPr>
              <w:t>油烟经油烟净化器处理后引至屋顶排放。</w:t>
            </w:r>
          </w:p>
          <w:p>
            <w:pPr>
              <w:spacing w:line="420" w:lineRule="exact"/>
              <w:jc w:val="center"/>
              <w:rPr>
                <w:b/>
                <w:bCs/>
                <w:color w:val="000000"/>
              </w:rPr>
            </w:pPr>
            <w:r>
              <w:rPr>
                <w:rFonts w:hint="eastAsia"/>
                <w:b/>
                <w:bCs/>
                <w:color w:val="000000"/>
              </w:rPr>
              <w:t>表4-5  有组织排放量一览表</w:t>
            </w:r>
          </w:p>
          <w:tbl>
            <w:tblPr>
              <w:tblStyle w:val="32"/>
              <w:tblW w:w="79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640"/>
              <w:gridCol w:w="771"/>
              <w:gridCol w:w="2950"/>
              <w:gridCol w:w="613"/>
              <w:gridCol w:w="762"/>
              <w:gridCol w:w="825"/>
              <w:gridCol w:w="7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691" w:type="dxa"/>
                  <w:vMerge w:val="restart"/>
                  <w:vAlign w:val="center"/>
                </w:tcPr>
                <w:p>
                  <w:pPr>
                    <w:spacing w:line="320" w:lineRule="exact"/>
                    <w:jc w:val="center"/>
                    <w:rPr>
                      <w:color w:val="000000"/>
                      <w:sz w:val="21"/>
                      <w:szCs w:val="21"/>
                    </w:rPr>
                  </w:pPr>
                  <w:r>
                    <w:rPr>
                      <w:rFonts w:hint="eastAsia"/>
                      <w:color w:val="000000"/>
                      <w:sz w:val="21"/>
                      <w:szCs w:val="21"/>
                    </w:rPr>
                    <w:t>产污工序</w:t>
                  </w:r>
                </w:p>
              </w:tc>
              <w:tc>
                <w:tcPr>
                  <w:tcW w:w="640" w:type="dxa"/>
                  <w:vMerge w:val="restart"/>
                  <w:vAlign w:val="center"/>
                </w:tcPr>
                <w:p>
                  <w:pPr>
                    <w:spacing w:line="320" w:lineRule="exact"/>
                    <w:jc w:val="center"/>
                    <w:rPr>
                      <w:color w:val="000000"/>
                      <w:sz w:val="21"/>
                      <w:szCs w:val="21"/>
                    </w:rPr>
                  </w:pPr>
                  <w:r>
                    <w:rPr>
                      <w:rFonts w:hint="eastAsia"/>
                      <w:color w:val="000000"/>
                      <w:sz w:val="21"/>
                      <w:szCs w:val="21"/>
                    </w:rPr>
                    <w:t>污染物类别</w:t>
                  </w:r>
                </w:p>
              </w:tc>
              <w:tc>
                <w:tcPr>
                  <w:tcW w:w="771" w:type="dxa"/>
                  <w:vMerge w:val="restart"/>
                  <w:vAlign w:val="center"/>
                </w:tcPr>
                <w:p>
                  <w:pPr>
                    <w:spacing w:line="320" w:lineRule="exact"/>
                    <w:jc w:val="center"/>
                    <w:rPr>
                      <w:color w:val="000000"/>
                      <w:sz w:val="21"/>
                      <w:szCs w:val="21"/>
                    </w:rPr>
                  </w:pPr>
                  <w:r>
                    <w:rPr>
                      <w:rFonts w:hint="eastAsia"/>
                      <w:color w:val="000000"/>
                      <w:sz w:val="21"/>
                      <w:szCs w:val="21"/>
                    </w:rPr>
                    <w:t>产生量（t/a）</w:t>
                  </w:r>
                </w:p>
              </w:tc>
              <w:tc>
                <w:tcPr>
                  <w:tcW w:w="2950" w:type="dxa"/>
                  <w:vMerge w:val="restart"/>
                  <w:vAlign w:val="center"/>
                </w:tcPr>
                <w:p>
                  <w:pPr>
                    <w:spacing w:line="320" w:lineRule="exact"/>
                    <w:jc w:val="center"/>
                    <w:rPr>
                      <w:color w:val="000000"/>
                      <w:sz w:val="21"/>
                      <w:szCs w:val="21"/>
                    </w:rPr>
                  </w:pPr>
                  <w:r>
                    <w:rPr>
                      <w:rFonts w:hint="eastAsia"/>
                      <w:color w:val="000000"/>
                      <w:sz w:val="21"/>
                      <w:szCs w:val="21"/>
                    </w:rPr>
                    <w:t>治理设施</w:t>
                  </w:r>
                </w:p>
              </w:tc>
              <w:tc>
                <w:tcPr>
                  <w:tcW w:w="613" w:type="dxa"/>
                  <w:vMerge w:val="restart"/>
                  <w:vAlign w:val="center"/>
                </w:tcPr>
                <w:p>
                  <w:pPr>
                    <w:spacing w:line="320" w:lineRule="exact"/>
                    <w:jc w:val="center"/>
                    <w:rPr>
                      <w:color w:val="000000"/>
                      <w:sz w:val="21"/>
                      <w:szCs w:val="21"/>
                    </w:rPr>
                  </w:pPr>
                  <w:r>
                    <w:rPr>
                      <w:rFonts w:hint="eastAsia"/>
                      <w:color w:val="000000"/>
                      <w:sz w:val="21"/>
                      <w:szCs w:val="21"/>
                    </w:rPr>
                    <w:t>废气量</w:t>
                  </w:r>
                </w:p>
              </w:tc>
              <w:tc>
                <w:tcPr>
                  <w:tcW w:w="762" w:type="dxa"/>
                  <w:vMerge w:val="restart"/>
                  <w:vAlign w:val="center"/>
                </w:tcPr>
                <w:p>
                  <w:pPr>
                    <w:spacing w:line="320" w:lineRule="exact"/>
                    <w:jc w:val="center"/>
                    <w:rPr>
                      <w:color w:val="000000"/>
                      <w:sz w:val="21"/>
                      <w:szCs w:val="21"/>
                    </w:rPr>
                  </w:pPr>
                  <w:r>
                    <w:rPr>
                      <w:rFonts w:hint="eastAsia"/>
                      <w:color w:val="000000"/>
                      <w:sz w:val="21"/>
                      <w:szCs w:val="21"/>
                    </w:rPr>
                    <w:t>排放时间</w:t>
                  </w:r>
                </w:p>
              </w:tc>
              <w:tc>
                <w:tcPr>
                  <w:tcW w:w="1571" w:type="dxa"/>
                  <w:gridSpan w:val="2"/>
                  <w:vAlign w:val="center"/>
                </w:tcPr>
                <w:p>
                  <w:pPr>
                    <w:spacing w:line="320" w:lineRule="exact"/>
                    <w:jc w:val="center"/>
                    <w:rPr>
                      <w:color w:val="000000"/>
                      <w:sz w:val="21"/>
                      <w:szCs w:val="21"/>
                    </w:rPr>
                  </w:pPr>
                  <w:r>
                    <w:rPr>
                      <w:rFonts w:hint="eastAsia"/>
                      <w:color w:val="000000"/>
                      <w:sz w:val="21"/>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691" w:type="dxa"/>
                  <w:vMerge w:val="continue"/>
                  <w:vAlign w:val="center"/>
                </w:tcPr>
                <w:p>
                  <w:pPr>
                    <w:spacing w:line="320" w:lineRule="exact"/>
                    <w:jc w:val="center"/>
                    <w:rPr>
                      <w:color w:val="000000"/>
                    </w:rPr>
                  </w:pPr>
                </w:p>
              </w:tc>
              <w:tc>
                <w:tcPr>
                  <w:tcW w:w="640" w:type="dxa"/>
                  <w:vMerge w:val="continue"/>
                  <w:vAlign w:val="center"/>
                </w:tcPr>
                <w:p>
                  <w:pPr>
                    <w:spacing w:line="320" w:lineRule="exact"/>
                    <w:jc w:val="center"/>
                    <w:rPr>
                      <w:color w:val="000000"/>
                    </w:rPr>
                  </w:pPr>
                </w:p>
              </w:tc>
              <w:tc>
                <w:tcPr>
                  <w:tcW w:w="771" w:type="dxa"/>
                  <w:vMerge w:val="continue"/>
                  <w:vAlign w:val="center"/>
                </w:tcPr>
                <w:p>
                  <w:pPr>
                    <w:spacing w:line="320" w:lineRule="exact"/>
                    <w:jc w:val="center"/>
                    <w:rPr>
                      <w:color w:val="000000"/>
                      <w:sz w:val="21"/>
                      <w:szCs w:val="21"/>
                    </w:rPr>
                  </w:pPr>
                </w:p>
              </w:tc>
              <w:tc>
                <w:tcPr>
                  <w:tcW w:w="2950" w:type="dxa"/>
                  <w:vMerge w:val="continue"/>
                  <w:vAlign w:val="center"/>
                </w:tcPr>
                <w:p>
                  <w:pPr>
                    <w:spacing w:line="320" w:lineRule="exact"/>
                    <w:jc w:val="center"/>
                    <w:rPr>
                      <w:color w:val="000000"/>
                      <w:sz w:val="21"/>
                      <w:szCs w:val="21"/>
                    </w:rPr>
                  </w:pPr>
                </w:p>
              </w:tc>
              <w:tc>
                <w:tcPr>
                  <w:tcW w:w="613" w:type="dxa"/>
                  <w:vMerge w:val="continue"/>
                  <w:vAlign w:val="center"/>
                </w:tcPr>
                <w:p>
                  <w:pPr>
                    <w:spacing w:line="320" w:lineRule="exact"/>
                    <w:jc w:val="center"/>
                    <w:rPr>
                      <w:color w:val="000000"/>
                      <w:sz w:val="21"/>
                      <w:szCs w:val="21"/>
                    </w:rPr>
                  </w:pPr>
                </w:p>
              </w:tc>
              <w:tc>
                <w:tcPr>
                  <w:tcW w:w="762" w:type="dxa"/>
                  <w:vMerge w:val="continue"/>
                  <w:vAlign w:val="center"/>
                </w:tcPr>
                <w:p>
                  <w:pPr>
                    <w:spacing w:line="320" w:lineRule="exact"/>
                    <w:jc w:val="center"/>
                    <w:rPr>
                      <w:color w:val="000000"/>
                      <w:sz w:val="21"/>
                      <w:szCs w:val="21"/>
                    </w:rPr>
                  </w:pPr>
                </w:p>
              </w:tc>
              <w:tc>
                <w:tcPr>
                  <w:tcW w:w="825" w:type="dxa"/>
                  <w:vAlign w:val="center"/>
                </w:tcPr>
                <w:p>
                  <w:pPr>
                    <w:spacing w:line="320" w:lineRule="exact"/>
                    <w:jc w:val="center"/>
                    <w:rPr>
                      <w:color w:val="000000"/>
                      <w:sz w:val="21"/>
                      <w:szCs w:val="21"/>
                    </w:rPr>
                  </w:pPr>
                  <w:r>
                    <w:rPr>
                      <w:rFonts w:hint="eastAsia"/>
                      <w:color w:val="000000"/>
                      <w:sz w:val="21"/>
                      <w:szCs w:val="21"/>
                    </w:rPr>
                    <w:t>排放浓度mg/m</w:t>
                  </w:r>
                  <w:r>
                    <w:rPr>
                      <w:rFonts w:hint="eastAsia"/>
                      <w:color w:val="000000"/>
                      <w:sz w:val="21"/>
                      <w:szCs w:val="21"/>
                      <w:vertAlign w:val="superscript"/>
                    </w:rPr>
                    <w:t>3</w:t>
                  </w:r>
                </w:p>
              </w:tc>
              <w:tc>
                <w:tcPr>
                  <w:tcW w:w="746" w:type="dxa"/>
                  <w:vAlign w:val="center"/>
                </w:tcPr>
                <w:p>
                  <w:pPr>
                    <w:spacing w:line="320" w:lineRule="exact"/>
                    <w:jc w:val="center"/>
                    <w:rPr>
                      <w:color w:val="000000"/>
                      <w:sz w:val="21"/>
                      <w:szCs w:val="21"/>
                    </w:rPr>
                  </w:pPr>
                  <w:r>
                    <w:rPr>
                      <w:rFonts w:hint="eastAsia"/>
                      <w:color w:val="000000"/>
                      <w:sz w:val="21"/>
                      <w:szCs w:val="21"/>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1" w:type="dxa"/>
                  <w:vAlign w:val="center"/>
                </w:tcPr>
                <w:p>
                  <w:pPr>
                    <w:spacing w:line="320" w:lineRule="exact"/>
                    <w:jc w:val="center"/>
                    <w:rPr>
                      <w:color w:val="000000"/>
                      <w:sz w:val="21"/>
                      <w:szCs w:val="21"/>
                    </w:rPr>
                  </w:pPr>
                  <w:r>
                    <w:rPr>
                      <w:rFonts w:hint="eastAsia"/>
                      <w:color w:val="000000"/>
                      <w:sz w:val="21"/>
                      <w:szCs w:val="21"/>
                    </w:rPr>
                    <w:t>联合厂房（一）生产过程中产生的废气</w:t>
                  </w:r>
                </w:p>
              </w:tc>
              <w:tc>
                <w:tcPr>
                  <w:tcW w:w="640" w:type="dxa"/>
                  <w:vAlign w:val="center"/>
                </w:tcPr>
                <w:p>
                  <w:pPr>
                    <w:spacing w:line="320" w:lineRule="exact"/>
                    <w:jc w:val="center"/>
                    <w:rPr>
                      <w:color w:val="000000"/>
                      <w:sz w:val="21"/>
                      <w:szCs w:val="21"/>
                    </w:rPr>
                  </w:pPr>
                  <w:r>
                    <w:rPr>
                      <w:rFonts w:hint="eastAsia"/>
                      <w:color w:val="000000"/>
                      <w:sz w:val="21"/>
                      <w:szCs w:val="21"/>
                    </w:rPr>
                    <w:t>烟尘</w:t>
                  </w:r>
                </w:p>
              </w:tc>
              <w:tc>
                <w:tcPr>
                  <w:tcW w:w="771" w:type="dxa"/>
                  <w:vAlign w:val="center"/>
                </w:tcPr>
                <w:p>
                  <w:pPr>
                    <w:spacing w:line="320" w:lineRule="exact"/>
                    <w:jc w:val="center"/>
                    <w:rPr>
                      <w:color w:val="000000"/>
                      <w:sz w:val="21"/>
                      <w:szCs w:val="21"/>
                    </w:rPr>
                  </w:pPr>
                  <w:r>
                    <w:rPr>
                      <w:rFonts w:hint="eastAsia"/>
                      <w:color w:val="000000"/>
                      <w:sz w:val="21"/>
                      <w:szCs w:val="21"/>
                    </w:rPr>
                    <w:t>4.758</w:t>
                  </w:r>
                </w:p>
              </w:tc>
              <w:tc>
                <w:tcPr>
                  <w:tcW w:w="2950" w:type="dxa"/>
                  <w:vAlign w:val="center"/>
                </w:tcPr>
                <w:p>
                  <w:pPr>
                    <w:widowControl/>
                    <w:spacing w:line="320" w:lineRule="exact"/>
                    <w:rPr>
                      <w:color w:val="000000"/>
                      <w:sz w:val="21"/>
                      <w:szCs w:val="21"/>
                    </w:rPr>
                  </w:pPr>
                  <w:r>
                    <w:rPr>
                      <w:rFonts w:hint="eastAsia"/>
                      <w:color w:val="000000"/>
                      <w:sz w:val="21"/>
                      <w:szCs w:val="21"/>
                    </w:rPr>
                    <w:t>本项目在联合厂房（一）内设一套中央除尘系统，对联合厂房（一）的各生产环节产生的烟尘进行收集和处理。在1台数控等离子切割机和2台激光切割机的侧面设侧吸式集气罩（4×0.4m），周围设围挡，废气经集气罩收集后通入布袋除尘器中处理；3台锯床的顶部分别设顶吸式集气罩（1×0.5m），周围设围挡，废气经集气罩收集后通入布袋除尘器中处理；在</w:t>
                  </w:r>
                  <w:r>
                    <w:rPr>
                      <w:color w:val="000000"/>
                      <w:sz w:val="21"/>
                      <w:szCs w:val="21"/>
                    </w:rPr>
                    <w:t>1台</w:t>
                  </w:r>
                  <w:r>
                    <w:rPr>
                      <w:rFonts w:hint="eastAsia"/>
                      <w:color w:val="000000"/>
                      <w:sz w:val="21"/>
                      <w:szCs w:val="21"/>
                    </w:rPr>
                    <w:t>龙门焊和1台门扇自动焊的焊接机上设顶吸式集气罩，周围设围挡废气经集气罩收集后通入布袋除尘器处理；对35台二保</w:t>
                  </w:r>
                  <w:r>
                    <w:rPr>
                      <w:color w:val="000000"/>
                      <w:sz w:val="21"/>
                      <w:szCs w:val="21"/>
                    </w:rPr>
                    <w:t>焊机</w:t>
                  </w:r>
                  <w:r>
                    <w:rPr>
                      <w:rFonts w:hint="eastAsia"/>
                      <w:color w:val="000000"/>
                      <w:sz w:val="21"/>
                      <w:szCs w:val="21"/>
                    </w:rPr>
                    <w:t>产生的废气，设18台顶吸式集气罩，其中2台二保焊机共用一台集气罩，集气罩的周围设围挡，废气经集气罩收集后通入布袋除尘器处理。废气经处理后经15m高排气筒（DA001）排放。</w:t>
                  </w:r>
                </w:p>
              </w:tc>
              <w:tc>
                <w:tcPr>
                  <w:tcW w:w="613" w:type="dxa"/>
                  <w:vAlign w:val="center"/>
                </w:tcPr>
                <w:p>
                  <w:pPr>
                    <w:spacing w:line="320" w:lineRule="exact"/>
                    <w:jc w:val="center"/>
                    <w:rPr>
                      <w:color w:val="000000"/>
                      <w:sz w:val="21"/>
                      <w:szCs w:val="21"/>
                    </w:rPr>
                  </w:pPr>
                  <w:r>
                    <w:rPr>
                      <w:rFonts w:hint="eastAsia"/>
                      <w:color w:val="000000"/>
                      <w:sz w:val="21"/>
                      <w:szCs w:val="21"/>
                    </w:rPr>
                    <w:t>72000</w:t>
                  </w:r>
                  <w:r>
                    <w:rPr>
                      <w:color w:val="000000"/>
                      <w:sz w:val="21"/>
                      <w:szCs w:val="21"/>
                    </w:rPr>
                    <w:t>m</w:t>
                  </w:r>
                  <w:r>
                    <w:rPr>
                      <w:color w:val="000000"/>
                      <w:sz w:val="21"/>
                      <w:szCs w:val="21"/>
                      <w:vertAlign w:val="superscript"/>
                    </w:rPr>
                    <w:t>3</w:t>
                  </w:r>
                  <w:r>
                    <w:rPr>
                      <w:color w:val="000000"/>
                      <w:sz w:val="21"/>
                      <w:szCs w:val="21"/>
                    </w:rPr>
                    <w:t>/h</w:t>
                  </w:r>
                </w:p>
              </w:tc>
              <w:tc>
                <w:tcPr>
                  <w:tcW w:w="762" w:type="dxa"/>
                  <w:vAlign w:val="center"/>
                </w:tcPr>
                <w:p>
                  <w:pPr>
                    <w:spacing w:line="320" w:lineRule="exact"/>
                    <w:jc w:val="center"/>
                    <w:rPr>
                      <w:color w:val="000000"/>
                      <w:sz w:val="21"/>
                      <w:szCs w:val="21"/>
                    </w:rPr>
                  </w:pPr>
                  <w:r>
                    <w:rPr>
                      <w:rFonts w:hint="eastAsia"/>
                      <w:color w:val="000000"/>
                      <w:sz w:val="21"/>
                      <w:szCs w:val="21"/>
                    </w:rPr>
                    <w:t>320</w:t>
                  </w:r>
                </w:p>
                <w:p>
                  <w:pPr>
                    <w:spacing w:line="320" w:lineRule="exact"/>
                    <w:jc w:val="center"/>
                    <w:rPr>
                      <w:color w:val="000000"/>
                      <w:sz w:val="21"/>
                      <w:szCs w:val="21"/>
                    </w:rPr>
                  </w:pPr>
                  <w:r>
                    <w:rPr>
                      <w:rFonts w:hint="eastAsia"/>
                      <w:color w:val="000000"/>
                      <w:sz w:val="21"/>
                      <w:szCs w:val="21"/>
                    </w:rPr>
                    <w:t>d/a</w:t>
                  </w:r>
                </w:p>
                <w:p>
                  <w:pPr>
                    <w:spacing w:line="320" w:lineRule="exact"/>
                    <w:jc w:val="center"/>
                    <w:rPr>
                      <w:color w:val="000000"/>
                    </w:rPr>
                  </w:pPr>
                  <w:r>
                    <w:rPr>
                      <w:rFonts w:hint="eastAsia"/>
                      <w:color w:val="000000"/>
                      <w:sz w:val="21"/>
                      <w:szCs w:val="21"/>
                    </w:rPr>
                    <w:t>8h/d</w:t>
                  </w:r>
                </w:p>
              </w:tc>
              <w:tc>
                <w:tcPr>
                  <w:tcW w:w="825" w:type="dxa"/>
                  <w:vAlign w:val="center"/>
                </w:tcPr>
                <w:p>
                  <w:pPr>
                    <w:spacing w:line="320" w:lineRule="exact"/>
                    <w:jc w:val="center"/>
                    <w:rPr>
                      <w:color w:val="000000"/>
                      <w:sz w:val="21"/>
                      <w:szCs w:val="21"/>
                    </w:rPr>
                  </w:pPr>
                  <w:r>
                    <w:rPr>
                      <w:rFonts w:hint="eastAsia"/>
                      <w:color w:val="000000"/>
                      <w:sz w:val="21"/>
                      <w:szCs w:val="21"/>
                    </w:rPr>
                    <w:t>10</w:t>
                  </w:r>
                </w:p>
              </w:tc>
              <w:tc>
                <w:tcPr>
                  <w:tcW w:w="746" w:type="dxa"/>
                  <w:vAlign w:val="center"/>
                </w:tcPr>
                <w:p>
                  <w:pPr>
                    <w:spacing w:line="320" w:lineRule="exact"/>
                    <w:jc w:val="center"/>
                    <w:rPr>
                      <w:color w:val="000000"/>
                      <w:sz w:val="21"/>
                      <w:szCs w:val="21"/>
                    </w:rPr>
                  </w:pPr>
                  <w:r>
                    <w:rPr>
                      <w:rFonts w:hint="eastAsia"/>
                      <w:color w:val="000000"/>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1" w:type="dxa"/>
                  <w:vAlign w:val="center"/>
                </w:tcPr>
                <w:p>
                  <w:pPr>
                    <w:spacing w:line="320" w:lineRule="exact"/>
                    <w:jc w:val="center"/>
                    <w:rPr>
                      <w:color w:val="000000"/>
                      <w:sz w:val="21"/>
                      <w:szCs w:val="21"/>
                    </w:rPr>
                  </w:pPr>
                  <w:r>
                    <w:rPr>
                      <w:rFonts w:hint="eastAsia"/>
                      <w:color w:val="000000"/>
                      <w:sz w:val="21"/>
                      <w:szCs w:val="21"/>
                    </w:rPr>
                    <w:t>喷砂房产生的废气</w:t>
                  </w:r>
                </w:p>
              </w:tc>
              <w:tc>
                <w:tcPr>
                  <w:tcW w:w="640" w:type="dxa"/>
                  <w:vAlign w:val="center"/>
                </w:tcPr>
                <w:p>
                  <w:pPr>
                    <w:spacing w:line="320" w:lineRule="exact"/>
                    <w:jc w:val="center"/>
                    <w:rPr>
                      <w:color w:val="000000"/>
                      <w:sz w:val="21"/>
                      <w:szCs w:val="21"/>
                    </w:rPr>
                  </w:pPr>
                  <w:r>
                    <w:rPr>
                      <w:rFonts w:hint="eastAsia"/>
                      <w:color w:val="000000"/>
                      <w:sz w:val="21"/>
                      <w:szCs w:val="21"/>
                    </w:rPr>
                    <w:t>粉尘</w:t>
                  </w:r>
                </w:p>
              </w:tc>
              <w:tc>
                <w:tcPr>
                  <w:tcW w:w="771" w:type="dxa"/>
                  <w:vAlign w:val="center"/>
                </w:tcPr>
                <w:p>
                  <w:pPr>
                    <w:spacing w:line="320" w:lineRule="exact"/>
                    <w:jc w:val="center"/>
                    <w:rPr>
                      <w:color w:val="000000"/>
                      <w:sz w:val="21"/>
                      <w:szCs w:val="21"/>
                    </w:rPr>
                  </w:pPr>
                  <w:r>
                    <w:rPr>
                      <w:rFonts w:hint="eastAsia"/>
                      <w:color w:val="000000"/>
                      <w:sz w:val="21"/>
                      <w:szCs w:val="21"/>
                    </w:rPr>
                    <w:t>7.12</w:t>
                  </w:r>
                </w:p>
              </w:tc>
              <w:tc>
                <w:tcPr>
                  <w:tcW w:w="2950" w:type="dxa"/>
                  <w:vAlign w:val="center"/>
                </w:tcPr>
                <w:p>
                  <w:pPr>
                    <w:widowControl/>
                    <w:spacing w:line="320" w:lineRule="exact"/>
                    <w:jc w:val="center"/>
                    <w:rPr>
                      <w:color w:val="000000"/>
                      <w:sz w:val="21"/>
                      <w:szCs w:val="21"/>
                    </w:rPr>
                  </w:pPr>
                  <w:r>
                    <w:rPr>
                      <w:rFonts w:hint="eastAsia"/>
                      <w:color w:val="000000"/>
                      <w:sz w:val="21"/>
                      <w:szCs w:val="21"/>
                    </w:rPr>
                    <w:t>设置一座喷砂房，喷砂房为封闭的空间，喷砂时内部为负压状态，产生的废气经排气口通入一套布袋除尘器中处理，处理后的废气经15m高的排气筒（DA002）排放。</w:t>
                  </w:r>
                </w:p>
              </w:tc>
              <w:tc>
                <w:tcPr>
                  <w:tcW w:w="613" w:type="dxa"/>
                  <w:vAlign w:val="center"/>
                </w:tcPr>
                <w:p>
                  <w:pPr>
                    <w:spacing w:line="320" w:lineRule="exact"/>
                    <w:jc w:val="center"/>
                    <w:rPr>
                      <w:color w:val="000000"/>
                      <w:sz w:val="21"/>
                      <w:szCs w:val="21"/>
                    </w:rPr>
                  </w:pPr>
                  <w:r>
                    <w:rPr>
                      <w:rFonts w:hint="eastAsia"/>
                      <w:color w:val="000000"/>
                      <w:sz w:val="21"/>
                      <w:szCs w:val="21"/>
                    </w:rPr>
                    <w:t>48000</w:t>
                  </w:r>
                  <w:r>
                    <w:rPr>
                      <w:color w:val="000000"/>
                      <w:sz w:val="21"/>
                      <w:szCs w:val="21"/>
                    </w:rPr>
                    <w:t>m</w:t>
                  </w:r>
                  <w:r>
                    <w:rPr>
                      <w:color w:val="000000"/>
                      <w:sz w:val="21"/>
                      <w:szCs w:val="21"/>
                      <w:vertAlign w:val="superscript"/>
                    </w:rPr>
                    <w:t>3</w:t>
                  </w:r>
                  <w:r>
                    <w:rPr>
                      <w:color w:val="000000"/>
                      <w:sz w:val="21"/>
                      <w:szCs w:val="21"/>
                    </w:rPr>
                    <w:t>/h</w:t>
                  </w:r>
                </w:p>
              </w:tc>
              <w:tc>
                <w:tcPr>
                  <w:tcW w:w="762" w:type="dxa"/>
                  <w:vAlign w:val="center"/>
                </w:tcPr>
                <w:p>
                  <w:pPr>
                    <w:spacing w:line="320" w:lineRule="exact"/>
                    <w:jc w:val="center"/>
                    <w:rPr>
                      <w:color w:val="000000"/>
                      <w:sz w:val="21"/>
                      <w:szCs w:val="21"/>
                    </w:rPr>
                  </w:pPr>
                  <w:r>
                    <w:rPr>
                      <w:rFonts w:hint="eastAsia"/>
                      <w:color w:val="000000"/>
                      <w:sz w:val="21"/>
                      <w:szCs w:val="21"/>
                    </w:rPr>
                    <w:t>320</w:t>
                  </w:r>
                </w:p>
                <w:p>
                  <w:pPr>
                    <w:spacing w:line="320" w:lineRule="exact"/>
                    <w:jc w:val="center"/>
                    <w:rPr>
                      <w:color w:val="000000"/>
                      <w:sz w:val="21"/>
                      <w:szCs w:val="21"/>
                    </w:rPr>
                  </w:pPr>
                  <w:r>
                    <w:rPr>
                      <w:rFonts w:hint="eastAsia"/>
                      <w:color w:val="000000"/>
                      <w:sz w:val="21"/>
                      <w:szCs w:val="21"/>
                    </w:rPr>
                    <w:t>d/a</w:t>
                  </w:r>
                </w:p>
                <w:p>
                  <w:pPr>
                    <w:spacing w:line="320" w:lineRule="exact"/>
                    <w:jc w:val="center"/>
                    <w:rPr>
                      <w:color w:val="000000"/>
                      <w:sz w:val="21"/>
                      <w:szCs w:val="21"/>
                    </w:rPr>
                  </w:pPr>
                  <w:r>
                    <w:rPr>
                      <w:rFonts w:hint="eastAsia"/>
                      <w:color w:val="000000"/>
                      <w:sz w:val="21"/>
                      <w:szCs w:val="21"/>
                    </w:rPr>
                    <w:t>6h/d</w:t>
                  </w:r>
                </w:p>
              </w:tc>
              <w:tc>
                <w:tcPr>
                  <w:tcW w:w="825" w:type="dxa"/>
                  <w:vAlign w:val="center"/>
                </w:tcPr>
                <w:p>
                  <w:pPr>
                    <w:spacing w:line="320" w:lineRule="exact"/>
                    <w:jc w:val="center"/>
                    <w:rPr>
                      <w:color w:val="000000"/>
                      <w:sz w:val="21"/>
                      <w:szCs w:val="21"/>
                    </w:rPr>
                  </w:pPr>
                  <w:r>
                    <w:rPr>
                      <w:rFonts w:hint="eastAsia"/>
                      <w:color w:val="000000"/>
                      <w:sz w:val="21"/>
                      <w:szCs w:val="21"/>
                    </w:rPr>
                    <w:t>10</w:t>
                  </w:r>
                </w:p>
              </w:tc>
              <w:tc>
                <w:tcPr>
                  <w:tcW w:w="746" w:type="dxa"/>
                  <w:vAlign w:val="center"/>
                </w:tcPr>
                <w:p>
                  <w:pPr>
                    <w:spacing w:line="320" w:lineRule="exact"/>
                    <w:jc w:val="center"/>
                    <w:rPr>
                      <w:color w:val="000000"/>
                      <w:sz w:val="21"/>
                      <w:szCs w:val="21"/>
                    </w:rPr>
                  </w:pPr>
                  <w:r>
                    <w:rPr>
                      <w:rFonts w:hint="eastAsia"/>
                      <w:color w:val="000000"/>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1" w:type="dxa"/>
                  <w:vAlign w:val="center"/>
                </w:tcPr>
                <w:p>
                  <w:pPr>
                    <w:spacing w:line="320" w:lineRule="exact"/>
                    <w:jc w:val="center"/>
                    <w:rPr>
                      <w:color w:val="000000"/>
                      <w:sz w:val="21"/>
                      <w:szCs w:val="21"/>
                    </w:rPr>
                  </w:pPr>
                  <w:r>
                    <w:rPr>
                      <w:rFonts w:hint="eastAsia"/>
                      <w:color w:val="000000"/>
                      <w:sz w:val="21"/>
                      <w:szCs w:val="21"/>
                    </w:rPr>
                    <w:t>喷漆房产生的废气</w:t>
                  </w:r>
                </w:p>
              </w:tc>
              <w:tc>
                <w:tcPr>
                  <w:tcW w:w="640" w:type="dxa"/>
                  <w:vAlign w:val="center"/>
                </w:tcPr>
                <w:p>
                  <w:pPr>
                    <w:spacing w:line="320" w:lineRule="exact"/>
                    <w:jc w:val="center"/>
                    <w:rPr>
                      <w:color w:val="000000"/>
                      <w:sz w:val="21"/>
                      <w:szCs w:val="21"/>
                    </w:rPr>
                  </w:pPr>
                  <w:r>
                    <w:rPr>
                      <w:rFonts w:hint="eastAsia"/>
                      <w:color w:val="000000"/>
                      <w:sz w:val="21"/>
                      <w:szCs w:val="21"/>
                    </w:rPr>
                    <w:t>非甲烷总烃</w:t>
                  </w:r>
                </w:p>
              </w:tc>
              <w:tc>
                <w:tcPr>
                  <w:tcW w:w="771" w:type="dxa"/>
                  <w:vAlign w:val="center"/>
                </w:tcPr>
                <w:p>
                  <w:pPr>
                    <w:spacing w:line="320" w:lineRule="exact"/>
                    <w:jc w:val="center"/>
                    <w:rPr>
                      <w:color w:val="000000"/>
                      <w:sz w:val="21"/>
                      <w:szCs w:val="21"/>
                    </w:rPr>
                  </w:pPr>
                  <w:r>
                    <w:rPr>
                      <w:rFonts w:hint="eastAsia"/>
                      <w:color w:val="000000"/>
                      <w:sz w:val="21"/>
                      <w:szCs w:val="21"/>
                    </w:rPr>
                    <w:t>2.30</w:t>
                  </w:r>
                </w:p>
              </w:tc>
              <w:tc>
                <w:tcPr>
                  <w:tcW w:w="2950" w:type="dxa"/>
                  <w:vAlign w:val="center"/>
                </w:tcPr>
                <w:p>
                  <w:pPr>
                    <w:widowControl/>
                    <w:spacing w:line="320" w:lineRule="exact"/>
                    <w:jc w:val="center"/>
                    <w:rPr>
                      <w:color w:val="000000"/>
                      <w:sz w:val="21"/>
                      <w:szCs w:val="21"/>
                    </w:rPr>
                  </w:pPr>
                  <w:r>
                    <w:rPr>
                      <w:rFonts w:hint="eastAsia"/>
                      <w:color w:val="000000"/>
                      <w:sz w:val="21"/>
                      <w:szCs w:val="21"/>
                    </w:rPr>
                    <w:t>设置一个喷漆房，喷漆房为封闭的空间，喷漆时内部为负压状态，</w:t>
                  </w:r>
                  <w:r>
                    <w:rPr>
                      <w:color w:val="000000"/>
                      <w:sz w:val="21"/>
                      <w:szCs w:val="21"/>
                    </w:rPr>
                    <w:t>喷漆工序</w:t>
                  </w:r>
                  <w:r>
                    <w:rPr>
                      <w:rFonts w:hint="eastAsia"/>
                      <w:color w:val="000000"/>
                      <w:sz w:val="21"/>
                      <w:szCs w:val="21"/>
                    </w:rPr>
                    <w:t>、烘干工序</w:t>
                  </w:r>
                  <w:r>
                    <w:rPr>
                      <w:color w:val="000000"/>
                      <w:sz w:val="21"/>
                      <w:szCs w:val="21"/>
                    </w:rPr>
                    <w:t>产生的废气经</w:t>
                  </w:r>
                  <w:r>
                    <w:rPr>
                      <w:rFonts w:hint="eastAsia"/>
                      <w:color w:val="000000"/>
                      <w:sz w:val="21"/>
                      <w:szCs w:val="21"/>
                    </w:rPr>
                    <w:t>排气口通入预处理装置</w:t>
                  </w:r>
                  <w:r>
                    <w:rPr>
                      <w:color w:val="000000"/>
                      <w:sz w:val="21"/>
                      <w:szCs w:val="21"/>
                    </w:rPr>
                    <w:t>+</w:t>
                  </w:r>
                  <w:r>
                    <w:rPr>
                      <w:rFonts w:hint="eastAsia"/>
                      <w:color w:val="000000"/>
                      <w:sz w:val="21"/>
                      <w:szCs w:val="21"/>
                    </w:rPr>
                    <w:t>活性炭吸附脱附+催化燃烧</w:t>
                  </w:r>
                  <w:r>
                    <w:rPr>
                      <w:color w:val="000000"/>
                      <w:sz w:val="21"/>
                      <w:szCs w:val="21"/>
                    </w:rPr>
                    <w:t>处理后，经1</w:t>
                  </w:r>
                  <w:r>
                    <w:rPr>
                      <w:rFonts w:hint="eastAsia"/>
                      <w:color w:val="000000"/>
                      <w:sz w:val="21"/>
                      <w:szCs w:val="21"/>
                    </w:rPr>
                    <w:t>5</w:t>
                  </w:r>
                  <w:r>
                    <w:rPr>
                      <w:color w:val="000000"/>
                      <w:sz w:val="21"/>
                      <w:szCs w:val="21"/>
                    </w:rPr>
                    <w:t>m</w:t>
                  </w:r>
                  <w:r>
                    <w:rPr>
                      <w:rFonts w:hint="eastAsia"/>
                      <w:color w:val="000000"/>
                      <w:sz w:val="21"/>
                      <w:szCs w:val="21"/>
                    </w:rPr>
                    <w:t>高的</w:t>
                  </w:r>
                  <w:r>
                    <w:rPr>
                      <w:color w:val="000000"/>
                      <w:sz w:val="21"/>
                      <w:szCs w:val="21"/>
                    </w:rPr>
                    <w:t>排气筒</w:t>
                  </w:r>
                  <w:r>
                    <w:rPr>
                      <w:rFonts w:hint="eastAsia"/>
                      <w:color w:val="000000"/>
                      <w:sz w:val="21"/>
                      <w:szCs w:val="21"/>
                    </w:rPr>
                    <w:t>（DA003）</w:t>
                  </w:r>
                  <w:r>
                    <w:rPr>
                      <w:color w:val="000000"/>
                      <w:sz w:val="21"/>
                      <w:szCs w:val="21"/>
                    </w:rPr>
                    <w:t>排放</w:t>
                  </w:r>
                </w:p>
              </w:tc>
              <w:tc>
                <w:tcPr>
                  <w:tcW w:w="613" w:type="dxa"/>
                  <w:vAlign w:val="center"/>
                </w:tcPr>
                <w:p>
                  <w:pPr>
                    <w:spacing w:line="320" w:lineRule="exact"/>
                    <w:jc w:val="center"/>
                    <w:rPr>
                      <w:color w:val="000000"/>
                      <w:sz w:val="21"/>
                      <w:szCs w:val="21"/>
                    </w:rPr>
                  </w:pPr>
                  <w:r>
                    <w:rPr>
                      <w:rFonts w:hint="eastAsia"/>
                      <w:color w:val="000000"/>
                      <w:sz w:val="21"/>
                      <w:szCs w:val="21"/>
                    </w:rPr>
                    <w:t>60000</w:t>
                  </w:r>
                </w:p>
                <w:p>
                  <w:pPr>
                    <w:spacing w:line="320" w:lineRule="exact"/>
                    <w:jc w:val="center"/>
                    <w:rPr>
                      <w:color w:val="000000"/>
                      <w:sz w:val="21"/>
                      <w:szCs w:val="21"/>
                    </w:rPr>
                  </w:pPr>
                  <w:r>
                    <w:rPr>
                      <w:color w:val="000000"/>
                      <w:sz w:val="21"/>
                      <w:szCs w:val="21"/>
                    </w:rPr>
                    <w:t>m</w:t>
                  </w:r>
                  <w:r>
                    <w:rPr>
                      <w:color w:val="000000"/>
                      <w:sz w:val="21"/>
                      <w:szCs w:val="21"/>
                      <w:vertAlign w:val="superscript"/>
                    </w:rPr>
                    <w:t>3</w:t>
                  </w:r>
                  <w:r>
                    <w:rPr>
                      <w:color w:val="000000"/>
                      <w:sz w:val="21"/>
                      <w:szCs w:val="21"/>
                    </w:rPr>
                    <w:t>/h</w:t>
                  </w:r>
                </w:p>
              </w:tc>
              <w:tc>
                <w:tcPr>
                  <w:tcW w:w="762" w:type="dxa"/>
                  <w:vAlign w:val="center"/>
                </w:tcPr>
                <w:p>
                  <w:pPr>
                    <w:spacing w:line="320" w:lineRule="exact"/>
                    <w:jc w:val="center"/>
                    <w:rPr>
                      <w:color w:val="000000"/>
                      <w:sz w:val="21"/>
                      <w:szCs w:val="21"/>
                    </w:rPr>
                  </w:pPr>
                  <w:r>
                    <w:rPr>
                      <w:rFonts w:hint="eastAsia"/>
                      <w:color w:val="000000"/>
                      <w:sz w:val="21"/>
                      <w:szCs w:val="21"/>
                    </w:rPr>
                    <w:t>320d/a</w:t>
                  </w:r>
                </w:p>
                <w:p>
                  <w:pPr>
                    <w:spacing w:line="320" w:lineRule="exact"/>
                    <w:jc w:val="center"/>
                    <w:rPr>
                      <w:color w:val="000000"/>
                      <w:sz w:val="21"/>
                      <w:szCs w:val="21"/>
                    </w:rPr>
                  </w:pPr>
                  <w:r>
                    <w:rPr>
                      <w:rFonts w:hint="eastAsia"/>
                      <w:color w:val="000000"/>
                      <w:sz w:val="21"/>
                      <w:szCs w:val="21"/>
                    </w:rPr>
                    <w:t>4h/d</w:t>
                  </w:r>
                </w:p>
              </w:tc>
              <w:tc>
                <w:tcPr>
                  <w:tcW w:w="825" w:type="dxa"/>
                  <w:vAlign w:val="center"/>
                </w:tcPr>
                <w:p>
                  <w:pPr>
                    <w:spacing w:line="320" w:lineRule="exact"/>
                    <w:jc w:val="center"/>
                    <w:rPr>
                      <w:color w:val="000000"/>
                      <w:sz w:val="21"/>
                      <w:szCs w:val="21"/>
                    </w:rPr>
                  </w:pPr>
                </w:p>
              </w:tc>
              <w:tc>
                <w:tcPr>
                  <w:tcW w:w="746" w:type="dxa"/>
                  <w:vAlign w:val="center"/>
                </w:tcPr>
                <w:p>
                  <w:pPr>
                    <w:spacing w:line="320" w:lineRule="exact"/>
                    <w:jc w:val="center"/>
                    <w:rPr>
                      <w:color w:val="000000"/>
                      <w:sz w:val="21"/>
                      <w:szCs w:val="21"/>
                    </w:rPr>
                  </w:pPr>
                  <w:r>
                    <w:rPr>
                      <w:rFonts w:hint="eastAsia"/>
                      <w:color w:val="000000"/>
                      <w:sz w:val="21"/>
                      <w:szCs w:val="21"/>
                    </w:rPr>
                    <w:t>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trPr>
              <w:tc>
                <w:tcPr>
                  <w:tcW w:w="691" w:type="dxa"/>
                  <w:vAlign w:val="center"/>
                </w:tcPr>
                <w:p>
                  <w:pPr>
                    <w:spacing w:line="320" w:lineRule="exact"/>
                    <w:jc w:val="center"/>
                    <w:rPr>
                      <w:color w:val="000000"/>
                      <w:sz w:val="21"/>
                      <w:szCs w:val="21"/>
                    </w:rPr>
                  </w:pPr>
                  <w:r>
                    <w:rPr>
                      <w:rFonts w:hint="eastAsia"/>
                      <w:color w:val="000000"/>
                      <w:sz w:val="21"/>
                      <w:szCs w:val="21"/>
                    </w:rPr>
                    <w:t>食堂产生的油烟</w:t>
                  </w:r>
                </w:p>
              </w:tc>
              <w:tc>
                <w:tcPr>
                  <w:tcW w:w="640" w:type="dxa"/>
                  <w:vAlign w:val="center"/>
                </w:tcPr>
                <w:p>
                  <w:pPr>
                    <w:spacing w:line="320" w:lineRule="exact"/>
                    <w:jc w:val="center"/>
                    <w:rPr>
                      <w:color w:val="000000"/>
                      <w:sz w:val="21"/>
                      <w:szCs w:val="21"/>
                    </w:rPr>
                  </w:pPr>
                  <w:r>
                    <w:rPr>
                      <w:rFonts w:hint="eastAsia"/>
                      <w:color w:val="000000"/>
                      <w:sz w:val="21"/>
                      <w:szCs w:val="21"/>
                    </w:rPr>
                    <w:t>油烟</w:t>
                  </w:r>
                </w:p>
              </w:tc>
              <w:tc>
                <w:tcPr>
                  <w:tcW w:w="771" w:type="dxa"/>
                  <w:vAlign w:val="center"/>
                </w:tcPr>
                <w:p>
                  <w:pPr>
                    <w:spacing w:line="320" w:lineRule="exact"/>
                    <w:jc w:val="center"/>
                    <w:rPr>
                      <w:color w:val="000000"/>
                      <w:sz w:val="21"/>
                      <w:szCs w:val="21"/>
                    </w:rPr>
                  </w:pPr>
                  <w:r>
                    <w:rPr>
                      <w:rFonts w:hint="eastAsia"/>
                      <w:color w:val="000000"/>
                      <w:sz w:val="21"/>
                      <w:szCs w:val="21"/>
                    </w:rPr>
                    <w:t>0.017</w:t>
                  </w:r>
                </w:p>
              </w:tc>
              <w:tc>
                <w:tcPr>
                  <w:tcW w:w="2950" w:type="dxa"/>
                  <w:vAlign w:val="center"/>
                </w:tcPr>
                <w:p>
                  <w:pPr>
                    <w:widowControl/>
                    <w:spacing w:line="320" w:lineRule="exact"/>
                    <w:jc w:val="center"/>
                    <w:rPr>
                      <w:color w:val="000000"/>
                      <w:sz w:val="21"/>
                      <w:szCs w:val="21"/>
                    </w:rPr>
                  </w:pPr>
                  <w:r>
                    <w:rPr>
                      <w:rFonts w:hint="eastAsia"/>
                      <w:color w:val="000000"/>
                      <w:sz w:val="21"/>
                      <w:szCs w:val="21"/>
                    </w:rPr>
                    <w:t>在办公区的一楼西侧建设一间食堂，食堂产生的废气经处理效率为60%的油烟净化器处理后经排气筒排放</w:t>
                  </w:r>
                </w:p>
              </w:tc>
              <w:tc>
                <w:tcPr>
                  <w:tcW w:w="613" w:type="dxa"/>
                  <w:vAlign w:val="center"/>
                </w:tcPr>
                <w:p>
                  <w:pPr>
                    <w:spacing w:line="320" w:lineRule="exact"/>
                    <w:jc w:val="center"/>
                    <w:rPr>
                      <w:color w:val="000000"/>
                      <w:sz w:val="21"/>
                      <w:szCs w:val="21"/>
                    </w:rPr>
                  </w:pPr>
                </w:p>
              </w:tc>
              <w:tc>
                <w:tcPr>
                  <w:tcW w:w="762" w:type="dxa"/>
                  <w:vAlign w:val="center"/>
                </w:tcPr>
                <w:p>
                  <w:pPr>
                    <w:spacing w:line="320" w:lineRule="exact"/>
                    <w:jc w:val="center"/>
                    <w:rPr>
                      <w:color w:val="000000"/>
                      <w:sz w:val="21"/>
                      <w:szCs w:val="21"/>
                    </w:rPr>
                  </w:pPr>
                  <w:r>
                    <w:rPr>
                      <w:rFonts w:hint="eastAsia"/>
                      <w:color w:val="000000"/>
                      <w:sz w:val="21"/>
                      <w:szCs w:val="21"/>
                    </w:rPr>
                    <w:t>320d/a</w:t>
                  </w:r>
                </w:p>
                <w:p>
                  <w:pPr>
                    <w:spacing w:line="320" w:lineRule="exact"/>
                    <w:jc w:val="center"/>
                    <w:rPr>
                      <w:color w:val="000000"/>
                      <w:sz w:val="21"/>
                      <w:szCs w:val="21"/>
                    </w:rPr>
                  </w:pPr>
                  <w:r>
                    <w:rPr>
                      <w:rFonts w:hint="eastAsia"/>
                      <w:color w:val="000000"/>
                      <w:sz w:val="21"/>
                      <w:szCs w:val="21"/>
                    </w:rPr>
                    <w:t>8h/d</w:t>
                  </w:r>
                </w:p>
              </w:tc>
              <w:tc>
                <w:tcPr>
                  <w:tcW w:w="825" w:type="dxa"/>
                  <w:vAlign w:val="center"/>
                </w:tcPr>
                <w:p>
                  <w:pPr>
                    <w:spacing w:line="320" w:lineRule="exact"/>
                    <w:jc w:val="center"/>
                    <w:rPr>
                      <w:color w:val="000000"/>
                      <w:sz w:val="21"/>
                      <w:szCs w:val="21"/>
                    </w:rPr>
                  </w:pPr>
                  <w:r>
                    <w:rPr>
                      <w:rFonts w:hint="eastAsia"/>
                      <w:color w:val="000000"/>
                      <w:sz w:val="21"/>
                      <w:szCs w:val="21"/>
                    </w:rPr>
                    <w:t>/</w:t>
                  </w:r>
                </w:p>
              </w:tc>
              <w:tc>
                <w:tcPr>
                  <w:tcW w:w="746" w:type="dxa"/>
                  <w:vAlign w:val="center"/>
                </w:tcPr>
                <w:p>
                  <w:pPr>
                    <w:spacing w:line="320" w:lineRule="exact"/>
                    <w:jc w:val="center"/>
                    <w:rPr>
                      <w:color w:val="000000"/>
                      <w:sz w:val="21"/>
                      <w:szCs w:val="21"/>
                    </w:rPr>
                  </w:pPr>
                  <w:r>
                    <w:rPr>
                      <w:rFonts w:hint="eastAsia"/>
                      <w:color w:val="000000"/>
                      <w:sz w:val="21"/>
                      <w:szCs w:val="21"/>
                    </w:rPr>
                    <w:t>0.017</w:t>
                  </w:r>
                </w:p>
              </w:tc>
            </w:tr>
          </w:tbl>
          <w:p>
            <w:pPr>
              <w:spacing w:line="420" w:lineRule="exact"/>
              <w:ind w:firstLine="480" w:firstLineChars="200"/>
              <w:jc w:val="left"/>
              <w:rPr>
                <w:b/>
                <w:bCs/>
                <w:color w:val="000000"/>
                <w:szCs w:val="21"/>
              </w:rPr>
            </w:pPr>
            <w:r>
              <w:rPr>
                <w:color w:val="000000"/>
              </w:rPr>
              <w:t>本项目各污染物排放量见表</w:t>
            </w:r>
            <w:r>
              <w:rPr>
                <w:rFonts w:hint="eastAsia"/>
                <w:color w:val="000000"/>
              </w:rPr>
              <w:t>4</w:t>
            </w:r>
            <w:r>
              <w:rPr>
                <w:color w:val="000000"/>
              </w:rPr>
              <w:t>-</w:t>
            </w:r>
            <w:r>
              <w:rPr>
                <w:rFonts w:hint="eastAsia"/>
                <w:color w:val="000000"/>
              </w:rPr>
              <w:t>6</w:t>
            </w:r>
            <w:r>
              <w:rPr>
                <w:color w:val="000000"/>
              </w:rPr>
              <w:t>。</w:t>
            </w:r>
          </w:p>
          <w:p>
            <w:pPr>
              <w:spacing w:line="420" w:lineRule="exact"/>
              <w:jc w:val="center"/>
              <w:rPr>
                <w:b/>
                <w:bCs/>
                <w:color w:val="000000"/>
                <w:szCs w:val="21"/>
              </w:rPr>
            </w:pPr>
            <w:r>
              <w:rPr>
                <w:b/>
                <w:bCs/>
                <w:color w:val="000000"/>
                <w:szCs w:val="21"/>
              </w:rPr>
              <w:t>表</w:t>
            </w:r>
            <w:r>
              <w:rPr>
                <w:rFonts w:hint="eastAsia"/>
                <w:b/>
                <w:bCs/>
                <w:color w:val="000000"/>
                <w:szCs w:val="21"/>
              </w:rPr>
              <w:t>4</w:t>
            </w:r>
            <w:r>
              <w:rPr>
                <w:b/>
                <w:bCs/>
                <w:color w:val="000000"/>
                <w:szCs w:val="21"/>
              </w:rPr>
              <w:t>-</w:t>
            </w:r>
            <w:r>
              <w:rPr>
                <w:rFonts w:hint="eastAsia"/>
                <w:b/>
                <w:bCs/>
                <w:color w:val="000000"/>
                <w:szCs w:val="21"/>
              </w:rPr>
              <w:t>6</w:t>
            </w:r>
            <w:r>
              <w:rPr>
                <w:b/>
                <w:bCs/>
                <w:color w:val="000000"/>
                <w:szCs w:val="21"/>
              </w:rPr>
              <w:t xml:space="preserve">  本项目有组织污染物总量指标  （单位：t/a）</w:t>
            </w:r>
          </w:p>
          <w:tbl>
            <w:tblPr>
              <w:tblStyle w:val="32"/>
              <w:tblW w:w="8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78"/>
              <w:gridCol w:w="2681"/>
              <w:gridCol w:w="2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359" w:type="dxa"/>
                  <w:gridSpan w:val="2"/>
                  <w:tcBorders>
                    <w:tl2br w:val="nil"/>
                    <w:tr2bl w:val="nil"/>
                  </w:tcBorders>
                  <w:vAlign w:val="center"/>
                </w:tcPr>
                <w:p>
                  <w:pPr>
                    <w:adjustRightInd w:val="0"/>
                    <w:snapToGrid w:val="0"/>
                    <w:jc w:val="center"/>
                    <w:rPr>
                      <w:color w:val="000000"/>
                      <w:sz w:val="21"/>
                      <w:szCs w:val="21"/>
                    </w:rPr>
                  </w:pPr>
                  <w:r>
                    <w:rPr>
                      <w:color w:val="000000"/>
                      <w:sz w:val="21"/>
                      <w:szCs w:val="21"/>
                    </w:rPr>
                    <w:t>项目</w:t>
                  </w:r>
                </w:p>
              </w:tc>
              <w:tc>
                <w:tcPr>
                  <w:tcW w:w="2680" w:type="dxa"/>
                  <w:tcBorders>
                    <w:tl2br w:val="nil"/>
                    <w:tr2bl w:val="nil"/>
                  </w:tcBorders>
                  <w:vAlign w:val="center"/>
                </w:tcPr>
                <w:p>
                  <w:pPr>
                    <w:adjustRightInd w:val="0"/>
                    <w:snapToGrid w:val="0"/>
                    <w:jc w:val="center"/>
                    <w:rPr>
                      <w:color w:val="000000"/>
                      <w:sz w:val="21"/>
                      <w:szCs w:val="21"/>
                    </w:rPr>
                  </w:pPr>
                  <w:r>
                    <w:rPr>
                      <w:color w:val="000000"/>
                      <w:sz w:val="21"/>
                      <w:szCs w:val="21"/>
                    </w:rPr>
                    <w:t>排放量</w:t>
                  </w:r>
                  <w:r>
                    <w:rPr>
                      <w:rFonts w:hint="eastAsia"/>
                      <w:color w:val="000000"/>
                      <w:sz w:val="21"/>
                      <w:szCs w:val="21"/>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8" w:type="dxa"/>
                  <w:tcBorders>
                    <w:tl2br w:val="nil"/>
                    <w:tr2bl w:val="nil"/>
                  </w:tcBorders>
                  <w:vAlign w:val="center"/>
                </w:tcPr>
                <w:p>
                  <w:pPr>
                    <w:adjustRightInd w:val="0"/>
                    <w:snapToGrid w:val="0"/>
                    <w:jc w:val="center"/>
                    <w:rPr>
                      <w:color w:val="000000"/>
                      <w:sz w:val="21"/>
                      <w:szCs w:val="21"/>
                    </w:rPr>
                  </w:pPr>
                  <w:r>
                    <w:rPr>
                      <w:color w:val="000000"/>
                      <w:sz w:val="21"/>
                      <w:szCs w:val="21"/>
                    </w:rPr>
                    <w:t>粉尘</w:t>
                  </w:r>
                </w:p>
              </w:tc>
              <w:tc>
                <w:tcPr>
                  <w:tcW w:w="2681" w:type="dxa"/>
                  <w:tcBorders>
                    <w:tl2br w:val="nil"/>
                    <w:tr2bl w:val="nil"/>
                  </w:tcBorders>
                  <w:vAlign w:val="center"/>
                </w:tcPr>
                <w:p>
                  <w:pPr>
                    <w:adjustRightInd w:val="0"/>
                    <w:snapToGrid w:val="0"/>
                    <w:jc w:val="center"/>
                    <w:rPr>
                      <w:color w:val="000000"/>
                      <w:sz w:val="21"/>
                      <w:szCs w:val="21"/>
                    </w:rPr>
                  </w:pPr>
                  <w:r>
                    <w:rPr>
                      <w:color w:val="000000"/>
                      <w:sz w:val="21"/>
                      <w:szCs w:val="21"/>
                    </w:rPr>
                    <w:t>有组织排放</w:t>
                  </w:r>
                </w:p>
              </w:tc>
              <w:tc>
                <w:tcPr>
                  <w:tcW w:w="2680"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78"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烟尘</w:t>
                  </w:r>
                </w:p>
              </w:tc>
              <w:tc>
                <w:tcPr>
                  <w:tcW w:w="2681"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有组织排放</w:t>
                  </w:r>
                </w:p>
              </w:tc>
              <w:tc>
                <w:tcPr>
                  <w:tcW w:w="2680"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2678" w:type="dxa"/>
                  <w:tcBorders>
                    <w:tl2br w:val="nil"/>
                    <w:tr2bl w:val="nil"/>
                  </w:tcBorders>
                  <w:vAlign w:val="center"/>
                </w:tcPr>
                <w:p>
                  <w:pPr>
                    <w:spacing w:line="320" w:lineRule="exact"/>
                    <w:jc w:val="center"/>
                    <w:rPr>
                      <w:color w:val="000000"/>
                      <w:sz w:val="21"/>
                      <w:szCs w:val="21"/>
                    </w:rPr>
                  </w:pPr>
                  <w:r>
                    <w:rPr>
                      <w:rFonts w:hint="eastAsia"/>
                      <w:color w:val="000000"/>
                      <w:sz w:val="21"/>
                      <w:szCs w:val="21"/>
                    </w:rPr>
                    <w:t>非甲烷总烃</w:t>
                  </w:r>
                </w:p>
              </w:tc>
              <w:tc>
                <w:tcPr>
                  <w:tcW w:w="2681"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有组织排放</w:t>
                  </w:r>
                </w:p>
              </w:tc>
              <w:tc>
                <w:tcPr>
                  <w:tcW w:w="2680" w:type="dxa"/>
                  <w:tcBorders>
                    <w:tl2br w:val="nil"/>
                    <w:tr2bl w:val="nil"/>
                  </w:tcBorders>
                  <w:vAlign w:val="center"/>
                </w:tcPr>
                <w:p>
                  <w:pPr>
                    <w:adjustRightInd w:val="0"/>
                    <w:snapToGrid w:val="0"/>
                    <w:jc w:val="center"/>
                    <w:rPr>
                      <w:color w:val="000000"/>
                      <w:sz w:val="21"/>
                      <w:szCs w:val="21"/>
                    </w:rPr>
                  </w:pPr>
                  <w:r>
                    <w:rPr>
                      <w:rFonts w:hint="eastAsia"/>
                      <w:color w:val="000000"/>
                      <w:sz w:val="21"/>
                      <w:szCs w:val="21"/>
                    </w:rPr>
                    <w:t>0.23</w:t>
                  </w:r>
                </w:p>
              </w:tc>
            </w:tr>
          </w:tbl>
          <w:p>
            <w:pPr>
              <w:spacing w:line="420" w:lineRule="exact"/>
              <w:ind w:firstLine="480" w:firstLineChars="200"/>
              <w:rPr>
                <w:color w:val="000000"/>
              </w:rPr>
            </w:pPr>
            <w:r>
              <w:rPr>
                <w:rFonts w:hint="eastAsia"/>
                <w:color w:val="000000"/>
              </w:rPr>
              <w:t>本项目废气排放口基本情况见下表。</w:t>
            </w:r>
          </w:p>
          <w:p>
            <w:pPr>
              <w:spacing w:line="420" w:lineRule="exact"/>
              <w:ind w:firstLine="481" w:firstLineChars="200"/>
              <w:jc w:val="center"/>
              <w:rPr>
                <w:b/>
                <w:bCs/>
                <w:color w:val="000000"/>
              </w:rPr>
            </w:pPr>
            <w:r>
              <w:rPr>
                <w:b/>
                <w:bCs/>
                <w:color w:val="000000"/>
              </w:rPr>
              <w:t>表4-</w:t>
            </w:r>
            <w:r>
              <w:rPr>
                <w:rFonts w:hint="eastAsia"/>
                <w:b/>
                <w:bCs/>
                <w:color w:val="000000"/>
              </w:rPr>
              <w:t>7</w:t>
            </w:r>
            <w:r>
              <w:rPr>
                <w:b/>
                <w:bCs/>
                <w:color w:val="000000"/>
              </w:rPr>
              <w:t xml:space="preserve"> 项目废气排放口基本情况一览表</w:t>
            </w:r>
          </w:p>
          <w:tbl>
            <w:tblPr>
              <w:tblStyle w:val="31"/>
              <w:tblW w:w="7936" w:type="dxa"/>
              <w:tblInd w:w="1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2317"/>
              <w:gridCol w:w="1350"/>
              <w:gridCol w:w="1200"/>
              <w:gridCol w:w="638"/>
              <w:gridCol w:w="887"/>
              <w:gridCol w:w="663"/>
              <w:gridCol w:w="88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30" w:hRule="atLeast"/>
              </w:trPr>
              <w:tc>
                <w:tcPr>
                  <w:tcW w:w="2317" w:type="dxa"/>
                  <w:vMerge w:val="restart"/>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排放口编号及名称</w:t>
                  </w:r>
                </w:p>
              </w:tc>
              <w:tc>
                <w:tcPr>
                  <w:tcW w:w="2550" w:type="dxa"/>
                  <w:gridSpan w:val="2"/>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地理坐标</w:t>
                  </w:r>
                </w:p>
              </w:tc>
              <w:tc>
                <w:tcPr>
                  <w:tcW w:w="638" w:type="dxa"/>
                  <w:vMerge w:val="restart"/>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高度</w:t>
                  </w:r>
                </w:p>
              </w:tc>
              <w:tc>
                <w:tcPr>
                  <w:tcW w:w="887" w:type="dxa"/>
                  <w:vMerge w:val="restart"/>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排气筒内径</w:t>
                  </w:r>
                </w:p>
              </w:tc>
              <w:tc>
                <w:tcPr>
                  <w:tcW w:w="663" w:type="dxa"/>
                  <w:vMerge w:val="restart"/>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温度</w:t>
                  </w:r>
                </w:p>
              </w:tc>
              <w:tc>
                <w:tcPr>
                  <w:tcW w:w="881" w:type="dxa"/>
                  <w:vMerge w:val="restart"/>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类型</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2317" w:type="dxa"/>
                  <w:vMerge w:val="continue"/>
                  <w:tcBorders>
                    <w:tl2br w:val="nil"/>
                    <w:tr2bl w:val="nil"/>
                  </w:tcBorders>
                  <w:vAlign w:val="center"/>
                </w:tcPr>
                <w:p>
                  <w:pPr>
                    <w:adjustRightInd w:val="0"/>
                    <w:snapToGrid w:val="0"/>
                    <w:spacing w:line="320" w:lineRule="exact"/>
                    <w:jc w:val="center"/>
                    <w:rPr>
                      <w:color w:val="000000"/>
                      <w:sz w:val="21"/>
                      <w:szCs w:val="21"/>
                    </w:rPr>
                  </w:pPr>
                </w:p>
              </w:tc>
              <w:tc>
                <w:tcPr>
                  <w:tcW w:w="1350"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经度（°）</w:t>
                  </w:r>
                </w:p>
              </w:tc>
              <w:tc>
                <w:tcPr>
                  <w:tcW w:w="1200"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纬度（°）</w:t>
                  </w:r>
                </w:p>
              </w:tc>
              <w:tc>
                <w:tcPr>
                  <w:tcW w:w="638" w:type="dxa"/>
                  <w:vMerge w:val="continue"/>
                  <w:tcBorders>
                    <w:tl2br w:val="nil"/>
                    <w:tr2bl w:val="nil"/>
                  </w:tcBorders>
                  <w:vAlign w:val="center"/>
                </w:tcPr>
                <w:p>
                  <w:pPr>
                    <w:adjustRightInd w:val="0"/>
                    <w:snapToGrid w:val="0"/>
                    <w:spacing w:line="320" w:lineRule="exact"/>
                    <w:jc w:val="center"/>
                    <w:rPr>
                      <w:color w:val="000000"/>
                      <w:sz w:val="21"/>
                      <w:szCs w:val="21"/>
                    </w:rPr>
                  </w:pPr>
                </w:p>
              </w:tc>
              <w:tc>
                <w:tcPr>
                  <w:tcW w:w="887" w:type="dxa"/>
                  <w:vMerge w:val="continue"/>
                  <w:tcBorders>
                    <w:tl2br w:val="nil"/>
                    <w:tr2bl w:val="nil"/>
                  </w:tcBorders>
                  <w:vAlign w:val="center"/>
                </w:tcPr>
                <w:p>
                  <w:pPr>
                    <w:adjustRightInd w:val="0"/>
                    <w:snapToGrid w:val="0"/>
                    <w:spacing w:line="320" w:lineRule="exact"/>
                    <w:jc w:val="center"/>
                    <w:rPr>
                      <w:color w:val="000000"/>
                      <w:sz w:val="21"/>
                      <w:szCs w:val="21"/>
                    </w:rPr>
                  </w:pPr>
                </w:p>
              </w:tc>
              <w:tc>
                <w:tcPr>
                  <w:tcW w:w="663" w:type="dxa"/>
                  <w:vMerge w:val="continue"/>
                  <w:tcBorders>
                    <w:tl2br w:val="nil"/>
                    <w:tr2bl w:val="nil"/>
                  </w:tcBorders>
                  <w:vAlign w:val="center"/>
                </w:tcPr>
                <w:p>
                  <w:pPr>
                    <w:adjustRightInd w:val="0"/>
                    <w:snapToGrid w:val="0"/>
                    <w:spacing w:line="320" w:lineRule="exact"/>
                    <w:jc w:val="center"/>
                    <w:rPr>
                      <w:color w:val="000000"/>
                      <w:sz w:val="21"/>
                      <w:szCs w:val="21"/>
                    </w:rPr>
                  </w:pPr>
                </w:p>
              </w:tc>
              <w:tc>
                <w:tcPr>
                  <w:tcW w:w="881" w:type="dxa"/>
                  <w:vMerge w:val="continue"/>
                  <w:tcBorders>
                    <w:tl2br w:val="nil"/>
                    <w:tr2bl w:val="nil"/>
                  </w:tcBorders>
                  <w:vAlign w:val="center"/>
                </w:tcPr>
                <w:p>
                  <w:pPr>
                    <w:adjustRightInd w:val="0"/>
                    <w:snapToGrid w:val="0"/>
                    <w:spacing w:line="320" w:lineRule="exact"/>
                    <w:jc w:val="center"/>
                    <w:rPr>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8" w:hRule="atLeast"/>
              </w:trPr>
              <w:tc>
                <w:tcPr>
                  <w:tcW w:w="2317" w:type="dxa"/>
                  <w:tcBorders>
                    <w:tl2br w:val="nil"/>
                    <w:tr2bl w:val="nil"/>
                  </w:tcBorders>
                  <w:vAlign w:val="center"/>
                </w:tcPr>
                <w:p>
                  <w:pPr>
                    <w:widowControl/>
                    <w:spacing w:line="320" w:lineRule="exact"/>
                    <w:jc w:val="center"/>
                    <w:rPr>
                      <w:color w:val="000000"/>
                      <w:sz w:val="21"/>
                      <w:szCs w:val="21"/>
                    </w:rPr>
                  </w:pPr>
                  <w:r>
                    <w:rPr>
                      <w:rFonts w:hint="eastAsia"/>
                      <w:color w:val="000000"/>
                      <w:sz w:val="21"/>
                      <w:szCs w:val="21"/>
                    </w:rPr>
                    <w:t>DA001联合厂房（一）生产过程中产生的废气</w:t>
                  </w:r>
                </w:p>
              </w:tc>
              <w:tc>
                <w:tcPr>
                  <w:tcW w:w="135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112.974390</w:t>
                  </w:r>
                </w:p>
              </w:tc>
              <w:tc>
                <w:tcPr>
                  <w:tcW w:w="120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36.152135</w:t>
                  </w:r>
                </w:p>
              </w:tc>
              <w:tc>
                <w:tcPr>
                  <w:tcW w:w="638"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15m</w:t>
                  </w:r>
                </w:p>
              </w:tc>
              <w:tc>
                <w:tcPr>
                  <w:tcW w:w="887"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1.2m</w:t>
                  </w:r>
                </w:p>
              </w:tc>
              <w:tc>
                <w:tcPr>
                  <w:tcW w:w="663" w:type="dxa"/>
                  <w:tcBorders>
                    <w:tl2br w:val="nil"/>
                    <w:tr2bl w:val="nil"/>
                  </w:tcBorders>
                  <w:vAlign w:val="center"/>
                </w:tcPr>
                <w:p>
                  <w:pPr>
                    <w:adjustRightInd w:val="0"/>
                    <w:snapToGrid w:val="0"/>
                    <w:spacing w:line="320" w:lineRule="exact"/>
                    <w:jc w:val="center"/>
                    <w:rPr>
                      <w:color w:val="000000"/>
                      <w:sz w:val="21"/>
                      <w:szCs w:val="21"/>
                    </w:rPr>
                  </w:pPr>
                  <w:r>
                    <w:rPr>
                      <w:color w:val="000000"/>
                      <w:sz w:val="21"/>
                      <w:szCs w:val="21"/>
                    </w:rPr>
                    <w:t>20℃</w:t>
                  </w:r>
                </w:p>
              </w:tc>
              <w:tc>
                <w:tcPr>
                  <w:tcW w:w="881"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有组织点源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9" w:hRule="atLeast"/>
              </w:trPr>
              <w:tc>
                <w:tcPr>
                  <w:tcW w:w="2317" w:type="dxa"/>
                  <w:tcBorders>
                    <w:tl2br w:val="nil"/>
                    <w:tr2bl w:val="nil"/>
                  </w:tcBorders>
                  <w:vAlign w:val="center"/>
                </w:tcPr>
                <w:p>
                  <w:pPr>
                    <w:widowControl/>
                    <w:spacing w:line="320" w:lineRule="exact"/>
                    <w:jc w:val="center"/>
                    <w:rPr>
                      <w:color w:val="000000"/>
                      <w:sz w:val="21"/>
                      <w:szCs w:val="21"/>
                    </w:rPr>
                  </w:pPr>
                  <w:r>
                    <w:rPr>
                      <w:rFonts w:hint="eastAsia"/>
                      <w:color w:val="000000"/>
                      <w:sz w:val="21"/>
                      <w:szCs w:val="21"/>
                    </w:rPr>
                    <w:t>DA002喷砂房产生的废气</w:t>
                  </w:r>
                </w:p>
              </w:tc>
              <w:tc>
                <w:tcPr>
                  <w:tcW w:w="135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112.974197</w:t>
                  </w:r>
                </w:p>
              </w:tc>
              <w:tc>
                <w:tcPr>
                  <w:tcW w:w="120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36.152177</w:t>
                  </w:r>
                </w:p>
              </w:tc>
              <w:tc>
                <w:tcPr>
                  <w:tcW w:w="638"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15m</w:t>
                  </w:r>
                </w:p>
              </w:tc>
              <w:tc>
                <w:tcPr>
                  <w:tcW w:w="887"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1.2m</w:t>
                  </w:r>
                </w:p>
              </w:tc>
              <w:tc>
                <w:tcPr>
                  <w:tcW w:w="663" w:type="dxa"/>
                  <w:tcBorders>
                    <w:tl2br w:val="nil"/>
                    <w:tr2bl w:val="nil"/>
                  </w:tcBorders>
                  <w:vAlign w:val="center"/>
                </w:tcPr>
                <w:p>
                  <w:pPr>
                    <w:adjustRightInd w:val="0"/>
                    <w:snapToGrid w:val="0"/>
                    <w:spacing w:line="320" w:lineRule="exact"/>
                    <w:jc w:val="center"/>
                    <w:rPr>
                      <w:color w:val="000000"/>
                      <w:sz w:val="21"/>
                      <w:szCs w:val="21"/>
                    </w:rPr>
                  </w:pPr>
                  <w:r>
                    <w:rPr>
                      <w:color w:val="000000"/>
                      <w:sz w:val="21"/>
                      <w:szCs w:val="21"/>
                    </w:rPr>
                    <w:t>20℃</w:t>
                  </w:r>
                </w:p>
              </w:tc>
              <w:tc>
                <w:tcPr>
                  <w:tcW w:w="881"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有组织点源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2317" w:type="dxa"/>
                  <w:tcBorders>
                    <w:tl2br w:val="nil"/>
                    <w:tr2bl w:val="nil"/>
                  </w:tcBorders>
                  <w:vAlign w:val="center"/>
                </w:tcPr>
                <w:p>
                  <w:pPr>
                    <w:widowControl/>
                    <w:spacing w:line="320" w:lineRule="exact"/>
                    <w:jc w:val="center"/>
                    <w:rPr>
                      <w:color w:val="000000"/>
                      <w:sz w:val="21"/>
                      <w:szCs w:val="21"/>
                    </w:rPr>
                  </w:pPr>
                  <w:r>
                    <w:rPr>
                      <w:rFonts w:hint="eastAsia"/>
                      <w:color w:val="000000"/>
                      <w:sz w:val="21"/>
                      <w:szCs w:val="21"/>
                    </w:rPr>
                    <w:t>DA003喷漆房产生的废气</w:t>
                  </w:r>
                </w:p>
              </w:tc>
              <w:tc>
                <w:tcPr>
                  <w:tcW w:w="135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112.973961</w:t>
                  </w:r>
                </w:p>
              </w:tc>
              <w:tc>
                <w:tcPr>
                  <w:tcW w:w="1200" w:type="dxa"/>
                  <w:tcBorders>
                    <w:tl2br w:val="nil"/>
                    <w:tr2bl w:val="nil"/>
                  </w:tcBorders>
                  <w:vAlign w:val="center"/>
                </w:tcPr>
                <w:p>
                  <w:pPr>
                    <w:adjustRightInd w:val="0"/>
                    <w:snapToGrid w:val="0"/>
                    <w:spacing w:line="320" w:lineRule="exact"/>
                    <w:jc w:val="center"/>
                    <w:rPr>
                      <w:color w:val="000000" w:themeColor="text1"/>
                      <w:sz w:val="21"/>
                      <w:szCs w:val="21"/>
                    </w:rPr>
                  </w:pPr>
                  <w:r>
                    <w:rPr>
                      <w:color w:val="000000" w:themeColor="text1"/>
                      <w:sz w:val="21"/>
                      <w:szCs w:val="21"/>
                    </w:rPr>
                    <w:t>36.152215</w:t>
                  </w:r>
                </w:p>
              </w:tc>
              <w:tc>
                <w:tcPr>
                  <w:tcW w:w="638"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15m</w:t>
                  </w:r>
                </w:p>
              </w:tc>
              <w:tc>
                <w:tcPr>
                  <w:tcW w:w="887"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1.2m</w:t>
                  </w:r>
                </w:p>
              </w:tc>
              <w:tc>
                <w:tcPr>
                  <w:tcW w:w="663" w:type="dxa"/>
                  <w:tcBorders>
                    <w:tl2br w:val="nil"/>
                    <w:tr2bl w:val="nil"/>
                  </w:tcBorders>
                  <w:vAlign w:val="center"/>
                </w:tcPr>
                <w:p>
                  <w:pPr>
                    <w:adjustRightInd w:val="0"/>
                    <w:snapToGrid w:val="0"/>
                    <w:spacing w:line="320" w:lineRule="exact"/>
                    <w:jc w:val="center"/>
                    <w:rPr>
                      <w:color w:val="000000"/>
                      <w:sz w:val="21"/>
                      <w:szCs w:val="21"/>
                    </w:rPr>
                  </w:pPr>
                  <w:r>
                    <w:rPr>
                      <w:color w:val="000000"/>
                      <w:sz w:val="21"/>
                      <w:szCs w:val="21"/>
                    </w:rPr>
                    <w:t>20℃</w:t>
                  </w:r>
                </w:p>
              </w:tc>
              <w:tc>
                <w:tcPr>
                  <w:tcW w:w="881" w:type="dxa"/>
                  <w:tcBorders>
                    <w:tl2br w:val="nil"/>
                    <w:tr2bl w:val="nil"/>
                  </w:tcBorders>
                  <w:vAlign w:val="center"/>
                </w:tcPr>
                <w:p>
                  <w:pPr>
                    <w:adjustRightInd w:val="0"/>
                    <w:snapToGrid w:val="0"/>
                    <w:spacing w:line="320" w:lineRule="exact"/>
                    <w:jc w:val="center"/>
                    <w:rPr>
                      <w:color w:val="000000"/>
                      <w:sz w:val="21"/>
                      <w:szCs w:val="21"/>
                    </w:rPr>
                  </w:pPr>
                  <w:r>
                    <w:rPr>
                      <w:rFonts w:hint="eastAsia"/>
                      <w:color w:val="000000"/>
                      <w:sz w:val="21"/>
                      <w:szCs w:val="21"/>
                    </w:rPr>
                    <w:t>有组织点源</w:t>
                  </w:r>
                </w:p>
              </w:tc>
            </w:tr>
          </w:tbl>
          <w:p>
            <w:pPr>
              <w:spacing w:line="480" w:lineRule="exact"/>
              <w:ind w:firstLine="480" w:firstLineChars="200"/>
              <w:rPr>
                <w:b/>
                <w:bCs/>
                <w:color w:val="000000"/>
                <w:spacing w:val="6"/>
              </w:rPr>
            </w:pPr>
            <w:r>
              <w:rPr>
                <w:color w:val="000000"/>
              </w:rPr>
              <w:t>环境监测是环境保护工作的组成部分，是了解全厂排污状况和排污趋势的手段，是一项生产监督活动。监测结果是进行环境管理和污染防治的依据，通过环境监测结果及时掌握本项目排污状况，对其进行监督，掌握区域环境质量及其变化趋势，为区域污染防治提供科学依据。</w:t>
            </w:r>
            <w:r>
              <w:rPr>
                <w:rFonts w:hint="eastAsia"/>
                <w:color w:val="000000"/>
              </w:rPr>
              <w:t>根据《排污单位自行监测技术指南 总则》（HJ819-2017）、《排污单位自行监测技术指南 涂装》（HJ1086-2020）中的要求，</w:t>
            </w:r>
            <w:r>
              <w:rPr>
                <w:color w:val="000000"/>
              </w:rPr>
              <w:t>大气环境</w:t>
            </w:r>
            <w:r>
              <w:rPr>
                <w:rFonts w:hint="eastAsia"/>
                <w:color w:val="000000"/>
              </w:rPr>
              <w:t>自行检测</w:t>
            </w:r>
            <w:r>
              <w:rPr>
                <w:color w:val="000000"/>
              </w:rPr>
              <w:t>监测计划见下表。</w:t>
            </w:r>
          </w:p>
          <w:p>
            <w:pPr>
              <w:spacing w:line="480" w:lineRule="exact"/>
              <w:jc w:val="center"/>
              <w:rPr>
                <w:b/>
                <w:bCs/>
                <w:color w:val="000000"/>
                <w:spacing w:val="6"/>
              </w:rPr>
            </w:pPr>
            <w:r>
              <w:rPr>
                <w:b/>
                <w:bCs/>
                <w:color w:val="000000"/>
                <w:spacing w:val="6"/>
              </w:rPr>
              <w:t>表4-</w:t>
            </w:r>
            <w:r>
              <w:rPr>
                <w:rFonts w:hint="eastAsia"/>
                <w:b/>
                <w:bCs/>
                <w:color w:val="000000"/>
                <w:spacing w:val="6"/>
              </w:rPr>
              <w:t>8</w:t>
            </w:r>
            <w:r>
              <w:rPr>
                <w:b/>
                <w:bCs/>
                <w:color w:val="000000"/>
                <w:spacing w:val="6"/>
              </w:rPr>
              <w:t xml:space="preserve">  大气环境跟踪监测计划</w:t>
            </w:r>
          </w:p>
          <w:tbl>
            <w:tblPr>
              <w:tblStyle w:val="31"/>
              <w:tblW w:w="4903"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01"/>
              <w:gridCol w:w="1285"/>
              <w:gridCol w:w="1132"/>
              <w:gridCol w:w="27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监测点位</w:t>
                  </w:r>
                </w:p>
              </w:tc>
              <w:tc>
                <w:tcPr>
                  <w:tcW w:w="1285"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监测因子</w:t>
                  </w:r>
                </w:p>
              </w:tc>
              <w:tc>
                <w:tcPr>
                  <w:tcW w:w="113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监测频次</w:t>
                  </w:r>
                </w:p>
              </w:tc>
              <w:tc>
                <w:tcPr>
                  <w:tcW w:w="2764" w:type="dxa"/>
                  <w:tcBorders>
                    <w:tl2br w:val="nil"/>
                    <w:tr2bl w:val="nil"/>
                  </w:tcBorders>
                  <w:vAlign w:val="center"/>
                </w:tcPr>
                <w:p>
                  <w:pPr>
                    <w:spacing w:line="320" w:lineRule="exact"/>
                    <w:jc w:val="center"/>
                    <w:rPr>
                      <w:color w:val="000000"/>
                      <w:spacing w:val="6"/>
                      <w:sz w:val="21"/>
                      <w:szCs w:val="21"/>
                    </w:rPr>
                  </w:pPr>
                  <w:r>
                    <w:rPr>
                      <w:rFonts w:hint="eastAsia"/>
                      <w:color w:val="000000"/>
                      <w:spacing w:val="6"/>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2" w:type="dxa"/>
                  <w:tcBorders>
                    <w:tl2br w:val="nil"/>
                    <w:tr2bl w:val="nil"/>
                  </w:tcBorders>
                  <w:vAlign w:val="center"/>
                </w:tcPr>
                <w:p>
                  <w:pPr>
                    <w:widowControl/>
                    <w:spacing w:line="320" w:lineRule="exact"/>
                    <w:jc w:val="center"/>
                    <w:rPr>
                      <w:color w:val="000000"/>
                      <w:spacing w:val="6"/>
                      <w:sz w:val="21"/>
                      <w:szCs w:val="21"/>
                    </w:rPr>
                  </w:pPr>
                  <w:r>
                    <w:rPr>
                      <w:rFonts w:hint="eastAsia"/>
                      <w:color w:val="000000"/>
                      <w:sz w:val="21"/>
                      <w:szCs w:val="21"/>
                    </w:rPr>
                    <w:t>DA001联合厂房（一）生产过程中产生的废气</w:t>
                  </w:r>
                </w:p>
              </w:tc>
              <w:tc>
                <w:tcPr>
                  <w:tcW w:w="1285" w:type="dxa"/>
                  <w:tcBorders>
                    <w:tl2br w:val="nil"/>
                    <w:tr2bl w:val="nil"/>
                  </w:tcBorders>
                  <w:vAlign w:val="center"/>
                </w:tcPr>
                <w:p>
                  <w:pPr>
                    <w:spacing w:line="320" w:lineRule="exact"/>
                    <w:jc w:val="center"/>
                    <w:rPr>
                      <w:color w:val="000000"/>
                      <w:spacing w:val="6"/>
                      <w:sz w:val="21"/>
                      <w:szCs w:val="21"/>
                    </w:rPr>
                  </w:pPr>
                  <w:r>
                    <w:rPr>
                      <w:rFonts w:hint="eastAsia"/>
                      <w:color w:val="000000"/>
                      <w:spacing w:val="6"/>
                      <w:sz w:val="21"/>
                      <w:szCs w:val="21"/>
                    </w:rPr>
                    <w:t>颗粒物</w:t>
                  </w:r>
                </w:p>
              </w:tc>
              <w:tc>
                <w:tcPr>
                  <w:tcW w:w="113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1次/年</w:t>
                  </w:r>
                </w:p>
              </w:tc>
              <w:tc>
                <w:tcPr>
                  <w:tcW w:w="2764" w:type="dxa"/>
                  <w:tcBorders>
                    <w:tl2br w:val="nil"/>
                    <w:tr2bl w:val="nil"/>
                  </w:tcBorders>
                  <w:vAlign w:val="center"/>
                </w:tcPr>
                <w:p>
                  <w:pPr>
                    <w:spacing w:line="320" w:lineRule="exact"/>
                    <w:jc w:val="center"/>
                    <w:rPr>
                      <w:snapToGrid w:val="0"/>
                      <w:color w:val="000000"/>
                      <w:kern w:val="0"/>
                      <w:sz w:val="21"/>
                      <w:szCs w:val="21"/>
                    </w:rPr>
                  </w:pPr>
                  <w:r>
                    <w:rPr>
                      <w:rFonts w:hint="eastAsia"/>
                      <w:snapToGrid w:val="0"/>
                      <w:color w:val="000000"/>
                      <w:kern w:val="0"/>
                      <w:sz w:val="21"/>
                      <w:szCs w:val="21"/>
                    </w:rPr>
                    <w:t>《排污单位自行</w:t>
                  </w:r>
                  <w:r>
                    <w:rPr>
                      <w:rFonts w:hint="eastAsia"/>
                      <w:color w:val="000000"/>
                      <w:sz w:val="21"/>
                      <w:szCs w:val="21"/>
                    </w:rPr>
                    <w:t>监</w:t>
                  </w:r>
                  <w:r>
                    <w:rPr>
                      <w:rFonts w:hint="eastAsia"/>
                      <w:snapToGrid w:val="0"/>
                      <w:color w:val="000000"/>
                      <w:kern w:val="0"/>
                      <w:sz w:val="21"/>
                      <w:szCs w:val="21"/>
                    </w:rPr>
                    <w:t>测技术指南 总则》（HJ819-2017）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2" w:type="dxa"/>
                  <w:tcBorders>
                    <w:tl2br w:val="nil"/>
                    <w:tr2bl w:val="nil"/>
                  </w:tcBorders>
                  <w:vAlign w:val="center"/>
                </w:tcPr>
                <w:p>
                  <w:pPr>
                    <w:widowControl/>
                    <w:spacing w:line="320" w:lineRule="exact"/>
                    <w:jc w:val="center"/>
                    <w:rPr>
                      <w:color w:val="000000"/>
                      <w:sz w:val="21"/>
                      <w:szCs w:val="21"/>
                    </w:rPr>
                  </w:pPr>
                  <w:r>
                    <w:rPr>
                      <w:rFonts w:hint="eastAsia"/>
                      <w:color w:val="000000"/>
                      <w:sz w:val="21"/>
                      <w:szCs w:val="21"/>
                    </w:rPr>
                    <w:t>DA002喷砂房产生的废气</w:t>
                  </w:r>
                </w:p>
              </w:tc>
              <w:tc>
                <w:tcPr>
                  <w:tcW w:w="1285" w:type="dxa"/>
                  <w:tcBorders>
                    <w:tl2br w:val="nil"/>
                    <w:tr2bl w:val="nil"/>
                  </w:tcBorders>
                  <w:vAlign w:val="center"/>
                </w:tcPr>
                <w:p>
                  <w:pPr>
                    <w:spacing w:line="320" w:lineRule="exact"/>
                    <w:jc w:val="center"/>
                    <w:rPr>
                      <w:color w:val="000000"/>
                      <w:spacing w:val="6"/>
                      <w:sz w:val="21"/>
                      <w:szCs w:val="21"/>
                    </w:rPr>
                  </w:pPr>
                  <w:r>
                    <w:rPr>
                      <w:rFonts w:hint="eastAsia"/>
                      <w:color w:val="000000"/>
                      <w:spacing w:val="6"/>
                      <w:sz w:val="21"/>
                      <w:szCs w:val="21"/>
                    </w:rPr>
                    <w:t>颗粒物</w:t>
                  </w:r>
                </w:p>
              </w:tc>
              <w:tc>
                <w:tcPr>
                  <w:tcW w:w="113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1次/年</w:t>
                  </w:r>
                </w:p>
              </w:tc>
              <w:tc>
                <w:tcPr>
                  <w:tcW w:w="2764" w:type="dxa"/>
                  <w:tcBorders>
                    <w:tl2br w:val="nil"/>
                    <w:tr2bl w:val="nil"/>
                  </w:tcBorders>
                  <w:vAlign w:val="center"/>
                </w:tcPr>
                <w:p>
                  <w:pPr>
                    <w:spacing w:line="320" w:lineRule="exact"/>
                    <w:jc w:val="center"/>
                    <w:rPr>
                      <w:snapToGrid w:val="0"/>
                      <w:color w:val="000000"/>
                      <w:kern w:val="0"/>
                      <w:sz w:val="21"/>
                      <w:szCs w:val="21"/>
                    </w:rPr>
                  </w:pPr>
                  <w:r>
                    <w:rPr>
                      <w:rFonts w:hint="eastAsia"/>
                      <w:snapToGrid w:val="0"/>
                      <w:color w:val="000000"/>
                      <w:kern w:val="0"/>
                      <w:sz w:val="21"/>
                      <w:szCs w:val="21"/>
                    </w:rPr>
                    <w:t>《排污单位自行</w:t>
                  </w:r>
                  <w:r>
                    <w:rPr>
                      <w:rFonts w:hint="eastAsia"/>
                      <w:color w:val="000000"/>
                      <w:sz w:val="21"/>
                      <w:szCs w:val="21"/>
                    </w:rPr>
                    <w:t>监</w:t>
                  </w:r>
                  <w:r>
                    <w:rPr>
                      <w:rFonts w:hint="eastAsia"/>
                      <w:snapToGrid w:val="0"/>
                      <w:color w:val="000000"/>
                      <w:kern w:val="0"/>
                      <w:sz w:val="21"/>
                      <w:szCs w:val="21"/>
                    </w:rPr>
                    <w:t>测技术指南 总则》（HJ819-2017）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602" w:type="dxa"/>
                  <w:tcBorders>
                    <w:tl2br w:val="nil"/>
                    <w:tr2bl w:val="nil"/>
                  </w:tcBorders>
                  <w:vAlign w:val="center"/>
                </w:tcPr>
                <w:p>
                  <w:pPr>
                    <w:widowControl/>
                    <w:spacing w:line="320" w:lineRule="exact"/>
                    <w:jc w:val="center"/>
                    <w:rPr>
                      <w:color w:val="000000"/>
                      <w:sz w:val="21"/>
                      <w:szCs w:val="21"/>
                    </w:rPr>
                  </w:pPr>
                  <w:r>
                    <w:rPr>
                      <w:rFonts w:hint="eastAsia"/>
                      <w:color w:val="000000"/>
                      <w:sz w:val="21"/>
                      <w:szCs w:val="21"/>
                    </w:rPr>
                    <w:t>DA003喷漆房产生的废气</w:t>
                  </w:r>
                </w:p>
              </w:tc>
              <w:tc>
                <w:tcPr>
                  <w:tcW w:w="1285" w:type="dxa"/>
                  <w:tcBorders>
                    <w:tl2br w:val="nil"/>
                    <w:tr2bl w:val="nil"/>
                  </w:tcBorders>
                  <w:vAlign w:val="center"/>
                </w:tcPr>
                <w:p>
                  <w:pPr>
                    <w:spacing w:line="320" w:lineRule="exact"/>
                    <w:jc w:val="center"/>
                    <w:rPr>
                      <w:color w:val="000000"/>
                      <w:spacing w:val="6"/>
                      <w:sz w:val="21"/>
                      <w:szCs w:val="21"/>
                    </w:rPr>
                  </w:pPr>
                  <w:r>
                    <w:rPr>
                      <w:rFonts w:hint="eastAsia"/>
                      <w:color w:val="000000"/>
                      <w:spacing w:val="6"/>
                      <w:sz w:val="21"/>
                      <w:szCs w:val="21"/>
                    </w:rPr>
                    <w:t>非甲烷总烃</w:t>
                  </w:r>
                </w:p>
              </w:tc>
              <w:tc>
                <w:tcPr>
                  <w:tcW w:w="113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1次/年</w:t>
                  </w:r>
                </w:p>
              </w:tc>
              <w:tc>
                <w:tcPr>
                  <w:tcW w:w="2764" w:type="dxa"/>
                  <w:tcBorders>
                    <w:tl2br w:val="nil"/>
                    <w:tr2bl w:val="nil"/>
                  </w:tcBorders>
                  <w:vAlign w:val="center"/>
                </w:tcPr>
                <w:p>
                  <w:pPr>
                    <w:spacing w:line="320" w:lineRule="exact"/>
                    <w:jc w:val="center"/>
                    <w:rPr>
                      <w:snapToGrid w:val="0"/>
                      <w:color w:val="000000"/>
                      <w:kern w:val="0"/>
                      <w:sz w:val="21"/>
                      <w:szCs w:val="21"/>
                    </w:rPr>
                  </w:pPr>
                  <w:r>
                    <w:rPr>
                      <w:rFonts w:hint="eastAsia"/>
                      <w:snapToGrid w:val="0"/>
                      <w:color w:val="000000"/>
                      <w:kern w:val="0"/>
                      <w:sz w:val="21"/>
                      <w:szCs w:val="21"/>
                    </w:rPr>
                    <w:t>《排污单位自行</w:t>
                  </w:r>
                  <w:r>
                    <w:rPr>
                      <w:rFonts w:hint="eastAsia"/>
                      <w:color w:val="000000"/>
                      <w:sz w:val="21"/>
                      <w:szCs w:val="21"/>
                    </w:rPr>
                    <w:t>监</w:t>
                  </w:r>
                  <w:r>
                    <w:rPr>
                      <w:rFonts w:hint="eastAsia"/>
                      <w:snapToGrid w:val="0"/>
                      <w:color w:val="000000"/>
                      <w:kern w:val="0"/>
                      <w:sz w:val="21"/>
                      <w:szCs w:val="21"/>
                    </w:rPr>
                    <w:t>测技术指南 涂装》（HJ1086-2020）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260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厂界</w:t>
                  </w:r>
                  <w:r>
                    <w:rPr>
                      <w:rFonts w:hint="eastAsia"/>
                      <w:color w:val="000000"/>
                      <w:spacing w:val="6"/>
                      <w:sz w:val="21"/>
                      <w:szCs w:val="21"/>
                    </w:rPr>
                    <w:t>无组织</w:t>
                  </w:r>
                </w:p>
              </w:tc>
              <w:tc>
                <w:tcPr>
                  <w:tcW w:w="1285"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颗粒物、</w:t>
                  </w:r>
                  <w:r>
                    <w:rPr>
                      <w:rFonts w:hint="eastAsia"/>
                      <w:color w:val="000000"/>
                      <w:spacing w:val="6"/>
                      <w:sz w:val="21"/>
                      <w:szCs w:val="21"/>
                    </w:rPr>
                    <w:t>非甲烷总烃</w:t>
                  </w:r>
                </w:p>
              </w:tc>
              <w:tc>
                <w:tcPr>
                  <w:tcW w:w="1132" w:type="dxa"/>
                  <w:tcBorders>
                    <w:tl2br w:val="nil"/>
                    <w:tr2bl w:val="nil"/>
                  </w:tcBorders>
                  <w:vAlign w:val="center"/>
                </w:tcPr>
                <w:p>
                  <w:pPr>
                    <w:spacing w:line="320" w:lineRule="exact"/>
                    <w:jc w:val="center"/>
                    <w:rPr>
                      <w:color w:val="000000"/>
                      <w:spacing w:val="6"/>
                      <w:sz w:val="21"/>
                      <w:szCs w:val="21"/>
                    </w:rPr>
                  </w:pPr>
                  <w:r>
                    <w:rPr>
                      <w:color w:val="000000"/>
                      <w:spacing w:val="6"/>
                      <w:sz w:val="21"/>
                      <w:szCs w:val="21"/>
                    </w:rPr>
                    <w:t>1次/年</w:t>
                  </w:r>
                </w:p>
              </w:tc>
              <w:tc>
                <w:tcPr>
                  <w:tcW w:w="2764" w:type="dxa"/>
                  <w:tcBorders>
                    <w:tl2br w:val="nil"/>
                    <w:tr2bl w:val="nil"/>
                  </w:tcBorders>
                  <w:vAlign w:val="center"/>
                </w:tcPr>
                <w:p>
                  <w:pPr>
                    <w:spacing w:line="320" w:lineRule="exact"/>
                    <w:jc w:val="center"/>
                    <w:rPr>
                      <w:color w:val="000000"/>
                      <w:spacing w:val="6"/>
                      <w:sz w:val="21"/>
                      <w:szCs w:val="21"/>
                    </w:rPr>
                  </w:pPr>
                  <w:r>
                    <w:rPr>
                      <w:rFonts w:hint="eastAsia"/>
                      <w:snapToGrid w:val="0"/>
                      <w:color w:val="000000"/>
                      <w:kern w:val="0"/>
                      <w:sz w:val="21"/>
                      <w:szCs w:val="21"/>
                    </w:rPr>
                    <w:t>《排污单位自行</w:t>
                  </w:r>
                  <w:r>
                    <w:rPr>
                      <w:rFonts w:hint="eastAsia"/>
                      <w:color w:val="000000"/>
                      <w:sz w:val="21"/>
                      <w:szCs w:val="21"/>
                    </w:rPr>
                    <w:t>监</w:t>
                  </w:r>
                  <w:r>
                    <w:rPr>
                      <w:rFonts w:hint="eastAsia"/>
                      <w:snapToGrid w:val="0"/>
                      <w:color w:val="000000"/>
                      <w:kern w:val="0"/>
                      <w:sz w:val="21"/>
                      <w:szCs w:val="21"/>
                    </w:rPr>
                    <w:t>测技术指南 总则》（HJ819-2017）</w:t>
                  </w:r>
                </w:p>
              </w:tc>
            </w:tr>
          </w:tbl>
          <w:p>
            <w:pPr>
              <w:adjustRightInd w:val="0"/>
              <w:snapToGrid w:val="0"/>
              <w:spacing w:line="420" w:lineRule="exact"/>
              <w:rPr>
                <w:b/>
                <w:color w:val="000000"/>
              </w:rPr>
            </w:pPr>
            <w:r>
              <w:rPr>
                <w:b/>
                <w:color w:val="000000"/>
              </w:rPr>
              <w:t>2、水环境影响分析</w:t>
            </w:r>
          </w:p>
          <w:p>
            <w:pPr>
              <w:spacing w:line="420" w:lineRule="exact"/>
              <w:ind w:firstLine="480"/>
              <w:rPr>
                <w:color w:val="000000"/>
              </w:rPr>
            </w:pPr>
            <w:r>
              <w:rPr>
                <w:color w:val="000000"/>
              </w:rPr>
              <w:t>2.1水环境影响分析</w:t>
            </w:r>
          </w:p>
          <w:p>
            <w:pPr>
              <w:widowControl/>
              <w:spacing w:line="480" w:lineRule="exact"/>
              <w:ind w:firstLine="480" w:firstLineChars="200"/>
              <w:jc w:val="left"/>
              <w:textAlignment w:val="baseline"/>
              <w:outlineLvl w:val="0"/>
              <w:rPr>
                <w:color w:val="000000"/>
              </w:rPr>
            </w:pPr>
            <w:r>
              <w:rPr>
                <w:rFonts w:hint="eastAsia"/>
                <w:color w:val="000000"/>
              </w:rPr>
              <w:t>（1）</w:t>
            </w:r>
            <w:r>
              <w:rPr>
                <w:color w:val="000000"/>
              </w:rPr>
              <w:t>给水</w:t>
            </w:r>
          </w:p>
          <w:p>
            <w:pPr>
              <w:widowControl/>
              <w:spacing w:line="480" w:lineRule="exact"/>
              <w:ind w:firstLine="480" w:firstLineChars="200"/>
              <w:jc w:val="left"/>
              <w:textAlignment w:val="baseline"/>
              <w:outlineLvl w:val="0"/>
              <w:rPr>
                <w:color w:val="000000" w:themeColor="text1"/>
              </w:rPr>
            </w:pPr>
            <w:r>
              <w:rPr>
                <w:color w:val="000000"/>
              </w:rPr>
              <w:t>本项目用水主要为职工生</w:t>
            </w:r>
            <w:r>
              <w:rPr>
                <w:color w:val="000000" w:themeColor="text1"/>
              </w:rPr>
              <w:t>活用水</w:t>
            </w:r>
            <w:r>
              <w:rPr>
                <w:rFonts w:hint="eastAsia"/>
                <w:color w:val="000000" w:themeColor="text1"/>
              </w:rPr>
              <w:t>、食堂废水和去离子水</w:t>
            </w:r>
            <w:r>
              <w:rPr>
                <w:color w:val="000000" w:themeColor="text1"/>
              </w:rPr>
              <w:t>，用水由</w:t>
            </w:r>
            <w:r>
              <w:rPr>
                <w:rFonts w:hint="eastAsia"/>
                <w:color w:val="000000" w:themeColor="text1"/>
              </w:rPr>
              <w:t>区域供水管网</w:t>
            </w:r>
            <w:r>
              <w:rPr>
                <w:color w:val="000000" w:themeColor="text1"/>
              </w:rPr>
              <w:t>提供自来水</w:t>
            </w:r>
            <w:r>
              <w:rPr>
                <w:rFonts w:hint="eastAsia"/>
                <w:color w:val="000000" w:themeColor="text1"/>
              </w:rPr>
              <w:t>，去离子水为外购</w:t>
            </w:r>
            <w:r>
              <w:rPr>
                <w:color w:val="000000" w:themeColor="text1"/>
              </w:rPr>
              <w:t>。</w:t>
            </w:r>
          </w:p>
          <w:p>
            <w:pPr>
              <w:widowControl/>
              <w:spacing w:line="480" w:lineRule="exact"/>
              <w:ind w:firstLine="480" w:firstLineChars="200"/>
              <w:jc w:val="left"/>
              <w:textAlignment w:val="baseline"/>
              <w:outlineLvl w:val="0"/>
              <w:rPr>
                <w:color w:val="000000"/>
              </w:rPr>
            </w:pPr>
            <w:r>
              <w:rPr>
                <w:color w:val="000000" w:themeColor="text1"/>
              </w:rPr>
              <w:t>生活用水：</w:t>
            </w:r>
            <w:r>
              <w:rPr>
                <w:rFonts w:hint="eastAsia"/>
                <w:color w:val="000000" w:themeColor="text1"/>
              </w:rPr>
              <w:t>本项目建设有食堂，不提供住宿，</w:t>
            </w:r>
            <w:r>
              <w:rPr>
                <w:color w:val="000000" w:themeColor="text1"/>
              </w:rPr>
              <w:t>主要为人员日常生活用水</w:t>
            </w:r>
            <w:r>
              <w:rPr>
                <w:rFonts w:hint="eastAsia"/>
                <w:color w:val="000000" w:themeColor="text1"/>
              </w:rPr>
              <w:t>，</w:t>
            </w:r>
            <w:r>
              <w:rPr>
                <w:color w:val="000000" w:themeColor="text1"/>
              </w:rPr>
              <w:t>项目定员</w:t>
            </w:r>
            <w:r>
              <w:rPr>
                <w:rFonts w:hint="eastAsia"/>
                <w:color w:val="000000" w:themeColor="text1"/>
              </w:rPr>
              <w:t>35</w:t>
            </w:r>
            <w:r>
              <w:rPr>
                <w:color w:val="000000" w:themeColor="text1"/>
              </w:rPr>
              <w:t>人，</w:t>
            </w:r>
            <w:r>
              <w:rPr>
                <w:rFonts w:hint="eastAsia"/>
                <w:color w:val="000000" w:themeColor="text1"/>
              </w:rPr>
              <w:t>根据《山西省用水定额》（DB/T1049-2021</w:t>
            </w:r>
            <w:r>
              <w:rPr>
                <w:rFonts w:hint="eastAsia"/>
                <w:color w:val="000000"/>
              </w:rPr>
              <w:t>）</w:t>
            </w:r>
            <w:r>
              <w:rPr>
                <w:color w:val="000000"/>
              </w:rPr>
              <w:t>用水定额按照</w:t>
            </w:r>
            <w:r>
              <w:rPr>
                <w:rFonts w:hint="eastAsia"/>
                <w:color w:val="000000"/>
              </w:rPr>
              <w:t>90</w:t>
            </w:r>
            <w:r>
              <w:rPr>
                <w:color w:val="000000"/>
              </w:rPr>
              <w:t>L/人·d计算，则用水量为</w:t>
            </w:r>
            <w:r>
              <w:rPr>
                <w:rFonts w:hint="eastAsia"/>
                <w:color w:val="000000"/>
              </w:rPr>
              <w:t>3.15</w:t>
            </w:r>
            <w:r>
              <w:rPr>
                <w:color w:val="000000"/>
              </w:rPr>
              <w:t>m</w:t>
            </w:r>
            <w:r>
              <w:rPr>
                <w:color w:val="000000"/>
                <w:vertAlign w:val="superscript"/>
              </w:rPr>
              <w:t>3</w:t>
            </w:r>
            <w:r>
              <w:rPr>
                <w:color w:val="000000"/>
              </w:rPr>
              <w:t>/d。</w:t>
            </w:r>
          </w:p>
          <w:p>
            <w:pPr>
              <w:widowControl/>
              <w:adjustRightInd w:val="0"/>
              <w:snapToGrid w:val="0"/>
              <w:spacing w:line="480" w:lineRule="exact"/>
              <w:ind w:firstLine="480" w:firstLineChars="200"/>
              <w:rPr>
                <w:color w:val="000000"/>
              </w:rPr>
            </w:pPr>
            <w:r>
              <w:t>食堂用水：食堂主要为</w:t>
            </w:r>
            <w:r>
              <w:rPr>
                <w:rFonts w:hint="eastAsia"/>
              </w:rPr>
              <w:t>工人</w:t>
            </w:r>
            <w:r>
              <w:t>提供，食堂设计每餐最大就餐人数为</w:t>
            </w:r>
            <w:r>
              <w:rPr>
                <w:rFonts w:hint="eastAsia"/>
              </w:rPr>
              <w:t>35</w:t>
            </w:r>
            <w:r>
              <w:t>人，食堂一日提供三餐，餐饮用水标准为25L/人·次，则食堂用水量为</w:t>
            </w:r>
            <w:r>
              <w:rPr>
                <w:rFonts w:hint="eastAsia"/>
              </w:rPr>
              <w:t>0.875</w:t>
            </w:r>
            <w:r>
              <w:t>m</w:t>
            </w:r>
            <w:r>
              <w:rPr>
                <w:vertAlign w:val="superscript"/>
              </w:rPr>
              <w:t>3</w:t>
            </w:r>
            <w:r>
              <w:t>/d，年工作时间</w:t>
            </w:r>
            <w:r>
              <w:rPr>
                <w:rFonts w:hint="eastAsia"/>
              </w:rPr>
              <w:t>320</w:t>
            </w:r>
            <w:r>
              <w:t>天，则年用水量为</w:t>
            </w:r>
            <w:r>
              <w:rPr>
                <w:rFonts w:hint="eastAsia"/>
              </w:rPr>
              <w:t>280</w:t>
            </w:r>
            <w:r>
              <w:t>m</w:t>
            </w:r>
            <w:r>
              <w:rPr>
                <w:vertAlign w:val="superscript"/>
              </w:rPr>
              <w:t>3</w:t>
            </w:r>
            <w:r>
              <w:t>/a。</w:t>
            </w:r>
          </w:p>
          <w:p>
            <w:pPr>
              <w:widowControl/>
              <w:spacing w:line="480" w:lineRule="exact"/>
              <w:ind w:firstLine="480" w:firstLineChars="200"/>
              <w:textAlignment w:val="baseline"/>
              <w:rPr>
                <w:color w:val="000000"/>
              </w:rPr>
            </w:pPr>
            <w:r>
              <w:rPr>
                <w:rFonts w:hint="eastAsia"/>
                <w:color w:val="000000"/>
              </w:rPr>
              <w:t>调漆用去离子水：调漆使用的去离子水全部外购，每年需外购的去离子水为5.75t/a。</w:t>
            </w:r>
          </w:p>
          <w:p>
            <w:pPr>
              <w:widowControl/>
              <w:spacing w:line="480" w:lineRule="exact"/>
              <w:ind w:firstLine="480" w:firstLineChars="200"/>
              <w:jc w:val="left"/>
              <w:textAlignment w:val="baseline"/>
              <w:outlineLvl w:val="0"/>
              <w:rPr>
                <w:color w:val="000000"/>
              </w:rPr>
            </w:pPr>
            <w:r>
              <w:rPr>
                <w:rFonts w:hint="eastAsia"/>
                <w:color w:val="000000"/>
              </w:rPr>
              <w:t>（2）</w:t>
            </w:r>
            <w:r>
              <w:rPr>
                <w:color w:val="000000"/>
              </w:rPr>
              <w:t>排水</w:t>
            </w:r>
          </w:p>
          <w:p>
            <w:pPr>
              <w:widowControl/>
              <w:spacing w:line="480" w:lineRule="exact"/>
              <w:ind w:firstLine="480" w:firstLineChars="200"/>
              <w:textAlignment w:val="baseline"/>
              <w:rPr>
                <w:color w:val="000000" w:themeColor="text1"/>
              </w:rPr>
            </w:pPr>
            <w:r>
              <w:rPr>
                <w:color w:val="000000"/>
              </w:rPr>
              <w:t>本项目主要</w:t>
            </w:r>
            <w:r>
              <w:rPr>
                <w:color w:val="000000" w:themeColor="text1"/>
              </w:rPr>
              <w:t>废水为生活污水</w:t>
            </w:r>
            <w:r>
              <w:rPr>
                <w:rFonts w:hint="eastAsia"/>
                <w:color w:val="000000" w:themeColor="text1"/>
              </w:rPr>
              <w:t>和食堂废水</w:t>
            </w:r>
            <w:r>
              <w:rPr>
                <w:color w:val="000000" w:themeColor="text1"/>
              </w:rPr>
              <w:t>。生活污水产生量</w:t>
            </w:r>
            <w:r>
              <w:rPr>
                <w:rFonts w:hint="eastAsia"/>
                <w:color w:val="000000" w:themeColor="text1"/>
              </w:rPr>
              <w:t>以90%计，则废水的产生量</w:t>
            </w:r>
            <w:r>
              <w:rPr>
                <w:color w:val="000000" w:themeColor="text1"/>
              </w:rPr>
              <w:t>为</w:t>
            </w:r>
            <w:r>
              <w:rPr>
                <w:rFonts w:hint="eastAsia"/>
                <w:color w:val="000000" w:themeColor="text1"/>
              </w:rPr>
              <w:t>2.84</w:t>
            </w:r>
            <w:r>
              <w:rPr>
                <w:color w:val="000000" w:themeColor="text1"/>
              </w:rPr>
              <w:t>m</w:t>
            </w:r>
            <w:r>
              <w:rPr>
                <w:color w:val="000000" w:themeColor="text1"/>
                <w:vertAlign w:val="superscript"/>
              </w:rPr>
              <w:t>3</w:t>
            </w:r>
            <w:r>
              <w:rPr>
                <w:color w:val="000000" w:themeColor="text1"/>
              </w:rPr>
              <w:t>/d，经</w:t>
            </w:r>
            <w:r>
              <w:rPr>
                <w:rFonts w:hint="eastAsia"/>
                <w:color w:val="000000" w:themeColor="text1"/>
              </w:rPr>
              <w:t>化粪池处理后通过市政管网最终排入长子县城东污水处理厂</w:t>
            </w:r>
            <w:r>
              <w:rPr>
                <w:color w:val="000000" w:themeColor="text1"/>
              </w:rPr>
              <w:t>。</w:t>
            </w:r>
          </w:p>
          <w:p>
            <w:pPr>
              <w:spacing w:line="420" w:lineRule="exact"/>
              <w:ind w:firstLine="480" w:firstLineChars="200"/>
              <w:rPr>
                <w:b/>
                <w:bCs/>
                <w:color w:val="000000" w:themeColor="text1"/>
              </w:rPr>
            </w:pPr>
            <w:r>
              <w:rPr>
                <w:bCs/>
              </w:rPr>
              <w:t>本项目</w:t>
            </w:r>
            <w:r>
              <w:t>食堂污水的排放量以用水量的90%计，则污水量为</w:t>
            </w:r>
            <w:r>
              <w:rPr>
                <w:rFonts w:hint="eastAsia"/>
              </w:rPr>
              <w:t>0.788</w:t>
            </w:r>
            <w:r>
              <w:t>m</w:t>
            </w:r>
            <w:r>
              <w:rPr>
                <w:vertAlign w:val="superscript"/>
              </w:rPr>
              <w:t>3</w:t>
            </w:r>
            <w:r>
              <w:t>/d.由隔油池处理后，</w:t>
            </w:r>
            <w:r>
              <w:rPr>
                <w:rFonts w:hint="eastAsia"/>
              </w:rPr>
              <w:t>进入厂区化粪池</w:t>
            </w:r>
            <w:r>
              <w:t>，</w:t>
            </w:r>
            <w:r>
              <w:rPr>
                <w:rFonts w:hint="eastAsia"/>
              </w:rPr>
              <w:t>最后</w:t>
            </w:r>
            <w:r>
              <w:t>通过</w:t>
            </w:r>
            <w:r>
              <w:rPr>
                <w:rFonts w:hint="eastAsia"/>
                <w:color w:val="000000" w:themeColor="text1"/>
              </w:rPr>
              <w:t>市政管网最终排入长子县城东污水处理厂</w:t>
            </w:r>
            <w:r>
              <w:t>处理。</w:t>
            </w:r>
          </w:p>
          <w:p>
            <w:pPr>
              <w:widowControl/>
              <w:spacing w:line="480" w:lineRule="exact"/>
              <w:jc w:val="center"/>
              <w:textAlignment w:val="baseline"/>
              <w:rPr>
                <w:b/>
                <w:bCs/>
                <w:color w:val="000000"/>
              </w:rPr>
            </w:pPr>
            <w:r>
              <w:rPr>
                <w:rFonts w:hint="eastAsia"/>
                <w:b/>
                <w:bCs/>
                <w:color w:val="000000"/>
              </w:rPr>
              <w:t>表4-9  排放情况一览表</w:t>
            </w:r>
          </w:p>
          <w:tbl>
            <w:tblPr>
              <w:tblStyle w:val="32"/>
              <w:tblW w:w="78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1862"/>
              <w:gridCol w:w="1919"/>
              <w:gridCol w:w="21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restart"/>
                  <w:vAlign w:val="center"/>
                </w:tcPr>
                <w:p>
                  <w:pPr>
                    <w:widowControl/>
                    <w:spacing w:line="320" w:lineRule="exact"/>
                    <w:jc w:val="center"/>
                    <w:textAlignment w:val="baseline"/>
                    <w:rPr>
                      <w:color w:val="000000"/>
                      <w:sz w:val="21"/>
                      <w:szCs w:val="21"/>
                    </w:rPr>
                  </w:pPr>
                  <w:r>
                    <w:rPr>
                      <w:rFonts w:hint="eastAsia"/>
                      <w:color w:val="000000"/>
                      <w:sz w:val="21"/>
                      <w:szCs w:val="21"/>
                    </w:rPr>
                    <w:t>废水类别</w:t>
                  </w:r>
                </w:p>
              </w:tc>
              <w:tc>
                <w:tcPr>
                  <w:tcW w:w="1862" w:type="dxa"/>
                  <w:vMerge w:val="restart"/>
                  <w:vAlign w:val="center"/>
                </w:tcPr>
                <w:p>
                  <w:pPr>
                    <w:widowControl/>
                    <w:spacing w:line="320" w:lineRule="exact"/>
                    <w:jc w:val="center"/>
                    <w:textAlignment w:val="baseline"/>
                    <w:rPr>
                      <w:color w:val="000000"/>
                      <w:sz w:val="21"/>
                      <w:szCs w:val="21"/>
                    </w:rPr>
                  </w:pPr>
                  <w:r>
                    <w:rPr>
                      <w:rFonts w:hint="eastAsia"/>
                      <w:color w:val="000000"/>
                      <w:sz w:val="21"/>
                      <w:szCs w:val="21"/>
                    </w:rPr>
                    <w:t>主要污染物</w:t>
                  </w:r>
                </w:p>
              </w:tc>
              <w:tc>
                <w:tcPr>
                  <w:tcW w:w="4057" w:type="dxa"/>
                  <w:gridSpan w:val="2"/>
                  <w:vAlign w:val="center"/>
                </w:tcPr>
                <w:p>
                  <w:pPr>
                    <w:widowControl/>
                    <w:spacing w:line="320" w:lineRule="exact"/>
                    <w:jc w:val="center"/>
                    <w:textAlignment w:val="baseline"/>
                    <w:rPr>
                      <w:color w:val="000000"/>
                      <w:sz w:val="21"/>
                      <w:szCs w:val="21"/>
                    </w:rPr>
                  </w:pPr>
                  <w:r>
                    <w:rPr>
                      <w:rFonts w:hint="eastAsia"/>
                      <w:color w:val="000000"/>
                      <w:sz w:val="21"/>
                      <w:szCs w:val="21"/>
                    </w:rPr>
                    <w:t>产生情况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continue"/>
                  <w:vAlign w:val="center"/>
                </w:tcPr>
                <w:p>
                  <w:pPr>
                    <w:widowControl/>
                    <w:spacing w:line="320" w:lineRule="exact"/>
                    <w:jc w:val="center"/>
                    <w:textAlignment w:val="baseline"/>
                    <w:rPr>
                      <w:color w:val="000000" w:themeColor="text1"/>
                    </w:rPr>
                  </w:pPr>
                </w:p>
              </w:tc>
              <w:tc>
                <w:tcPr>
                  <w:tcW w:w="1862" w:type="dxa"/>
                  <w:vMerge w:val="continue"/>
                  <w:vAlign w:val="center"/>
                </w:tcPr>
                <w:p>
                  <w:pPr>
                    <w:widowControl/>
                    <w:spacing w:line="320" w:lineRule="exact"/>
                    <w:jc w:val="center"/>
                    <w:textAlignment w:val="baseline"/>
                    <w:rPr>
                      <w:color w:val="000000" w:themeColor="text1"/>
                    </w:rPr>
                  </w:pP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产生浓度（mg/L）</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产生量t/d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restart"/>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生活污水1008t/a</w:t>
                  </w:r>
                </w:p>
              </w:tc>
              <w:tc>
                <w:tcPr>
                  <w:tcW w:w="1862"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COD</w:t>
                  </w: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250</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0.252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continue"/>
                  <w:vAlign w:val="center"/>
                </w:tcPr>
                <w:p>
                  <w:pPr>
                    <w:widowControl/>
                    <w:spacing w:line="320" w:lineRule="exact"/>
                    <w:jc w:val="center"/>
                    <w:textAlignment w:val="baseline"/>
                    <w:rPr>
                      <w:color w:val="000000" w:themeColor="text1"/>
                      <w:sz w:val="21"/>
                      <w:szCs w:val="21"/>
                    </w:rPr>
                  </w:pPr>
                </w:p>
              </w:tc>
              <w:tc>
                <w:tcPr>
                  <w:tcW w:w="1862"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BOD</w:t>
                  </w:r>
                  <w:r>
                    <w:rPr>
                      <w:rFonts w:hint="eastAsia"/>
                      <w:color w:val="000000" w:themeColor="text1"/>
                      <w:sz w:val="21"/>
                      <w:szCs w:val="21"/>
                      <w:vertAlign w:val="subscript"/>
                    </w:rPr>
                    <w:t>5</w:t>
                  </w: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100</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continue"/>
                  <w:vAlign w:val="center"/>
                </w:tcPr>
                <w:p>
                  <w:pPr>
                    <w:widowControl/>
                    <w:spacing w:line="320" w:lineRule="exact"/>
                    <w:jc w:val="center"/>
                    <w:textAlignment w:val="baseline"/>
                    <w:rPr>
                      <w:color w:val="000000" w:themeColor="text1"/>
                      <w:sz w:val="21"/>
                      <w:szCs w:val="21"/>
                    </w:rPr>
                  </w:pPr>
                </w:p>
              </w:tc>
              <w:tc>
                <w:tcPr>
                  <w:tcW w:w="1862"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NH</w:t>
                  </w:r>
                  <w:r>
                    <w:rPr>
                      <w:rFonts w:hint="eastAsia"/>
                      <w:color w:val="000000" w:themeColor="text1"/>
                      <w:sz w:val="21"/>
                      <w:szCs w:val="21"/>
                      <w:vertAlign w:val="subscript"/>
                    </w:rPr>
                    <w:t>3</w:t>
                  </w:r>
                  <w:r>
                    <w:rPr>
                      <w:rFonts w:hint="eastAsia"/>
                      <w:color w:val="000000" w:themeColor="text1"/>
                      <w:sz w:val="21"/>
                      <w:szCs w:val="21"/>
                    </w:rPr>
                    <w:t>-N</w:t>
                  </w: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25</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0.025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980" w:type="dxa"/>
                  <w:vMerge w:val="continue"/>
                  <w:vAlign w:val="center"/>
                </w:tcPr>
                <w:p>
                  <w:pPr>
                    <w:widowControl/>
                    <w:spacing w:line="320" w:lineRule="exact"/>
                    <w:jc w:val="center"/>
                    <w:textAlignment w:val="baseline"/>
                    <w:rPr>
                      <w:color w:val="000000" w:themeColor="text1"/>
                      <w:sz w:val="21"/>
                      <w:szCs w:val="21"/>
                    </w:rPr>
                  </w:pPr>
                </w:p>
              </w:tc>
              <w:tc>
                <w:tcPr>
                  <w:tcW w:w="1862"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SS</w:t>
                  </w: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200</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0.202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1980" w:type="dxa"/>
                  <w:vMerge w:val="continue"/>
                  <w:vAlign w:val="center"/>
                </w:tcPr>
                <w:p>
                  <w:pPr>
                    <w:widowControl/>
                    <w:spacing w:line="320" w:lineRule="exact"/>
                    <w:jc w:val="center"/>
                    <w:textAlignment w:val="baseline"/>
                    <w:rPr>
                      <w:color w:val="000000" w:themeColor="text1"/>
                      <w:sz w:val="21"/>
                      <w:szCs w:val="21"/>
                    </w:rPr>
                  </w:pPr>
                </w:p>
              </w:tc>
              <w:tc>
                <w:tcPr>
                  <w:tcW w:w="1862"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动植物油</w:t>
                  </w:r>
                </w:p>
              </w:tc>
              <w:tc>
                <w:tcPr>
                  <w:tcW w:w="1919"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40</w:t>
                  </w:r>
                </w:p>
              </w:tc>
              <w:tc>
                <w:tcPr>
                  <w:tcW w:w="2138" w:type="dxa"/>
                  <w:vAlign w:val="center"/>
                </w:tcPr>
                <w:p>
                  <w:pPr>
                    <w:widowControl/>
                    <w:spacing w:line="320" w:lineRule="exact"/>
                    <w:jc w:val="center"/>
                    <w:textAlignment w:val="baseline"/>
                    <w:rPr>
                      <w:color w:val="000000" w:themeColor="text1"/>
                      <w:sz w:val="21"/>
                      <w:szCs w:val="21"/>
                    </w:rPr>
                  </w:pPr>
                  <w:r>
                    <w:rPr>
                      <w:rFonts w:hint="eastAsia"/>
                      <w:color w:val="000000" w:themeColor="text1"/>
                      <w:sz w:val="21"/>
                      <w:szCs w:val="21"/>
                    </w:rPr>
                    <w:t>0.040</w:t>
                  </w:r>
                </w:p>
              </w:tc>
            </w:tr>
          </w:tbl>
          <w:p>
            <w:pPr>
              <w:widowControl/>
              <w:spacing w:line="480" w:lineRule="exact"/>
              <w:ind w:firstLine="480" w:firstLineChars="200"/>
              <w:textAlignment w:val="baseline"/>
              <w:rPr>
                <w:color w:val="000000"/>
              </w:rPr>
            </w:pPr>
            <w:r>
              <w:rPr>
                <w:rFonts w:hint="eastAsia"/>
                <w:color w:val="000000" w:themeColor="text1"/>
              </w:rPr>
              <w:t>2.2依托污水处理设施的环境可行性分析</w:t>
            </w:r>
          </w:p>
          <w:p>
            <w:pPr>
              <w:pStyle w:val="27"/>
              <w:spacing w:before="0" w:beforeAutospacing="0" w:after="0" w:afterAutospacing="0" w:line="480" w:lineRule="exact"/>
              <w:ind w:firstLine="480" w:firstLineChars="200"/>
              <w:rPr>
                <w:rFonts w:ascii="Times New Roman" w:hAnsi="Times New Roman"/>
              </w:rPr>
            </w:pPr>
            <w:r>
              <w:rPr>
                <w:rFonts w:hint="eastAsia" w:ascii="Times New Roman" w:hAnsi="Times New Roman"/>
                <w:color w:val="000000"/>
                <w:kern w:val="2"/>
                <w:szCs w:val="24"/>
              </w:rPr>
              <w:t>公司废水主要为生活污水，进入厂区化粪池进行处理后，各项污染物排放浓度可达《污水排入城镇下水道水质标准》（</w:t>
            </w:r>
            <w:r>
              <w:rPr>
                <w:rFonts w:ascii="Times New Roman" w:hAnsi="Times New Roman"/>
                <w:color w:val="000000"/>
                <w:kern w:val="2"/>
                <w:szCs w:val="24"/>
              </w:rPr>
              <w:t>GB/T31962-2015</w:t>
            </w:r>
            <w:r>
              <w:rPr>
                <w:rFonts w:hint="eastAsia" w:ascii="Times New Roman" w:hAnsi="Times New Roman"/>
                <w:color w:val="000000"/>
                <w:kern w:val="2"/>
                <w:szCs w:val="24"/>
              </w:rPr>
              <w:t>）中的A等级排放标准。</w:t>
            </w:r>
            <w:r>
              <w:rPr>
                <w:rFonts w:hint="eastAsia"/>
              </w:rPr>
              <w:t>最后</w:t>
            </w:r>
            <w:r>
              <w:rPr>
                <w:rFonts w:ascii="Times New Roman" w:hAnsi="Times New Roman"/>
              </w:rPr>
              <w:t>通过</w:t>
            </w:r>
            <w:r>
              <w:rPr>
                <w:rFonts w:hint="eastAsia"/>
                <w:color w:val="000000" w:themeColor="text1"/>
              </w:rPr>
              <w:t>市政管网</w:t>
            </w:r>
            <w:r>
              <w:rPr>
                <w:rFonts w:hint="eastAsia" w:ascii="Times New Roman" w:hAnsi="Times New Roman"/>
                <w:color w:val="000000" w:themeColor="text1"/>
              </w:rPr>
              <w:t>最终排入长子县城东污水处理厂</w:t>
            </w:r>
            <w:r>
              <w:rPr>
                <w:rFonts w:ascii="Times New Roman" w:hAnsi="Times New Roman"/>
              </w:rPr>
              <w:t>处理。</w:t>
            </w:r>
          </w:p>
          <w:p>
            <w:pPr>
              <w:pStyle w:val="27"/>
              <w:spacing w:before="0" w:beforeAutospacing="0" w:after="0" w:afterAutospacing="0" w:line="480" w:lineRule="exact"/>
              <w:ind w:firstLine="480" w:firstLineChars="200"/>
              <w:rPr>
                <w:rFonts w:ascii="Times New Roman" w:hAnsi="Times New Roman"/>
              </w:rPr>
            </w:pPr>
            <w:r>
              <w:rPr>
                <w:rFonts w:hint="eastAsia" w:ascii="Times New Roman" w:hAnsi="Times New Roman"/>
              </w:rPr>
              <w:t>依据现场勘察，本项目已具备接入市政污水管网的条件。</w:t>
            </w:r>
          </w:p>
          <w:p>
            <w:pPr>
              <w:pStyle w:val="27"/>
              <w:spacing w:before="0" w:beforeAutospacing="0" w:after="0" w:afterAutospacing="0" w:line="480" w:lineRule="exact"/>
              <w:ind w:firstLine="480" w:firstLineChars="200"/>
              <w:rPr>
                <w:rFonts w:ascii="Times New Roman" w:hAnsi="Times New Roman"/>
                <w:color w:val="000000"/>
                <w:kern w:val="2"/>
                <w:szCs w:val="24"/>
              </w:rPr>
            </w:pPr>
            <w:r>
              <w:rPr>
                <w:rFonts w:ascii="Times New Roman" w:hAnsi="Times New Roman"/>
                <w:color w:val="000000"/>
                <w:kern w:val="2"/>
                <w:szCs w:val="24"/>
              </w:rPr>
              <w:t>长子县给排水中心新建长子县城东污水处理厂位于长子县县城东北北李末村西北</w:t>
            </w:r>
            <w:r>
              <w:rPr>
                <w:rFonts w:hint="eastAsia" w:ascii="Times New Roman" w:hAnsi="Times New Roman"/>
                <w:color w:val="000000"/>
                <w:kern w:val="2"/>
                <w:szCs w:val="24"/>
              </w:rPr>
              <w:t>0.28km处</w:t>
            </w:r>
            <w:r>
              <w:rPr>
                <w:rFonts w:ascii="Times New Roman" w:hAnsi="Times New Roman"/>
                <w:color w:val="000000"/>
                <w:kern w:val="2"/>
                <w:szCs w:val="24"/>
              </w:rPr>
              <w:t>，厂区占地约1</w:t>
            </w:r>
            <w:r>
              <w:rPr>
                <w:rFonts w:hint="eastAsia" w:ascii="Times New Roman" w:hAnsi="Times New Roman"/>
                <w:color w:val="000000"/>
                <w:kern w:val="2"/>
                <w:szCs w:val="24"/>
              </w:rPr>
              <w:t>3</w:t>
            </w:r>
            <w:r>
              <w:rPr>
                <w:rFonts w:ascii="Times New Roman" w:hAnsi="Times New Roman"/>
                <w:color w:val="000000"/>
                <w:kern w:val="2"/>
                <w:szCs w:val="24"/>
              </w:rPr>
              <w:t>334m</w:t>
            </w:r>
            <w:r>
              <w:rPr>
                <w:rFonts w:ascii="Times New Roman" w:hAnsi="Times New Roman"/>
                <w:color w:val="000000"/>
                <w:kern w:val="2"/>
                <w:szCs w:val="24"/>
                <w:vertAlign w:val="superscript"/>
              </w:rPr>
              <w:t>2</w:t>
            </w:r>
            <w:r>
              <w:rPr>
                <w:rFonts w:ascii="Times New Roman" w:hAnsi="Times New Roman"/>
                <w:color w:val="000000"/>
                <w:kern w:val="2"/>
                <w:szCs w:val="24"/>
              </w:rPr>
              <w:t>，出水口设置在企业南漳河畔，岸边排放。项目总投资7515万元，本期建设规模为10000m³/d</w:t>
            </w:r>
            <w:r>
              <w:rPr>
                <w:rFonts w:hint="eastAsia" w:ascii="Times New Roman" w:hAnsi="Times New Roman"/>
                <w:color w:val="000000"/>
                <w:kern w:val="2"/>
                <w:szCs w:val="24"/>
              </w:rPr>
              <w:t>，</w:t>
            </w:r>
            <w:r>
              <w:rPr>
                <w:rFonts w:ascii="Times New Roman" w:hAnsi="Times New Roman"/>
                <w:color w:val="000000"/>
                <w:kern w:val="2"/>
                <w:szCs w:val="24"/>
              </w:rPr>
              <w:t>处理基本工艺为A2/O，排放标准为</w:t>
            </w:r>
            <w:r>
              <w:rPr>
                <w:rStyle w:val="92"/>
                <w:rFonts w:hint="default" w:ascii="Times New Roman" w:hAnsi="Times New Roman"/>
                <w:color w:val="auto"/>
              </w:rPr>
              <w:t>《城镇污水处理厂污染物排放标准》（GB18918-2002）中一级A标准</w:t>
            </w:r>
            <w:r>
              <w:rPr>
                <w:rFonts w:ascii="Times New Roman" w:hAnsi="Times New Roman"/>
                <w:color w:val="000000"/>
                <w:kern w:val="2"/>
                <w:szCs w:val="24"/>
              </w:rPr>
              <w:t>。</w:t>
            </w:r>
          </w:p>
          <w:p>
            <w:pPr>
              <w:spacing w:line="480" w:lineRule="exact"/>
              <w:rPr>
                <w:b/>
                <w:color w:val="000000"/>
              </w:rPr>
            </w:pPr>
            <w:r>
              <w:rPr>
                <w:b/>
                <w:color w:val="000000"/>
              </w:rPr>
              <w:t>3、声环境影响分析</w:t>
            </w:r>
          </w:p>
          <w:p>
            <w:pPr>
              <w:spacing w:line="480" w:lineRule="exact"/>
              <w:ind w:firstLine="480" w:firstLineChars="200"/>
              <w:outlineLvl w:val="0"/>
              <w:rPr>
                <w:color w:val="000000"/>
              </w:rPr>
            </w:pPr>
            <w:r>
              <w:rPr>
                <w:color w:val="000000"/>
              </w:rPr>
              <w:t>3.1噪声源强</w:t>
            </w:r>
          </w:p>
          <w:p>
            <w:pPr>
              <w:spacing w:line="480" w:lineRule="exact"/>
              <w:ind w:firstLine="480" w:firstLineChars="200"/>
              <w:outlineLvl w:val="0"/>
              <w:rPr>
                <w:color w:val="000000"/>
              </w:rPr>
            </w:pPr>
            <w:r>
              <w:rPr>
                <w:color w:val="000000"/>
              </w:rPr>
              <w:t>本项目营运期噪声主要来源于生产设备，主要有</w:t>
            </w:r>
            <w:r>
              <w:rPr>
                <w:rFonts w:hint="eastAsia"/>
                <w:color w:val="000000"/>
              </w:rPr>
              <w:t>龙门焊</w:t>
            </w:r>
            <w:r>
              <w:rPr>
                <w:color w:val="000000"/>
              </w:rPr>
              <w:t>、</w:t>
            </w:r>
            <w:r>
              <w:rPr>
                <w:rFonts w:hint="eastAsia"/>
                <w:color w:val="000000"/>
              </w:rPr>
              <w:t>行车</w:t>
            </w:r>
            <w:r>
              <w:rPr>
                <w:color w:val="000000"/>
              </w:rPr>
              <w:t>、风机、锯床、泵</w:t>
            </w:r>
            <w:r>
              <w:rPr>
                <w:rFonts w:hint="eastAsia"/>
                <w:color w:val="000000"/>
              </w:rPr>
              <w:t>类、喷砂机、喷漆房除尘机、等离子数控切割机、激光切割机、剪板机、折弯机、校直机、压力机、门扇自动焊、切割机</w:t>
            </w:r>
            <w:r>
              <w:rPr>
                <w:color w:val="000000"/>
              </w:rPr>
              <w:t>等，其噪声声功率级值在70-95dB(A)范围之间。项目噪声源强见表</w:t>
            </w:r>
            <w:r>
              <w:rPr>
                <w:rFonts w:hint="eastAsia"/>
                <w:color w:val="000000"/>
              </w:rPr>
              <w:t>4-10</w:t>
            </w:r>
            <w:r>
              <w:rPr>
                <w:color w:val="000000"/>
              </w:rPr>
              <w:t>。</w:t>
            </w:r>
          </w:p>
          <w:p>
            <w:pPr>
              <w:spacing w:line="420" w:lineRule="exact"/>
              <w:jc w:val="center"/>
              <w:rPr>
                <w:b/>
                <w:bCs/>
                <w:color w:val="000000"/>
              </w:rPr>
            </w:pPr>
            <w:r>
              <w:rPr>
                <w:b/>
                <w:bCs/>
                <w:color w:val="000000"/>
              </w:rPr>
              <w:t>表</w:t>
            </w:r>
            <w:r>
              <w:rPr>
                <w:rFonts w:hint="eastAsia"/>
                <w:b/>
                <w:bCs/>
                <w:color w:val="000000"/>
              </w:rPr>
              <w:t>4-10</w:t>
            </w:r>
            <w:r>
              <w:rPr>
                <w:b/>
                <w:bCs/>
                <w:color w:val="000000"/>
              </w:rPr>
              <w:t xml:space="preserve">  项目各设备噪声源强</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9"/>
              <w:gridCol w:w="1113"/>
              <w:gridCol w:w="1279"/>
              <w:gridCol w:w="1092"/>
              <w:gridCol w:w="770"/>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主要噪声</w:t>
                  </w:r>
                </w:p>
                <w:p>
                  <w:pPr>
                    <w:pStyle w:val="67"/>
                    <w:rPr>
                      <w:rFonts w:eastAsia="宋体"/>
                      <w:color w:val="000000"/>
                    </w:rPr>
                  </w:pPr>
                  <w:r>
                    <w:rPr>
                      <w:rFonts w:eastAsia="宋体"/>
                      <w:color w:val="000000"/>
                    </w:rPr>
                    <w:t>设备</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声压等</w:t>
                  </w:r>
                </w:p>
                <w:p>
                  <w:pPr>
                    <w:pStyle w:val="67"/>
                    <w:rPr>
                      <w:rFonts w:eastAsia="宋体"/>
                      <w:color w:val="000000"/>
                    </w:rPr>
                  </w:pPr>
                  <w:r>
                    <w:rPr>
                      <w:rFonts w:eastAsia="宋体"/>
                      <w:color w:val="000000"/>
                    </w:rPr>
                    <w:t>级dB（A）</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治理后声</w:t>
                  </w:r>
                </w:p>
                <w:p>
                  <w:pPr>
                    <w:pStyle w:val="67"/>
                    <w:rPr>
                      <w:rFonts w:eastAsia="宋体"/>
                      <w:color w:val="000000"/>
                    </w:rPr>
                  </w:pPr>
                  <w:r>
                    <w:rPr>
                      <w:rFonts w:eastAsia="宋体"/>
                      <w:color w:val="000000"/>
                    </w:rPr>
                    <w:t>压级dB（A）</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噪声</w:t>
                  </w:r>
                </w:p>
                <w:p>
                  <w:pPr>
                    <w:pStyle w:val="67"/>
                    <w:rPr>
                      <w:rFonts w:eastAsia="宋体"/>
                      <w:color w:val="000000"/>
                    </w:rPr>
                  </w:pPr>
                  <w:r>
                    <w:rPr>
                      <w:rFonts w:eastAsia="宋体"/>
                      <w:color w:val="000000"/>
                    </w:rPr>
                    <w:t>类型</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声学</w:t>
                  </w:r>
                </w:p>
                <w:p>
                  <w:pPr>
                    <w:pStyle w:val="67"/>
                    <w:rPr>
                      <w:rFonts w:eastAsia="宋体"/>
                      <w:color w:val="000000"/>
                    </w:rPr>
                  </w:pPr>
                  <w:r>
                    <w:rPr>
                      <w:rFonts w:eastAsia="宋体"/>
                      <w:color w:val="000000"/>
                    </w:rPr>
                    <w:t>特点</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等离子数控切割机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激光切割机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龙门焊</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大梁组对工装</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w:t>
                  </w:r>
                  <w:r>
                    <w:rPr>
                      <w:rFonts w:hint="eastAsia" w:eastAsia="宋体"/>
                      <w:color w:val="000000"/>
                    </w:rPr>
                    <w:t>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hint="eastAsia"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车架组对工装</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封边梁工装</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锯床</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数控剪板机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数控折弯机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翻转平台</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校直机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板簧压力机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打气泵</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喷烤漆房</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喷砂打磨房</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喷砂机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环保设备</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连续</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hint="eastAsia" w:eastAsia="宋体"/>
                      <w:color w:val="000000"/>
                    </w:rPr>
                    <w:t>基础减震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门扇自动焊</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切割机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瓦楞成型机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叉车</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sz w:val="21"/>
                      <w:szCs w:val="21"/>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行车</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hint="eastAsia"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adjustRightInd w:val="0"/>
                    <w:snapToGrid w:val="0"/>
                    <w:spacing w:line="320" w:lineRule="exact"/>
                    <w:jc w:val="center"/>
                    <w:rPr>
                      <w:color w:val="000000"/>
                      <w:sz w:val="21"/>
                    </w:rPr>
                  </w:pPr>
                  <w:r>
                    <w:rPr>
                      <w:bCs/>
                      <w:color w:val="000000"/>
                      <w:sz w:val="21"/>
                      <w:szCs w:val="21"/>
                    </w:rPr>
                    <w:t>车桥组对工装</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二保焊机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88" w:type="pct"/>
                  <w:tcBorders>
                    <w:tl2br w:val="nil"/>
                    <w:tr2bl w:val="nil"/>
                  </w:tcBorders>
                  <w:tcMar>
                    <w:top w:w="0" w:type="dxa"/>
                    <w:left w:w="57" w:type="dxa"/>
                    <w:bottom w:w="0" w:type="dxa"/>
                    <w:right w:w="57" w:type="dxa"/>
                  </w:tcMar>
                  <w:vAlign w:val="center"/>
                </w:tcPr>
                <w:p>
                  <w:pPr>
                    <w:pStyle w:val="9"/>
                    <w:widowControl/>
                    <w:spacing w:line="320" w:lineRule="exact"/>
                    <w:ind w:firstLine="0"/>
                    <w:jc w:val="center"/>
                    <w:textAlignment w:val="baseline"/>
                    <w:rPr>
                      <w:rFonts w:ascii="Times New Roman" w:hAnsi="Times New Roman" w:cs="Times New Roman"/>
                      <w:color w:val="000000"/>
                      <w:sz w:val="21"/>
                      <w:szCs w:val="24"/>
                    </w:rPr>
                  </w:pPr>
                  <w:r>
                    <w:rPr>
                      <w:rFonts w:ascii="Times New Roman" w:hAnsi="Times New Roman" w:cs="Times New Roman"/>
                      <w:bCs/>
                      <w:color w:val="000000"/>
                      <w:sz w:val="21"/>
                      <w:szCs w:val="21"/>
                    </w:rPr>
                    <w:t>小等离子切割机</w:t>
                  </w:r>
                </w:p>
              </w:tc>
              <w:tc>
                <w:tcPr>
                  <w:tcW w:w="701"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~80</w:t>
                  </w:r>
                </w:p>
              </w:tc>
              <w:tc>
                <w:tcPr>
                  <w:tcW w:w="806"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~65</w:t>
                  </w:r>
                </w:p>
              </w:tc>
              <w:tc>
                <w:tcPr>
                  <w:tcW w:w="688" w:type="pct"/>
                  <w:tcBorders>
                    <w:tl2br w:val="nil"/>
                    <w:tr2bl w:val="nil"/>
                  </w:tcBorders>
                  <w:tcMar>
                    <w:top w:w="0" w:type="dxa"/>
                    <w:left w:w="57" w:type="dxa"/>
                    <w:bottom w:w="0" w:type="dxa"/>
                    <w:right w:w="57" w:type="dxa"/>
                  </w:tcMar>
                  <w:vAlign w:val="center"/>
                </w:tcPr>
                <w:p>
                  <w:pPr>
                    <w:spacing w:line="320" w:lineRule="exact"/>
                    <w:jc w:val="center"/>
                    <w:rPr>
                      <w:color w:val="000000"/>
                    </w:rPr>
                  </w:pPr>
                  <w:r>
                    <w:rPr>
                      <w:color w:val="000000"/>
                      <w:sz w:val="21"/>
                      <w:szCs w:val="21"/>
                    </w:rPr>
                    <w:t>机械性</w:t>
                  </w:r>
                </w:p>
              </w:tc>
              <w:tc>
                <w:tcPr>
                  <w:tcW w:w="485"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间歇</w:t>
                  </w:r>
                </w:p>
              </w:tc>
              <w:tc>
                <w:tcPr>
                  <w:tcW w:w="1330" w:type="pct"/>
                  <w:tcBorders>
                    <w:tl2br w:val="nil"/>
                    <w:tr2bl w:val="nil"/>
                  </w:tcBorders>
                  <w:tcMar>
                    <w:top w:w="0" w:type="dxa"/>
                    <w:left w:w="57" w:type="dxa"/>
                    <w:bottom w:w="0" w:type="dxa"/>
                    <w:right w:w="57" w:type="dxa"/>
                  </w:tcMar>
                  <w:vAlign w:val="center"/>
                </w:tcPr>
                <w:p>
                  <w:pPr>
                    <w:pStyle w:val="67"/>
                    <w:rPr>
                      <w:rFonts w:eastAsia="宋体"/>
                      <w:color w:val="000000"/>
                    </w:rPr>
                  </w:pPr>
                  <w:r>
                    <w:rPr>
                      <w:rFonts w:eastAsia="宋体"/>
                      <w:color w:val="000000"/>
                    </w:rPr>
                    <w:t>全封闭车间内操作</w:t>
                  </w:r>
                </w:p>
              </w:tc>
            </w:tr>
          </w:tbl>
          <w:p>
            <w:pPr>
              <w:spacing w:line="480" w:lineRule="exact"/>
              <w:ind w:firstLine="480" w:firstLineChars="200"/>
              <w:outlineLvl w:val="0"/>
              <w:rPr>
                <w:color w:val="000000"/>
              </w:rPr>
            </w:pPr>
            <w:r>
              <w:rPr>
                <w:color w:val="000000"/>
              </w:rPr>
              <w:t>3.2防治措施</w:t>
            </w:r>
          </w:p>
          <w:p>
            <w:pPr>
              <w:spacing w:line="480" w:lineRule="exact"/>
              <w:ind w:firstLine="480" w:firstLineChars="200"/>
              <w:outlineLvl w:val="0"/>
              <w:rPr>
                <w:color w:val="000000"/>
              </w:rPr>
            </w:pPr>
            <w:r>
              <w:rPr>
                <w:color w:val="000000"/>
              </w:rPr>
              <w:t>为防止本项目产生的噪声对周围环境的影响，本评价提出如下降噪措施：</w:t>
            </w:r>
          </w:p>
          <w:p>
            <w:pPr>
              <w:spacing w:line="480" w:lineRule="exact"/>
              <w:ind w:firstLine="480" w:firstLineChars="200"/>
              <w:outlineLvl w:val="0"/>
              <w:rPr>
                <w:color w:val="000000"/>
              </w:rPr>
            </w:pPr>
            <w:r>
              <w:rPr>
                <w:color w:val="000000"/>
              </w:rPr>
              <w:t>①本项目声源大多设在室内，经墙壁隔声以后传播到外环境时已衰减很多；</w:t>
            </w:r>
          </w:p>
          <w:p>
            <w:pPr>
              <w:spacing w:line="480" w:lineRule="exact"/>
              <w:ind w:firstLine="480" w:firstLineChars="200"/>
              <w:outlineLvl w:val="0"/>
              <w:rPr>
                <w:color w:val="000000"/>
              </w:rPr>
            </w:pPr>
            <w:r>
              <w:rPr>
                <w:color w:val="000000"/>
              </w:rPr>
              <w:t>②合理选择机械设备，从声源上控制噪声级别：在设计和设备定货时向制造厂商提出噪声控制要求，选用低噪设备；</w:t>
            </w:r>
          </w:p>
          <w:p>
            <w:pPr>
              <w:spacing w:line="480" w:lineRule="exact"/>
              <w:ind w:firstLine="480" w:firstLineChars="200"/>
              <w:outlineLvl w:val="0"/>
              <w:rPr>
                <w:color w:val="000000"/>
              </w:rPr>
            </w:pPr>
            <w:r>
              <w:rPr>
                <w:color w:val="000000"/>
              </w:rPr>
              <w:t>③设置减噪减振措施：对因振动辐射产生噪声的设备需要采用减振、隔声措施，安装减振垫等；</w:t>
            </w:r>
          </w:p>
          <w:p>
            <w:pPr>
              <w:snapToGrid w:val="0"/>
              <w:spacing w:line="480" w:lineRule="exact"/>
              <w:ind w:firstLine="480" w:firstLineChars="200"/>
              <w:rPr>
                <w:bCs/>
                <w:color w:val="000000"/>
              </w:rPr>
            </w:pPr>
            <w:r>
              <w:rPr>
                <w:bCs/>
                <w:color w:val="000000"/>
              </w:rPr>
              <w:t>通过采取以上措施，并经距离衰减和建（构）筑物屏蔽后，可有效降低噪声值，可使设备噪声降低15～25dB(A)左右。</w:t>
            </w:r>
          </w:p>
          <w:p>
            <w:pPr>
              <w:spacing w:line="360" w:lineRule="auto"/>
              <w:ind w:firstLine="496" w:firstLineChars="200"/>
              <w:rPr>
                <w:bCs/>
                <w:color w:val="000000"/>
                <w:spacing w:val="4"/>
                <w:szCs w:val="21"/>
              </w:rPr>
            </w:pPr>
            <w:r>
              <w:rPr>
                <w:rFonts w:hint="eastAsia"/>
                <w:bCs/>
                <w:color w:val="000000"/>
                <w:spacing w:val="4"/>
                <w:szCs w:val="21"/>
              </w:rPr>
              <w:t>3.</w:t>
            </w:r>
            <w:r>
              <w:rPr>
                <w:bCs/>
                <w:color w:val="000000"/>
                <w:spacing w:val="4"/>
                <w:szCs w:val="21"/>
              </w:rPr>
              <w:t>3采取措施后噪声影响预测</w:t>
            </w:r>
          </w:p>
          <w:p>
            <w:pPr>
              <w:adjustRightInd w:val="0"/>
              <w:snapToGrid w:val="0"/>
              <w:spacing w:line="360" w:lineRule="auto"/>
              <w:ind w:firstLine="496" w:firstLineChars="200"/>
              <w:rPr>
                <w:bCs/>
                <w:color w:val="000000"/>
                <w:spacing w:val="4"/>
                <w:szCs w:val="21"/>
              </w:rPr>
            </w:pPr>
            <w:bookmarkStart w:id="19" w:name="_Toc193508520"/>
            <w:bookmarkStart w:id="20" w:name="_Toc237404911"/>
            <w:bookmarkStart w:id="21" w:name="_Toc212375871"/>
            <w:bookmarkStart w:id="22" w:name="_Toc90519639"/>
            <w:bookmarkStart w:id="23" w:name="_Toc187285060"/>
            <w:bookmarkStart w:id="24" w:name="_Toc168481771"/>
            <w:bookmarkStart w:id="25" w:name="_Toc185247576"/>
            <w:bookmarkStart w:id="26" w:name="_Toc214207051"/>
            <w:bookmarkStart w:id="27" w:name="_Toc185247577"/>
            <w:bookmarkStart w:id="28" w:name="_Toc193508521"/>
            <w:bookmarkStart w:id="29" w:name="_Toc187285061"/>
            <w:bookmarkStart w:id="30" w:name="_Toc214207052"/>
            <w:bookmarkStart w:id="31" w:name="_Toc168481772"/>
            <w:bookmarkStart w:id="32" w:name="_Toc212375872"/>
            <w:bookmarkStart w:id="33" w:name="_Toc90519640"/>
            <w:r>
              <w:rPr>
                <w:bCs/>
                <w:color w:val="000000"/>
                <w:spacing w:val="4"/>
                <w:szCs w:val="21"/>
              </w:rPr>
              <w:t>（1）预测模式</w:t>
            </w:r>
          </w:p>
          <w:bookmarkEnd w:id="19"/>
          <w:bookmarkEnd w:id="20"/>
          <w:bookmarkEnd w:id="21"/>
          <w:bookmarkEnd w:id="22"/>
          <w:bookmarkEnd w:id="23"/>
          <w:bookmarkEnd w:id="24"/>
          <w:bookmarkEnd w:id="25"/>
          <w:bookmarkEnd w:id="26"/>
          <w:p>
            <w:pPr>
              <w:adjustRightInd w:val="0"/>
              <w:snapToGrid w:val="0"/>
              <w:spacing w:line="360" w:lineRule="auto"/>
              <w:ind w:firstLine="496" w:firstLineChars="200"/>
              <w:rPr>
                <w:bCs/>
                <w:color w:val="000000"/>
                <w:spacing w:val="4"/>
                <w:szCs w:val="21"/>
              </w:rPr>
            </w:pPr>
            <w:r>
              <w:rPr>
                <w:bCs/>
                <w:color w:val="000000"/>
                <w:spacing w:val="4"/>
                <w:szCs w:val="21"/>
              </w:rPr>
              <w:pict>
                <v:shape id="对象 67" o:spid="_x0000_s2050" o:spt="75" type="#_x0000_t75" style="position:absolute;left:0pt;margin-left:38.5pt;margin-top:38.9pt;height:19pt;width:263.85pt;z-index:251672576;mso-width-relative:page;mso-height-relative:page;" o:ole="t" filled="f" o:preferrelative="t" stroked="f" coordsize="21600,21600">
                  <v:path/>
                  <v:fill on="f" focussize="0,0"/>
                  <v:stroke on="f" joinstyle="miter"/>
                  <v:imagedata r:id="rId15" o:title=""/>
                  <o:lock v:ext="edit" aspectratio="t"/>
                </v:shape>
                <o:OLEObject Type="Embed" ProgID="Equations" ShapeID="对象 67" DrawAspect="Content" ObjectID="_1468075725" r:id="rId14">
                  <o:LockedField>false</o:LockedField>
                </o:OLEObject>
              </w:pict>
            </w:r>
            <w:r>
              <w:rPr>
                <w:bCs/>
                <w:color w:val="000000"/>
                <w:spacing w:val="4"/>
                <w:szCs w:val="21"/>
              </w:rPr>
              <w:t>本</w:t>
            </w:r>
            <w:bookmarkEnd w:id="27"/>
            <w:bookmarkEnd w:id="28"/>
            <w:bookmarkEnd w:id="29"/>
            <w:bookmarkEnd w:id="30"/>
            <w:bookmarkEnd w:id="31"/>
            <w:bookmarkEnd w:id="32"/>
            <w:bookmarkEnd w:id="33"/>
            <w:bookmarkStart w:id="34" w:name="_Toc90519641"/>
            <w:bookmarkStart w:id="35" w:name="_Toc237404912"/>
            <w:r>
              <w:rPr>
                <w:bCs/>
                <w:color w:val="000000"/>
                <w:spacing w:val="4"/>
                <w:szCs w:val="21"/>
              </w:rPr>
              <w:t>次预测采用《环境影响评价技术导则—声环境》（HJ2.4—20</w:t>
            </w:r>
            <w:r>
              <w:rPr>
                <w:rFonts w:hint="eastAsia"/>
                <w:bCs/>
                <w:color w:val="000000"/>
                <w:spacing w:val="4"/>
                <w:szCs w:val="21"/>
              </w:rPr>
              <w:t>21</w:t>
            </w:r>
            <w:r>
              <w:rPr>
                <w:bCs/>
                <w:color w:val="000000"/>
                <w:spacing w:val="4"/>
                <w:szCs w:val="21"/>
              </w:rPr>
              <w:t>）中附录A.1推荐的工业噪声预测计算模式，表达式为：</w:t>
            </w:r>
          </w:p>
          <w:p>
            <w:pPr>
              <w:tabs>
                <w:tab w:val="left" w:pos="6290"/>
              </w:tabs>
              <w:adjustRightInd w:val="0"/>
              <w:snapToGrid w:val="0"/>
              <w:spacing w:line="360" w:lineRule="auto"/>
              <w:ind w:firstLine="496" w:firstLineChars="200"/>
              <w:rPr>
                <w:bCs/>
                <w:color w:val="000000"/>
                <w:spacing w:val="4"/>
                <w:szCs w:val="21"/>
              </w:rPr>
            </w:pPr>
            <w:r>
              <w:rPr>
                <w:bCs/>
                <w:color w:val="000000"/>
                <w:spacing w:val="4"/>
                <w:szCs w:val="21"/>
              </w:rPr>
              <w:tab/>
            </w:r>
          </w:p>
          <w:p>
            <w:pPr>
              <w:adjustRightInd w:val="0"/>
              <w:snapToGrid w:val="0"/>
              <w:spacing w:line="360" w:lineRule="auto"/>
              <w:ind w:firstLine="496" w:firstLineChars="200"/>
              <w:rPr>
                <w:bCs/>
                <w:color w:val="000000"/>
                <w:spacing w:val="4"/>
                <w:szCs w:val="21"/>
              </w:rPr>
            </w:pPr>
            <w:r>
              <w:rPr>
                <w:bCs/>
                <w:color w:val="000000"/>
                <w:spacing w:val="4"/>
                <w:szCs w:val="21"/>
              </w:rPr>
              <w:t>式中：A</w:t>
            </w:r>
            <w:r>
              <w:rPr>
                <w:bCs/>
                <w:color w:val="000000"/>
                <w:spacing w:val="4"/>
                <w:szCs w:val="21"/>
                <w:vertAlign w:val="subscript"/>
              </w:rPr>
              <w:t>div</w:t>
            </w:r>
            <w:r>
              <w:rPr>
                <w:bCs/>
                <w:color w:val="000000"/>
                <w:spacing w:val="4"/>
                <w:szCs w:val="21"/>
              </w:rPr>
              <w:t>——几何发散引起的衰减，dB（A）；</w:t>
            </w:r>
          </w:p>
          <w:p>
            <w:pPr>
              <w:adjustRightInd w:val="0"/>
              <w:snapToGrid w:val="0"/>
              <w:spacing w:line="360" w:lineRule="auto"/>
              <w:ind w:firstLine="1205" w:firstLineChars="486"/>
              <w:rPr>
                <w:bCs/>
                <w:color w:val="000000"/>
                <w:spacing w:val="4"/>
                <w:szCs w:val="21"/>
              </w:rPr>
            </w:pPr>
            <w:r>
              <w:rPr>
                <w:bCs/>
                <w:color w:val="000000"/>
                <w:spacing w:val="4"/>
                <w:szCs w:val="21"/>
              </w:rPr>
              <w:t>A</w:t>
            </w:r>
            <w:r>
              <w:rPr>
                <w:bCs/>
                <w:color w:val="000000"/>
                <w:spacing w:val="4"/>
                <w:szCs w:val="21"/>
                <w:vertAlign w:val="subscript"/>
              </w:rPr>
              <w:t>atm</w:t>
            </w:r>
            <w:r>
              <w:rPr>
                <w:bCs/>
                <w:color w:val="000000"/>
                <w:spacing w:val="4"/>
                <w:szCs w:val="21"/>
              </w:rPr>
              <w:t>——大气吸收引起的衰减，dB（A）；</w:t>
            </w:r>
          </w:p>
          <w:p>
            <w:pPr>
              <w:adjustRightInd w:val="0"/>
              <w:snapToGrid w:val="0"/>
              <w:spacing w:line="360" w:lineRule="auto"/>
              <w:ind w:firstLine="1205" w:firstLineChars="486"/>
              <w:rPr>
                <w:bCs/>
                <w:color w:val="000000"/>
                <w:spacing w:val="4"/>
                <w:szCs w:val="21"/>
              </w:rPr>
            </w:pPr>
            <w:r>
              <w:rPr>
                <w:bCs/>
                <w:color w:val="000000"/>
                <w:spacing w:val="4"/>
                <w:szCs w:val="21"/>
              </w:rPr>
              <w:t>A</w:t>
            </w:r>
            <w:r>
              <w:rPr>
                <w:bCs/>
                <w:color w:val="000000"/>
                <w:spacing w:val="4"/>
                <w:szCs w:val="21"/>
                <w:vertAlign w:val="subscript"/>
              </w:rPr>
              <w:t>bar</w:t>
            </w:r>
            <w:r>
              <w:rPr>
                <w:bCs/>
                <w:color w:val="000000"/>
                <w:spacing w:val="4"/>
                <w:szCs w:val="21"/>
              </w:rPr>
              <w:t>——声屏障引起的衰减，dB（A）；</w:t>
            </w:r>
          </w:p>
          <w:p>
            <w:pPr>
              <w:adjustRightInd w:val="0"/>
              <w:snapToGrid w:val="0"/>
              <w:spacing w:line="360" w:lineRule="auto"/>
              <w:ind w:firstLine="1205" w:firstLineChars="486"/>
              <w:rPr>
                <w:bCs/>
                <w:color w:val="000000"/>
                <w:spacing w:val="4"/>
                <w:szCs w:val="21"/>
              </w:rPr>
            </w:pPr>
            <w:r>
              <w:rPr>
                <w:bCs/>
                <w:color w:val="000000"/>
                <w:spacing w:val="4"/>
                <w:szCs w:val="21"/>
              </w:rPr>
              <w:t>A</w:t>
            </w:r>
            <w:r>
              <w:rPr>
                <w:bCs/>
                <w:color w:val="000000"/>
                <w:spacing w:val="4"/>
                <w:szCs w:val="21"/>
                <w:vertAlign w:val="subscript"/>
              </w:rPr>
              <w:t>gr</w:t>
            </w:r>
            <w:r>
              <w:rPr>
                <w:bCs/>
                <w:color w:val="000000"/>
                <w:spacing w:val="4"/>
                <w:szCs w:val="21"/>
              </w:rPr>
              <w:t>——地面效应引起的衰减，dB（A）；</w:t>
            </w:r>
          </w:p>
          <w:p>
            <w:pPr>
              <w:adjustRightInd w:val="0"/>
              <w:snapToGrid w:val="0"/>
              <w:spacing w:line="360" w:lineRule="auto"/>
              <w:ind w:firstLine="1205" w:firstLineChars="486"/>
              <w:rPr>
                <w:bCs/>
                <w:color w:val="000000"/>
                <w:spacing w:val="4"/>
                <w:szCs w:val="21"/>
              </w:rPr>
            </w:pPr>
            <w:r>
              <w:rPr>
                <w:bCs/>
                <w:color w:val="000000"/>
                <w:spacing w:val="4"/>
                <w:szCs w:val="21"/>
              </w:rPr>
              <w:t>A</w:t>
            </w:r>
            <w:r>
              <w:rPr>
                <w:bCs/>
                <w:color w:val="000000"/>
                <w:spacing w:val="4"/>
                <w:szCs w:val="21"/>
                <w:vertAlign w:val="subscript"/>
              </w:rPr>
              <w:t>misc</w:t>
            </w:r>
            <w:r>
              <w:rPr>
                <w:bCs/>
                <w:color w:val="000000"/>
                <w:spacing w:val="4"/>
                <w:szCs w:val="21"/>
              </w:rPr>
              <w:t>——其他多方面效应引起的衰减，dB（A）；</w:t>
            </w:r>
          </w:p>
          <w:p>
            <w:pPr>
              <w:adjustRightInd w:val="0"/>
              <w:snapToGrid w:val="0"/>
              <w:spacing w:line="360" w:lineRule="auto"/>
              <w:ind w:firstLine="1205" w:firstLineChars="486"/>
              <w:rPr>
                <w:bCs/>
                <w:color w:val="000000"/>
                <w:spacing w:val="4"/>
                <w:szCs w:val="21"/>
              </w:rPr>
            </w:pPr>
            <w:r>
              <w:rPr>
                <w:bCs/>
                <w:i/>
                <w:color w:val="000000"/>
                <w:spacing w:val="4"/>
                <w:szCs w:val="21"/>
              </w:rPr>
              <w:t>L</w:t>
            </w:r>
            <w:r>
              <w:rPr>
                <w:rFonts w:hint="eastAsia"/>
                <w:bCs/>
                <w:color w:val="000000"/>
                <w:spacing w:val="4"/>
                <w:szCs w:val="21"/>
                <w:vertAlign w:val="subscript"/>
              </w:rPr>
              <w:t>P</w:t>
            </w:r>
            <w:r>
              <w:rPr>
                <w:bCs/>
                <w:color w:val="000000"/>
                <w:spacing w:val="4"/>
                <w:szCs w:val="21"/>
              </w:rPr>
              <w:t>（r）——</w:t>
            </w:r>
            <w:r>
              <w:rPr>
                <w:rFonts w:hint="eastAsia"/>
                <w:bCs/>
                <w:color w:val="000000"/>
                <w:spacing w:val="4"/>
                <w:szCs w:val="21"/>
              </w:rPr>
              <w:t>预测点处</w:t>
            </w:r>
            <w:r>
              <w:rPr>
                <w:bCs/>
                <w:color w:val="000000"/>
                <w:spacing w:val="4"/>
                <w:szCs w:val="21"/>
              </w:rPr>
              <w:t>声压级，dB（A）；</w:t>
            </w:r>
          </w:p>
          <w:p>
            <w:pPr>
              <w:adjustRightInd w:val="0"/>
              <w:snapToGrid w:val="0"/>
              <w:spacing w:line="360" w:lineRule="auto"/>
              <w:ind w:firstLine="1205" w:firstLineChars="486"/>
              <w:rPr>
                <w:bCs/>
                <w:color w:val="000000"/>
                <w:spacing w:val="4"/>
                <w:szCs w:val="21"/>
              </w:rPr>
            </w:pPr>
            <w:r>
              <w:rPr>
                <w:bCs/>
                <w:i/>
                <w:color w:val="000000"/>
                <w:spacing w:val="4"/>
                <w:szCs w:val="21"/>
              </w:rPr>
              <w:t>L</w:t>
            </w:r>
            <w:r>
              <w:rPr>
                <w:rFonts w:hint="eastAsia"/>
                <w:bCs/>
                <w:color w:val="000000"/>
                <w:spacing w:val="4"/>
                <w:szCs w:val="21"/>
                <w:vertAlign w:val="subscript"/>
              </w:rPr>
              <w:t>w</w:t>
            </w:r>
            <w:r>
              <w:rPr>
                <w:bCs/>
                <w:color w:val="000000"/>
                <w:spacing w:val="4"/>
                <w:szCs w:val="21"/>
              </w:rPr>
              <w:t>——</w:t>
            </w:r>
            <w:r>
              <w:rPr>
                <w:rFonts w:hint="eastAsia"/>
                <w:bCs/>
                <w:color w:val="000000"/>
                <w:spacing w:val="4"/>
                <w:szCs w:val="21"/>
              </w:rPr>
              <w:t>由点声源产生的声功率级（A计权或倍频带）</w:t>
            </w:r>
            <w:r>
              <w:rPr>
                <w:bCs/>
                <w:color w:val="000000"/>
                <w:spacing w:val="4"/>
                <w:szCs w:val="21"/>
              </w:rPr>
              <w:t>，dB（A）；</w:t>
            </w:r>
          </w:p>
          <w:p>
            <w:pPr>
              <w:adjustRightInd w:val="0"/>
              <w:snapToGrid w:val="0"/>
              <w:spacing w:line="360" w:lineRule="auto"/>
              <w:ind w:firstLine="1205" w:firstLineChars="486"/>
              <w:rPr>
                <w:bCs/>
                <w:color w:val="000000"/>
                <w:spacing w:val="4"/>
                <w:szCs w:val="21"/>
              </w:rPr>
            </w:pPr>
            <w:r>
              <w:rPr>
                <w:rFonts w:hint="eastAsia"/>
                <w:bCs/>
                <w:color w:val="000000"/>
                <w:spacing w:val="4"/>
                <w:szCs w:val="21"/>
              </w:rPr>
              <w:t>Dc</w:t>
            </w:r>
            <w:r>
              <w:rPr>
                <w:bCs/>
                <w:color w:val="000000"/>
                <w:spacing w:val="4"/>
                <w:szCs w:val="21"/>
              </w:rPr>
              <w:t>——</w:t>
            </w:r>
            <w:r>
              <w:rPr>
                <w:rFonts w:hint="eastAsia"/>
                <w:bCs/>
                <w:color w:val="000000"/>
                <w:spacing w:val="4"/>
                <w:szCs w:val="21"/>
              </w:rPr>
              <w:t>指向性校正，他描述点声源的等效连续声压级与产生声功率级Lw的全向点声源在规定方向的声级偏差程度</w:t>
            </w:r>
            <w:r>
              <w:rPr>
                <w:bCs/>
                <w:color w:val="000000"/>
                <w:spacing w:val="4"/>
                <w:szCs w:val="21"/>
              </w:rPr>
              <w:t>，</w:t>
            </w:r>
            <w:r>
              <w:rPr>
                <w:rFonts w:hint="eastAsia"/>
                <w:bCs/>
                <w:color w:val="000000"/>
                <w:spacing w:val="4"/>
                <w:szCs w:val="21"/>
              </w:rPr>
              <w:t>dB</w:t>
            </w:r>
            <w:r>
              <w:rPr>
                <w:bCs/>
                <w:color w:val="000000"/>
                <w:spacing w:val="4"/>
                <w:szCs w:val="21"/>
              </w:rPr>
              <w:t>；</w:t>
            </w:r>
          </w:p>
          <w:p>
            <w:pPr>
              <w:adjustRightInd w:val="0"/>
              <w:snapToGrid w:val="0"/>
              <w:spacing w:line="360" w:lineRule="auto"/>
              <w:ind w:firstLine="496" w:firstLineChars="200"/>
              <w:rPr>
                <w:bCs/>
                <w:color w:val="000000"/>
                <w:spacing w:val="4"/>
                <w:szCs w:val="21"/>
              </w:rPr>
            </w:pPr>
            <w:r>
              <w:rPr>
                <w:bCs/>
                <w:color w:val="000000"/>
                <w:spacing w:val="4"/>
                <w:szCs w:val="21"/>
              </w:rPr>
              <w:t>本次噪声预测计算将从偏保守角度出发，仅考虑声波随距离的衰减A</w:t>
            </w:r>
            <w:r>
              <w:rPr>
                <w:bCs/>
                <w:color w:val="000000"/>
                <w:spacing w:val="4"/>
                <w:szCs w:val="21"/>
                <w:vertAlign w:val="subscript"/>
              </w:rPr>
              <w:t>div</w:t>
            </w:r>
            <w:r>
              <w:rPr>
                <w:bCs/>
                <w:color w:val="000000"/>
                <w:spacing w:val="4"/>
                <w:szCs w:val="21"/>
              </w:rPr>
              <w:t>，对单个点声源的几何发散衰减用以下公式计算：</w:t>
            </w:r>
          </w:p>
          <w:p>
            <w:pPr>
              <w:adjustRightInd w:val="0"/>
              <w:snapToGrid w:val="0"/>
              <w:spacing w:line="360" w:lineRule="auto"/>
              <w:ind w:firstLine="496" w:firstLineChars="200"/>
              <w:rPr>
                <w:bCs/>
                <w:color w:val="000000"/>
                <w:spacing w:val="4"/>
                <w:szCs w:val="21"/>
              </w:rPr>
            </w:pPr>
            <w:r>
              <w:rPr>
                <w:bCs/>
                <w:color w:val="000000"/>
                <w:spacing w:val="4"/>
                <w:szCs w:val="21"/>
              </w:rPr>
              <w:pict>
                <v:shape id="Picture 642" o:spid="_x0000_s2051" o:spt="75" type="#_x0000_t75" style="position:absolute;left:0pt;margin-left:155.55pt;margin-top:15.55pt;height:33.55pt;width:139.85pt;z-index:251673600;mso-width-relative:page;mso-height-relative:page;" o:ole="t" filled="f" o:preferrelative="t" stroked="f" coordsize="21600,21600">
                  <v:path/>
                  <v:fill on="f" focussize="0,0"/>
                  <v:stroke on="f" joinstyle="miter"/>
                  <v:imagedata r:id="rId17" o:title=""/>
                  <o:lock v:ext="edit" aspectratio="t"/>
                </v:shape>
                <o:OLEObject Type="Embed" ProgID="Equations" ShapeID="Picture 642" DrawAspect="Content" ObjectID="_1468075726" r:id="rId16">
                  <o:LockedField>false</o:LockedField>
                </o:OLEObject>
              </w:pict>
            </w:r>
            <w:r>
              <w:rPr>
                <w:bCs/>
                <w:i/>
                <w:color w:val="000000"/>
                <w:spacing w:val="4"/>
                <w:szCs w:val="21"/>
              </w:rPr>
              <w:t>L</w:t>
            </w:r>
            <w:r>
              <w:rPr>
                <w:rFonts w:hint="eastAsia"/>
                <w:bCs/>
                <w:color w:val="000000"/>
                <w:spacing w:val="4"/>
                <w:szCs w:val="21"/>
                <w:vertAlign w:val="subscript"/>
              </w:rPr>
              <w:t>P</w:t>
            </w:r>
            <w:r>
              <w:rPr>
                <w:bCs/>
                <w:color w:val="000000"/>
                <w:spacing w:val="4"/>
                <w:szCs w:val="21"/>
              </w:rPr>
              <w:t>（r）=</w:t>
            </w:r>
            <w:r>
              <w:rPr>
                <w:bCs/>
                <w:i/>
                <w:color w:val="000000"/>
                <w:spacing w:val="4"/>
                <w:szCs w:val="21"/>
              </w:rPr>
              <w:t>L</w:t>
            </w:r>
            <w:r>
              <w:rPr>
                <w:rFonts w:hint="eastAsia"/>
                <w:bCs/>
                <w:color w:val="000000"/>
                <w:spacing w:val="4"/>
                <w:szCs w:val="21"/>
                <w:vertAlign w:val="subscript"/>
              </w:rPr>
              <w:t>w</w:t>
            </w:r>
            <w:r>
              <w:rPr>
                <w:bCs/>
                <w:color w:val="000000"/>
                <w:spacing w:val="4"/>
                <w:szCs w:val="21"/>
              </w:rPr>
              <w:t>－20lgr－</w:t>
            </w:r>
            <w:r>
              <w:rPr>
                <w:rFonts w:hint="eastAsia"/>
                <w:bCs/>
                <w:color w:val="000000"/>
                <w:spacing w:val="4"/>
                <w:szCs w:val="21"/>
              </w:rPr>
              <w:t>11</w:t>
            </w:r>
          </w:p>
          <w:p>
            <w:pPr>
              <w:adjustRightInd w:val="0"/>
              <w:snapToGrid w:val="0"/>
              <w:spacing w:line="360" w:lineRule="auto"/>
              <w:ind w:firstLine="496" w:firstLineChars="200"/>
              <w:rPr>
                <w:bCs/>
                <w:color w:val="000000"/>
                <w:spacing w:val="4"/>
                <w:szCs w:val="21"/>
              </w:rPr>
            </w:pPr>
            <w:r>
              <w:rPr>
                <w:bCs/>
                <w:color w:val="000000"/>
                <w:spacing w:val="4"/>
                <w:szCs w:val="21"/>
              </w:rPr>
              <w:t>多源噪声叠加公式采用：</w:t>
            </w:r>
          </w:p>
          <w:p>
            <w:pPr>
              <w:adjustRightInd w:val="0"/>
              <w:snapToGrid w:val="0"/>
              <w:spacing w:line="360" w:lineRule="auto"/>
              <w:ind w:firstLine="496" w:firstLineChars="200"/>
              <w:rPr>
                <w:bCs/>
                <w:color w:val="000000"/>
                <w:spacing w:val="4"/>
                <w:szCs w:val="21"/>
              </w:rPr>
            </w:pPr>
            <w:r>
              <w:rPr>
                <w:bCs/>
                <w:color w:val="000000"/>
                <w:spacing w:val="4"/>
                <w:szCs w:val="21"/>
              </w:rPr>
              <w:t>（2）噪声预测结果</w:t>
            </w:r>
          </w:p>
          <w:bookmarkEnd w:id="34"/>
          <w:bookmarkEnd w:id="35"/>
          <w:p>
            <w:pPr>
              <w:adjustRightInd w:val="0"/>
              <w:snapToGrid w:val="0"/>
              <w:spacing w:line="360" w:lineRule="auto"/>
              <w:ind w:firstLine="496" w:firstLineChars="200"/>
              <w:rPr>
                <w:bCs/>
                <w:color w:val="000000"/>
                <w:spacing w:val="4"/>
                <w:szCs w:val="21"/>
              </w:rPr>
            </w:pPr>
            <w:r>
              <w:rPr>
                <w:bCs/>
                <w:color w:val="000000"/>
                <w:spacing w:val="4"/>
                <w:szCs w:val="21"/>
              </w:rPr>
              <w:t>利用预测模式计算出各设备影响噪声值，根据能量合成法则叠加各设备噪声对各预测点声环境造成的贡献值，即为预测值。则采取措施后厂界噪声预测结果见表4-</w:t>
            </w:r>
            <w:r>
              <w:rPr>
                <w:rFonts w:hint="eastAsia"/>
                <w:bCs/>
                <w:color w:val="000000"/>
                <w:spacing w:val="4"/>
                <w:szCs w:val="21"/>
              </w:rPr>
              <w:t>10</w:t>
            </w:r>
            <w:r>
              <w:rPr>
                <w:bCs/>
                <w:color w:val="000000"/>
                <w:spacing w:val="4"/>
                <w:szCs w:val="21"/>
              </w:rPr>
              <w:t>。</w:t>
            </w:r>
          </w:p>
          <w:p>
            <w:pPr>
              <w:adjustRightInd w:val="0"/>
              <w:snapToGrid w:val="0"/>
              <w:ind w:firstLine="481" w:firstLineChars="200"/>
              <w:jc w:val="center"/>
              <w:rPr>
                <w:rFonts w:ascii="宋体" w:hAnsi="宋体" w:cs="宋体"/>
                <w:b/>
                <w:bCs/>
                <w:color w:val="000000"/>
                <w:szCs w:val="21"/>
              </w:rPr>
            </w:pPr>
            <w:r>
              <w:rPr>
                <w:rFonts w:hint="eastAsia" w:ascii="宋体" w:hAnsi="宋体" w:cs="宋体"/>
                <w:b/>
                <w:bCs/>
                <w:color w:val="000000"/>
                <w:szCs w:val="21"/>
              </w:rPr>
              <w:t>表4-10  本项目采取措施后厂界噪声预测结果</w:t>
            </w:r>
          </w:p>
          <w:tbl>
            <w:tblPr>
              <w:tblStyle w:val="31"/>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93"/>
              <w:gridCol w:w="1314"/>
              <w:gridCol w:w="2025"/>
              <w:gridCol w:w="2225"/>
              <w:gridCol w:w="1479"/>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62" w:type="pct"/>
                  <w:vMerge w:val="restart"/>
                  <w:vAlign w:val="center"/>
                </w:tcPr>
                <w:p>
                  <w:pPr>
                    <w:spacing w:line="360" w:lineRule="exact"/>
                    <w:jc w:val="center"/>
                    <w:rPr>
                      <w:bCs/>
                      <w:color w:val="000000"/>
                      <w:sz w:val="21"/>
                      <w:szCs w:val="21"/>
                    </w:rPr>
                  </w:pPr>
                  <w:r>
                    <w:rPr>
                      <w:bCs/>
                      <w:color w:val="000000"/>
                      <w:sz w:val="21"/>
                      <w:szCs w:val="21"/>
                    </w:rPr>
                    <w:t>编号</w:t>
                  </w:r>
                </w:p>
              </w:tc>
              <w:tc>
                <w:tcPr>
                  <w:tcW w:w="828" w:type="pct"/>
                  <w:vMerge w:val="restart"/>
                  <w:vAlign w:val="center"/>
                </w:tcPr>
                <w:p>
                  <w:pPr>
                    <w:spacing w:line="360" w:lineRule="exact"/>
                    <w:jc w:val="center"/>
                    <w:rPr>
                      <w:bCs/>
                      <w:color w:val="000000"/>
                      <w:sz w:val="21"/>
                      <w:szCs w:val="21"/>
                    </w:rPr>
                  </w:pPr>
                  <w:r>
                    <w:rPr>
                      <w:bCs/>
                      <w:color w:val="000000"/>
                      <w:sz w:val="21"/>
                      <w:szCs w:val="21"/>
                    </w:rPr>
                    <w:t>预测点</w:t>
                  </w:r>
                </w:p>
              </w:tc>
              <w:tc>
                <w:tcPr>
                  <w:tcW w:w="1276" w:type="pct"/>
                  <w:vAlign w:val="center"/>
                </w:tcPr>
                <w:p>
                  <w:pPr>
                    <w:spacing w:line="360" w:lineRule="exact"/>
                    <w:jc w:val="center"/>
                    <w:rPr>
                      <w:bCs/>
                      <w:color w:val="000000"/>
                      <w:sz w:val="21"/>
                      <w:szCs w:val="21"/>
                    </w:rPr>
                  </w:pPr>
                  <w:r>
                    <w:rPr>
                      <w:bCs/>
                      <w:color w:val="000000"/>
                      <w:sz w:val="21"/>
                      <w:szCs w:val="21"/>
                    </w:rPr>
                    <w:t>贡献值dB(A)</w:t>
                  </w:r>
                </w:p>
              </w:tc>
              <w:tc>
                <w:tcPr>
                  <w:tcW w:w="1402" w:type="pct"/>
                  <w:vAlign w:val="center"/>
                </w:tcPr>
                <w:p>
                  <w:pPr>
                    <w:spacing w:line="360" w:lineRule="exact"/>
                    <w:jc w:val="center"/>
                    <w:rPr>
                      <w:bCs/>
                      <w:color w:val="000000"/>
                      <w:sz w:val="21"/>
                      <w:szCs w:val="21"/>
                    </w:rPr>
                  </w:pPr>
                  <w:r>
                    <w:rPr>
                      <w:bCs/>
                      <w:color w:val="000000"/>
                      <w:sz w:val="21"/>
                      <w:szCs w:val="21"/>
                    </w:rPr>
                    <w:t>标准值dB(A)</w:t>
                  </w:r>
                </w:p>
              </w:tc>
              <w:tc>
                <w:tcPr>
                  <w:tcW w:w="932" w:type="pct"/>
                  <w:vMerge w:val="restart"/>
                  <w:vAlign w:val="center"/>
                </w:tcPr>
                <w:p>
                  <w:pPr>
                    <w:spacing w:line="360" w:lineRule="exact"/>
                    <w:jc w:val="center"/>
                    <w:rPr>
                      <w:bCs/>
                      <w:color w:val="000000"/>
                      <w:sz w:val="21"/>
                      <w:szCs w:val="21"/>
                    </w:rPr>
                  </w:pPr>
                  <w:r>
                    <w:rPr>
                      <w:bCs/>
                      <w:color w:val="000000"/>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62" w:type="pct"/>
                  <w:vMerge w:val="continue"/>
                  <w:vAlign w:val="center"/>
                </w:tcPr>
                <w:p>
                  <w:pPr>
                    <w:spacing w:line="360" w:lineRule="exact"/>
                    <w:jc w:val="center"/>
                    <w:rPr>
                      <w:bCs/>
                      <w:color w:val="000000"/>
                      <w:sz w:val="21"/>
                      <w:szCs w:val="21"/>
                    </w:rPr>
                  </w:pPr>
                </w:p>
              </w:tc>
              <w:tc>
                <w:tcPr>
                  <w:tcW w:w="828" w:type="pct"/>
                  <w:vMerge w:val="continue"/>
                  <w:vAlign w:val="center"/>
                </w:tcPr>
                <w:p>
                  <w:pPr>
                    <w:spacing w:line="360" w:lineRule="exact"/>
                    <w:jc w:val="center"/>
                    <w:rPr>
                      <w:bCs/>
                      <w:color w:val="000000"/>
                      <w:sz w:val="21"/>
                      <w:szCs w:val="21"/>
                    </w:rPr>
                  </w:pPr>
                </w:p>
              </w:tc>
              <w:tc>
                <w:tcPr>
                  <w:tcW w:w="1276" w:type="pct"/>
                  <w:vAlign w:val="center"/>
                </w:tcPr>
                <w:p>
                  <w:pPr>
                    <w:spacing w:line="360" w:lineRule="exact"/>
                    <w:jc w:val="center"/>
                    <w:rPr>
                      <w:bCs/>
                      <w:color w:val="000000"/>
                      <w:sz w:val="21"/>
                      <w:szCs w:val="21"/>
                    </w:rPr>
                  </w:pPr>
                  <w:r>
                    <w:rPr>
                      <w:bCs/>
                      <w:color w:val="000000"/>
                      <w:sz w:val="21"/>
                      <w:szCs w:val="21"/>
                    </w:rPr>
                    <w:t>昼间</w:t>
                  </w:r>
                </w:p>
              </w:tc>
              <w:tc>
                <w:tcPr>
                  <w:tcW w:w="1402" w:type="pct"/>
                  <w:vAlign w:val="center"/>
                </w:tcPr>
                <w:p>
                  <w:pPr>
                    <w:spacing w:line="360" w:lineRule="exact"/>
                    <w:jc w:val="center"/>
                    <w:rPr>
                      <w:bCs/>
                      <w:color w:val="000000"/>
                      <w:sz w:val="21"/>
                      <w:szCs w:val="21"/>
                    </w:rPr>
                  </w:pPr>
                  <w:r>
                    <w:rPr>
                      <w:bCs/>
                      <w:color w:val="000000"/>
                      <w:sz w:val="21"/>
                      <w:szCs w:val="21"/>
                    </w:rPr>
                    <w:t>昼间</w:t>
                  </w:r>
                </w:p>
              </w:tc>
              <w:tc>
                <w:tcPr>
                  <w:tcW w:w="932" w:type="pct"/>
                  <w:vMerge w:val="continue"/>
                  <w:vAlign w:val="center"/>
                </w:tcPr>
                <w:p>
                  <w:pPr>
                    <w:spacing w:line="360" w:lineRule="exact"/>
                    <w:jc w:val="center"/>
                    <w:rPr>
                      <w:bCs/>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62" w:type="pct"/>
                  <w:vAlign w:val="center"/>
                </w:tcPr>
                <w:p>
                  <w:pPr>
                    <w:spacing w:line="360" w:lineRule="exact"/>
                    <w:jc w:val="center"/>
                    <w:rPr>
                      <w:bCs/>
                      <w:color w:val="000000"/>
                      <w:sz w:val="21"/>
                      <w:szCs w:val="21"/>
                    </w:rPr>
                  </w:pPr>
                  <w:r>
                    <w:rPr>
                      <w:bCs/>
                      <w:color w:val="000000"/>
                      <w:sz w:val="21"/>
                      <w:szCs w:val="21"/>
                    </w:rPr>
                    <w:t>1#</w:t>
                  </w:r>
                </w:p>
              </w:tc>
              <w:tc>
                <w:tcPr>
                  <w:tcW w:w="828" w:type="pct"/>
                  <w:vAlign w:val="center"/>
                </w:tcPr>
                <w:p>
                  <w:pPr>
                    <w:pStyle w:val="94"/>
                    <w:spacing w:line="360" w:lineRule="exact"/>
                    <w:jc w:val="center"/>
                    <w:rPr>
                      <w:bCs/>
                      <w:color w:val="000000"/>
                    </w:rPr>
                  </w:pPr>
                  <w:r>
                    <w:rPr>
                      <w:color w:val="000000"/>
                      <w:spacing w:val="-8"/>
                    </w:rPr>
                    <w:t>厂界北</w:t>
                  </w:r>
                </w:p>
              </w:tc>
              <w:tc>
                <w:tcPr>
                  <w:tcW w:w="1276" w:type="pct"/>
                  <w:vAlign w:val="center"/>
                </w:tcPr>
                <w:p>
                  <w:pPr>
                    <w:tabs>
                      <w:tab w:val="left" w:pos="0"/>
                      <w:tab w:val="left" w:pos="180"/>
                      <w:tab w:val="left" w:pos="540"/>
                    </w:tabs>
                    <w:spacing w:line="360" w:lineRule="exact"/>
                    <w:jc w:val="center"/>
                    <w:rPr>
                      <w:bCs/>
                      <w:color w:val="000000"/>
                      <w:sz w:val="21"/>
                      <w:szCs w:val="21"/>
                    </w:rPr>
                  </w:pPr>
                  <w:r>
                    <w:rPr>
                      <w:bCs/>
                      <w:color w:val="000000"/>
                      <w:sz w:val="21"/>
                      <w:szCs w:val="21"/>
                    </w:rPr>
                    <w:t>35.7</w:t>
                  </w:r>
                </w:p>
              </w:tc>
              <w:tc>
                <w:tcPr>
                  <w:tcW w:w="1402" w:type="pct"/>
                  <w:vAlign w:val="center"/>
                </w:tcPr>
                <w:p>
                  <w:pPr>
                    <w:spacing w:line="360" w:lineRule="exact"/>
                    <w:jc w:val="center"/>
                    <w:rPr>
                      <w:bCs/>
                      <w:color w:val="000000"/>
                      <w:sz w:val="21"/>
                      <w:szCs w:val="21"/>
                    </w:rPr>
                  </w:pPr>
                  <w:r>
                    <w:rPr>
                      <w:rFonts w:hint="eastAsia"/>
                      <w:bCs/>
                      <w:color w:val="000000"/>
                      <w:sz w:val="21"/>
                      <w:szCs w:val="21"/>
                    </w:rPr>
                    <w:t>60</w:t>
                  </w:r>
                </w:p>
              </w:tc>
              <w:tc>
                <w:tcPr>
                  <w:tcW w:w="932" w:type="pct"/>
                  <w:vMerge w:val="restart"/>
                  <w:vAlign w:val="center"/>
                </w:tcPr>
                <w:p>
                  <w:pPr>
                    <w:spacing w:line="360" w:lineRule="exact"/>
                    <w:jc w:val="center"/>
                    <w:rPr>
                      <w:bCs/>
                      <w:color w:val="000000"/>
                      <w:sz w:val="21"/>
                      <w:szCs w:val="21"/>
                    </w:rPr>
                  </w:pPr>
                  <w:r>
                    <w:rPr>
                      <w:bCs/>
                      <w:color w:val="000000"/>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12" w:hRule="atLeast"/>
                <w:jc w:val="center"/>
              </w:trPr>
              <w:tc>
                <w:tcPr>
                  <w:tcW w:w="562" w:type="pct"/>
                  <w:vAlign w:val="center"/>
                </w:tcPr>
                <w:p>
                  <w:pPr>
                    <w:spacing w:line="360" w:lineRule="exact"/>
                    <w:jc w:val="center"/>
                    <w:rPr>
                      <w:bCs/>
                      <w:color w:val="000000"/>
                      <w:sz w:val="21"/>
                      <w:szCs w:val="21"/>
                    </w:rPr>
                  </w:pPr>
                  <w:r>
                    <w:rPr>
                      <w:bCs/>
                      <w:color w:val="000000"/>
                      <w:sz w:val="21"/>
                      <w:szCs w:val="21"/>
                    </w:rPr>
                    <w:t>2#</w:t>
                  </w:r>
                </w:p>
              </w:tc>
              <w:tc>
                <w:tcPr>
                  <w:tcW w:w="828" w:type="pct"/>
                  <w:vAlign w:val="center"/>
                </w:tcPr>
                <w:p>
                  <w:pPr>
                    <w:pStyle w:val="94"/>
                    <w:spacing w:line="360" w:lineRule="exact"/>
                    <w:jc w:val="center"/>
                    <w:rPr>
                      <w:color w:val="000000"/>
                      <w:spacing w:val="-8"/>
                    </w:rPr>
                  </w:pPr>
                  <w:r>
                    <w:rPr>
                      <w:color w:val="000000"/>
                      <w:spacing w:val="-8"/>
                    </w:rPr>
                    <w:t>厂界东</w:t>
                  </w:r>
                </w:p>
              </w:tc>
              <w:tc>
                <w:tcPr>
                  <w:tcW w:w="1276" w:type="pct"/>
                  <w:vAlign w:val="center"/>
                </w:tcPr>
                <w:p>
                  <w:pPr>
                    <w:spacing w:line="360" w:lineRule="exact"/>
                    <w:jc w:val="center"/>
                    <w:rPr>
                      <w:color w:val="000000"/>
                      <w:sz w:val="21"/>
                      <w:szCs w:val="21"/>
                    </w:rPr>
                  </w:pPr>
                  <w:r>
                    <w:rPr>
                      <w:color w:val="000000"/>
                      <w:sz w:val="21"/>
                      <w:szCs w:val="21"/>
                    </w:rPr>
                    <w:t>33.5</w:t>
                  </w:r>
                </w:p>
              </w:tc>
              <w:tc>
                <w:tcPr>
                  <w:tcW w:w="1402" w:type="pct"/>
                  <w:vAlign w:val="center"/>
                </w:tcPr>
                <w:p>
                  <w:pPr>
                    <w:spacing w:line="360" w:lineRule="exact"/>
                    <w:jc w:val="center"/>
                    <w:rPr>
                      <w:bCs/>
                      <w:color w:val="000000"/>
                      <w:sz w:val="21"/>
                      <w:szCs w:val="21"/>
                    </w:rPr>
                  </w:pPr>
                  <w:r>
                    <w:rPr>
                      <w:rFonts w:hint="eastAsia"/>
                      <w:bCs/>
                      <w:color w:val="000000"/>
                      <w:sz w:val="21"/>
                      <w:szCs w:val="21"/>
                    </w:rPr>
                    <w:t>60</w:t>
                  </w:r>
                </w:p>
              </w:tc>
              <w:tc>
                <w:tcPr>
                  <w:tcW w:w="932" w:type="pct"/>
                  <w:vMerge w:val="continue"/>
                  <w:vAlign w:val="center"/>
                </w:tcPr>
                <w:p>
                  <w:pPr>
                    <w:spacing w:line="360" w:lineRule="exact"/>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62" w:type="pct"/>
                  <w:vAlign w:val="center"/>
                </w:tcPr>
                <w:p>
                  <w:pPr>
                    <w:spacing w:line="360" w:lineRule="exact"/>
                    <w:jc w:val="center"/>
                    <w:rPr>
                      <w:bCs/>
                      <w:color w:val="000000"/>
                      <w:sz w:val="21"/>
                      <w:szCs w:val="21"/>
                    </w:rPr>
                  </w:pPr>
                  <w:r>
                    <w:rPr>
                      <w:bCs/>
                      <w:color w:val="000000"/>
                      <w:sz w:val="21"/>
                      <w:szCs w:val="21"/>
                    </w:rPr>
                    <w:t>3#</w:t>
                  </w:r>
                </w:p>
              </w:tc>
              <w:tc>
                <w:tcPr>
                  <w:tcW w:w="828" w:type="pct"/>
                  <w:vAlign w:val="center"/>
                </w:tcPr>
                <w:p>
                  <w:pPr>
                    <w:pStyle w:val="94"/>
                    <w:spacing w:line="360" w:lineRule="exact"/>
                    <w:jc w:val="center"/>
                    <w:rPr>
                      <w:color w:val="000000"/>
                      <w:spacing w:val="-8"/>
                    </w:rPr>
                  </w:pPr>
                  <w:r>
                    <w:rPr>
                      <w:color w:val="000000"/>
                      <w:spacing w:val="-8"/>
                    </w:rPr>
                    <w:t>厂界南</w:t>
                  </w:r>
                </w:p>
              </w:tc>
              <w:tc>
                <w:tcPr>
                  <w:tcW w:w="1276" w:type="pct"/>
                  <w:vAlign w:val="center"/>
                </w:tcPr>
                <w:p>
                  <w:pPr>
                    <w:spacing w:line="360" w:lineRule="exact"/>
                    <w:jc w:val="center"/>
                    <w:rPr>
                      <w:color w:val="000000"/>
                      <w:sz w:val="21"/>
                      <w:szCs w:val="21"/>
                    </w:rPr>
                  </w:pPr>
                  <w:r>
                    <w:rPr>
                      <w:color w:val="000000"/>
                      <w:sz w:val="21"/>
                      <w:szCs w:val="21"/>
                    </w:rPr>
                    <w:t>34.4</w:t>
                  </w:r>
                </w:p>
              </w:tc>
              <w:tc>
                <w:tcPr>
                  <w:tcW w:w="1402" w:type="pct"/>
                  <w:vAlign w:val="center"/>
                </w:tcPr>
                <w:p>
                  <w:pPr>
                    <w:spacing w:line="360" w:lineRule="exact"/>
                    <w:jc w:val="center"/>
                    <w:rPr>
                      <w:bCs/>
                      <w:color w:val="000000"/>
                      <w:sz w:val="21"/>
                      <w:szCs w:val="21"/>
                    </w:rPr>
                  </w:pPr>
                  <w:r>
                    <w:rPr>
                      <w:rFonts w:hint="eastAsia"/>
                      <w:bCs/>
                      <w:color w:val="000000"/>
                      <w:sz w:val="21"/>
                      <w:szCs w:val="21"/>
                    </w:rPr>
                    <w:t>60</w:t>
                  </w:r>
                </w:p>
              </w:tc>
              <w:tc>
                <w:tcPr>
                  <w:tcW w:w="932" w:type="pct"/>
                  <w:vMerge w:val="continue"/>
                  <w:vAlign w:val="center"/>
                </w:tcPr>
                <w:p>
                  <w:pPr>
                    <w:spacing w:line="360" w:lineRule="exact"/>
                    <w:ind w:left="-120" w:leftChars="-50" w:right="-120" w:rightChars="-50"/>
                    <w:jc w:val="center"/>
                    <w:rPr>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12" w:hRule="atLeast"/>
                <w:jc w:val="center"/>
              </w:trPr>
              <w:tc>
                <w:tcPr>
                  <w:tcW w:w="562" w:type="pct"/>
                  <w:vAlign w:val="center"/>
                </w:tcPr>
                <w:p>
                  <w:pPr>
                    <w:spacing w:line="360" w:lineRule="exact"/>
                    <w:jc w:val="center"/>
                    <w:rPr>
                      <w:bCs/>
                      <w:color w:val="000000"/>
                      <w:sz w:val="21"/>
                      <w:szCs w:val="21"/>
                    </w:rPr>
                  </w:pPr>
                  <w:r>
                    <w:rPr>
                      <w:bCs/>
                      <w:color w:val="000000"/>
                      <w:sz w:val="21"/>
                      <w:szCs w:val="21"/>
                    </w:rPr>
                    <w:t>4#</w:t>
                  </w:r>
                </w:p>
              </w:tc>
              <w:tc>
                <w:tcPr>
                  <w:tcW w:w="828" w:type="pct"/>
                  <w:vAlign w:val="center"/>
                </w:tcPr>
                <w:p>
                  <w:pPr>
                    <w:pStyle w:val="94"/>
                    <w:spacing w:line="360" w:lineRule="exact"/>
                    <w:jc w:val="center"/>
                    <w:rPr>
                      <w:color w:val="000000"/>
                      <w:spacing w:val="-8"/>
                    </w:rPr>
                  </w:pPr>
                  <w:r>
                    <w:rPr>
                      <w:color w:val="000000"/>
                      <w:spacing w:val="-8"/>
                    </w:rPr>
                    <w:t>厂界西</w:t>
                  </w:r>
                </w:p>
              </w:tc>
              <w:tc>
                <w:tcPr>
                  <w:tcW w:w="1276" w:type="pct"/>
                  <w:vAlign w:val="center"/>
                </w:tcPr>
                <w:p>
                  <w:pPr>
                    <w:spacing w:line="360" w:lineRule="exact"/>
                    <w:jc w:val="center"/>
                    <w:rPr>
                      <w:color w:val="000000"/>
                      <w:sz w:val="21"/>
                      <w:szCs w:val="21"/>
                    </w:rPr>
                  </w:pPr>
                  <w:r>
                    <w:rPr>
                      <w:color w:val="000000"/>
                      <w:sz w:val="21"/>
                      <w:szCs w:val="21"/>
                    </w:rPr>
                    <w:t>33.2</w:t>
                  </w:r>
                </w:p>
              </w:tc>
              <w:tc>
                <w:tcPr>
                  <w:tcW w:w="1402" w:type="pct"/>
                  <w:vAlign w:val="center"/>
                </w:tcPr>
                <w:p>
                  <w:pPr>
                    <w:spacing w:line="360" w:lineRule="exact"/>
                    <w:jc w:val="center"/>
                    <w:rPr>
                      <w:bCs/>
                      <w:color w:val="000000"/>
                      <w:sz w:val="21"/>
                      <w:szCs w:val="21"/>
                    </w:rPr>
                  </w:pPr>
                  <w:r>
                    <w:rPr>
                      <w:rFonts w:hint="eastAsia"/>
                      <w:bCs/>
                      <w:color w:val="000000"/>
                      <w:sz w:val="21"/>
                      <w:szCs w:val="21"/>
                    </w:rPr>
                    <w:t>60</w:t>
                  </w:r>
                </w:p>
              </w:tc>
              <w:tc>
                <w:tcPr>
                  <w:tcW w:w="932" w:type="pct"/>
                  <w:vMerge w:val="continue"/>
                  <w:vAlign w:val="center"/>
                </w:tcPr>
                <w:p>
                  <w:pPr>
                    <w:spacing w:line="360" w:lineRule="exact"/>
                    <w:ind w:left="-120" w:leftChars="-50" w:right="-120" w:rightChars="-50"/>
                    <w:jc w:val="center"/>
                    <w:rPr>
                      <w:bCs/>
                      <w:color w:val="000000"/>
                      <w:szCs w:val="21"/>
                    </w:rPr>
                  </w:pPr>
                </w:p>
              </w:tc>
            </w:tr>
          </w:tbl>
          <w:p>
            <w:pPr>
              <w:adjustRightInd w:val="0"/>
              <w:snapToGrid w:val="0"/>
              <w:spacing w:line="360" w:lineRule="auto"/>
              <w:ind w:firstLine="496" w:firstLineChars="200"/>
              <w:rPr>
                <w:bCs/>
                <w:color w:val="000000"/>
                <w:spacing w:val="4"/>
                <w:szCs w:val="21"/>
              </w:rPr>
            </w:pPr>
            <w:r>
              <w:rPr>
                <w:bCs/>
                <w:color w:val="000000"/>
                <w:spacing w:val="4"/>
                <w:szCs w:val="21"/>
              </w:rPr>
              <w:t>由表可看出，厂界四周1#－4#点昼间噪声贡献值在33.2dB(A)～35.7dB(A )之间，均未超过《工业企业厂界环境噪声排放标准》（GB12348-2008）中</w:t>
            </w:r>
            <w:r>
              <w:rPr>
                <w:rFonts w:hint="eastAsia"/>
                <w:bCs/>
                <w:color w:val="000000"/>
                <w:spacing w:val="4"/>
                <w:szCs w:val="21"/>
              </w:rPr>
              <w:t>1</w:t>
            </w:r>
            <w:r>
              <w:rPr>
                <w:bCs/>
                <w:color w:val="000000"/>
                <w:spacing w:val="4"/>
                <w:szCs w:val="21"/>
              </w:rPr>
              <w:t>类标准限值要求。因此本项目对厂界四周声环境质量影响</w:t>
            </w:r>
            <w:r>
              <w:rPr>
                <w:rFonts w:hint="eastAsia"/>
                <w:bCs/>
                <w:color w:val="000000"/>
                <w:spacing w:val="4"/>
                <w:szCs w:val="21"/>
              </w:rPr>
              <w:t>可接受</w:t>
            </w:r>
            <w:r>
              <w:rPr>
                <w:bCs/>
                <w:color w:val="000000"/>
                <w:spacing w:val="4"/>
                <w:szCs w:val="21"/>
              </w:rPr>
              <w:t>。</w:t>
            </w:r>
          </w:p>
          <w:p>
            <w:pPr>
              <w:adjustRightInd w:val="0"/>
              <w:snapToGrid w:val="0"/>
              <w:spacing w:line="360" w:lineRule="auto"/>
              <w:ind w:firstLine="496" w:firstLineChars="200"/>
              <w:rPr>
                <w:bCs/>
                <w:color w:val="000000"/>
                <w:spacing w:val="4"/>
                <w:szCs w:val="21"/>
              </w:rPr>
            </w:pPr>
            <w:r>
              <w:rPr>
                <w:bCs/>
                <w:color w:val="000000"/>
                <w:spacing w:val="4"/>
                <w:szCs w:val="21"/>
              </w:rPr>
              <w:t>本项目声环境跟踪监测计划见下表。</w:t>
            </w:r>
          </w:p>
          <w:p>
            <w:pPr>
              <w:spacing w:line="420" w:lineRule="exact"/>
              <w:jc w:val="center"/>
              <w:rPr>
                <w:b/>
                <w:color w:val="000000"/>
              </w:rPr>
            </w:pPr>
            <w:r>
              <w:rPr>
                <w:b/>
                <w:color w:val="000000"/>
              </w:rPr>
              <w:t>表4-</w:t>
            </w:r>
            <w:r>
              <w:rPr>
                <w:rFonts w:hint="eastAsia"/>
                <w:b/>
                <w:color w:val="000000"/>
              </w:rPr>
              <w:t>11</w:t>
            </w:r>
            <w:r>
              <w:rPr>
                <w:b/>
                <w:color w:val="000000"/>
              </w:rPr>
              <w:t xml:space="preserve">  声环境跟踪监测计划</w:t>
            </w:r>
          </w:p>
          <w:tbl>
            <w:tblPr>
              <w:tblStyle w:val="31"/>
              <w:tblW w:w="80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8"/>
              <w:gridCol w:w="921"/>
              <w:gridCol w:w="1675"/>
              <w:gridCol w:w="1666"/>
              <w:gridCol w:w="991"/>
              <w:gridCol w:w="1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1328" w:type="dxa"/>
                  <w:vAlign w:val="center"/>
                </w:tcPr>
                <w:p>
                  <w:pPr>
                    <w:pStyle w:val="62"/>
                    <w:adjustRightInd w:val="0"/>
                    <w:spacing w:line="320" w:lineRule="exact"/>
                    <w:rPr>
                      <w:color w:val="000000"/>
                      <w:sz w:val="21"/>
                    </w:rPr>
                  </w:pPr>
                  <w:r>
                    <w:rPr>
                      <w:color w:val="000000"/>
                      <w:sz w:val="21"/>
                    </w:rPr>
                    <w:t>点位布设</w:t>
                  </w:r>
                </w:p>
              </w:tc>
              <w:tc>
                <w:tcPr>
                  <w:tcW w:w="921" w:type="dxa"/>
                  <w:vAlign w:val="center"/>
                </w:tcPr>
                <w:p>
                  <w:pPr>
                    <w:pStyle w:val="62"/>
                    <w:adjustRightInd w:val="0"/>
                    <w:spacing w:line="320" w:lineRule="exact"/>
                    <w:rPr>
                      <w:color w:val="000000"/>
                      <w:sz w:val="21"/>
                    </w:rPr>
                  </w:pPr>
                  <w:r>
                    <w:rPr>
                      <w:color w:val="000000"/>
                      <w:sz w:val="21"/>
                    </w:rPr>
                    <w:t>监测项目</w:t>
                  </w:r>
                </w:p>
              </w:tc>
              <w:tc>
                <w:tcPr>
                  <w:tcW w:w="1675" w:type="dxa"/>
                  <w:vAlign w:val="center"/>
                </w:tcPr>
                <w:p>
                  <w:pPr>
                    <w:pStyle w:val="62"/>
                    <w:adjustRightInd w:val="0"/>
                    <w:spacing w:line="320" w:lineRule="exact"/>
                    <w:rPr>
                      <w:color w:val="000000"/>
                      <w:sz w:val="21"/>
                    </w:rPr>
                  </w:pPr>
                  <w:r>
                    <w:rPr>
                      <w:color w:val="000000"/>
                      <w:sz w:val="21"/>
                    </w:rPr>
                    <w:t>监测频次</w:t>
                  </w:r>
                </w:p>
              </w:tc>
              <w:tc>
                <w:tcPr>
                  <w:tcW w:w="1666" w:type="dxa"/>
                  <w:vAlign w:val="center"/>
                </w:tcPr>
                <w:p>
                  <w:pPr>
                    <w:pStyle w:val="62"/>
                    <w:adjustRightInd w:val="0"/>
                    <w:spacing w:line="320" w:lineRule="exact"/>
                    <w:rPr>
                      <w:color w:val="000000"/>
                      <w:sz w:val="21"/>
                    </w:rPr>
                  </w:pPr>
                  <w:r>
                    <w:rPr>
                      <w:color w:val="000000"/>
                      <w:sz w:val="21"/>
                    </w:rPr>
                    <w:t>监测方法及依据</w:t>
                  </w:r>
                </w:p>
              </w:tc>
              <w:tc>
                <w:tcPr>
                  <w:tcW w:w="991" w:type="dxa"/>
                  <w:vAlign w:val="center"/>
                </w:tcPr>
                <w:p>
                  <w:pPr>
                    <w:pStyle w:val="62"/>
                    <w:adjustRightInd w:val="0"/>
                    <w:spacing w:line="320" w:lineRule="exact"/>
                    <w:rPr>
                      <w:color w:val="000000"/>
                      <w:sz w:val="21"/>
                    </w:rPr>
                  </w:pPr>
                  <w:r>
                    <w:rPr>
                      <w:color w:val="000000"/>
                      <w:sz w:val="21"/>
                    </w:rPr>
                    <w:t>检出限</w:t>
                  </w:r>
                </w:p>
              </w:tc>
              <w:tc>
                <w:tcPr>
                  <w:tcW w:w="1456" w:type="dxa"/>
                  <w:vAlign w:val="center"/>
                </w:tcPr>
                <w:p>
                  <w:pPr>
                    <w:pStyle w:val="62"/>
                    <w:adjustRightInd w:val="0"/>
                    <w:spacing w:line="320" w:lineRule="exact"/>
                    <w:rPr>
                      <w:color w:val="000000"/>
                      <w:sz w:val="21"/>
                    </w:rPr>
                  </w:pPr>
                  <w:r>
                    <w:rPr>
                      <w:color w:val="000000"/>
                      <w:sz w:val="21"/>
                    </w:rPr>
                    <w:t>仪器设备</w:t>
                  </w:r>
                </w:p>
                <w:p>
                  <w:pPr>
                    <w:pStyle w:val="62"/>
                    <w:adjustRightInd w:val="0"/>
                    <w:spacing w:line="320" w:lineRule="exact"/>
                    <w:rPr>
                      <w:color w:val="000000"/>
                      <w:sz w:val="21"/>
                    </w:rPr>
                  </w:pPr>
                  <w:r>
                    <w:rPr>
                      <w:color w:val="000000"/>
                      <w:sz w:val="21"/>
                    </w:rPr>
                    <w:t>名称和型号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2" w:hRule="atLeast"/>
                <w:jc w:val="center"/>
              </w:trPr>
              <w:tc>
                <w:tcPr>
                  <w:tcW w:w="1328" w:type="dxa"/>
                  <w:vAlign w:val="center"/>
                </w:tcPr>
                <w:p>
                  <w:pPr>
                    <w:pStyle w:val="62"/>
                    <w:adjustRightInd w:val="0"/>
                    <w:spacing w:line="320" w:lineRule="exact"/>
                    <w:rPr>
                      <w:color w:val="000000"/>
                      <w:sz w:val="21"/>
                    </w:rPr>
                  </w:pPr>
                  <w:r>
                    <w:rPr>
                      <w:color w:val="000000"/>
                      <w:sz w:val="21"/>
                    </w:rPr>
                    <w:t>厂界东南西北各布设1个监测点</w:t>
                  </w:r>
                </w:p>
              </w:tc>
              <w:tc>
                <w:tcPr>
                  <w:tcW w:w="921" w:type="dxa"/>
                  <w:vAlign w:val="center"/>
                </w:tcPr>
                <w:p>
                  <w:pPr>
                    <w:pStyle w:val="62"/>
                    <w:adjustRightInd w:val="0"/>
                    <w:spacing w:line="320" w:lineRule="exact"/>
                    <w:rPr>
                      <w:color w:val="000000"/>
                      <w:sz w:val="21"/>
                    </w:rPr>
                  </w:pPr>
                  <w:r>
                    <w:rPr>
                      <w:color w:val="000000"/>
                      <w:sz w:val="21"/>
                    </w:rPr>
                    <w:t>Leq、L</w:t>
                  </w:r>
                  <w:r>
                    <w:rPr>
                      <w:color w:val="000000"/>
                      <w:sz w:val="21"/>
                      <w:vertAlign w:val="subscript"/>
                    </w:rPr>
                    <w:t>10</w:t>
                  </w:r>
                  <w:r>
                    <w:rPr>
                      <w:color w:val="000000"/>
                      <w:sz w:val="21"/>
                    </w:rPr>
                    <w:t>、L</w:t>
                  </w:r>
                  <w:r>
                    <w:rPr>
                      <w:color w:val="000000"/>
                      <w:sz w:val="21"/>
                      <w:vertAlign w:val="subscript"/>
                    </w:rPr>
                    <w:t>50</w:t>
                  </w:r>
                  <w:r>
                    <w:rPr>
                      <w:color w:val="000000"/>
                      <w:sz w:val="21"/>
                    </w:rPr>
                    <w:t>、L</w:t>
                  </w:r>
                  <w:r>
                    <w:rPr>
                      <w:color w:val="000000"/>
                      <w:sz w:val="21"/>
                      <w:vertAlign w:val="subscript"/>
                    </w:rPr>
                    <w:t>90</w:t>
                  </w:r>
                </w:p>
              </w:tc>
              <w:tc>
                <w:tcPr>
                  <w:tcW w:w="1675" w:type="dxa"/>
                  <w:vAlign w:val="center"/>
                </w:tcPr>
                <w:p>
                  <w:pPr>
                    <w:pStyle w:val="62"/>
                    <w:adjustRightInd w:val="0"/>
                    <w:spacing w:line="320" w:lineRule="exact"/>
                    <w:rPr>
                      <w:color w:val="000000"/>
                      <w:sz w:val="21"/>
                    </w:rPr>
                  </w:pPr>
                  <w:r>
                    <w:rPr>
                      <w:color w:val="000000"/>
                      <w:sz w:val="21"/>
                    </w:rPr>
                    <w:t>1次/季度，（昼夜各一次）</w:t>
                  </w:r>
                </w:p>
              </w:tc>
              <w:tc>
                <w:tcPr>
                  <w:tcW w:w="1666" w:type="dxa"/>
                  <w:vAlign w:val="center"/>
                </w:tcPr>
                <w:p>
                  <w:pPr>
                    <w:pStyle w:val="62"/>
                    <w:adjustRightInd w:val="0"/>
                    <w:spacing w:line="320" w:lineRule="exact"/>
                    <w:rPr>
                      <w:color w:val="000000"/>
                      <w:sz w:val="21"/>
                    </w:rPr>
                  </w:pPr>
                  <w:r>
                    <w:rPr>
                      <w:color w:val="000000"/>
                      <w:sz w:val="21"/>
                    </w:rPr>
                    <w:t>《工业企业厂界环境噪声排放标准》GB12348-2008</w:t>
                  </w:r>
                </w:p>
              </w:tc>
              <w:tc>
                <w:tcPr>
                  <w:tcW w:w="991" w:type="dxa"/>
                  <w:vAlign w:val="center"/>
                </w:tcPr>
                <w:p>
                  <w:pPr>
                    <w:pStyle w:val="62"/>
                    <w:adjustRightInd w:val="0"/>
                    <w:spacing w:line="320" w:lineRule="exact"/>
                    <w:rPr>
                      <w:color w:val="000000"/>
                      <w:sz w:val="21"/>
                    </w:rPr>
                  </w:pPr>
                  <w:r>
                    <w:rPr>
                      <w:color w:val="000000"/>
                      <w:sz w:val="21"/>
                    </w:rPr>
                    <w:t>35dB(A)</w:t>
                  </w:r>
                </w:p>
              </w:tc>
              <w:tc>
                <w:tcPr>
                  <w:tcW w:w="1456" w:type="dxa"/>
                  <w:vAlign w:val="center"/>
                </w:tcPr>
                <w:p>
                  <w:pPr>
                    <w:pStyle w:val="62"/>
                    <w:adjustRightInd w:val="0"/>
                    <w:spacing w:line="320" w:lineRule="exact"/>
                    <w:rPr>
                      <w:color w:val="000000"/>
                      <w:sz w:val="21"/>
                    </w:rPr>
                  </w:pPr>
                  <w:r>
                    <w:rPr>
                      <w:color w:val="000000"/>
                      <w:sz w:val="21"/>
                    </w:rPr>
                    <w:t>HS6288型多功能噪声分析仪</w:t>
                  </w:r>
                </w:p>
              </w:tc>
            </w:tr>
          </w:tbl>
          <w:p>
            <w:pPr>
              <w:adjustRightInd w:val="0"/>
              <w:snapToGrid w:val="0"/>
              <w:spacing w:line="480" w:lineRule="exact"/>
              <w:rPr>
                <w:b/>
                <w:color w:val="000000"/>
              </w:rPr>
            </w:pPr>
            <w:r>
              <w:rPr>
                <w:b/>
                <w:color w:val="000000"/>
              </w:rPr>
              <w:t>4、固废环境影响</w:t>
            </w:r>
          </w:p>
          <w:p>
            <w:pPr>
              <w:spacing w:line="480" w:lineRule="exact"/>
              <w:ind w:firstLine="480" w:firstLineChars="200"/>
              <w:rPr>
                <w:bCs/>
                <w:color w:val="000000"/>
              </w:rPr>
            </w:pPr>
            <w:r>
              <w:rPr>
                <w:bCs/>
                <w:color w:val="000000"/>
              </w:rPr>
              <w:t>本项目产生的固体废物主要为</w:t>
            </w:r>
            <w:r>
              <w:rPr>
                <w:rFonts w:hint="eastAsia"/>
                <w:bCs/>
                <w:color w:val="000000"/>
              </w:rPr>
              <w:t>工人产生的生活垃圾、废边角料、铁屑、集尘灰、废机油、废乳化液、废水性漆桶、废活性炭、废棉纱、焊渣、漆渣等</w:t>
            </w:r>
            <w:r>
              <w:rPr>
                <w:bCs/>
                <w:color w:val="000000"/>
              </w:rPr>
              <w:t>。</w:t>
            </w:r>
          </w:p>
          <w:p>
            <w:pPr>
              <w:pStyle w:val="17"/>
              <w:tabs>
                <w:tab w:val="center" w:pos="3973"/>
              </w:tabs>
              <w:spacing w:line="480" w:lineRule="exact"/>
              <w:ind w:firstLine="480" w:firstLineChars="200"/>
              <w:rPr>
                <w:rFonts w:ascii="Times New Roman" w:hAnsi="Times New Roman" w:cs="Times New Roman"/>
                <w:color w:val="000000"/>
                <w:kern w:val="10"/>
                <w:szCs w:val="24"/>
              </w:rPr>
            </w:pPr>
            <w:r>
              <w:rPr>
                <w:rFonts w:ascii="Times New Roman" w:hAnsi="Times New Roman" w:cs="Times New Roman"/>
                <w:color w:val="000000"/>
                <w:kern w:val="10"/>
                <w:szCs w:val="24"/>
              </w:rPr>
              <w:t>（1）办公区产生的生活垃圾</w:t>
            </w:r>
          </w:p>
          <w:p>
            <w:pPr>
              <w:spacing w:line="480" w:lineRule="exact"/>
              <w:ind w:firstLine="480" w:firstLineChars="200"/>
              <w:rPr>
                <w:color w:val="000000"/>
                <w:kern w:val="10"/>
              </w:rPr>
            </w:pPr>
            <w:r>
              <w:rPr>
                <w:color w:val="000000"/>
                <w:kern w:val="10"/>
              </w:rPr>
              <w:t>生活垃圾年产生量按G=K·N计算，</w:t>
            </w:r>
          </w:p>
          <w:p>
            <w:pPr>
              <w:spacing w:line="480" w:lineRule="exact"/>
              <w:ind w:firstLine="480" w:firstLineChars="200"/>
              <w:rPr>
                <w:color w:val="000000"/>
                <w:kern w:val="10"/>
              </w:rPr>
            </w:pPr>
            <w:r>
              <w:rPr>
                <w:color w:val="000000"/>
                <w:kern w:val="10"/>
              </w:rPr>
              <w:t>式中：G-生活垃圾产量</w:t>
            </w:r>
            <w:r>
              <w:rPr>
                <w:rFonts w:hint="eastAsia"/>
                <w:color w:val="000000"/>
                <w:kern w:val="10"/>
              </w:rPr>
              <w:t>（</w:t>
            </w:r>
            <w:r>
              <w:rPr>
                <w:color w:val="000000"/>
                <w:kern w:val="10"/>
              </w:rPr>
              <w:t>kg/d</w:t>
            </w:r>
            <w:r>
              <w:rPr>
                <w:rFonts w:hint="eastAsia"/>
                <w:color w:val="000000"/>
                <w:kern w:val="10"/>
              </w:rPr>
              <w:t>）</w:t>
            </w:r>
            <w:r>
              <w:rPr>
                <w:color w:val="000000"/>
                <w:kern w:val="10"/>
              </w:rPr>
              <w:t>；</w:t>
            </w:r>
          </w:p>
          <w:p>
            <w:pPr>
              <w:spacing w:line="480" w:lineRule="exact"/>
              <w:ind w:firstLine="480" w:firstLineChars="200"/>
              <w:rPr>
                <w:color w:val="000000"/>
                <w:kern w:val="10"/>
              </w:rPr>
            </w:pPr>
            <w:r>
              <w:rPr>
                <w:color w:val="000000"/>
                <w:kern w:val="10"/>
              </w:rPr>
              <w:t>K-人均排放系数</w:t>
            </w:r>
            <w:r>
              <w:rPr>
                <w:rFonts w:hint="eastAsia"/>
                <w:color w:val="000000"/>
                <w:kern w:val="10"/>
              </w:rPr>
              <w:t>（</w:t>
            </w:r>
            <w:r>
              <w:rPr>
                <w:color w:val="000000"/>
                <w:kern w:val="10"/>
              </w:rPr>
              <w:t>kg/人·天</w:t>
            </w:r>
            <w:r>
              <w:rPr>
                <w:rFonts w:hint="eastAsia"/>
                <w:color w:val="000000"/>
                <w:kern w:val="10"/>
              </w:rPr>
              <w:t>）</w:t>
            </w:r>
            <w:r>
              <w:rPr>
                <w:color w:val="000000"/>
                <w:kern w:val="10"/>
              </w:rPr>
              <w:t>；</w:t>
            </w:r>
          </w:p>
          <w:p>
            <w:pPr>
              <w:spacing w:line="480" w:lineRule="exact"/>
              <w:ind w:firstLine="480" w:firstLineChars="200"/>
              <w:rPr>
                <w:color w:val="000000"/>
                <w:kern w:val="10"/>
              </w:rPr>
            </w:pPr>
            <w:r>
              <w:rPr>
                <w:color w:val="000000"/>
                <w:kern w:val="10"/>
              </w:rPr>
              <w:t>N-人口数</w:t>
            </w:r>
            <w:r>
              <w:rPr>
                <w:rFonts w:hint="eastAsia"/>
                <w:color w:val="000000"/>
                <w:kern w:val="10"/>
              </w:rPr>
              <w:t>（</w:t>
            </w:r>
            <w:r>
              <w:rPr>
                <w:color w:val="000000"/>
                <w:kern w:val="10"/>
              </w:rPr>
              <w:t>人</w:t>
            </w:r>
            <w:r>
              <w:rPr>
                <w:rFonts w:hint="eastAsia"/>
                <w:color w:val="000000"/>
                <w:kern w:val="10"/>
              </w:rPr>
              <w:t>）</w:t>
            </w:r>
            <w:r>
              <w:rPr>
                <w:color w:val="000000"/>
                <w:kern w:val="10"/>
              </w:rPr>
              <w:t>。</w:t>
            </w:r>
          </w:p>
          <w:p>
            <w:pPr>
              <w:spacing w:line="480" w:lineRule="exact"/>
              <w:ind w:firstLine="480" w:firstLineChars="200"/>
              <w:rPr>
                <w:color w:val="000000"/>
                <w:kern w:val="10"/>
              </w:rPr>
            </w:pPr>
            <w:r>
              <w:rPr>
                <w:color w:val="000000"/>
                <w:kern w:val="10"/>
              </w:rPr>
              <w:t>根据类比，生活垃圾取K=0.5kg/人·天，本项目工作人员为</w:t>
            </w:r>
            <w:r>
              <w:rPr>
                <w:rFonts w:hint="eastAsia"/>
                <w:color w:val="000000"/>
                <w:kern w:val="10"/>
              </w:rPr>
              <w:t>35</w:t>
            </w:r>
            <w:r>
              <w:rPr>
                <w:color w:val="000000"/>
                <w:kern w:val="10"/>
              </w:rPr>
              <w:t>人，则本项目产生的生活垃圾量0.</w:t>
            </w:r>
            <w:r>
              <w:rPr>
                <w:rFonts w:hint="eastAsia"/>
                <w:color w:val="000000"/>
                <w:kern w:val="10"/>
              </w:rPr>
              <w:t>017</w:t>
            </w:r>
            <w:r>
              <w:rPr>
                <w:color w:val="000000"/>
                <w:kern w:val="10"/>
              </w:rPr>
              <w:t>t/d（</w:t>
            </w:r>
            <w:r>
              <w:rPr>
                <w:rFonts w:hint="eastAsia"/>
                <w:color w:val="000000"/>
                <w:kern w:val="10"/>
              </w:rPr>
              <w:t>5.6</w:t>
            </w:r>
            <w:r>
              <w:rPr>
                <w:color w:val="000000"/>
                <w:kern w:val="10"/>
              </w:rPr>
              <w:t>t/a）。厂区设置生活垃圾收集桶，生活垃圾定点收集，定期送环卫部门统一处理。</w:t>
            </w:r>
          </w:p>
          <w:p>
            <w:pPr>
              <w:pStyle w:val="17"/>
              <w:spacing w:line="480" w:lineRule="exact"/>
              <w:ind w:firstLine="480" w:firstLineChars="200"/>
              <w:rPr>
                <w:rFonts w:ascii="Times New Roman" w:hAnsi="Times New Roman" w:cs="Times New Roman"/>
                <w:color w:val="000000"/>
                <w:kern w:val="10"/>
                <w:szCs w:val="24"/>
              </w:rPr>
            </w:pPr>
            <w:r>
              <w:rPr>
                <w:rFonts w:ascii="Times New Roman" w:hAnsi="Times New Roman" w:cs="Times New Roman"/>
                <w:color w:val="000000"/>
                <w:kern w:val="10"/>
                <w:szCs w:val="24"/>
              </w:rPr>
              <w:t>（2）废边角料</w:t>
            </w:r>
            <w:r>
              <w:rPr>
                <w:rFonts w:hint="eastAsia" w:ascii="Times New Roman" w:hAnsi="Times New Roman" w:cs="Times New Roman"/>
                <w:color w:val="000000"/>
                <w:kern w:val="10"/>
                <w:szCs w:val="24"/>
              </w:rPr>
              <w:t>、焊渣</w:t>
            </w:r>
            <w:r>
              <w:rPr>
                <w:rFonts w:ascii="Times New Roman" w:hAnsi="Times New Roman" w:cs="Times New Roman"/>
                <w:color w:val="000000"/>
                <w:kern w:val="10"/>
                <w:szCs w:val="24"/>
              </w:rPr>
              <w:t>及铁屑</w:t>
            </w:r>
          </w:p>
          <w:p>
            <w:pPr>
              <w:pStyle w:val="17"/>
              <w:spacing w:line="480" w:lineRule="exact"/>
              <w:ind w:firstLine="480" w:firstLineChars="200"/>
              <w:rPr>
                <w:rFonts w:ascii="Times New Roman" w:hAnsi="Times New Roman" w:cs="Times New Roman"/>
                <w:kern w:val="10"/>
                <w:szCs w:val="24"/>
              </w:rPr>
            </w:pPr>
            <w:r>
              <w:rPr>
                <w:rFonts w:ascii="Times New Roman" w:hAnsi="Times New Roman" w:cs="Times New Roman"/>
                <w:color w:val="000000"/>
                <w:kern w:val="10"/>
                <w:szCs w:val="24"/>
              </w:rPr>
              <w:t>本项目加工过程中产生的边角料</w:t>
            </w:r>
            <w:r>
              <w:rPr>
                <w:rFonts w:hint="eastAsia" w:ascii="Times New Roman" w:hAnsi="Times New Roman" w:cs="Times New Roman"/>
                <w:color w:val="000000"/>
                <w:kern w:val="10"/>
                <w:szCs w:val="24"/>
              </w:rPr>
              <w:t>、焊渣</w:t>
            </w:r>
            <w:r>
              <w:rPr>
                <w:rFonts w:ascii="Times New Roman" w:hAnsi="Times New Roman" w:cs="Times New Roman"/>
                <w:color w:val="000000"/>
                <w:kern w:val="10"/>
                <w:szCs w:val="24"/>
              </w:rPr>
              <w:t>及铁屑，废边角料按原料的1%计，废铁屑按原料的0.2%计，</w:t>
            </w:r>
            <w:r>
              <w:rPr>
                <w:rFonts w:hint="eastAsia" w:ascii="Times New Roman" w:hAnsi="Times New Roman" w:cs="Times New Roman"/>
                <w:color w:val="000000"/>
                <w:kern w:val="10"/>
                <w:szCs w:val="24"/>
              </w:rPr>
              <w:t>焊渣按原料的0.5%计，</w:t>
            </w:r>
            <w:r>
              <w:rPr>
                <w:rFonts w:ascii="Times New Roman" w:hAnsi="Times New Roman" w:cs="Times New Roman"/>
                <w:color w:val="000000"/>
                <w:kern w:val="10"/>
                <w:szCs w:val="24"/>
              </w:rPr>
              <w:t>本项目废边角料</w:t>
            </w:r>
            <w:r>
              <w:rPr>
                <w:rFonts w:hint="eastAsia" w:ascii="Times New Roman" w:hAnsi="Times New Roman" w:cs="Times New Roman"/>
                <w:color w:val="000000"/>
                <w:kern w:val="10"/>
                <w:szCs w:val="24"/>
              </w:rPr>
              <w:t>、焊渣</w:t>
            </w:r>
            <w:r>
              <w:rPr>
                <w:rFonts w:ascii="Times New Roman" w:hAnsi="Times New Roman" w:cs="Times New Roman"/>
                <w:color w:val="000000"/>
                <w:kern w:val="10"/>
                <w:szCs w:val="24"/>
              </w:rPr>
              <w:t>及铁屑的产生量</w:t>
            </w:r>
            <w:r>
              <w:rPr>
                <w:rFonts w:ascii="Times New Roman" w:hAnsi="Times New Roman" w:cs="Times New Roman"/>
                <w:kern w:val="10"/>
                <w:szCs w:val="24"/>
              </w:rPr>
              <w:t>为</w:t>
            </w:r>
            <w:r>
              <w:rPr>
                <w:rFonts w:hint="eastAsia" w:ascii="Times New Roman" w:hAnsi="Times New Roman" w:cs="Times New Roman"/>
                <w:kern w:val="10"/>
                <w:szCs w:val="24"/>
              </w:rPr>
              <w:t>23</w:t>
            </w:r>
            <w:r>
              <w:rPr>
                <w:rFonts w:ascii="Times New Roman" w:hAnsi="Times New Roman" w:cs="Times New Roman"/>
                <w:kern w:val="10"/>
                <w:szCs w:val="24"/>
              </w:rPr>
              <w:t>t/a。车间内每天定时清理，然后将其收集于成品库房北侧角落，定期出售给废品收购站。</w:t>
            </w:r>
          </w:p>
          <w:p>
            <w:pPr>
              <w:spacing w:line="480" w:lineRule="exact"/>
              <w:ind w:firstLine="480" w:firstLineChars="200"/>
            </w:pPr>
            <w:r>
              <w:t>（3）集尘灰</w:t>
            </w:r>
          </w:p>
          <w:p>
            <w:pPr>
              <w:spacing w:line="480" w:lineRule="exact"/>
              <w:ind w:firstLine="480" w:firstLineChars="200"/>
            </w:pPr>
            <w:r>
              <w:t>本项目</w:t>
            </w:r>
            <w:r>
              <w:rPr>
                <w:kern w:val="10"/>
              </w:rPr>
              <w:t>切割粉尘、</w:t>
            </w:r>
            <w:r>
              <w:rPr>
                <w:rFonts w:hint="eastAsia"/>
                <w:bCs/>
                <w:kern w:val="10"/>
              </w:rPr>
              <w:t>喷砂</w:t>
            </w:r>
            <w:r>
              <w:rPr>
                <w:bCs/>
                <w:kern w:val="10"/>
              </w:rPr>
              <w:t>粉尘、</w:t>
            </w:r>
            <w:r>
              <w:rPr>
                <w:kern w:val="10"/>
              </w:rPr>
              <w:t>焊接烟尘配套除尘装置，</w:t>
            </w:r>
            <w:r>
              <w:rPr>
                <w:rFonts w:hint="eastAsia"/>
                <w:kern w:val="10"/>
              </w:rPr>
              <w:t>喷砂粉尘可回收重复利用，切割和焊接产生的</w:t>
            </w:r>
            <w:r>
              <w:t>集尘灰主要为金属</w:t>
            </w:r>
            <w:r>
              <w:rPr>
                <w:rFonts w:hint="eastAsia"/>
              </w:rPr>
              <w:t>，集尘灰的产生量为8.922t/a</w:t>
            </w:r>
            <w:r>
              <w:t>。集中收集后装入封闭式容器中，定期外售。</w:t>
            </w:r>
          </w:p>
          <w:p>
            <w:pPr>
              <w:spacing w:line="480" w:lineRule="exact"/>
              <w:ind w:firstLine="480" w:firstLineChars="200"/>
              <w:rPr>
                <w:color w:val="000000"/>
              </w:rPr>
            </w:pPr>
            <w:r>
              <w:rPr>
                <w:color w:val="000000"/>
              </w:rPr>
              <w:t>（4）</w:t>
            </w:r>
            <w:r>
              <w:rPr>
                <w:rFonts w:hint="eastAsia"/>
                <w:color w:val="000000"/>
              </w:rPr>
              <w:t>危险废物</w:t>
            </w:r>
          </w:p>
          <w:p>
            <w:pPr>
              <w:spacing w:line="480" w:lineRule="exact"/>
              <w:ind w:firstLine="480" w:firstLineChars="200"/>
              <w:rPr>
                <w:color w:val="000000"/>
              </w:rPr>
            </w:pPr>
            <w:r>
              <w:rPr>
                <w:color w:val="000000"/>
              </w:rPr>
              <w:t>1）废机油、废乳化液等。</w:t>
            </w:r>
          </w:p>
          <w:p>
            <w:pPr>
              <w:spacing w:line="480" w:lineRule="exact"/>
              <w:ind w:firstLine="480" w:firstLineChars="200"/>
              <w:contextualSpacing/>
              <w:rPr>
                <w:color w:val="000000"/>
              </w:rPr>
            </w:pPr>
            <w:r>
              <w:rPr>
                <w:color w:val="000000"/>
              </w:rPr>
              <w:t>本项目在生产加工过程中产生废机油和废乳化液等。润滑油、机油每年的用量合计为0.42t/a，则废机油产生量为0.37t/a，属于《国家危险废物名录》中“HW08废矿物油或含矿物油废物”，危险代码900-214-08。工业齿轮油每年的用量合计为0.34t/a，则废润滑油产生量为0.23t/a，属于《国家危险废物名录》中“HW08废矿物油或含矿物油废物”，危险代码900-217-08。液压油每年的用量合计为</w:t>
            </w:r>
            <w:r>
              <w:rPr>
                <w:rFonts w:hint="eastAsia"/>
                <w:color w:val="000000"/>
              </w:rPr>
              <w:t>1.2</w:t>
            </w:r>
            <w:r>
              <w:rPr>
                <w:color w:val="000000"/>
              </w:rPr>
              <w:t>t/a，则废液压油产生量为</w:t>
            </w:r>
            <w:r>
              <w:rPr>
                <w:rFonts w:hint="eastAsia"/>
                <w:color w:val="000000"/>
              </w:rPr>
              <w:t>0.9</w:t>
            </w:r>
            <w:r>
              <w:rPr>
                <w:color w:val="000000"/>
              </w:rPr>
              <w:t>t/a，属于《国家危险废物名录》中“HW08废矿物油或含矿物油废物”，危险代码900-218-08。乳化液每年用量为</w:t>
            </w:r>
            <w:r>
              <w:rPr>
                <w:rFonts w:hint="eastAsia"/>
                <w:color w:val="000000"/>
              </w:rPr>
              <w:t>0.92</w:t>
            </w:r>
            <w:r>
              <w:rPr>
                <w:color w:val="000000"/>
              </w:rPr>
              <w:t>t/a，则废乳化液产生量为</w:t>
            </w:r>
            <w:r>
              <w:rPr>
                <w:rFonts w:hint="eastAsia"/>
                <w:color w:val="000000"/>
              </w:rPr>
              <w:t>0.64</w:t>
            </w:r>
            <w:r>
              <w:rPr>
                <w:color w:val="000000"/>
              </w:rPr>
              <w:t>t/a，属于《国家危险废物名录》中“HW09油/水、烃/水混合物或乳化液”，危险代码900-006-09。环评要求：在产生废机油、废乳化液和废液压油等废矿物油的设备下方设置托盘，保证产生跑、冒、滴、漏的少量废机油和废乳化液全部收集，然后全部收集密封保存，暂存于危废暂存间，后由有资质的单位处理，托盘需定时清理防止废矿物油泄漏；生产车间地面进行硬化。</w:t>
            </w:r>
          </w:p>
          <w:p>
            <w:pPr>
              <w:pStyle w:val="30"/>
              <w:numPr>
                <w:ilvl w:val="0"/>
                <w:numId w:val="3"/>
              </w:numPr>
              <w:spacing w:line="480" w:lineRule="exact"/>
              <w:ind w:firstLine="480"/>
              <w:rPr>
                <w:color w:val="000000"/>
              </w:rPr>
            </w:pPr>
            <w:r>
              <w:rPr>
                <w:color w:val="000000"/>
              </w:rPr>
              <w:t>废</w:t>
            </w:r>
            <w:r>
              <w:rPr>
                <w:rFonts w:hint="eastAsia"/>
                <w:color w:val="000000"/>
              </w:rPr>
              <w:t>水性漆</w:t>
            </w:r>
            <w:r>
              <w:rPr>
                <w:color w:val="000000"/>
              </w:rPr>
              <w:t>桶、废活性炭、</w:t>
            </w:r>
            <w:r>
              <w:rPr>
                <w:rFonts w:hint="eastAsia"/>
                <w:color w:val="000000"/>
              </w:rPr>
              <w:t>废过滤棉、漆渣、废催化剂</w:t>
            </w:r>
          </w:p>
          <w:p>
            <w:pPr>
              <w:pStyle w:val="30"/>
              <w:spacing w:line="480" w:lineRule="exact"/>
              <w:ind w:firstLine="480"/>
              <w:rPr>
                <w:color w:val="000000"/>
              </w:rPr>
            </w:pPr>
            <w:r>
              <w:rPr>
                <w:color w:val="000000"/>
              </w:rPr>
              <w:t>项目喷漆使用</w:t>
            </w:r>
            <w:r>
              <w:rPr>
                <w:rFonts w:hint="eastAsia"/>
                <w:color w:val="000000"/>
              </w:rPr>
              <w:t>水性</w:t>
            </w:r>
            <w:r>
              <w:rPr>
                <w:color w:val="000000"/>
              </w:rPr>
              <w:t>漆，会产生废</w:t>
            </w:r>
            <w:r>
              <w:rPr>
                <w:rFonts w:hint="eastAsia"/>
                <w:color w:val="000000"/>
              </w:rPr>
              <w:t>水性漆</w:t>
            </w:r>
            <w:r>
              <w:rPr>
                <w:color w:val="000000"/>
              </w:rPr>
              <w:t>桶，产生量为</w:t>
            </w:r>
            <w:r>
              <w:rPr>
                <w:rFonts w:hint="eastAsia"/>
                <w:color w:val="000000"/>
              </w:rPr>
              <w:t>0.5</w:t>
            </w:r>
            <w:r>
              <w:rPr>
                <w:color w:val="000000"/>
              </w:rPr>
              <w:t>t/a，属于《国家危险废物名录》中“HW49其它废物”，危险代码900-041-49。喷漆废气处理过程会产生废活性炭、</w:t>
            </w:r>
            <w:r>
              <w:rPr>
                <w:rFonts w:hint="eastAsia"/>
                <w:color w:val="000000"/>
              </w:rPr>
              <w:t>废过滤棉</w:t>
            </w:r>
            <w:r>
              <w:rPr>
                <w:color w:val="000000"/>
              </w:rPr>
              <w:t>，</w:t>
            </w:r>
            <w:r>
              <w:rPr>
                <w:rFonts w:hint="eastAsia"/>
                <w:color w:val="000000"/>
              </w:rPr>
              <w:t>废过滤棉</w:t>
            </w:r>
            <w:r>
              <w:rPr>
                <w:color w:val="000000"/>
              </w:rPr>
              <w:t>产生量为</w:t>
            </w:r>
            <w:r>
              <w:rPr>
                <w:rFonts w:hint="eastAsia"/>
                <w:color w:val="000000"/>
              </w:rPr>
              <w:t>0.5</w:t>
            </w:r>
            <w:r>
              <w:rPr>
                <w:color w:val="000000"/>
              </w:rPr>
              <w:t>t/a，属于《国家危险废物名录》中“HW49染料涂料废物”，危险代码900-250-12。</w:t>
            </w:r>
            <w:r>
              <w:rPr>
                <w:rFonts w:hint="eastAsia"/>
                <w:color w:val="000000"/>
              </w:rPr>
              <w:t>在有机废气的处理设施中，</w:t>
            </w:r>
            <w:r>
              <w:rPr>
                <w:rFonts w:hint="eastAsia"/>
              </w:rPr>
              <w:t>本项目需要的活性炭量为4.6t，则本项目</w:t>
            </w:r>
            <w:r>
              <w:t>废活性炭产生量约</w:t>
            </w:r>
            <w:r>
              <w:rPr>
                <w:rFonts w:hint="eastAsia"/>
              </w:rPr>
              <w:t>4.6</w:t>
            </w:r>
            <w:r>
              <w:t>t/a，属于《</w:t>
            </w:r>
            <w:r>
              <w:rPr>
                <w:color w:val="000000"/>
              </w:rPr>
              <w:t>国家危险废物名录》中“HW49染料涂料废物”，危险代码900-250-12。在保证更换频次，及时更换活性炭的情况下，可保证其净化效率。</w:t>
            </w:r>
            <w:r>
              <w:rPr>
                <w:rFonts w:hint="eastAsia"/>
                <w:color w:val="000000"/>
              </w:rPr>
              <w:t>项目在喷漆的过程中会产生一部分的漆渣，漆渣的产生量为0.56t/a，</w:t>
            </w:r>
            <w:r>
              <w:rPr>
                <w:color w:val="000000"/>
              </w:rPr>
              <w:t>属于《国家危险废物名录》中“HW</w:t>
            </w:r>
            <w:r>
              <w:rPr>
                <w:rFonts w:hint="eastAsia"/>
                <w:color w:val="000000"/>
              </w:rPr>
              <w:t>12</w:t>
            </w:r>
            <w:r>
              <w:rPr>
                <w:color w:val="000000"/>
              </w:rPr>
              <w:t>染料涂料废物”，危险代码900-250-12</w:t>
            </w:r>
            <w:r>
              <w:rPr>
                <w:rFonts w:hint="eastAsia"/>
                <w:color w:val="000000"/>
              </w:rPr>
              <w:t>。</w:t>
            </w:r>
            <w:r>
              <w:rPr>
                <w:color w:val="000000"/>
              </w:rPr>
              <w:t>项目</w:t>
            </w:r>
            <w:r>
              <w:rPr>
                <w:rFonts w:hint="eastAsia"/>
                <w:color w:val="000000"/>
              </w:rPr>
              <w:t>催化燃烧时使用的催化剂</w:t>
            </w:r>
            <w:r>
              <w:rPr>
                <w:color w:val="000000"/>
              </w:rPr>
              <w:t>，会产生废</w:t>
            </w:r>
            <w:r>
              <w:rPr>
                <w:rFonts w:hint="eastAsia"/>
                <w:color w:val="000000"/>
              </w:rPr>
              <w:t>催化剂</w:t>
            </w:r>
            <w:r>
              <w:rPr>
                <w:color w:val="000000"/>
              </w:rPr>
              <w:t>，产生量为</w:t>
            </w:r>
            <w:r>
              <w:rPr>
                <w:rFonts w:hint="eastAsia"/>
                <w:color w:val="000000"/>
              </w:rPr>
              <w:t>0.5</w:t>
            </w:r>
            <w:r>
              <w:rPr>
                <w:color w:val="000000"/>
              </w:rPr>
              <w:t>t/a，属于《国家危险废物名录》中“HW</w:t>
            </w:r>
            <w:r>
              <w:rPr>
                <w:rFonts w:hint="eastAsia"/>
                <w:color w:val="000000"/>
              </w:rPr>
              <w:t>50</w:t>
            </w:r>
            <w:r>
              <w:rPr>
                <w:color w:val="000000"/>
              </w:rPr>
              <w:t>其它废物”，危险代码</w:t>
            </w:r>
            <w:r>
              <w:rPr>
                <w:rFonts w:hint="eastAsia"/>
                <w:color w:val="000000"/>
              </w:rPr>
              <w:t>722-007-50</w:t>
            </w:r>
            <w:r>
              <w:rPr>
                <w:color w:val="000000"/>
              </w:rPr>
              <w:t>。</w:t>
            </w:r>
          </w:p>
          <w:p>
            <w:pPr>
              <w:pStyle w:val="17"/>
              <w:spacing w:line="480" w:lineRule="exact"/>
              <w:ind w:firstLine="480" w:firstLineChars="200"/>
              <w:rPr>
                <w:rFonts w:ascii="Times New Roman" w:hAnsi="Times New Roman" w:cs="Times New Roman"/>
                <w:color w:val="000000"/>
                <w:szCs w:val="24"/>
              </w:rPr>
            </w:pPr>
            <w:r>
              <w:rPr>
                <w:rFonts w:ascii="Times New Roman" w:hAnsi="Times New Roman" w:cs="Times New Roman"/>
                <w:color w:val="000000"/>
                <w:szCs w:val="24"/>
              </w:rPr>
              <w:t>环评要求：废</w:t>
            </w:r>
            <w:r>
              <w:rPr>
                <w:rFonts w:hint="eastAsia" w:ascii="Times New Roman" w:hAnsi="Times New Roman" w:cs="Times New Roman"/>
                <w:color w:val="000000"/>
                <w:szCs w:val="24"/>
              </w:rPr>
              <w:t>水性漆</w:t>
            </w:r>
            <w:r>
              <w:rPr>
                <w:rFonts w:ascii="Times New Roman" w:hAnsi="Times New Roman" w:cs="Times New Roman"/>
                <w:color w:val="000000"/>
                <w:szCs w:val="24"/>
              </w:rPr>
              <w:t>桶、废活性炭、</w:t>
            </w:r>
            <w:r>
              <w:rPr>
                <w:rFonts w:hint="eastAsia" w:ascii="Times New Roman" w:hAnsi="Times New Roman" w:cs="Times New Roman"/>
                <w:color w:val="000000"/>
                <w:szCs w:val="24"/>
              </w:rPr>
              <w:t>废过滤棉</w:t>
            </w:r>
            <w:r>
              <w:rPr>
                <w:rFonts w:hint="eastAsia" w:cs="Times New Roman"/>
                <w:color w:val="000000"/>
                <w:szCs w:val="24"/>
              </w:rPr>
              <w:t>、漆渣、废催化剂</w:t>
            </w:r>
            <w:r>
              <w:rPr>
                <w:rFonts w:ascii="Times New Roman" w:hAnsi="Times New Roman" w:cs="Times New Roman"/>
                <w:color w:val="000000"/>
                <w:szCs w:val="24"/>
              </w:rPr>
              <w:t>等全部收集暂存于危废暂存间，后由有资质的单位进行处理。</w:t>
            </w:r>
          </w:p>
          <w:p>
            <w:pPr>
              <w:spacing w:line="480" w:lineRule="exact"/>
              <w:ind w:firstLine="480" w:firstLineChars="200"/>
              <w:rPr>
                <w:snapToGrid w:val="0"/>
                <w:color w:val="000000"/>
              </w:rPr>
            </w:pPr>
            <w:r>
              <w:rPr>
                <w:snapToGrid w:val="0"/>
                <w:color w:val="000000"/>
              </w:rPr>
              <w:t>3）废棉纱</w:t>
            </w:r>
          </w:p>
          <w:p>
            <w:pPr>
              <w:spacing w:line="480" w:lineRule="exact"/>
              <w:ind w:firstLine="480" w:firstLineChars="200"/>
              <w:rPr>
                <w:color w:val="000000"/>
              </w:rPr>
            </w:pPr>
            <w:r>
              <w:rPr>
                <w:snapToGrid w:val="0"/>
                <w:color w:val="000000"/>
              </w:rPr>
              <w:t>设备维修擦拭油类产生废棉纱，废棉纱的产生量为0.08t/a。</w:t>
            </w:r>
            <w:r>
              <w:rPr>
                <w:color w:val="000000"/>
              </w:rPr>
              <w:t>本项目产生的废棉纱属于《国家危险废物名录》中“HW49其他废物”，危险代码900-041-49，环评要求：</w:t>
            </w:r>
            <w:r>
              <w:rPr>
                <w:snapToGrid w:val="0"/>
                <w:color w:val="000000"/>
              </w:rPr>
              <w:t>废棉纱</w:t>
            </w:r>
            <w:r>
              <w:rPr>
                <w:color w:val="000000"/>
              </w:rPr>
              <w:t>全部收集暂存于危废暂存间，后由有资质的单位进行处理。</w:t>
            </w:r>
          </w:p>
          <w:p>
            <w:pPr>
              <w:spacing w:line="480" w:lineRule="exact"/>
              <w:ind w:firstLine="480"/>
              <w:rPr>
                <w:color w:val="000000"/>
              </w:rPr>
            </w:pPr>
            <w:r>
              <w:rPr>
                <w:rFonts w:hint="eastAsia"/>
                <w:color w:val="000000"/>
              </w:rPr>
              <w:t>（5）危险废物管理措施</w:t>
            </w:r>
          </w:p>
          <w:p>
            <w:pPr>
              <w:spacing w:line="480" w:lineRule="exact"/>
              <w:ind w:firstLine="480"/>
              <w:rPr>
                <w:color w:val="000000"/>
                <w:szCs w:val="20"/>
              </w:rPr>
            </w:pPr>
            <w:r>
              <w:rPr>
                <w:color w:val="000000"/>
              </w:rPr>
              <w:t>根据2017年《建设项目危险废物环境影响评价指南》（环境保护部公告 公告2017年第43号）本项目危险废物情况汇总如下：</w:t>
            </w:r>
            <w:r>
              <w:rPr>
                <w:rFonts w:hint="eastAsia"/>
                <w:color w:val="000000"/>
                <w:szCs w:val="20"/>
              </w:rPr>
              <w:t>本次评价依据废物全过程控制的原则，按照《危险废物贮存污染控制标准》要求公司设置专用危废暂存间，并提出以下设计要求。</w:t>
            </w:r>
          </w:p>
          <w:p>
            <w:pPr>
              <w:spacing w:line="480" w:lineRule="exact"/>
              <w:ind w:firstLine="480" w:firstLineChars="200"/>
              <w:jc w:val="left"/>
              <w:rPr>
                <w:color w:val="000000"/>
                <w:szCs w:val="20"/>
              </w:rPr>
            </w:pPr>
            <w:r>
              <w:rPr>
                <w:color w:val="000000"/>
                <w:szCs w:val="20"/>
              </w:rPr>
              <w:t>1</w:t>
            </w:r>
            <w:r>
              <w:rPr>
                <w:rFonts w:hint="eastAsia"/>
                <w:color w:val="000000"/>
                <w:szCs w:val="20"/>
              </w:rPr>
              <w:t>）危险废物的储存</w:t>
            </w:r>
          </w:p>
          <w:p>
            <w:pPr>
              <w:spacing w:line="480" w:lineRule="exact"/>
              <w:ind w:firstLine="480" w:firstLineChars="200"/>
              <w:rPr>
                <w:color w:val="000000"/>
                <w:szCs w:val="20"/>
              </w:rPr>
            </w:pPr>
            <w:r>
              <w:rPr>
                <w:rFonts w:hint="eastAsia"/>
                <w:color w:val="000000"/>
                <w:szCs w:val="20"/>
              </w:rPr>
              <w:t>评价要求危废暂存间应按照《危险废物贮存污染控制标准》</w:t>
            </w:r>
            <w:r>
              <w:rPr>
                <w:color w:val="000000"/>
                <w:szCs w:val="20"/>
              </w:rPr>
              <w:t>(GB18597</w:t>
            </w:r>
            <w:r>
              <w:rPr>
                <w:rFonts w:hint="eastAsia" w:ascii="宋体" w:hAnsi="宋体" w:cs="宋体"/>
                <w:color w:val="000000"/>
                <w:szCs w:val="20"/>
              </w:rPr>
              <w:t>‐</w:t>
            </w:r>
            <w:r>
              <w:rPr>
                <w:color w:val="000000"/>
                <w:szCs w:val="20"/>
              </w:rPr>
              <w:t>2001)</w:t>
            </w:r>
            <w:r>
              <w:rPr>
                <w:rFonts w:hint="eastAsia"/>
                <w:color w:val="000000"/>
                <w:szCs w:val="20"/>
              </w:rPr>
              <w:t>及其修改单</w:t>
            </w:r>
            <w:r>
              <w:rPr>
                <w:color w:val="000000"/>
                <w:szCs w:val="20"/>
              </w:rPr>
              <w:t>(2013</w:t>
            </w:r>
            <w:r>
              <w:rPr>
                <w:rFonts w:hint="eastAsia"/>
                <w:color w:val="000000"/>
                <w:szCs w:val="20"/>
              </w:rPr>
              <w:t>年</w:t>
            </w:r>
            <w:r>
              <w:rPr>
                <w:color w:val="000000"/>
                <w:szCs w:val="20"/>
              </w:rPr>
              <w:t>)</w:t>
            </w:r>
            <w:r>
              <w:rPr>
                <w:rFonts w:hint="eastAsia"/>
                <w:color w:val="000000"/>
                <w:szCs w:val="20"/>
              </w:rPr>
              <w:t>中的相关规定设计、建设，具体要求如下：</w:t>
            </w:r>
          </w:p>
          <w:p>
            <w:pPr>
              <w:spacing w:line="480" w:lineRule="exact"/>
              <w:ind w:firstLine="480" w:firstLineChars="200"/>
              <w:rPr>
                <w:color w:val="000000"/>
                <w:szCs w:val="20"/>
              </w:rPr>
            </w:pPr>
            <w:r>
              <w:rPr>
                <w:color w:val="000000"/>
                <w:szCs w:val="20"/>
              </w:rPr>
              <w:t>(1)</w:t>
            </w:r>
            <w:r>
              <w:rPr>
                <w:rFonts w:hint="eastAsia"/>
                <w:color w:val="000000"/>
                <w:szCs w:val="20"/>
              </w:rPr>
              <w:t>危废暂存间地面与围墙要用坚固防渗的材料建造，同时设有防渗漏、防风、防晒、防雨设施；</w:t>
            </w:r>
          </w:p>
          <w:p>
            <w:pPr>
              <w:spacing w:line="480" w:lineRule="exact"/>
              <w:ind w:firstLine="480" w:firstLineChars="200"/>
              <w:rPr>
                <w:color w:val="000000"/>
                <w:szCs w:val="20"/>
              </w:rPr>
            </w:pPr>
            <w:r>
              <w:rPr>
                <w:color w:val="000000"/>
                <w:szCs w:val="20"/>
              </w:rPr>
              <w:t>(2)</w:t>
            </w:r>
            <w:r>
              <w:rPr>
                <w:rFonts w:hint="eastAsia"/>
                <w:color w:val="000000"/>
                <w:szCs w:val="20"/>
              </w:rPr>
              <w:t>贮存设施基础必须做防渗处理，采用刚性防渗结构；</w:t>
            </w:r>
          </w:p>
          <w:p>
            <w:pPr>
              <w:spacing w:line="480" w:lineRule="exact"/>
              <w:ind w:firstLine="480" w:firstLineChars="200"/>
              <w:rPr>
                <w:color w:val="000000"/>
                <w:szCs w:val="20"/>
              </w:rPr>
            </w:pPr>
            <w:r>
              <w:rPr>
                <w:color w:val="000000"/>
                <w:szCs w:val="20"/>
              </w:rPr>
              <w:t>(3)</w:t>
            </w:r>
            <w:r>
              <w:rPr>
                <w:rFonts w:hint="eastAsia"/>
                <w:color w:val="000000"/>
                <w:szCs w:val="20"/>
              </w:rPr>
              <w:t>暂存间要设置明显的贮存危险废物种类标志和警告标志；</w:t>
            </w:r>
          </w:p>
          <w:p>
            <w:pPr>
              <w:spacing w:line="480" w:lineRule="exact"/>
              <w:ind w:firstLine="480" w:firstLineChars="200"/>
              <w:rPr>
                <w:color w:val="000000"/>
                <w:szCs w:val="20"/>
              </w:rPr>
            </w:pPr>
            <w:r>
              <w:rPr>
                <w:color w:val="000000"/>
                <w:szCs w:val="20"/>
              </w:rPr>
              <w:t>(4)</w:t>
            </w:r>
            <w:r>
              <w:rPr>
                <w:rFonts w:hint="eastAsia"/>
                <w:color w:val="000000"/>
                <w:szCs w:val="20"/>
              </w:rPr>
              <w:t>暂存间应设置围堰，防止发生事故造成危险废物溢流污染环境，围堰必须做防渗处理；</w:t>
            </w:r>
          </w:p>
          <w:p>
            <w:pPr>
              <w:spacing w:line="480" w:lineRule="exact"/>
              <w:ind w:firstLine="480" w:firstLineChars="200"/>
              <w:rPr>
                <w:color w:val="000000"/>
                <w:szCs w:val="20"/>
              </w:rPr>
            </w:pPr>
            <w:r>
              <w:rPr>
                <w:color w:val="000000"/>
                <w:szCs w:val="20"/>
              </w:rPr>
              <w:t>2</w:t>
            </w:r>
            <w:r>
              <w:rPr>
                <w:rFonts w:hint="eastAsia"/>
                <w:color w:val="000000"/>
                <w:szCs w:val="20"/>
              </w:rPr>
              <w:t>）评价提出对危废暂存间的管理要求如下：</w:t>
            </w:r>
          </w:p>
          <w:p>
            <w:pPr>
              <w:spacing w:line="480" w:lineRule="exact"/>
              <w:ind w:firstLine="480" w:firstLineChars="200"/>
              <w:rPr>
                <w:color w:val="000000"/>
                <w:szCs w:val="20"/>
              </w:rPr>
            </w:pPr>
            <w:r>
              <w:rPr>
                <w:color w:val="000000"/>
                <w:szCs w:val="20"/>
              </w:rPr>
              <w:t>(1)</w:t>
            </w:r>
            <w:r>
              <w:rPr>
                <w:rFonts w:hint="eastAsia"/>
                <w:color w:val="000000"/>
                <w:szCs w:val="20"/>
              </w:rPr>
              <w:t>危险废物贮存容器</w:t>
            </w:r>
          </w:p>
          <w:p>
            <w:pPr>
              <w:spacing w:line="480" w:lineRule="exact"/>
              <w:ind w:firstLine="480" w:firstLineChars="200"/>
              <w:rPr>
                <w:color w:val="000000"/>
                <w:szCs w:val="20"/>
              </w:rPr>
            </w:pPr>
            <w:r>
              <w:rPr>
                <w:rFonts w:hint="eastAsia" w:ascii="宋体" w:hAnsi="宋体" w:cs="宋体"/>
                <w:color w:val="000000"/>
                <w:szCs w:val="20"/>
              </w:rPr>
              <w:t>①</w:t>
            </w:r>
            <w:r>
              <w:rPr>
                <w:rFonts w:hint="eastAsia"/>
                <w:color w:val="000000"/>
                <w:szCs w:val="20"/>
              </w:rPr>
              <w:t>应当使用符合标准的容器盛装危险废物；</w:t>
            </w:r>
          </w:p>
          <w:p>
            <w:pPr>
              <w:spacing w:line="480" w:lineRule="exact"/>
              <w:ind w:firstLine="480" w:firstLineChars="200"/>
              <w:rPr>
                <w:color w:val="000000"/>
                <w:szCs w:val="20"/>
              </w:rPr>
            </w:pPr>
            <w:r>
              <w:rPr>
                <w:rFonts w:hint="eastAsia" w:ascii="宋体" w:hAnsi="宋体" w:cs="宋体"/>
                <w:color w:val="000000"/>
                <w:szCs w:val="20"/>
              </w:rPr>
              <w:t>②</w:t>
            </w:r>
            <w:r>
              <w:rPr>
                <w:rFonts w:hint="eastAsia"/>
                <w:color w:val="000000"/>
                <w:szCs w:val="20"/>
              </w:rPr>
              <w:t>装载危险废物的容器及材质要满足相应的强度要求；</w:t>
            </w:r>
          </w:p>
          <w:p>
            <w:pPr>
              <w:spacing w:line="480" w:lineRule="exact"/>
              <w:ind w:firstLine="480" w:firstLineChars="200"/>
              <w:rPr>
                <w:color w:val="000000"/>
                <w:szCs w:val="20"/>
              </w:rPr>
            </w:pPr>
            <w:r>
              <w:rPr>
                <w:rFonts w:hint="eastAsia" w:ascii="宋体" w:hAnsi="宋体" w:cs="宋体"/>
                <w:color w:val="000000"/>
                <w:szCs w:val="20"/>
              </w:rPr>
              <w:t>③</w:t>
            </w:r>
            <w:r>
              <w:rPr>
                <w:rFonts w:hint="eastAsia"/>
                <w:color w:val="000000"/>
                <w:szCs w:val="20"/>
              </w:rPr>
              <w:t>装载危险废物的容器必须完好无损；</w:t>
            </w:r>
          </w:p>
          <w:p>
            <w:pPr>
              <w:spacing w:line="480" w:lineRule="exact"/>
              <w:ind w:firstLine="480" w:firstLineChars="200"/>
              <w:rPr>
                <w:color w:val="000000"/>
                <w:szCs w:val="20"/>
              </w:rPr>
            </w:pPr>
            <w:r>
              <w:rPr>
                <w:rFonts w:hint="eastAsia" w:ascii="宋体" w:hAnsi="宋体" w:cs="宋体"/>
                <w:color w:val="000000"/>
                <w:szCs w:val="20"/>
              </w:rPr>
              <w:t>④</w:t>
            </w:r>
            <w:r>
              <w:rPr>
                <w:rFonts w:hint="eastAsia"/>
                <w:color w:val="000000"/>
                <w:szCs w:val="20"/>
              </w:rPr>
              <w:t>装载危险废物的容器材质和衬里要与危险废物相容</w:t>
            </w:r>
            <w:r>
              <w:rPr>
                <w:color w:val="000000"/>
                <w:szCs w:val="20"/>
              </w:rPr>
              <w:t>(</w:t>
            </w:r>
            <w:r>
              <w:rPr>
                <w:rFonts w:hint="eastAsia"/>
                <w:color w:val="000000"/>
                <w:szCs w:val="20"/>
              </w:rPr>
              <w:t>不相互反应</w:t>
            </w:r>
            <w:r>
              <w:rPr>
                <w:color w:val="000000"/>
                <w:szCs w:val="20"/>
              </w:rPr>
              <w:t>)</w:t>
            </w:r>
            <w:r>
              <w:rPr>
                <w:rFonts w:hint="eastAsia"/>
                <w:color w:val="000000"/>
                <w:szCs w:val="20"/>
              </w:rPr>
              <w:t>；</w:t>
            </w:r>
          </w:p>
          <w:p>
            <w:pPr>
              <w:spacing w:line="480" w:lineRule="exact"/>
              <w:ind w:firstLine="480" w:firstLineChars="200"/>
              <w:rPr>
                <w:color w:val="000000"/>
                <w:szCs w:val="20"/>
              </w:rPr>
            </w:pPr>
            <w:r>
              <w:rPr>
                <w:rFonts w:hint="eastAsia" w:ascii="宋体" w:hAnsi="宋体" w:cs="宋体"/>
                <w:color w:val="000000"/>
                <w:szCs w:val="20"/>
              </w:rPr>
              <w:t>⑤</w:t>
            </w:r>
            <w:r>
              <w:rPr>
                <w:rFonts w:hint="eastAsia"/>
                <w:color w:val="000000"/>
                <w:szCs w:val="20"/>
              </w:rPr>
              <w:t>无法装入常用容器的危险废物可用防漏胶袋等盛装。</w:t>
            </w:r>
          </w:p>
          <w:p>
            <w:pPr>
              <w:spacing w:line="480" w:lineRule="exact"/>
              <w:ind w:firstLine="480" w:firstLineChars="200"/>
              <w:rPr>
                <w:color w:val="000000"/>
                <w:szCs w:val="20"/>
              </w:rPr>
            </w:pPr>
            <w:r>
              <w:rPr>
                <w:color w:val="000000"/>
                <w:szCs w:val="20"/>
              </w:rPr>
              <w:t>(2)</w:t>
            </w:r>
            <w:r>
              <w:rPr>
                <w:rFonts w:hint="eastAsia"/>
                <w:color w:val="000000"/>
                <w:szCs w:val="20"/>
              </w:rPr>
              <w:t>危废暂存间的设计原则</w:t>
            </w:r>
          </w:p>
          <w:p>
            <w:pPr>
              <w:spacing w:line="480" w:lineRule="exact"/>
              <w:ind w:firstLine="480" w:firstLineChars="200"/>
              <w:rPr>
                <w:color w:val="000000"/>
                <w:szCs w:val="20"/>
              </w:rPr>
            </w:pPr>
            <w:r>
              <w:rPr>
                <w:rFonts w:hint="eastAsia" w:ascii="宋体" w:hAnsi="宋体" w:cs="宋体"/>
                <w:color w:val="000000"/>
                <w:szCs w:val="20"/>
              </w:rPr>
              <w:t>①</w:t>
            </w:r>
            <w:r>
              <w:rPr>
                <w:rFonts w:hint="eastAsia"/>
                <w:color w:val="000000"/>
                <w:szCs w:val="20"/>
              </w:rPr>
              <w:t>地面与裙角要用坚固、防渗的材料建造，建筑材料必须与危险废物相容；</w:t>
            </w:r>
          </w:p>
          <w:p>
            <w:pPr>
              <w:spacing w:line="480" w:lineRule="exact"/>
              <w:ind w:firstLine="480" w:firstLineChars="200"/>
              <w:rPr>
                <w:color w:val="000000"/>
                <w:szCs w:val="20"/>
              </w:rPr>
            </w:pPr>
            <w:r>
              <w:rPr>
                <w:rFonts w:hint="eastAsia" w:ascii="宋体" w:hAnsi="宋体" w:cs="宋体"/>
                <w:color w:val="000000"/>
                <w:szCs w:val="20"/>
              </w:rPr>
              <w:t>②</w:t>
            </w:r>
            <w:r>
              <w:rPr>
                <w:rFonts w:hint="eastAsia"/>
                <w:color w:val="000000"/>
                <w:szCs w:val="20"/>
              </w:rPr>
              <w:t>必须有泄露液体收集装置；</w:t>
            </w:r>
          </w:p>
          <w:p>
            <w:pPr>
              <w:spacing w:line="480" w:lineRule="exact"/>
              <w:ind w:firstLine="480" w:firstLineChars="200"/>
              <w:rPr>
                <w:color w:val="000000"/>
                <w:szCs w:val="20"/>
              </w:rPr>
            </w:pPr>
            <w:r>
              <w:rPr>
                <w:rFonts w:hint="eastAsia" w:ascii="宋体" w:hAnsi="宋体" w:cs="宋体"/>
                <w:color w:val="000000"/>
                <w:szCs w:val="20"/>
              </w:rPr>
              <w:t>③</w:t>
            </w:r>
            <w:r>
              <w:rPr>
                <w:rFonts w:hint="eastAsia"/>
                <w:color w:val="000000"/>
                <w:szCs w:val="20"/>
              </w:rPr>
              <w:t>设施内要有安全照明设施和观察窗口；</w:t>
            </w:r>
          </w:p>
          <w:p>
            <w:pPr>
              <w:spacing w:line="480" w:lineRule="exact"/>
              <w:ind w:firstLine="480" w:firstLineChars="200"/>
              <w:rPr>
                <w:color w:val="000000"/>
                <w:szCs w:val="20"/>
              </w:rPr>
            </w:pPr>
            <w:r>
              <w:rPr>
                <w:rFonts w:hint="eastAsia" w:ascii="宋体" w:hAnsi="宋体" w:cs="宋体"/>
                <w:color w:val="000000"/>
                <w:szCs w:val="20"/>
              </w:rPr>
              <w:t>④</w:t>
            </w:r>
            <w:r>
              <w:rPr>
                <w:rFonts w:hint="eastAsia"/>
                <w:color w:val="000000"/>
                <w:szCs w:val="20"/>
              </w:rPr>
              <w:t>用以存放装载半固态危险废物容器的地方，必有耐腐蚀的硬化地面，且表面无裂缝；</w:t>
            </w:r>
          </w:p>
          <w:p>
            <w:pPr>
              <w:spacing w:line="480" w:lineRule="exact"/>
              <w:ind w:firstLine="480" w:firstLineChars="200"/>
              <w:rPr>
                <w:color w:val="000000"/>
                <w:szCs w:val="20"/>
              </w:rPr>
            </w:pPr>
            <w:r>
              <w:rPr>
                <w:rFonts w:hint="eastAsia" w:ascii="宋体" w:hAnsi="宋体" w:cs="宋体"/>
                <w:color w:val="000000"/>
                <w:szCs w:val="20"/>
              </w:rPr>
              <w:t>⑤</w:t>
            </w:r>
            <w:r>
              <w:rPr>
                <w:rFonts w:hint="eastAsia"/>
                <w:color w:val="000000"/>
                <w:szCs w:val="20"/>
              </w:rPr>
              <w:t>应设计堵截泄露的裙脚，地面与裙脚所围建的容积不低于堵截最大容器的最大储量或总量的</w:t>
            </w:r>
            <w:r>
              <w:rPr>
                <w:color w:val="000000"/>
                <w:szCs w:val="20"/>
              </w:rPr>
              <w:t>1/5</w:t>
            </w:r>
            <w:r>
              <w:rPr>
                <w:rFonts w:hint="eastAsia"/>
                <w:color w:val="000000"/>
                <w:szCs w:val="20"/>
              </w:rPr>
              <w:t>；</w:t>
            </w:r>
          </w:p>
          <w:p>
            <w:pPr>
              <w:spacing w:line="480" w:lineRule="exact"/>
              <w:ind w:firstLine="480" w:firstLineChars="200"/>
              <w:rPr>
                <w:color w:val="000000"/>
                <w:szCs w:val="20"/>
              </w:rPr>
            </w:pPr>
            <w:r>
              <w:rPr>
                <w:rFonts w:hint="eastAsia" w:ascii="宋体" w:hAnsi="宋体" w:cs="宋体"/>
                <w:color w:val="000000"/>
                <w:szCs w:val="20"/>
              </w:rPr>
              <w:t>⑥</w:t>
            </w:r>
            <w:r>
              <w:rPr>
                <w:rFonts w:hint="eastAsia"/>
                <w:color w:val="000000"/>
                <w:szCs w:val="20"/>
              </w:rPr>
              <w:t>不相容的危险废物必须分开存放，并设有隔离间隔断。</w:t>
            </w:r>
          </w:p>
          <w:p>
            <w:pPr>
              <w:spacing w:line="480" w:lineRule="exact"/>
              <w:ind w:firstLine="480" w:firstLineChars="200"/>
              <w:rPr>
                <w:color w:val="000000"/>
                <w:szCs w:val="20"/>
              </w:rPr>
            </w:pPr>
            <w:r>
              <w:rPr>
                <w:color w:val="000000"/>
                <w:szCs w:val="20"/>
              </w:rPr>
              <w:t>3</w:t>
            </w:r>
            <w:r>
              <w:rPr>
                <w:rFonts w:hint="eastAsia"/>
                <w:color w:val="000000"/>
                <w:szCs w:val="20"/>
              </w:rPr>
              <w:t>）危险废物的堆放</w:t>
            </w:r>
          </w:p>
          <w:p>
            <w:pPr>
              <w:spacing w:line="480" w:lineRule="exact"/>
              <w:ind w:firstLine="480" w:firstLineChars="200"/>
              <w:rPr>
                <w:color w:val="000000"/>
                <w:szCs w:val="20"/>
              </w:rPr>
            </w:pPr>
            <w:r>
              <w:rPr>
                <w:rFonts w:hint="eastAsia" w:ascii="宋体" w:hAnsi="宋体" w:cs="宋体"/>
                <w:color w:val="000000"/>
                <w:szCs w:val="20"/>
              </w:rPr>
              <w:t>①</w:t>
            </w:r>
            <w:r>
              <w:rPr>
                <w:rFonts w:hint="eastAsia"/>
                <w:color w:val="000000"/>
                <w:szCs w:val="20"/>
              </w:rPr>
              <w:t>基础必须防渗，防渗层为至少</w:t>
            </w:r>
            <w:r>
              <w:rPr>
                <w:color w:val="000000"/>
                <w:szCs w:val="20"/>
              </w:rPr>
              <w:t>2mm</w:t>
            </w:r>
            <w:r>
              <w:rPr>
                <w:rFonts w:hint="eastAsia"/>
                <w:color w:val="000000"/>
                <w:szCs w:val="20"/>
              </w:rPr>
              <w:t>厚高密度聚乙烯，或至少</w:t>
            </w:r>
            <w:r>
              <w:rPr>
                <w:color w:val="000000"/>
                <w:szCs w:val="20"/>
              </w:rPr>
              <w:t>2mm</w:t>
            </w:r>
            <w:r>
              <w:rPr>
                <w:rFonts w:hint="eastAsia"/>
                <w:color w:val="000000"/>
                <w:szCs w:val="20"/>
              </w:rPr>
              <w:t>厚的其它人工材料，渗透系数</w:t>
            </w:r>
            <w:r>
              <w:rPr>
                <w:color w:val="000000"/>
                <w:szCs w:val="20"/>
              </w:rPr>
              <w:t>≤10</w:t>
            </w:r>
            <w:r>
              <w:rPr>
                <w:color w:val="000000"/>
                <w:szCs w:val="20"/>
                <w:vertAlign w:val="superscript"/>
              </w:rPr>
              <w:t>-10</w:t>
            </w:r>
            <w:r>
              <w:rPr>
                <w:color w:val="000000"/>
                <w:szCs w:val="20"/>
              </w:rPr>
              <w:t>cm/s</w:t>
            </w:r>
            <w:r>
              <w:rPr>
                <w:rFonts w:hint="eastAsia"/>
                <w:color w:val="000000"/>
                <w:szCs w:val="20"/>
              </w:rPr>
              <w:t>；</w:t>
            </w:r>
          </w:p>
          <w:p>
            <w:pPr>
              <w:spacing w:line="480" w:lineRule="exact"/>
              <w:ind w:firstLine="480" w:firstLineChars="200"/>
              <w:rPr>
                <w:color w:val="000000"/>
                <w:szCs w:val="20"/>
              </w:rPr>
            </w:pPr>
            <w:r>
              <w:rPr>
                <w:rFonts w:hint="eastAsia" w:ascii="宋体" w:hAnsi="宋体" w:cs="宋体"/>
                <w:color w:val="000000"/>
                <w:szCs w:val="20"/>
              </w:rPr>
              <w:t>②</w:t>
            </w:r>
            <w:r>
              <w:rPr>
                <w:rFonts w:hint="eastAsia"/>
                <w:color w:val="000000"/>
                <w:szCs w:val="20"/>
              </w:rPr>
              <w:t>堆放危险废物的高度应根据地面承载能力确定；</w:t>
            </w:r>
          </w:p>
          <w:p>
            <w:pPr>
              <w:spacing w:line="480" w:lineRule="exact"/>
              <w:ind w:firstLine="480" w:firstLineChars="200"/>
              <w:rPr>
                <w:color w:val="000000"/>
                <w:szCs w:val="20"/>
              </w:rPr>
            </w:pPr>
            <w:r>
              <w:rPr>
                <w:rFonts w:hint="eastAsia" w:ascii="宋体" w:hAnsi="宋体" w:cs="宋体"/>
                <w:color w:val="000000"/>
                <w:szCs w:val="20"/>
              </w:rPr>
              <w:t>③</w:t>
            </w:r>
            <w:r>
              <w:rPr>
                <w:rFonts w:hint="eastAsia"/>
                <w:color w:val="000000"/>
                <w:szCs w:val="20"/>
              </w:rPr>
              <w:t>贮存设施内应有危险废物要放入符合标准的容器内，加上标签；</w:t>
            </w:r>
          </w:p>
          <w:p>
            <w:pPr>
              <w:spacing w:line="480" w:lineRule="exact"/>
              <w:ind w:firstLine="480" w:firstLineChars="200"/>
              <w:rPr>
                <w:color w:val="000000"/>
                <w:szCs w:val="20"/>
              </w:rPr>
            </w:pPr>
            <w:r>
              <w:rPr>
                <w:rFonts w:hint="eastAsia" w:ascii="宋体" w:hAnsi="宋体" w:cs="宋体"/>
                <w:color w:val="000000"/>
                <w:szCs w:val="20"/>
              </w:rPr>
              <w:t>④</w:t>
            </w:r>
            <w:r>
              <w:rPr>
                <w:rFonts w:hint="eastAsia"/>
                <w:color w:val="000000"/>
                <w:szCs w:val="20"/>
              </w:rPr>
              <w:t>贮存设施应封闭，以防风、防雨、防晒、防渗漏。</w:t>
            </w:r>
          </w:p>
          <w:p>
            <w:pPr>
              <w:spacing w:line="480" w:lineRule="exact"/>
              <w:ind w:firstLine="480" w:firstLineChars="200"/>
              <w:rPr>
                <w:color w:val="000000"/>
                <w:szCs w:val="20"/>
              </w:rPr>
            </w:pPr>
            <w:r>
              <w:rPr>
                <w:color w:val="000000"/>
                <w:szCs w:val="20"/>
              </w:rPr>
              <w:t>4</w:t>
            </w:r>
            <w:r>
              <w:rPr>
                <w:rFonts w:hint="eastAsia"/>
                <w:color w:val="000000"/>
                <w:szCs w:val="20"/>
              </w:rPr>
              <w:t>）危险废物的运输</w:t>
            </w:r>
          </w:p>
          <w:p>
            <w:pPr>
              <w:spacing w:line="480" w:lineRule="exact"/>
              <w:ind w:firstLine="480" w:firstLineChars="200"/>
              <w:rPr>
                <w:color w:val="000000"/>
                <w:szCs w:val="20"/>
              </w:rPr>
            </w:pPr>
            <w:r>
              <w:rPr>
                <w:rFonts w:hint="eastAsia"/>
                <w:color w:val="000000"/>
                <w:szCs w:val="20"/>
              </w:rPr>
              <w:t>在危险废物转移的过程中严格执行《危险废物转移联单管理办法》。危险废物产生单位应当如实填写联单中产生单位栏目，并加盖公章，经交付危险废物运输单位核实验收签字后，将联单第一联副联自留存档，将联单第二联交移出地环境保护行政主管部门，联单第一联正联及其余各联交付运输单位随危险废物转移运行。</w:t>
            </w:r>
          </w:p>
          <w:p>
            <w:pPr>
              <w:spacing w:line="480" w:lineRule="exact"/>
              <w:ind w:firstLine="480" w:firstLineChars="200"/>
              <w:rPr>
                <w:color w:val="000000"/>
                <w:szCs w:val="20"/>
              </w:rPr>
            </w:pPr>
            <w:r>
              <w:rPr>
                <w:rFonts w:hint="eastAsia"/>
                <w:color w:val="000000"/>
                <w:szCs w:val="20"/>
              </w:rPr>
              <w:t>危险废物接受单位应当按照联单填写的内容对危险废物核实验收，如实填写联单中接受单位栏目并加盖公章。接受单位应当将联单第一联、第二联副联自接受危险废物之日起十日内交付产生单位，联单第一联由产生单位自留存档，联单第二联副联由产生单位在二日内报送移出地环境保护行政主管部门；接受单位将联单第三联交付运输单位存档；将联单第四联自留存档；将联单第五联自接受危险废物之日起二日内报送接受地环境保护行政主管部门。</w:t>
            </w:r>
          </w:p>
          <w:p>
            <w:pPr>
              <w:spacing w:line="480" w:lineRule="exact"/>
              <w:ind w:firstLine="480" w:firstLineChars="200"/>
              <w:rPr>
                <w:color w:val="000000"/>
                <w:szCs w:val="20"/>
              </w:rPr>
            </w:pPr>
            <w:r>
              <w:rPr>
                <w:rFonts w:hint="eastAsia"/>
                <w:color w:val="000000"/>
                <w:szCs w:val="20"/>
              </w:rPr>
              <w:t>废弃物处置单位的运输人员必须掌握危险化学品运输的安全知识，化学品的性质、危害特性、包装容器的使用特性和发生意外时的应急措施了解所运载的危险。运输车辆必须具有车辆危险货物运输许可证。驾驶人员必须由取得驾驶执照的熟练人员担任。</w:t>
            </w:r>
          </w:p>
          <w:p>
            <w:pPr>
              <w:spacing w:line="480" w:lineRule="exact"/>
              <w:ind w:firstLine="480" w:firstLineChars="200"/>
              <w:rPr>
                <w:color w:val="000000"/>
                <w:szCs w:val="20"/>
              </w:rPr>
            </w:pPr>
            <w:r>
              <w:rPr>
                <w:rFonts w:hint="eastAsia"/>
                <w:color w:val="000000"/>
                <w:szCs w:val="20"/>
              </w:rPr>
              <w:t>处置单位在运输危险废物时必须配备押运人员，并随时处于押运人员的监管之下，不得超装、超载，严格按照所在城市规定的行车时间和行车路线行驶，不得进入危险化学品运输车辆禁止通行的区域。</w:t>
            </w:r>
          </w:p>
          <w:p>
            <w:pPr>
              <w:spacing w:line="480" w:lineRule="exact"/>
              <w:ind w:firstLine="480" w:firstLineChars="200"/>
              <w:rPr>
                <w:color w:val="000000"/>
                <w:szCs w:val="20"/>
              </w:rPr>
            </w:pPr>
            <w:r>
              <w:rPr>
                <w:rFonts w:hint="eastAsia"/>
                <w:color w:val="000000"/>
                <w:szCs w:val="20"/>
              </w:rPr>
              <w:t>危险废物在运输途中若发生被盗、丢失、流散、泄漏等情况时，公司及押运人员必须立即向当地公安部门报告，并采取一切可能的警示措施。</w:t>
            </w:r>
          </w:p>
          <w:p>
            <w:pPr>
              <w:spacing w:line="480" w:lineRule="exact"/>
              <w:ind w:firstLine="480" w:firstLineChars="200"/>
              <w:rPr>
                <w:color w:val="000000"/>
                <w:szCs w:val="20"/>
              </w:rPr>
            </w:pPr>
            <w:r>
              <w:rPr>
                <w:rFonts w:hint="eastAsia"/>
                <w:color w:val="000000"/>
                <w:szCs w:val="20"/>
              </w:rPr>
              <w:t>一旦发生废弃物泄漏事故，建设单位和废弃物处置单位都应积极协助有关部门采取必要的安全措施，减少事故损失，防止事故蔓延、扩大。</w:t>
            </w:r>
          </w:p>
          <w:p>
            <w:pPr>
              <w:spacing w:line="480" w:lineRule="exact"/>
              <w:ind w:firstLine="496" w:firstLineChars="200"/>
              <w:jc w:val="left"/>
              <w:rPr>
                <w:bCs/>
                <w:color w:val="000000"/>
              </w:rPr>
            </w:pPr>
            <w:r>
              <w:rPr>
                <w:rFonts w:hint="eastAsia"/>
                <w:color w:val="000000"/>
                <w:spacing w:val="4"/>
              </w:rPr>
              <w:t>本报告对项目产生的危险废物的贮存、管理提出如下要求：坚持无害化、减量化、资源化原则，妥善利用或处置产生的危险废物，保障环境安全。</w:t>
            </w:r>
          </w:p>
          <w:p>
            <w:pPr>
              <w:spacing w:line="420" w:lineRule="exact"/>
              <w:jc w:val="center"/>
              <w:rPr>
                <w:b/>
                <w:color w:val="000000"/>
              </w:rPr>
            </w:pPr>
            <w:r>
              <w:rPr>
                <w:b/>
                <w:color w:val="000000"/>
              </w:rPr>
              <w:t>表4-</w:t>
            </w:r>
            <w:r>
              <w:rPr>
                <w:rFonts w:hint="eastAsia"/>
                <w:b/>
                <w:color w:val="000000"/>
              </w:rPr>
              <w:t>12</w:t>
            </w:r>
            <w:r>
              <w:rPr>
                <w:b/>
                <w:color w:val="000000"/>
              </w:rPr>
              <w:t xml:space="preserve">  危险废物汇总表</w:t>
            </w:r>
          </w:p>
          <w:tbl>
            <w:tblPr>
              <w:tblStyle w:val="31"/>
              <w:tblW w:w="4991" w:type="pct"/>
              <w:tblInd w:w="10" w:type="dxa"/>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0" w:type="dxa"/>
                <w:bottom w:w="0" w:type="dxa"/>
                <w:right w:w="0" w:type="dxa"/>
              </w:tblCellMar>
            </w:tblPr>
            <w:tblGrid>
              <w:gridCol w:w="481"/>
              <w:gridCol w:w="782"/>
              <w:gridCol w:w="632"/>
              <w:gridCol w:w="964"/>
              <w:gridCol w:w="631"/>
              <w:gridCol w:w="631"/>
              <w:gridCol w:w="631"/>
              <w:gridCol w:w="631"/>
              <w:gridCol w:w="631"/>
              <w:gridCol w:w="631"/>
              <w:gridCol w:w="646"/>
              <w:gridCol w:w="631"/>
            </w:tblGrid>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序号</w:t>
                  </w:r>
                </w:p>
              </w:tc>
              <w:tc>
                <w:tcPr>
                  <w:tcW w:w="492"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危险废物名称</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危险废物类别</w:t>
                  </w:r>
                </w:p>
              </w:tc>
              <w:tc>
                <w:tcPr>
                  <w:tcW w:w="607"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危险废物代码</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产生量（t/a）</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产生工序及装置</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形态</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主要成分</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有害成分</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产废周期</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危险特性</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污染防治措施</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1</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废机油</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900-214-08</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0</w:t>
                  </w:r>
                  <w:r>
                    <w:rPr>
                      <w:color w:val="000000" w:themeColor="text1"/>
                      <w:sz w:val="21"/>
                      <w:szCs w:val="21"/>
                    </w:rPr>
                    <w:t>.37</w:t>
                  </w:r>
                </w:p>
              </w:tc>
              <w:tc>
                <w:tcPr>
                  <w:tcW w:w="398" w:type="pct"/>
                  <w:vMerge w:val="restar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设备检修</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液体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T，I</w:t>
                  </w:r>
                </w:p>
              </w:tc>
              <w:tc>
                <w:tcPr>
                  <w:tcW w:w="398" w:type="pct"/>
                  <w:vMerge w:val="restar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危废暂存间暂存，定期由有资质单位处置</w:t>
                  </w: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2</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废润滑油</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900-217-08</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0.23</w:t>
                  </w:r>
                </w:p>
              </w:tc>
              <w:tc>
                <w:tcPr>
                  <w:tcW w:w="39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固体</w:t>
                  </w:r>
                </w:p>
              </w:tc>
              <w:tc>
                <w:tcPr>
                  <w:tcW w:w="398" w:type="pct"/>
                  <w:tcBorders>
                    <w:tl2br w:val="nil"/>
                    <w:tr2bl w:val="nil"/>
                  </w:tcBorders>
                  <w:tcMar>
                    <w:top w:w="15" w:type="dxa"/>
                    <w:left w:w="15" w:type="dxa"/>
                    <w:right w:w="15" w:type="dxa"/>
                  </w:tcMar>
                  <w:vAlign w:val="center"/>
                </w:tcPr>
                <w:p>
                  <w:pPr>
                    <w:adjustRightInd w:val="0"/>
                    <w:snapToGrid w:val="0"/>
                    <w:spacing w:line="320" w:lineRule="atLeast"/>
                    <w:jc w:val="center"/>
                    <w:rPr>
                      <w:color w:val="000000" w:themeColor="text1"/>
                      <w:sz w:val="21"/>
                      <w:szCs w:val="21"/>
                    </w:rPr>
                  </w:pPr>
                  <w:r>
                    <w:rPr>
                      <w:color w:val="000000" w:themeColor="text1"/>
                      <w:sz w:val="21"/>
                      <w:szCs w:val="21"/>
                    </w:rPr>
                    <w:t>不饱和烃</w:t>
                  </w:r>
                </w:p>
              </w:tc>
              <w:tc>
                <w:tcPr>
                  <w:tcW w:w="398" w:type="pct"/>
                  <w:tcBorders>
                    <w:tl2br w:val="nil"/>
                    <w:tr2bl w:val="nil"/>
                  </w:tcBorders>
                  <w:tcMar>
                    <w:top w:w="15" w:type="dxa"/>
                    <w:left w:w="15" w:type="dxa"/>
                    <w:right w:w="15" w:type="dxa"/>
                  </w:tcMar>
                  <w:vAlign w:val="center"/>
                </w:tcPr>
                <w:p>
                  <w:pPr>
                    <w:adjustRightInd w:val="0"/>
                    <w:snapToGrid w:val="0"/>
                    <w:spacing w:line="320" w:lineRule="atLeast"/>
                    <w:jc w:val="center"/>
                    <w:rPr>
                      <w:color w:val="000000" w:themeColor="text1"/>
                      <w:sz w:val="21"/>
                      <w:szCs w:val="21"/>
                    </w:rPr>
                  </w:pPr>
                  <w:r>
                    <w:rPr>
                      <w:color w:val="000000" w:themeColor="text1"/>
                      <w:sz w:val="21"/>
                      <w:szCs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T，I</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3</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废液压油</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900-218-08</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0.9</w:t>
                  </w:r>
                </w:p>
              </w:tc>
              <w:tc>
                <w:tcPr>
                  <w:tcW w:w="39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液体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T，I</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4</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废乳化液</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900-006-09</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0.</w:t>
                  </w:r>
                  <w:r>
                    <w:rPr>
                      <w:rFonts w:hint="eastAsia"/>
                      <w:color w:val="000000" w:themeColor="text1"/>
                      <w:sz w:val="21"/>
                      <w:szCs w:val="21"/>
                    </w:rPr>
                    <w:t>64</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切削</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液体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color w:val="000000" w:themeColor="text1"/>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5</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w:t>
                  </w:r>
                  <w:r>
                    <w:rPr>
                      <w:rFonts w:hint="eastAsia"/>
                      <w:color w:val="000000"/>
                      <w:sz w:val="21"/>
                      <w:szCs w:val="21"/>
                    </w:rPr>
                    <w:t>水性漆</w:t>
                  </w:r>
                  <w:r>
                    <w:rPr>
                      <w:color w:val="000000"/>
                      <w:sz w:val="21"/>
                      <w:szCs w:val="21"/>
                    </w:rPr>
                    <w:t>桶</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900-041-49</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0.5</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喷涂</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30d</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T/ln</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废活性炭</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900-039-49</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4.6</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活性炭吸附脱附</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30d</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7</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w:t>
                  </w:r>
                  <w:r>
                    <w:rPr>
                      <w:rFonts w:hint="eastAsia"/>
                      <w:color w:val="000000"/>
                      <w:sz w:val="21"/>
                      <w:szCs w:val="21"/>
                    </w:rPr>
                    <w:t>过滤棉</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900-041-49</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2.1</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吸附脱附</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T/ln</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8</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漆渣</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HW12</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color w:val="000000" w:themeColor="text1"/>
                      <w:sz w:val="21"/>
                      <w:szCs w:val="21"/>
                    </w:rPr>
                    <w:t>900-250-12</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themeColor="text1"/>
                      <w:sz w:val="21"/>
                      <w:szCs w:val="21"/>
                    </w:rPr>
                  </w:pPr>
                  <w:r>
                    <w:rPr>
                      <w:rFonts w:hint="eastAsia"/>
                      <w:color w:val="000000" w:themeColor="text1"/>
                      <w:sz w:val="21"/>
                      <w:szCs w:val="21"/>
                    </w:rPr>
                    <w:t>0.56</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生产废料</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T，I</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9</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废棉纱</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900-041-49</w:t>
                  </w:r>
                </w:p>
              </w:tc>
              <w:tc>
                <w:tcPr>
                  <w:tcW w:w="398" w:type="pct"/>
                  <w:tcBorders>
                    <w:tl2br w:val="nil"/>
                    <w:tr2bl w:val="nil"/>
                  </w:tcBorders>
                  <w:tcMar>
                    <w:top w:w="15" w:type="dxa"/>
                    <w:left w:w="15" w:type="dxa"/>
                    <w:right w:w="15" w:type="dxa"/>
                  </w:tcMar>
                  <w:vAlign w:val="center"/>
                </w:tcPr>
                <w:p>
                  <w:pPr>
                    <w:snapToGrid w:val="0"/>
                    <w:spacing w:line="240" w:lineRule="atLeast"/>
                    <w:jc w:val="center"/>
                    <w:rPr>
                      <w:sz w:val="21"/>
                      <w:szCs w:val="21"/>
                    </w:rPr>
                  </w:pPr>
                  <w:r>
                    <w:rPr>
                      <w:sz w:val="21"/>
                      <w:szCs w:val="21"/>
                    </w:rPr>
                    <w:t>0.08</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sz w:val="21"/>
                    </w:rPr>
                  </w:pPr>
                  <w:r>
                    <w:rPr>
                      <w:rFonts w:hint="eastAsia"/>
                      <w:sz w:val="21"/>
                    </w:rPr>
                    <w:t>检修时产生</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不饱和烃</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T/ln</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10</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废油桶</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900-041-49</w:t>
                  </w:r>
                </w:p>
              </w:tc>
              <w:tc>
                <w:tcPr>
                  <w:tcW w:w="398" w:type="pct"/>
                  <w:tcBorders>
                    <w:tl2br w:val="nil"/>
                    <w:tr2bl w:val="nil"/>
                  </w:tcBorders>
                  <w:tcMar>
                    <w:top w:w="15" w:type="dxa"/>
                    <w:left w:w="15" w:type="dxa"/>
                    <w:right w:w="15" w:type="dxa"/>
                  </w:tcMar>
                  <w:vAlign w:val="center"/>
                </w:tcPr>
                <w:p>
                  <w:pPr>
                    <w:snapToGrid w:val="0"/>
                    <w:spacing w:line="240" w:lineRule="atLeast"/>
                    <w:jc w:val="center"/>
                    <w:rPr>
                      <w:sz w:val="21"/>
                      <w:szCs w:val="21"/>
                    </w:rPr>
                  </w:pPr>
                  <w:r>
                    <w:rPr>
                      <w:rFonts w:hint="eastAsia"/>
                      <w:sz w:val="21"/>
                      <w:szCs w:val="21"/>
                    </w:rPr>
                    <w:t>0.5</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sz w:val="21"/>
                    </w:rPr>
                  </w:pPr>
                  <w:r>
                    <w:rPr>
                      <w:rFonts w:hint="eastAsia"/>
                      <w:color w:val="000000" w:themeColor="text1"/>
                      <w:sz w:val="21"/>
                    </w:rPr>
                    <w:t>生产废料</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themeColor="text1"/>
                      <w:sz w:val="21"/>
                    </w:rPr>
                    <w:t>有机质</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T，I</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0" w:type="dxa"/>
                  <w:bottom w:w="0" w:type="dxa"/>
                  <w:right w:w="0" w:type="dxa"/>
                </w:tblCellMar>
              </w:tblPrEx>
              <w:trPr>
                <w:trHeight w:val="510" w:hRule="atLeast"/>
              </w:trPr>
              <w:tc>
                <w:tcPr>
                  <w:tcW w:w="303"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11</w:t>
                  </w:r>
                </w:p>
              </w:tc>
              <w:tc>
                <w:tcPr>
                  <w:tcW w:w="492"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废催化剂</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HW50</w:t>
                  </w:r>
                </w:p>
              </w:tc>
              <w:tc>
                <w:tcPr>
                  <w:tcW w:w="60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772-007-50</w:t>
                  </w:r>
                </w:p>
              </w:tc>
              <w:tc>
                <w:tcPr>
                  <w:tcW w:w="39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0.5</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催化燃烧产生</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固体</w:t>
                  </w: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p>
              </w:tc>
              <w:tc>
                <w:tcPr>
                  <w:tcW w:w="398" w:type="pc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半年</w:t>
                  </w:r>
                </w:p>
              </w:tc>
              <w:tc>
                <w:tcPr>
                  <w:tcW w:w="408"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T</w:t>
                  </w:r>
                </w:p>
              </w:tc>
              <w:tc>
                <w:tcPr>
                  <w:tcW w:w="398" w:type="pct"/>
                  <w:vMerge w:val="continue"/>
                  <w:tcBorders>
                    <w:tl2br w:val="nil"/>
                    <w:tr2bl w:val="nil"/>
                  </w:tcBorders>
                  <w:tcMar>
                    <w:top w:w="15" w:type="dxa"/>
                    <w:left w:w="15" w:type="dxa"/>
                    <w:right w:w="15" w:type="dxa"/>
                  </w:tcMar>
                  <w:vAlign w:val="center"/>
                </w:tcPr>
                <w:p>
                  <w:pPr>
                    <w:jc w:val="center"/>
                    <w:rPr>
                      <w:color w:val="000000"/>
                      <w:sz w:val="18"/>
                      <w:szCs w:val="18"/>
                    </w:rPr>
                  </w:pPr>
                </w:p>
              </w:tc>
            </w:tr>
          </w:tbl>
          <w:p>
            <w:pPr>
              <w:spacing w:line="420" w:lineRule="exact"/>
              <w:jc w:val="center"/>
              <w:rPr>
                <w:b/>
                <w:color w:val="000000"/>
              </w:rPr>
            </w:pPr>
            <w:r>
              <w:rPr>
                <w:b/>
                <w:color w:val="000000"/>
              </w:rPr>
              <w:t>表4-</w:t>
            </w:r>
            <w:r>
              <w:rPr>
                <w:rFonts w:hint="eastAsia"/>
                <w:b/>
                <w:color w:val="000000"/>
              </w:rPr>
              <w:t xml:space="preserve">13  </w:t>
            </w:r>
            <w:r>
              <w:rPr>
                <w:b/>
                <w:color w:val="000000"/>
              </w:rPr>
              <w:t>危险废物贮存场所基本情况表</w:t>
            </w:r>
          </w:p>
          <w:tbl>
            <w:tblPr>
              <w:tblStyle w:val="31"/>
              <w:tblW w:w="499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Layout w:type="fixed"/>
              <w:tblCellMar>
                <w:top w:w="0" w:type="dxa"/>
                <w:left w:w="0" w:type="dxa"/>
                <w:bottom w:w="0" w:type="dxa"/>
                <w:right w:w="0" w:type="dxa"/>
              </w:tblCellMar>
            </w:tblPr>
            <w:tblGrid>
              <w:gridCol w:w="852"/>
              <w:gridCol w:w="852"/>
              <w:gridCol w:w="853"/>
              <w:gridCol w:w="1059"/>
              <w:gridCol w:w="853"/>
              <w:gridCol w:w="853"/>
              <w:gridCol w:w="891"/>
              <w:gridCol w:w="856"/>
              <w:gridCol w:w="856"/>
            </w:tblGrid>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270" w:hRule="atLeast"/>
              </w:trPr>
              <w:tc>
                <w:tcPr>
                  <w:tcW w:w="537"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贮存场所名称</w:t>
                  </w:r>
                </w:p>
              </w:tc>
              <w:tc>
                <w:tcPr>
                  <w:tcW w:w="537"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危险废物名称</w:t>
                  </w:r>
                </w:p>
              </w:tc>
              <w:tc>
                <w:tcPr>
                  <w:tcW w:w="538"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危险废物类别</w:t>
                  </w:r>
                </w:p>
              </w:tc>
              <w:tc>
                <w:tcPr>
                  <w:tcW w:w="668"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危险废物代码</w:t>
                  </w:r>
                </w:p>
              </w:tc>
              <w:tc>
                <w:tcPr>
                  <w:tcW w:w="538"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位置</w:t>
                  </w:r>
                </w:p>
              </w:tc>
              <w:tc>
                <w:tcPr>
                  <w:tcW w:w="538"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占地面积</w:t>
                  </w:r>
                </w:p>
              </w:tc>
              <w:tc>
                <w:tcPr>
                  <w:tcW w:w="561" w:type="pct"/>
                  <w:vMerge w:val="restar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贮存方式</w:t>
                  </w:r>
                </w:p>
              </w:tc>
              <w:tc>
                <w:tcPr>
                  <w:tcW w:w="539" w:type="pc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贮存</w:t>
                  </w:r>
                </w:p>
              </w:tc>
              <w:tc>
                <w:tcPr>
                  <w:tcW w:w="539" w:type="pc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贮存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270" w:hRule="atLeast"/>
              </w:trPr>
              <w:tc>
                <w:tcPr>
                  <w:tcW w:w="537"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37"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38"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668"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38"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38"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61" w:type="pct"/>
                  <w:vMerge w:val="continue"/>
                  <w:tcBorders>
                    <w:tl2br w:val="nil"/>
                    <w:tr2bl w:val="nil"/>
                  </w:tcBorders>
                  <w:tcMar>
                    <w:top w:w="15" w:type="dxa"/>
                    <w:left w:w="15" w:type="dxa"/>
                    <w:right w:w="15" w:type="dxa"/>
                  </w:tcMar>
                  <w:vAlign w:val="center"/>
                </w:tcPr>
                <w:p>
                  <w:pPr>
                    <w:spacing w:line="320" w:lineRule="atLeast"/>
                    <w:jc w:val="center"/>
                    <w:rPr>
                      <w:color w:val="000000"/>
                      <w:sz w:val="21"/>
                      <w:szCs w:val="21"/>
                    </w:rPr>
                  </w:pPr>
                </w:p>
              </w:tc>
              <w:tc>
                <w:tcPr>
                  <w:tcW w:w="539" w:type="pc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能力</w:t>
                  </w:r>
                </w:p>
              </w:tc>
              <w:tc>
                <w:tcPr>
                  <w:tcW w:w="539" w:type="pct"/>
                  <w:tcBorders>
                    <w:tl2br w:val="nil"/>
                    <w:tr2bl w:val="nil"/>
                  </w:tcBorders>
                  <w:tcMar>
                    <w:top w:w="15" w:type="dxa"/>
                    <w:left w:w="15" w:type="dxa"/>
                    <w:right w:w="15" w:type="dxa"/>
                  </w:tcMar>
                  <w:vAlign w:val="center"/>
                </w:tcPr>
                <w:p>
                  <w:pPr>
                    <w:widowControl/>
                    <w:spacing w:line="320" w:lineRule="atLeast"/>
                    <w:jc w:val="center"/>
                    <w:textAlignment w:val="center"/>
                    <w:rPr>
                      <w:color w:val="000000"/>
                      <w:sz w:val="21"/>
                      <w:szCs w:val="21"/>
                    </w:rPr>
                  </w:pPr>
                  <w:r>
                    <w:rPr>
                      <w:color w:val="000000"/>
                      <w:kern w:val="0"/>
                      <w:sz w:val="21"/>
                      <w:szCs w:val="21"/>
                    </w:rPr>
                    <w:t>周期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restar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危废暂存间</w:t>
                  </w: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废机油</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900-214-08</w:t>
                  </w:r>
                </w:p>
              </w:tc>
              <w:tc>
                <w:tcPr>
                  <w:tcW w:w="538" w:type="pct"/>
                  <w:vMerge w:val="restar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厂区东北角</w:t>
                  </w:r>
                </w:p>
              </w:tc>
              <w:tc>
                <w:tcPr>
                  <w:tcW w:w="538" w:type="pct"/>
                  <w:vMerge w:val="restart"/>
                  <w:tcBorders>
                    <w:tl2br w:val="nil"/>
                    <w:tr2bl w:val="nil"/>
                  </w:tcBorders>
                  <w:tcMar>
                    <w:top w:w="15" w:type="dxa"/>
                    <w:left w:w="15" w:type="dxa"/>
                    <w:right w:w="15" w:type="dxa"/>
                  </w:tcMar>
                  <w:vAlign w:val="center"/>
                </w:tcPr>
                <w:p>
                  <w:pPr>
                    <w:pStyle w:val="62"/>
                    <w:adjustRightInd w:val="0"/>
                    <w:spacing w:line="320" w:lineRule="atLeast"/>
                    <w:rPr>
                      <w:color w:val="000000" w:themeColor="text1"/>
                      <w:sz w:val="21"/>
                    </w:rPr>
                  </w:pPr>
                  <w:r>
                    <w:rPr>
                      <w:rFonts w:hint="eastAsia"/>
                      <w:color w:val="000000" w:themeColor="text1"/>
                      <w:sz w:val="21"/>
                    </w:rPr>
                    <w:t>10</w:t>
                  </w:r>
                  <w:r>
                    <w:rPr>
                      <w:color w:val="000000" w:themeColor="text1"/>
                      <w:sz w:val="21"/>
                    </w:rPr>
                    <w:t>m</w:t>
                  </w:r>
                  <w:r>
                    <w:rPr>
                      <w:color w:val="000000" w:themeColor="text1"/>
                      <w:sz w:val="21"/>
                      <w:vertAlign w:val="superscript"/>
                    </w:rPr>
                    <w:t>2</w:t>
                  </w: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3</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废润滑油</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900-217-08</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3</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废液压油</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HW08</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900-218-08</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3</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废乳化液</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HW09</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900-006-09</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w:t>
                  </w:r>
                  <w:r>
                    <w:rPr>
                      <w:rFonts w:hint="eastAsia"/>
                      <w:color w:val="000000"/>
                      <w:sz w:val="21"/>
                      <w:szCs w:val="21"/>
                    </w:rPr>
                    <w:t>水性漆</w:t>
                  </w:r>
                  <w:r>
                    <w:rPr>
                      <w:color w:val="000000"/>
                      <w:sz w:val="21"/>
                      <w:szCs w:val="21"/>
                    </w:rPr>
                    <w:t>桶</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900-041-49</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废活性炭</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900-039-49</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5</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废过滤棉</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900-041-49</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0.5</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漆渣</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HW12</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900-250-12</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1</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废棉纱</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HW49</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900-041-49</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color w:val="000000"/>
                      <w:sz w:val="21"/>
                    </w:rPr>
                    <w:t>密封桶装</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0.5</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000000" w:sz="4" w:space="0"/>
                </w:tblBorders>
                <w:tblCellMar>
                  <w:top w:w="0" w:type="dxa"/>
                  <w:left w:w="0" w:type="dxa"/>
                  <w:bottom w:w="0" w:type="dxa"/>
                  <w:right w:w="0" w:type="dxa"/>
                </w:tblCellMar>
              </w:tblPrEx>
              <w:trPr>
                <w:trHeight w:val="510" w:hRule="atLeast"/>
              </w:trPr>
              <w:tc>
                <w:tcPr>
                  <w:tcW w:w="537"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7"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废催化剂</w:t>
                  </w:r>
                </w:p>
              </w:tc>
              <w:tc>
                <w:tcPr>
                  <w:tcW w:w="53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rFonts w:hint="eastAsia"/>
                      <w:color w:val="000000"/>
                      <w:sz w:val="21"/>
                      <w:szCs w:val="21"/>
                    </w:rPr>
                    <w:t>HW50</w:t>
                  </w:r>
                </w:p>
              </w:tc>
              <w:tc>
                <w:tcPr>
                  <w:tcW w:w="668" w:type="pct"/>
                  <w:tcBorders>
                    <w:tl2br w:val="nil"/>
                    <w:tr2bl w:val="nil"/>
                  </w:tcBorders>
                  <w:tcMar>
                    <w:top w:w="15" w:type="dxa"/>
                    <w:left w:w="15" w:type="dxa"/>
                    <w:right w:w="15" w:type="dxa"/>
                  </w:tcMar>
                  <w:vAlign w:val="center"/>
                </w:tcPr>
                <w:p>
                  <w:pPr>
                    <w:snapToGrid w:val="0"/>
                    <w:spacing w:line="240" w:lineRule="atLeast"/>
                    <w:jc w:val="center"/>
                    <w:rPr>
                      <w:color w:val="000000"/>
                      <w:sz w:val="21"/>
                      <w:szCs w:val="21"/>
                    </w:rPr>
                  </w:pPr>
                  <w:r>
                    <w:rPr>
                      <w:color w:val="000000"/>
                      <w:sz w:val="21"/>
                      <w:szCs w:val="21"/>
                    </w:rPr>
                    <w:t>772-007-50</w:t>
                  </w: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38" w:type="pct"/>
                  <w:vMerge w:val="continue"/>
                  <w:tcBorders>
                    <w:tl2br w:val="nil"/>
                    <w:tr2bl w:val="nil"/>
                  </w:tcBorders>
                  <w:tcMar>
                    <w:top w:w="15" w:type="dxa"/>
                    <w:left w:w="15" w:type="dxa"/>
                    <w:right w:w="15" w:type="dxa"/>
                  </w:tcMar>
                  <w:vAlign w:val="center"/>
                </w:tcPr>
                <w:p>
                  <w:pPr>
                    <w:pStyle w:val="62"/>
                    <w:adjustRightInd w:val="0"/>
                    <w:spacing w:line="320" w:lineRule="atLeast"/>
                    <w:rPr>
                      <w:color w:val="000000"/>
                      <w:sz w:val="21"/>
                    </w:rPr>
                  </w:pPr>
                </w:p>
              </w:tc>
              <w:tc>
                <w:tcPr>
                  <w:tcW w:w="561"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0.5</w:t>
                  </w:r>
                </w:p>
              </w:tc>
              <w:tc>
                <w:tcPr>
                  <w:tcW w:w="539" w:type="pct"/>
                  <w:tcBorders>
                    <w:tl2br w:val="nil"/>
                    <w:tr2bl w:val="nil"/>
                  </w:tcBorders>
                  <w:tcMar>
                    <w:top w:w="15" w:type="dxa"/>
                    <w:left w:w="15" w:type="dxa"/>
                    <w:right w:w="15" w:type="dxa"/>
                  </w:tcMar>
                  <w:vAlign w:val="center"/>
                </w:tcPr>
                <w:p>
                  <w:pPr>
                    <w:pStyle w:val="62"/>
                    <w:adjustRightInd w:val="0"/>
                    <w:spacing w:line="320" w:lineRule="atLeast"/>
                    <w:rPr>
                      <w:color w:val="000000"/>
                      <w:sz w:val="21"/>
                    </w:rPr>
                  </w:pPr>
                  <w:r>
                    <w:rPr>
                      <w:rFonts w:hint="eastAsia"/>
                      <w:color w:val="000000"/>
                      <w:sz w:val="21"/>
                    </w:rPr>
                    <w:t>6</w:t>
                  </w:r>
                  <w:r>
                    <w:rPr>
                      <w:color w:val="000000"/>
                      <w:sz w:val="21"/>
                    </w:rPr>
                    <w:t>个月</w:t>
                  </w:r>
                </w:p>
              </w:tc>
            </w:tr>
          </w:tbl>
          <w:p>
            <w:pPr>
              <w:spacing w:line="480" w:lineRule="exact"/>
              <w:ind w:firstLine="480" w:firstLineChars="200"/>
              <w:rPr>
                <w:color w:val="000000"/>
                <w:szCs w:val="22"/>
              </w:rPr>
            </w:pPr>
            <w:r>
              <w:rPr>
                <w:color w:val="000000"/>
                <w:szCs w:val="22"/>
              </w:rPr>
              <w:t>5、地下水和土壤</w:t>
            </w:r>
          </w:p>
          <w:p>
            <w:pPr>
              <w:spacing w:line="480" w:lineRule="exact"/>
              <w:ind w:firstLine="480" w:firstLineChars="200"/>
              <w:rPr>
                <w:color w:val="000000"/>
                <w:szCs w:val="22"/>
              </w:rPr>
            </w:pPr>
            <w:r>
              <w:rPr>
                <w:rFonts w:hint="eastAsia"/>
                <w:color w:val="000000"/>
                <w:szCs w:val="22"/>
              </w:rPr>
              <w:t>项目地下水环境保护措施与对策应符合《中华人民共和国水污染防治法》和《中华人民共和国环境影响评价法》的相关规定，按照“源头控制、分区防控、污染监控、应急响应”的原则进行设计。</w:t>
            </w:r>
          </w:p>
          <w:p>
            <w:pPr>
              <w:spacing w:line="480" w:lineRule="exact"/>
              <w:ind w:firstLine="480" w:firstLineChars="200"/>
              <w:rPr>
                <w:color w:val="000000"/>
                <w:szCs w:val="22"/>
              </w:rPr>
            </w:pPr>
            <w:r>
              <w:rPr>
                <w:rFonts w:hint="eastAsia"/>
                <w:color w:val="000000"/>
                <w:szCs w:val="22"/>
              </w:rPr>
              <w:t>（1）源头控制</w:t>
            </w:r>
          </w:p>
          <w:p>
            <w:pPr>
              <w:spacing w:line="480" w:lineRule="exact"/>
              <w:ind w:firstLine="480" w:firstLineChars="200"/>
              <w:rPr>
                <w:color w:val="000000"/>
                <w:szCs w:val="22"/>
              </w:rPr>
            </w:pPr>
            <w:r>
              <w:rPr>
                <w:rFonts w:hint="eastAsia"/>
                <w:color w:val="000000"/>
                <w:szCs w:val="22"/>
              </w:rPr>
              <w:t>本项目对产生的废水进行合理的治理，以先进工艺、管道、设备、污水储存，尽可能从源头上减少废水产生；严格按照国家相关规范要求，对工艺、管道、设备、污水储存及处理构筑物采取相应的措施，以防止和降低废水的跑、冒、滴、漏，将废水泄漏的环境风险事故降低到最低程度。</w:t>
            </w:r>
          </w:p>
          <w:p>
            <w:pPr>
              <w:spacing w:line="480" w:lineRule="exact"/>
              <w:ind w:firstLine="480" w:firstLineChars="200"/>
              <w:rPr>
                <w:color w:val="000000"/>
                <w:szCs w:val="22"/>
              </w:rPr>
            </w:pPr>
            <w:r>
              <w:rPr>
                <w:rFonts w:hint="eastAsia"/>
                <w:color w:val="000000"/>
                <w:szCs w:val="22"/>
              </w:rPr>
              <w:t>（2）分区防渗</w:t>
            </w:r>
          </w:p>
          <w:p>
            <w:pPr>
              <w:spacing w:line="480" w:lineRule="exact"/>
              <w:ind w:firstLine="480" w:firstLineChars="200"/>
              <w:rPr>
                <w:color w:val="000000"/>
                <w:szCs w:val="22"/>
              </w:rPr>
            </w:pPr>
            <w:r>
              <w:rPr>
                <w:rFonts w:hint="eastAsia"/>
                <w:color w:val="000000"/>
                <w:szCs w:val="22"/>
              </w:rPr>
              <w:t>项目运营过程中会产生淋雨检测废水、清洗废水等含油废水，污染物量虽然不大，但因产生的浓度高，一旦发生泄漏对场地土壤与地下水环境压力大。因此对污染风险较大的地段和区域要进行重点防渗处理。根据项目车间及公用设施产污及化学品存储等情况，厂区防渗分为重点污染防渗区和一般污染防渗区两类。</w:t>
            </w:r>
          </w:p>
          <w:p>
            <w:pPr>
              <w:spacing w:line="480" w:lineRule="exact"/>
              <w:ind w:firstLine="480" w:firstLineChars="200"/>
              <w:rPr>
                <w:color w:val="000000"/>
                <w:szCs w:val="22"/>
              </w:rPr>
            </w:pPr>
            <w:r>
              <w:rPr>
                <w:rFonts w:hint="eastAsia"/>
                <w:color w:val="000000"/>
                <w:szCs w:val="22"/>
              </w:rPr>
              <w:t>重点污染防渗区域为：喷涂车间、联合车间、化粪池、隔油池等。</w:t>
            </w:r>
          </w:p>
          <w:p>
            <w:pPr>
              <w:spacing w:line="480" w:lineRule="exact"/>
              <w:ind w:firstLine="480" w:firstLineChars="200"/>
              <w:rPr>
                <w:color w:val="000000"/>
                <w:szCs w:val="22"/>
              </w:rPr>
            </w:pPr>
            <w:r>
              <w:rPr>
                <w:rFonts w:hint="eastAsia"/>
                <w:color w:val="000000"/>
                <w:szCs w:val="22"/>
              </w:rPr>
              <w:t>喷涂车间、污水处理区：对喷漆区及化粪池、隔油池将采用混凝土池防渗结合防渗衬垫，施工时一次浇灌，并采用双层复合防渗衬垫，等效黏土防渗层</w:t>
            </w:r>
            <w:r>
              <w:rPr>
                <w:color w:val="000000"/>
                <w:szCs w:val="22"/>
              </w:rPr>
              <w:t>Mb≥6.0m</w:t>
            </w:r>
            <w:r>
              <w:rPr>
                <w:rFonts w:hint="eastAsia"/>
                <w:color w:val="000000"/>
                <w:szCs w:val="22"/>
              </w:rPr>
              <w:t>。池体用钢筋混凝土，池体内表面刷涂水泥基渗透结晶型防渗涂料（渗透系数不大于</w:t>
            </w:r>
            <w:r>
              <w:rPr>
                <w:color w:val="000000"/>
                <w:szCs w:val="22"/>
              </w:rPr>
              <w:t>1.0×10</w:t>
            </w:r>
            <w:r>
              <w:rPr>
                <w:color w:val="000000"/>
                <w:szCs w:val="22"/>
                <w:vertAlign w:val="superscript"/>
              </w:rPr>
              <w:t>-10</w:t>
            </w:r>
            <w:r>
              <w:rPr>
                <w:color w:val="000000"/>
                <w:szCs w:val="22"/>
              </w:rPr>
              <w:t>cm/s</w:t>
            </w:r>
            <w:r>
              <w:rPr>
                <w:rFonts w:hint="eastAsia"/>
                <w:color w:val="000000"/>
                <w:szCs w:val="22"/>
              </w:rPr>
              <w:t>）。</w:t>
            </w:r>
          </w:p>
          <w:p>
            <w:pPr>
              <w:spacing w:line="480" w:lineRule="exact"/>
              <w:ind w:firstLine="480" w:firstLineChars="200"/>
              <w:rPr>
                <w:color w:val="000000"/>
                <w:szCs w:val="22"/>
              </w:rPr>
            </w:pPr>
            <w:r>
              <w:rPr>
                <w:rFonts w:hint="eastAsia"/>
                <w:color w:val="000000"/>
                <w:szCs w:val="22"/>
              </w:rPr>
              <w:t>联合生产车间：联合生产车间采取粘土铺底，再在上层铺设水泥进行硬化，等效黏土防渗层</w:t>
            </w:r>
            <w:r>
              <w:rPr>
                <w:color w:val="000000"/>
                <w:szCs w:val="22"/>
              </w:rPr>
              <w:t>Mb≥6.0m</w:t>
            </w:r>
            <w:r>
              <w:rPr>
                <w:rFonts w:hint="eastAsia"/>
                <w:color w:val="000000"/>
                <w:szCs w:val="22"/>
              </w:rPr>
              <w:t>；水泥地面铺环氧树脂防渗，要求渗透系数不大于</w:t>
            </w:r>
            <w:r>
              <w:rPr>
                <w:color w:val="000000"/>
                <w:szCs w:val="22"/>
              </w:rPr>
              <w:t>1.0×10</w:t>
            </w:r>
            <w:r>
              <w:rPr>
                <w:color w:val="000000"/>
                <w:szCs w:val="22"/>
                <w:vertAlign w:val="superscript"/>
              </w:rPr>
              <w:t xml:space="preserve">-7 </w:t>
            </w:r>
            <w:r>
              <w:rPr>
                <w:color w:val="000000"/>
                <w:szCs w:val="22"/>
              </w:rPr>
              <w:t>cm/s</w:t>
            </w:r>
            <w:r>
              <w:rPr>
                <w:rFonts w:hint="eastAsia"/>
                <w:color w:val="000000"/>
                <w:szCs w:val="22"/>
              </w:rPr>
              <w:t>。地面及墙裙采用防渗防腐涂料。</w:t>
            </w:r>
          </w:p>
          <w:p>
            <w:pPr>
              <w:spacing w:line="480" w:lineRule="exact"/>
              <w:ind w:firstLine="480" w:firstLineChars="200"/>
              <w:rPr>
                <w:color w:val="000000"/>
                <w:szCs w:val="22"/>
              </w:rPr>
            </w:pPr>
            <w:r>
              <w:rPr>
                <w:rFonts w:hint="eastAsia"/>
                <w:color w:val="000000"/>
                <w:szCs w:val="22"/>
              </w:rPr>
              <w:t>一般防渗区：对于生产过程中可能产生的主要污染源的厂地和易产生工业、生活废水厂房以及运输废水管线的地带，通过在抗渗混凝土面层（包括钢筋混凝土、钢纤维混凝土）中掺水泥基渗透结晶型防水剂，其下铺砌砂石基层，原土夯实达到防渗的目的。等效黏土防渗层</w:t>
            </w:r>
            <w:r>
              <w:rPr>
                <w:color w:val="000000"/>
                <w:szCs w:val="22"/>
              </w:rPr>
              <w:t>Mb≥1.5m</w:t>
            </w:r>
            <w:r>
              <w:rPr>
                <w:rFonts w:hint="eastAsia"/>
                <w:color w:val="000000"/>
                <w:szCs w:val="22"/>
              </w:rPr>
              <w:t>，渗透系数不大于</w:t>
            </w:r>
            <w:r>
              <w:rPr>
                <w:color w:val="000000"/>
                <w:szCs w:val="22"/>
              </w:rPr>
              <w:t>1.0×10</w:t>
            </w:r>
            <w:r>
              <w:rPr>
                <w:color w:val="000000"/>
                <w:szCs w:val="22"/>
                <w:vertAlign w:val="superscript"/>
              </w:rPr>
              <w:t>-7</w:t>
            </w:r>
            <w:r>
              <w:rPr>
                <w:color w:val="000000"/>
                <w:szCs w:val="22"/>
              </w:rPr>
              <w:t>cm/s</w:t>
            </w:r>
            <w:r>
              <w:rPr>
                <w:rFonts w:hint="eastAsia"/>
                <w:color w:val="000000"/>
                <w:szCs w:val="22"/>
              </w:rPr>
              <w:t>。</w:t>
            </w:r>
          </w:p>
          <w:p>
            <w:pPr>
              <w:pStyle w:val="17"/>
              <w:adjustRightInd w:val="0"/>
              <w:snapToGrid w:val="0"/>
              <w:spacing w:line="360" w:lineRule="auto"/>
              <w:rPr>
                <w:rFonts w:ascii="Times New Roman" w:hAnsi="Times New Roman"/>
                <w:b/>
              </w:rPr>
            </w:pPr>
            <w:r>
              <w:rPr>
                <w:rFonts w:hint="eastAsia" w:ascii="Times New Roman" w:hAnsi="Times New Roman"/>
                <w:b/>
              </w:rPr>
              <w:t>6、土壤环境影响分析</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本项目属于污染影响型项目；土壤环境影响评价项目类别为Ⅲ类；永久占地规模为1.78</w:t>
            </w:r>
            <w:r>
              <w:rPr>
                <w:rFonts w:ascii="Times New Roman" w:hAnsi="Times New Roman"/>
              </w:rPr>
              <w:t>hm</w:t>
            </w:r>
            <w:r>
              <w:rPr>
                <w:rFonts w:ascii="Times New Roman" w:hAnsi="Times New Roman"/>
                <w:vertAlign w:val="superscript"/>
              </w:rPr>
              <w:t>2</w:t>
            </w:r>
            <w:r>
              <w:rPr>
                <w:rFonts w:hint="eastAsia" w:ascii="Times New Roman" w:hAnsi="Times New Roman"/>
              </w:rPr>
              <w:t>，属于小型（≤</w:t>
            </w:r>
            <w:r>
              <w:rPr>
                <w:rFonts w:ascii="Times New Roman" w:hAnsi="Times New Roman"/>
              </w:rPr>
              <w:t>5hm</w:t>
            </w:r>
            <w:r>
              <w:rPr>
                <w:rFonts w:ascii="Times New Roman" w:hAnsi="Times New Roman"/>
                <w:vertAlign w:val="superscript"/>
              </w:rPr>
              <w:t>2</w:t>
            </w:r>
            <w:r>
              <w:rPr>
                <w:rFonts w:hint="eastAsia" w:ascii="Times New Roman" w:hAnsi="Times New Roman"/>
              </w:rPr>
              <w:t>）；根据现状调查，建设项目所在地周边</w:t>
            </w:r>
            <w:r>
              <w:rPr>
                <w:rFonts w:ascii="Times New Roman" w:hAnsi="Times New Roman"/>
              </w:rPr>
              <w:t>50m</w:t>
            </w:r>
            <w:r>
              <w:rPr>
                <w:rFonts w:hint="eastAsia" w:ascii="Times New Roman" w:hAnsi="Times New Roman"/>
              </w:rPr>
              <w:t>范围内，不存在耕地、园地、牧草地、饮用水水源地或居民区、学校、医院、疗养院、养老院等，也不存在其他较敏感的土壤环境敏感目标，属于不敏感地区。</w:t>
            </w:r>
          </w:p>
          <w:p>
            <w:pPr>
              <w:pStyle w:val="17"/>
              <w:adjustRightInd w:val="0"/>
              <w:snapToGrid w:val="0"/>
              <w:spacing w:line="360" w:lineRule="auto"/>
              <w:ind w:firstLine="480" w:firstLineChars="200"/>
              <w:rPr>
                <w:rFonts w:ascii="Times New Roman" w:hAnsi="Times New Roman"/>
              </w:rPr>
            </w:pPr>
            <w:r>
              <w:rPr>
                <w:rFonts w:hint="eastAsia" w:ascii="Times New Roman" w:hAnsi="Times New Roman"/>
              </w:rPr>
              <w:t>根据土壤环境影响评价项目类别、占地规模与敏感程度划分评价等级。见表4-14。</w:t>
            </w:r>
          </w:p>
          <w:p>
            <w:pPr>
              <w:pStyle w:val="17"/>
              <w:adjustRightInd w:val="0"/>
              <w:snapToGrid w:val="0"/>
              <w:jc w:val="center"/>
              <w:rPr>
                <w:rFonts w:ascii="Times New Roman" w:hAnsi="Times New Roman"/>
                <w:b/>
              </w:rPr>
            </w:pPr>
            <w:r>
              <w:rPr>
                <w:rFonts w:hint="eastAsia" w:ascii="Times New Roman" w:hAnsi="Times New Roman"/>
                <w:b/>
              </w:rPr>
              <w:t>表4-14</w:t>
            </w:r>
            <w:r>
              <w:rPr>
                <w:rFonts w:ascii="Times New Roman" w:hAnsi="Times New Roman"/>
                <w:b/>
              </w:rPr>
              <w:t xml:space="preserve"> </w:t>
            </w:r>
            <w:r>
              <w:rPr>
                <w:rFonts w:hint="eastAsia" w:ascii="Times New Roman" w:hAnsi="Times New Roman"/>
                <w:b/>
              </w:rPr>
              <w:t>污染影响型评价工作等级划分表</w:t>
            </w:r>
          </w:p>
          <w:tbl>
            <w:tblPr>
              <w:tblStyle w:val="31"/>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54"/>
              <w:gridCol w:w="718"/>
              <w:gridCol w:w="719"/>
              <w:gridCol w:w="720"/>
              <w:gridCol w:w="720"/>
              <w:gridCol w:w="600"/>
              <w:gridCol w:w="599"/>
              <w:gridCol w:w="600"/>
              <w:gridCol w:w="600"/>
              <w:gridCol w:w="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3" w:hRule="atLeast"/>
              </w:trPr>
              <w:tc>
                <w:tcPr>
                  <w:tcW w:w="2054" w:type="dxa"/>
                  <w:vMerge w:val="restart"/>
                  <w:tcBorders>
                    <w:top w:val="single" w:color="auto" w:sz="12" w:space="0"/>
                    <w:left w:val="single" w:color="auto" w:sz="12"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mc:AlternateContent>
                      <mc:Choice Requires="wps">
                        <w:drawing>
                          <wp:anchor distT="0" distB="0" distL="114300" distR="114300" simplePos="0" relativeHeight="251674624" behindDoc="0" locked="0" layoutInCell="1" allowOverlap="1">
                            <wp:simplePos x="0" y="0"/>
                            <wp:positionH relativeFrom="column">
                              <wp:posOffset>638175</wp:posOffset>
                            </wp:positionH>
                            <wp:positionV relativeFrom="paragraph">
                              <wp:posOffset>-12065</wp:posOffset>
                            </wp:positionV>
                            <wp:extent cx="596900" cy="614680"/>
                            <wp:effectExtent l="3175" t="3175" r="9525" b="10795"/>
                            <wp:wrapNone/>
                            <wp:docPr id="164" name="直接箭头连接符 164"/>
                            <wp:cNvGraphicFramePr/>
                            <a:graphic xmlns:a="http://schemas.openxmlformats.org/drawingml/2006/main">
                              <a:graphicData uri="http://schemas.microsoft.com/office/word/2010/wordprocessingShape">
                                <wps:wsp>
                                  <wps:cNvCnPr/>
                                  <wps:spPr>
                                    <a:xfrm>
                                      <a:off x="0" y="0"/>
                                      <a:ext cx="596900" cy="61468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50.25pt;margin-top:-0.95pt;height:48.4pt;width:47pt;z-index:251674624;mso-width-relative:page;mso-height-relative:page;" filled="f" stroked="t" coordsize="21600,21600" o:gfxdata="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BYAAABkcnMvUEsBAhQAFAAAAAgAh07iQC/H06nWAAAA&#10;CQEAAA8AAAAAAAAAAQAgAAAAOAAAAGRycy9kb3ducmV2LnhtbFBLAQIUABQAAAAIAIdO4kB74sTx&#10;CQIAAAIEAAAOAAAAAAAAAAEAIAAAADsBAABkcnMvZTJvRG9jLnhtbFBLBQYAAAAABgAGAFkBAAC2&#10;BQAAAAA=&#10;">
                            <v:fill on="f" focussize="0,0"/>
                            <v:stroke color="#000000" joinstyle="round"/>
                            <v:imagedata o:title=""/>
                            <o:lock v:ext="edit" aspectratio="f"/>
                          </v:shape>
                        </w:pict>
                      </mc:Fallback>
                    </mc:AlternateContent>
                  </w:r>
                  <w:r>
                    <w:rPr>
                      <w:rFonts w:ascii="Times New Roman" w:hAnsi="Times New Roman" w:cs="Times New Roman"/>
                      <w:sz w:val="21"/>
                    </w:rPr>
                    <w:t xml:space="preserve">         占地规模       </w:t>
                  </w:r>
                </w:p>
                <w:p>
                  <w:pPr>
                    <w:pStyle w:val="17"/>
                    <w:adjustRightInd w:val="0"/>
                    <w:snapToGrid w:val="0"/>
                    <w:spacing w:line="320" w:lineRule="exact"/>
                    <w:rPr>
                      <w:rFonts w:ascii="Times New Roman" w:hAnsi="Times New Roman" w:cs="Times New Roman"/>
                      <w:sz w:val="21"/>
                    </w:rPr>
                  </w:pPr>
                  <w:r>
                    <w:rPr>
                      <w:rFonts w:ascii="Times New Roman" w:hAnsi="Times New Roman" w:cs="Times New Roman"/>
                      <w:sz w:val="21"/>
                    </w:rPr>
                    <mc:AlternateContent>
                      <mc:Choice Requires="wps">
                        <w:drawing>
                          <wp:anchor distT="0" distB="0" distL="114300" distR="114300" simplePos="0" relativeHeight="251675648" behindDoc="0" locked="0" layoutInCell="1" allowOverlap="1">
                            <wp:simplePos x="0" y="0"/>
                            <wp:positionH relativeFrom="column">
                              <wp:posOffset>-43815</wp:posOffset>
                            </wp:positionH>
                            <wp:positionV relativeFrom="paragraph">
                              <wp:posOffset>139700</wp:posOffset>
                            </wp:positionV>
                            <wp:extent cx="1285875" cy="252730"/>
                            <wp:effectExtent l="635" t="4445" r="8890" b="9525"/>
                            <wp:wrapNone/>
                            <wp:docPr id="163" name="直接箭头连接符 163"/>
                            <wp:cNvGraphicFramePr/>
                            <a:graphic xmlns:a="http://schemas.openxmlformats.org/drawingml/2006/main">
                              <a:graphicData uri="http://schemas.microsoft.com/office/word/2010/wordprocessingShape">
                                <wps:wsp>
                                  <wps:cNvCnPr/>
                                  <wps:spPr>
                                    <a:xfrm>
                                      <a:off x="0" y="0"/>
                                      <a:ext cx="1285875" cy="25273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_x0000_s1026" o:spid="_x0000_s1026" o:spt="32" type="#_x0000_t32" style="position:absolute;left:0pt;margin-left:-3.45pt;margin-top:11pt;height:19.9pt;width:101.25pt;z-index:251675648;mso-width-relative:page;mso-height-relative:page;" filled="f" stroked="t" coordsize="21600,21600" o:gfxdata="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FgAAAGRycy9QSwECFAAUAAAACACHTuJA+lw9UdcA&#10;AAAIAQAADwAAAAAAAAABACAAAAA4AAAAZHJzL2Rvd25yZXYueG1sUEsBAhQAFAAAAAgAh07iQIFP&#10;2lQKAgAAAwQAAA4AAAAAAAAAAQAgAAAAPAEAAGRycy9lMm9Eb2MueG1sUEsFBgAAAAAGAAYAWQEA&#10;ALgFAAAAAA==&#10;">
                            <v:fill on="f" focussize="0,0"/>
                            <v:stroke color="#000000" joinstyle="round"/>
                            <v:imagedata o:title=""/>
                            <o:lock v:ext="edit" aspectratio="f"/>
                          </v:shape>
                        </w:pict>
                      </mc:Fallback>
                    </mc:AlternateContent>
                  </w:r>
                  <w:r>
                    <w:rPr>
                      <w:rFonts w:ascii="Times New Roman" w:hAnsi="Times New Roman" w:cs="Times New Roman"/>
                      <w:sz w:val="21"/>
                    </w:rPr>
                    <w:t>评价工作等级</w:t>
                  </w:r>
                </w:p>
                <w:p>
                  <w:pPr>
                    <w:pStyle w:val="17"/>
                    <w:adjustRightInd w:val="0"/>
                    <w:snapToGrid w:val="0"/>
                    <w:spacing w:line="320" w:lineRule="exact"/>
                    <w:rPr>
                      <w:rFonts w:ascii="Times New Roman" w:hAnsi="Times New Roman" w:cs="Times New Roman"/>
                      <w:sz w:val="21"/>
                    </w:rPr>
                  </w:pPr>
                  <w:r>
                    <w:rPr>
                      <w:rFonts w:ascii="Times New Roman" w:hAnsi="Times New Roman" w:cs="Times New Roman"/>
                      <w:sz w:val="21"/>
                    </w:rPr>
                    <w:t>敏感程度</w:t>
                  </w:r>
                </w:p>
              </w:tc>
              <w:tc>
                <w:tcPr>
                  <w:tcW w:w="2157" w:type="dxa"/>
                  <w:gridSpan w:val="3"/>
                  <w:tcBorders>
                    <w:top w:val="single" w:color="auto" w:sz="12"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 = 1 \* ROMAN </w:instrText>
                  </w:r>
                  <w:r>
                    <w:rPr>
                      <w:rFonts w:ascii="Times New Roman" w:hAnsi="Times New Roman" w:cs="Times New Roman"/>
                      <w:sz w:val="21"/>
                    </w:rPr>
                    <w:fldChar w:fldCharType="separate"/>
                  </w:r>
                  <w:r>
                    <w:rPr>
                      <w:rFonts w:ascii="Times New Roman" w:hAnsi="Times New Roman" w:cs="Times New Roman"/>
                      <w:sz w:val="21"/>
                    </w:rPr>
                    <w:t>I</w:t>
                  </w:r>
                  <w:r>
                    <w:rPr>
                      <w:rFonts w:ascii="Times New Roman" w:hAnsi="Times New Roman" w:cs="Times New Roman"/>
                      <w:sz w:val="21"/>
                    </w:rPr>
                    <w:fldChar w:fldCharType="end"/>
                  </w:r>
                  <w:r>
                    <w:rPr>
                      <w:rFonts w:ascii="Times New Roman" w:hAnsi="Times New Roman" w:cs="Times New Roman"/>
                      <w:sz w:val="21"/>
                    </w:rPr>
                    <w:t>类</w:t>
                  </w:r>
                </w:p>
              </w:tc>
              <w:tc>
                <w:tcPr>
                  <w:tcW w:w="1919" w:type="dxa"/>
                  <w:gridSpan w:val="3"/>
                  <w:tcBorders>
                    <w:top w:val="single" w:color="auto" w:sz="12"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 = 2 \* ROMAN </w:instrText>
                  </w:r>
                  <w:r>
                    <w:rPr>
                      <w:rFonts w:ascii="Times New Roman" w:hAnsi="Times New Roman" w:cs="Times New Roman"/>
                      <w:sz w:val="21"/>
                    </w:rPr>
                    <w:fldChar w:fldCharType="separate"/>
                  </w:r>
                  <w:r>
                    <w:rPr>
                      <w:rFonts w:ascii="Times New Roman" w:hAnsi="Times New Roman" w:cs="Times New Roman"/>
                      <w:sz w:val="21"/>
                    </w:rPr>
                    <w:t>II</w:t>
                  </w:r>
                  <w:r>
                    <w:rPr>
                      <w:rFonts w:ascii="Times New Roman" w:hAnsi="Times New Roman" w:cs="Times New Roman"/>
                      <w:sz w:val="21"/>
                    </w:rPr>
                    <w:fldChar w:fldCharType="end"/>
                  </w:r>
                  <w:r>
                    <w:rPr>
                      <w:rFonts w:ascii="Times New Roman" w:hAnsi="Times New Roman" w:cs="Times New Roman"/>
                      <w:sz w:val="21"/>
                    </w:rPr>
                    <w:t>类</w:t>
                  </w:r>
                </w:p>
              </w:tc>
              <w:tc>
                <w:tcPr>
                  <w:tcW w:w="1828" w:type="dxa"/>
                  <w:gridSpan w:val="3"/>
                  <w:tcBorders>
                    <w:top w:val="single" w:color="auto" w:sz="12" w:space="0"/>
                    <w:left w:val="single" w:color="auto" w:sz="4" w:space="0"/>
                    <w:bottom w:val="single" w:color="auto" w:sz="4"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fldChar w:fldCharType="begin"/>
                  </w:r>
                  <w:r>
                    <w:rPr>
                      <w:rFonts w:ascii="Times New Roman" w:hAnsi="Times New Roman" w:cs="Times New Roman"/>
                      <w:sz w:val="21"/>
                    </w:rPr>
                    <w:instrText xml:space="preserve"> = 3 \* ROMAN </w:instrText>
                  </w:r>
                  <w:r>
                    <w:rPr>
                      <w:rFonts w:ascii="Times New Roman" w:hAnsi="Times New Roman" w:cs="Times New Roman"/>
                      <w:sz w:val="21"/>
                    </w:rPr>
                    <w:fldChar w:fldCharType="separate"/>
                  </w:r>
                  <w:r>
                    <w:rPr>
                      <w:rFonts w:ascii="Times New Roman" w:hAnsi="Times New Roman" w:cs="Times New Roman"/>
                      <w:sz w:val="21"/>
                    </w:rPr>
                    <w:t>III</w:t>
                  </w:r>
                  <w:r>
                    <w:rPr>
                      <w:rFonts w:ascii="Times New Roman" w:hAnsi="Times New Roman" w:cs="Times New Roman"/>
                      <w:sz w:val="21"/>
                    </w:rPr>
                    <w:fldChar w:fldCharType="end"/>
                  </w:r>
                  <w:r>
                    <w:rPr>
                      <w:rFonts w:ascii="Times New Roman" w:hAnsi="Times New Roman" w:cs="Times New Roman"/>
                      <w:sz w:val="21"/>
                    </w:rPr>
                    <w:t>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054" w:type="dxa"/>
                  <w:vMerge w:val="continue"/>
                  <w:tcBorders>
                    <w:top w:val="single" w:color="auto" w:sz="12" w:space="0"/>
                    <w:left w:val="single" w:color="auto" w:sz="12" w:space="0"/>
                    <w:bottom w:val="single" w:color="auto" w:sz="4" w:space="0"/>
                    <w:right w:val="single" w:color="auto" w:sz="4" w:space="0"/>
                  </w:tcBorders>
                  <w:vAlign w:val="center"/>
                </w:tcPr>
                <w:p>
                  <w:pPr>
                    <w:widowControl/>
                    <w:spacing w:line="320" w:lineRule="exact"/>
                    <w:jc w:val="left"/>
                    <w:rPr>
                      <w:sz w:val="21"/>
                      <w:szCs w:val="21"/>
                    </w:rPr>
                  </w:pPr>
                </w:p>
              </w:tc>
              <w:tc>
                <w:tcPr>
                  <w:tcW w:w="718"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大</w:t>
                  </w:r>
                </w:p>
              </w:tc>
              <w:tc>
                <w:tcPr>
                  <w:tcW w:w="71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中</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小</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中</w:t>
                  </w:r>
                </w:p>
              </w:tc>
              <w:tc>
                <w:tcPr>
                  <w:tcW w:w="59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小</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中</w:t>
                  </w:r>
                </w:p>
              </w:tc>
              <w:tc>
                <w:tcPr>
                  <w:tcW w:w="628" w:type="dxa"/>
                  <w:tcBorders>
                    <w:top w:val="single" w:color="auto" w:sz="4" w:space="0"/>
                    <w:left w:val="single" w:color="auto" w:sz="4" w:space="0"/>
                    <w:bottom w:val="single" w:color="auto" w:sz="4"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054" w:type="dxa"/>
                  <w:tcBorders>
                    <w:top w:val="single" w:color="auto" w:sz="4" w:space="0"/>
                    <w:left w:val="single" w:color="auto" w:sz="12"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敏感</w:t>
                  </w:r>
                </w:p>
              </w:tc>
              <w:tc>
                <w:tcPr>
                  <w:tcW w:w="718"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1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59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28" w:type="dxa"/>
                  <w:tcBorders>
                    <w:top w:val="single" w:color="auto" w:sz="4" w:space="0"/>
                    <w:left w:val="single" w:color="auto" w:sz="4" w:space="0"/>
                    <w:bottom w:val="single" w:color="auto" w:sz="4"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054" w:type="dxa"/>
                  <w:tcBorders>
                    <w:top w:val="single" w:color="auto" w:sz="4" w:space="0"/>
                    <w:left w:val="single" w:color="auto" w:sz="12"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较敏感</w:t>
                  </w:r>
                </w:p>
              </w:tc>
              <w:tc>
                <w:tcPr>
                  <w:tcW w:w="718"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1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59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28" w:type="dxa"/>
                  <w:tcBorders>
                    <w:top w:val="single" w:color="auto" w:sz="4" w:space="0"/>
                    <w:left w:val="single" w:color="auto" w:sz="4" w:space="0"/>
                    <w:bottom w:val="single" w:color="auto" w:sz="4"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2054" w:type="dxa"/>
                  <w:tcBorders>
                    <w:top w:val="single" w:color="auto" w:sz="4" w:space="0"/>
                    <w:left w:val="single" w:color="auto" w:sz="12"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不敏感</w:t>
                  </w:r>
                </w:p>
              </w:tc>
              <w:tc>
                <w:tcPr>
                  <w:tcW w:w="718"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一级</w:t>
                  </w:r>
                </w:p>
              </w:tc>
              <w:tc>
                <w:tcPr>
                  <w:tcW w:w="71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72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二级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599"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三级</w:t>
                  </w:r>
                </w:p>
              </w:tc>
              <w:tc>
                <w:tcPr>
                  <w:tcW w:w="600" w:type="dxa"/>
                  <w:tcBorders>
                    <w:top w:val="single" w:color="auto" w:sz="4" w:space="0"/>
                    <w:left w:val="single" w:color="auto" w:sz="4" w:space="0"/>
                    <w:bottom w:val="single" w:color="auto" w:sz="4" w:space="0"/>
                    <w:right w:val="single" w:color="auto" w:sz="4"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w:t>
                  </w:r>
                </w:p>
              </w:tc>
              <w:tc>
                <w:tcPr>
                  <w:tcW w:w="628" w:type="dxa"/>
                  <w:tcBorders>
                    <w:top w:val="single" w:color="auto" w:sz="4" w:space="0"/>
                    <w:left w:val="single" w:color="auto" w:sz="4" w:space="0"/>
                    <w:bottom w:val="single" w:color="auto" w:sz="4"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958" w:type="dxa"/>
                  <w:gridSpan w:val="10"/>
                  <w:tcBorders>
                    <w:top w:val="single" w:color="auto" w:sz="4" w:space="0"/>
                    <w:left w:val="single" w:color="auto" w:sz="12" w:space="0"/>
                    <w:bottom w:val="single" w:color="auto" w:sz="12" w:space="0"/>
                    <w:right w:val="single" w:color="auto" w:sz="12" w:space="0"/>
                  </w:tcBorders>
                  <w:vAlign w:val="center"/>
                </w:tcPr>
                <w:p>
                  <w:pPr>
                    <w:pStyle w:val="17"/>
                    <w:adjustRightInd w:val="0"/>
                    <w:snapToGrid w:val="0"/>
                    <w:spacing w:line="320" w:lineRule="exact"/>
                    <w:jc w:val="center"/>
                    <w:rPr>
                      <w:rFonts w:ascii="Times New Roman" w:hAnsi="Times New Roman" w:cs="Times New Roman"/>
                      <w:sz w:val="21"/>
                    </w:rPr>
                  </w:pPr>
                  <w:r>
                    <w:rPr>
                      <w:rFonts w:ascii="Times New Roman" w:hAnsi="Times New Roman" w:cs="Times New Roman"/>
                      <w:sz w:val="21"/>
                    </w:rPr>
                    <w:t>注：“--”表示可不开展土壤环境影响评价工作</w:t>
                  </w:r>
                </w:p>
              </w:tc>
            </w:tr>
          </w:tbl>
          <w:p>
            <w:pPr>
              <w:spacing w:line="480" w:lineRule="exact"/>
              <w:ind w:firstLine="480" w:firstLineChars="200"/>
              <w:rPr>
                <w:color w:val="000000"/>
                <w:szCs w:val="22"/>
              </w:rPr>
            </w:pPr>
            <w:r>
              <w:rPr>
                <w:rFonts w:hint="eastAsia"/>
              </w:rPr>
              <w:t>由上表可知，本项目可不开展土壤环境影响评价工作。</w:t>
            </w:r>
          </w:p>
          <w:p>
            <w:pPr>
              <w:spacing w:line="480" w:lineRule="exact"/>
              <w:rPr>
                <w:b/>
                <w:bCs/>
                <w:color w:val="000000"/>
                <w:szCs w:val="22"/>
              </w:rPr>
            </w:pPr>
            <w:r>
              <w:rPr>
                <w:rFonts w:hint="eastAsia"/>
                <w:b/>
                <w:bCs/>
                <w:color w:val="000000"/>
                <w:szCs w:val="22"/>
              </w:rPr>
              <w:t>7、生态影响</w:t>
            </w:r>
          </w:p>
          <w:p>
            <w:pPr>
              <w:spacing w:line="480" w:lineRule="exact"/>
              <w:ind w:firstLine="480" w:firstLineChars="200"/>
              <w:rPr>
                <w:color w:val="000000"/>
                <w:szCs w:val="22"/>
              </w:rPr>
            </w:pPr>
            <w:r>
              <w:rPr>
                <w:rFonts w:hint="eastAsia"/>
                <w:color w:val="000000"/>
                <w:szCs w:val="22"/>
              </w:rPr>
              <w:t>绿化工作是城市生态中不可缺少的一个重要组成部分，是一个企业文明生产的重要标志，而且绿化具有吸收有害气体，吸尘滞尘，阻隔噪声等多方面的效果。因此拟建工程应结合工程布局，合理规划，优化树种，认真搞好绿化工程。</w:t>
            </w:r>
          </w:p>
          <w:p>
            <w:pPr>
              <w:spacing w:line="480" w:lineRule="exact"/>
              <w:ind w:firstLine="480" w:firstLineChars="200"/>
              <w:rPr>
                <w:color w:val="000000"/>
                <w:szCs w:val="22"/>
              </w:rPr>
            </w:pPr>
            <w:r>
              <w:rPr>
                <w:rFonts w:hint="eastAsia"/>
                <w:color w:val="000000"/>
                <w:szCs w:val="22"/>
              </w:rPr>
              <w:t>项目总用地面积为17874.95</w:t>
            </w:r>
            <w:r>
              <w:rPr>
                <w:color w:val="000000"/>
                <w:szCs w:val="22"/>
              </w:rPr>
              <w:t>m</w:t>
            </w:r>
            <w:r>
              <w:rPr>
                <w:color w:val="000000"/>
                <w:szCs w:val="22"/>
                <w:vertAlign w:val="superscript"/>
              </w:rPr>
              <w:t>2</w:t>
            </w:r>
            <w:r>
              <w:rPr>
                <w:rFonts w:hint="eastAsia"/>
                <w:color w:val="000000"/>
                <w:szCs w:val="22"/>
              </w:rPr>
              <w:t>，其中绿化面积1787.5</w:t>
            </w:r>
            <w:r>
              <w:rPr>
                <w:color w:val="000000"/>
                <w:szCs w:val="22"/>
              </w:rPr>
              <w:t>m</w:t>
            </w:r>
            <w:r>
              <w:rPr>
                <w:color w:val="000000"/>
                <w:szCs w:val="22"/>
                <w:vertAlign w:val="superscript"/>
              </w:rPr>
              <w:t>2</w:t>
            </w:r>
            <w:r>
              <w:rPr>
                <w:rFonts w:hint="eastAsia"/>
                <w:color w:val="000000"/>
                <w:szCs w:val="22"/>
              </w:rPr>
              <w:t>，绿化率</w:t>
            </w:r>
            <w:r>
              <w:rPr>
                <w:color w:val="000000"/>
                <w:szCs w:val="22"/>
              </w:rPr>
              <w:t>10%</w:t>
            </w:r>
            <w:r>
              <w:rPr>
                <w:rFonts w:hint="eastAsia"/>
                <w:color w:val="000000"/>
                <w:szCs w:val="22"/>
              </w:rPr>
              <w:t>。为改善区域内生态环境，创建一个良好的人工环境，项目全部建成后，应尽可能增加绿化面积，完善厂区周边及内部的绿化工作，既可起到隔声和衰减噪声的作用也可防止扬尘、美化环境，具体措施及建议如下：</w:t>
            </w:r>
          </w:p>
          <w:p>
            <w:pPr>
              <w:spacing w:line="480" w:lineRule="exact"/>
              <w:ind w:firstLine="480" w:firstLineChars="200"/>
              <w:rPr>
                <w:color w:val="000000"/>
                <w:szCs w:val="22"/>
              </w:rPr>
            </w:pPr>
            <w:r>
              <w:rPr>
                <w:rFonts w:hint="eastAsia"/>
                <w:color w:val="000000"/>
                <w:szCs w:val="22"/>
              </w:rPr>
              <w:t>（1）建筑物周边绿化：车间周围以常绿、落叶树组成混交型自然式绿地，多种植草皮及地被植物，以免影响车间采光；办公室前种植枝叶浓密的常绿植物。</w:t>
            </w:r>
          </w:p>
          <w:p>
            <w:pPr>
              <w:spacing w:line="480" w:lineRule="exact"/>
              <w:ind w:firstLine="480" w:firstLineChars="200"/>
              <w:rPr>
                <w:color w:val="000000"/>
                <w:szCs w:val="22"/>
              </w:rPr>
            </w:pPr>
            <w:r>
              <w:rPr>
                <w:rFonts w:hint="eastAsia"/>
                <w:color w:val="000000"/>
                <w:szCs w:val="22"/>
              </w:rPr>
              <w:t>（2）道路两旁绿化：厂区内的主要干道和支道两边栽种高大乔木如常青、梧桐、香樟等；厂区道路两旁设</w:t>
            </w:r>
            <w:r>
              <w:rPr>
                <w:color w:val="000000"/>
                <w:szCs w:val="22"/>
              </w:rPr>
              <w:t>1.0~1.5m</w:t>
            </w:r>
            <w:r>
              <w:rPr>
                <w:rFonts w:hint="eastAsia"/>
                <w:color w:val="000000"/>
                <w:szCs w:val="22"/>
              </w:rPr>
              <w:t>的绿化带，绿化带内种植灌木、花草，如冬青、草坪等，对厂区扬尘及噪声有吸附作用。</w:t>
            </w:r>
          </w:p>
          <w:p>
            <w:pPr>
              <w:spacing w:line="480" w:lineRule="exact"/>
              <w:ind w:firstLine="480" w:firstLineChars="200"/>
              <w:rPr>
                <w:color w:val="000000"/>
                <w:szCs w:val="22"/>
              </w:rPr>
            </w:pPr>
            <w:r>
              <w:rPr>
                <w:rFonts w:hint="eastAsia"/>
                <w:color w:val="000000"/>
                <w:szCs w:val="22"/>
              </w:rPr>
              <w:t>（3）厂区四周厂界应根据企业污染物排放特点多种植一些抗性及吸附性较强的植物，如夹竹桃、刺槐、悬铃木等，尽量减少各污染物对周围环境造成的污染。</w:t>
            </w:r>
          </w:p>
          <w:p>
            <w:pPr>
              <w:pStyle w:val="29"/>
              <w:spacing w:after="0" w:line="480" w:lineRule="exact"/>
              <w:ind w:firstLine="0" w:firstLineChars="0"/>
              <w:rPr>
                <w:b/>
                <w:bCs/>
                <w:color w:val="000000"/>
                <w:sz w:val="24"/>
                <w:szCs w:val="32"/>
              </w:rPr>
            </w:pPr>
            <w:r>
              <w:rPr>
                <w:rFonts w:hint="eastAsia"/>
                <w:color w:val="000000"/>
                <w:sz w:val="24"/>
              </w:rPr>
              <w:t>8</w:t>
            </w:r>
            <w:r>
              <w:rPr>
                <w:color w:val="000000"/>
                <w:sz w:val="24"/>
              </w:rPr>
              <w:t>、</w:t>
            </w:r>
            <w:r>
              <w:rPr>
                <w:b/>
                <w:bCs/>
                <w:color w:val="000000"/>
                <w:sz w:val="24"/>
                <w:szCs w:val="32"/>
              </w:rPr>
              <w:t>电磁辐射</w:t>
            </w:r>
          </w:p>
          <w:p>
            <w:pPr>
              <w:spacing w:line="480" w:lineRule="exact"/>
              <w:ind w:firstLine="480" w:firstLineChars="200"/>
              <w:rPr>
                <w:color w:val="000000"/>
              </w:rPr>
            </w:pPr>
            <w:r>
              <w:rPr>
                <w:color w:val="000000"/>
              </w:rPr>
              <w:t>本项目不涉及电磁辐射，故不进行分析。</w:t>
            </w:r>
          </w:p>
          <w:p>
            <w:pPr>
              <w:pStyle w:val="29"/>
              <w:spacing w:after="0" w:line="480" w:lineRule="exact"/>
              <w:ind w:firstLine="0" w:firstLineChars="0"/>
              <w:rPr>
                <w:b/>
                <w:bCs/>
                <w:color w:val="000000"/>
                <w:sz w:val="24"/>
                <w:szCs w:val="32"/>
              </w:rPr>
            </w:pPr>
            <w:r>
              <w:rPr>
                <w:rFonts w:hint="eastAsia"/>
                <w:b/>
                <w:bCs/>
                <w:color w:val="000000"/>
                <w:sz w:val="24"/>
                <w:szCs w:val="32"/>
              </w:rPr>
              <w:t>9</w:t>
            </w:r>
            <w:r>
              <w:rPr>
                <w:b/>
                <w:bCs/>
                <w:color w:val="000000"/>
                <w:sz w:val="24"/>
                <w:szCs w:val="32"/>
              </w:rPr>
              <w:t>、环保投资</w:t>
            </w:r>
          </w:p>
          <w:p>
            <w:pPr>
              <w:pStyle w:val="65"/>
              <w:spacing w:line="480" w:lineRule="exact"/>
              <w:ind w:firstLine="480"/>
              <w:rPr>
                <w:color w:val="000000" w:themeColor="text1"/>
              </w:rPr>
            </w:pPr>
            <w:r>
              <w:rPr>
                <w:color w:val="000000"/>
              </w:rPr>
              <w:t>项目总投资</w:t>
            </w:r>
            <w:r>
              <w:rPr>
                <w:rFonts w:hint="eastAsia"/>
                <w:color w:val="000000"/>
              </w:rPr>
              <w:t>2000</w:t>
            </w:r>
            <w:r>
              <w:rPr>
                <w:color w:val="000000"/>
              </w:rPr>
              <w:t>万元，其中</w:t>
            </w:r>
            <w:r>
              <w:rPr>
                <w:color w:val="000000" w:themeColor="text1"/>
              </w:rPr>
              <w:t>环保投资</w:t>
            </w:r>
            <w:r>
              <w:rPr>
                <w:rFonts w:hint="eastAsia"/>
                <w:color w:val="000000" w:themeColor="text1"/>
              </w:rPr>
              <w:t>140</w:t>
            </w:r>
            <w:r>
              <w:rPr>
                <w:color w:val="000000" w:themeColor="text1"/>
              </w:rPr>
              <w:t>万元，占总投资的</w:t>
            </w:r>
            <w:r>
              <w:rPr>
                <w:rFonts w:hint="eastAsia"/>
                <w:color w:val="000000" w:themeColor="text1"/>
              </w:rPr>
              <w:t>7</w:t>
            </w:r>
            <w:r>
              <w:rPr>
                <w:color w:val="000000" w:themeColor="text1"/>
              </w:rPr>
              <w:t>%，具体构成见下表。</w:t>
            </w:r>
          </w:p>
          <w:p>
            <w:pPr>
              <w:pStyle w:val="74"/>
              <w:spacing w:line="420" w:lineRule="exact"/>
              <w:jc w:val="center"/>
              <w:rPr>
                <w:color w:val="000000"/>
                <w:sz w:val="24"/>
                <w:szCs w:val="24"/>
              </w:rPr>
            </w:pPr>
            <w:r>
              <w:rPr>
                <w:color w:val="000000" w:themeColor="text1"/>
                <w:sz w:val="24"/>
                <w:szCs w:val="24"/>
              </w:rPr>
              <w:t>表4-</w:t>
            </w:r>
            <w:r>
              <w:rPr>
                <w:rFonts w:hint="eastAsia"/>
                <w:color w:val="000000" w:themeColor="text1"/>
                <w:sz w:val="24"/>
                <w:szCs w:val="24"/>
              </w:rPr>
              <w:t>15</w:t>
            </w:r>
            <w:r>
              <w:rPr>
                <w:color w:val="000000" w:themeColor="text1"/>
                <w:sz w:val="24"/>
                <w:szCs w:val="24"/>
              </w:rPr>
              <w:t xml:space="preserve">  建设项目环保</w:t>
            </w:r>
            <w:r>
              <w:rPr>
                <w:color w:val="000000"/>
                <w:sz w:val="24"/>
                <w:szCs w:val="24"/>
              </w:rPr>
              <w:t>投资一览表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3"/>
              <w:gridCol w:w="401"/>
              <w:gridCol w:w="1445"/>
              <w:gridCol w:w="4898"/>
              <w:gridCol w:w="6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 w:hRule="atLeast"/>
                <w:jc w:val="center"/>
              </w:trPr>
              <w:tc>
                <w:tcPr>
                  <w:tcW w:w="323" w:type="pct"/>
                  <w:vAlign w:val="center"/>
                </w:tcPr>
                <w:p>
                  <w:pPr>
                    <w:pStyle w:val="62"/>
                    <w:spacing w:line="320" w:lineRule="exact"/>
                    <w:rPr>
                      <w:color w:val="000000"/>
                      <w:sz w:val="21"/>
                    </w:rPr>
                  </w:pPr>
                  <w:r>
                    <w:rPr>
                      <w:color w:val="000000"/>
                      <w:sz w:val="21"/>
                    </w:rPr>
                    <w:t>序号</w:t>
                  </w:r>
                </w:p>
              </w:tc>
              <w:tc>
                <w:tcPr>
                  <w:tcW w:w="1163" w:type="pct"/>
                  <w:gridSpan w:val="2"/>
                  <w:vAlign w:val="center"/>
                </w:tcPr>
                <w:p>
                  <w:pPr>
                    <w:pStyle w:val="62"/>
                    <w:spacing w:line="320" w:lineRule="exact"/>
                    <w:rPr>
                      <w:color w:val="000000"/>
                      <w:sz w:val="21"/>
                    </w:rPr>
                  </w:pPr>
                  <w:r>
                    <w:rPr>
                      <w:color w:val="000000"/>
                      <w:sz w:val="21"/>
                    </w:rPr>
                    <w:t>污染环节</w:t>
                  </w:r>
                </w:p>
              </w:tc>
              <w:tc>
                <w:tcPr>
                  <w:tcW w:w="3085" w:type="pct"/>
                  <w:vAlign w:val="center"/>
                </w:tcPr>
                <w:p>
                  <w:pPr>
                    <w:pStyle w:val="62"/>
                    <w:spacing w:line="320" w:lineRule="exact"/>
                    <w:rPr>
                      <w:color w:val="000000"/>
                      <w:sz w:val="21"/>
                    </w:rPr>
                  </w:pPr>
                  <w:r>
                    <w:rPr>
                      <w:color w:val="000000"/>
                      <w:sz w:val="21"/>
                    </w:rPr>
                    <w:t>环保措施</w:t>
                  </w:r>
                </w:p>
              </w:tc>
              <w:tc>
                <w:tcPr>
                  <w:tcW w:w="426" w:type="pct"/>
                  <w:vAlign w:val="center"/>
                </w:tcPr>
                <w:p>
                  <w:pPr>
                    <w:pStyle w:val="62"/>
                    <w:spacing w:line="320" w:lineRule="exact"/>
                    <w:rPr>
                      <w:color w:val="000000"/>
                      <w:sz w:val="21"/>
                    </w:rPr>
                  </w:pPr>
                  <w:r>
                    <w:rPr>
                      <w:color w:val="000000"/>
                      <w:sz w:val="21"/>
                    </w:rPr>
                    <w:t>投资</w:t>
                  </w:r>
                </w:p>
                <w:p>
                  <w:pPr>
                    <w:pStyle w:val="62"/>
                    <w:spacing w:line="320" w:lineRule="exact"/>
                    <w:rPr>
                      <w:color w:val="000000"/>
                      <w:sz w:val="21"/>
                    </w:rPr>
                  </w:pPr>
                  <w:r>
                    <w:rPr>
                      <w:color w:val="000000"/>
                      <w:sz w:val="21"/>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3" w:type="pct"/>
                  <w:vAlign w:val="center"/>
                </w:tcPr>
                <w:p>
                  <w:pPr>
                    <w:pStyle w:val="62"/>
                    <w:spacing w:line="320" w:lineRule="exact"/>
                    <w:rPr>
                      <w:color w:val="000000"/>
                      <w:sz w:val="21"/>
                    </w:rPr>
                  </w:pPr>
                  <w:r>
                    <w:rPr>
                      <w:color w:val="000000"/>
                      <w:sz w:val="21"/>
                    </w:rPr>
                    <w:t>1</w:t>
                  </w:r>
                </w:p>
              </w:tc>
              <w:tc>
                <w:tcPr>
                  <w:tcW w:w="252" w:type="pct"/>
                  <w:vMerge w:val="restart"/>
                  <w:vAlign w:val="center"/>
                </w:tcPr>
                <w:p>
                  <w:pPr>
                    <w:pStyle w:val="62"/>
                    <w:spacing w:line="320" w:lineRule="exact"/>
                    <w:rPr>
                      <w:color w:val="000000"/>
                      <w:sz w:val="21"/>
                    </w:rPr>
                  </w:pPr>
                  <w:r>
                    <w:rPr>
                      <w:color w:val="000000"/>
                      <w:sz w:val="21"/>
                    </w:rPr>
                    <w:t>废气</w:t>
                  </w:r>
                </w:p>
              </w:tc>
              <w:tc>
                <w:tcPr>
                  <w:tcW w:w="911" w:type="pct"/>
                  <w:vAlign w:val="center"/>
                </w:tcPr>
                <w:p>
                  <w:pPr>
                    <w:widowControl/>
                    <w:spacing w:line="320" w:lineRule="exact"/>
                    <w:jc w:val="center"/>
                    <w:rPr>
                      <w:color w:val="000000"/>
                      <w:sz w:val="21"/>
                      <w:szCs w:val="21"/>
                    </w:rPr>
                  </w:pPr>
                  <w:r>
                    <w:rPr>
                      <w:rFonts w:hint="eastAsia"/>
                      <w:color w:val="000000"/>
                      <w:sz w:val="21"/>
                      <w:szCs w:val="21"/>
                    </w:rPr>
                    <w:t>DA001联合厂房（一）生产过程中产生的废气</w:t>
                  </w:r>
                </w:p>
              </w:tc>
              <w:tc>
                <w:tcPr>
                  <w:tcW w:w="3085" w:type="pct"/>
                  <w:vAlign w:val="center"/>
                </w:tcPr>
                <w:p>
                  <w:pPr>
                    <w:widowControl/>
                    <w:spacing w:line="320" w:lineRule="exact"/>
                    <w:rPr>
                      <w:color w:val="000000"/>
                      <w:sz w:val="21"/>
                      <w:szCs w:val="21"/>
                    </w:rPr>
                  </w:pPr>
                  <w:r>
                    <w:rPr>
                      <w:rFonts w:hint="eastAsia"/>
                      <w:color w:val="000000"/>
                      <w:sz w:val="21"/>
                      <w:szCs w:val="21"/>
                    </w:rPr>
                    <w:t>本项目在联合厂房（一）内设一套中央除尘系统，对联合厂房（一）的各生产环节产生的烟尘进行收集和处理。在1台数控等离子切割机和2台激光切割机的侧面设侧吸式集气罩（4×0.4m），周围设围挡，废气经集气罩收集后通入布袋除尘器中处理；3台锯床的顶部分别设顶吸式集气罩（1×0.5m），周围设围挡，废气经集气罩收集后通入布袋除尘器中处理；在</w:t>
                  </w:r>
                  <w:r>
                    <w:rPr>
                      <w:color w:val="000000"/>
                      <w:sz w:val="21"/>
                      <w:szCs w:val="21"/>
                    </w:rPr>
                    <w:t>1台</w:t>
                  </w:r>
                  <w:r>
                    <w:rPr>
                      <w:rFonts w:hint="eastAsia"/>
                      <w:color w:val="000000"/>
                      <w:sz w:val="21"/>
                      <w:szCs w:val="21"/>
                    </w:rPr>
                    <w:t>龙门焊和1台门扇自动焊的焊接机上设顶吸式集气罩，周围设围挡废气经集气罩收集后通入布袋除尘器处理；对35台二保</w:t>
                  </w:r>
                  <w:r>
                    <w:rPr>
                      <w:color w:val="000000"/>
                      <w:sz w:val="21"/>
                      <w:szCs w:val="21"/>
                    </w:rPr>
                    <w:t>焊机</w:t>
                  </w:r>
                  <w:r>
                    <w:rPr>
                      <w:rFonts w:hint="eastAsia"/>
                      <w:color w:val="000000"/>
                      <w:sz w:val="21"/>
                      <w:szCs w:val="21"/>
                    </w:rPr>
                    <w:t>产生的废气，设18台顶吸式集气罩，其中2台二保焊机共用一台集气罩，集气罩的周围设围挡，废气经集气罩收集后通入布袋除尘器处理。废气经处理后经15m高排气筒（DA001）排放。</w:t>
                  </w:r>
                </w:p>
              </w:tc>
              <w:tc>
                <w:tcPr>
                  <w:tcW w:w="426" w:type="pct"/>
                  <w:vAlign w:val="center"/>
                </w:tcPr>
                <w:p>
                  <w:pPr>
                    <w:widowControl/>
                    <w:spacing w:line="320" w:lineRule="exact"/>
                    <w:jc w:val="center"/>
                    <w:rPr>
                      <w:color w:val="000000"/>
                      <w:sz w:val="21"/>
                      <w:szCs w:val="21"/>
                    </w:rPr>
                  </w:pPr>
                  <w:r>
                    <w:rPr>
                      <w:rFonts w:hint="eastAsia"/>
                      <w:color w:val="00000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3" w:type="pct"/>
                  <w:vAlign w:val="center"/>
                </w:tcPr>
                <w:p>
                  <w:pPr>
                    <w:pStyle w:val="62"/>
                    <w:spacing w:line="320" w:lineRule="exact"/>
                    <w:rPr>
                      <w:color w:val="000000"/>
                      <w:sz w:val="21"/>
                    </w:rPr>
                  </w:pPr>
                  <w:r>
                    <w:rPr>
                      <w:rFonts w:hint="eastAsia"/>
                      <w:color w:val="000000"/>
                      <w:sz w:val="21"/>
                    </w:rPr>
                    <w:t>2</w:t>
                  </w:r>
                </w:p>
              </w:tc>
              <w:tc>
                <w:tcPr>
                  <w:tcW w:w="252" w:type="pct"/>
                  <w:vMerge w:val="continue"/>
                  <w:vAlign w:val="center"/>
                </w:tcPr>
                <w:p>
                  <w:pPr>
                    <w:pStyle w:val="62"/>
                    <w:spacing w:line="320" w:lineRule="exact"/>
                    <w:rPr>
                      <w:color w:val="000000"/>
                      <w:sz w:val="21"/>
                    </w:rPr>
                  </w:pPr>
                </w:p>
              </w:tc>
              <w:tc>
                <w:tcPr>
                  <w:tcW w:w="911" w:type="pct"/>
                  <w:vAlign w:val="center"/>
                </w:tcPr>
                <w:p>
                  <w:pPr>
                    <w:widowControl/>
                    <w:spacing w:line="320" w:lineRule="exact"/>
                    <w:jc w:val="center"/>
                    <w:rPr>
                      <w:color w:val="000000"/>
                      <w:sz w:val="21"/>
                      <w:szCs w:val="21"/>
                    </w:rPr>
                  </w:pPr>
                  <w:r>
                    <w:rPr>
                      <w:rFonts w:hint="eastAsia"/>
                      <w:color w:val="000000"/>
                      <w:sz w:val="21"/>
                      <w:szCs w:val="21"/>
                    </w:rPr>
                    <w:t>DA002喷砂房产生的废气</w:t>
                  </w:r>
                </w:p>
              </w:tc>
              <w:tc>
                <w:tcPr>
                  <w:tcW w:w="3085" w:type="pct"/>
                  <w:vAlign w:val="center"/>
                </w:tcPr>
                <w:p>
                  <w:pPr>
                    <w:widowControl/>
                    <w:spacing w:line="320" w:lineRule="exact"/>
                    <w:jc w:val="center"/>
                    <w:rPr>
                      <w:color w:val="000000"/>
                      <w:sz w:val="21"/>
                      <w:szCs w:val="21"/>
                    </w:rPr>
                  </w:pPr>
                  <w:r>
                    <w:rPr>
                      <w:rFonts w:hint="eastAsia"/>
                      <w:color w:val="000000"/>
                      <w:sz w:val="21"/>
                      <w:szCs w:val="21"/>
                    </w:rPr>
                    <w:t>设置一座喷砂房，喷砂房为封闭的空间，喷砂时内部为负压状态，产生的废气经排气口通入一套布袋除尘器中处理，处理后的废气经15m高的排气筒（DA002）排放。</w:t>
                  </w:r>
                </w:p>
              </w:tc>
              <w:tc>
                <w:tcPr>
                  <w:tcW w:w="426" w:type="pct"/>
                  <w:vAlign w:val="center"/>
                </w:tcPr>
                <w:p>
                  <w:pPr>
                    <w:widowControl/>
                    <w:spacing w:line="320" w:lineRule="exact"/>
                    <w:jc w:val="center"/>
                    <w:rPr>
                      <w:color w:val="000000"/>
                      <w:sz w:val="21"/>
                      <w:szCs w:val="21"/>
                    </w:rPr>
                  </w:pPr>
                  <w:r>
                    <w:rPr>
                      <w:rFonts w:hint="eastAsia"/>
                      <w:color w:val="000000"/>
                      <w:sz w:val="21"/>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3" w:type="pct"/>
                  <w:vAlign w:val="center"/>
                </w:tcPr>
                <w:p>
                  <w:pPr>
                    <w:pStyle w:val="62"/>
                    <w:spacing w:line="320" w:lineRule="exact"/>
                    <w:rPr>
                      <w:color w:val="000000"/>
                      <w:sz w:val="21"/>
                    </w:rPr>
                  </w:pPr>
                  <w:r>
                    <w:rPr>
                      <w:rFonts w:hint="eastAsia"/>
                      <w:color w:val="000000"/>
                      <w:sz w:val="21"/>
                    </w:rPr>
                    <w:t>3</w:t>
                  </w:r>
                </w:p>
              </w:tc>
              <w:tc>
                <w:tcPr>
                  <w:tcW w:w="252" w:type="pct"/>
                  <w:vMerge w:val="continue"/>
                  <w:vAlign w:val="center"/>
                </w:tcPr>
                <w:p>
                  <w:pPr>
                    <w:pStyle w:val="62"/>
                    <w:spacing w:line="320" w:lineRule="exact"/>
                    <w:rPr>
                      <w:color w:val="000000"/>
                      <w:sz w:val="21"/>
                    </w:rPr>
                  </w:pPr>
                </w:p>
              </w:tc>
              <w:tc>
                <w:tcPr>
                  <w:tcW w:w="911" w:type="pct"/>
                  <w:vAlign w:val="center"/>
                </w:tcPr>
                <w:p>
                  <w:pPr>
                    <w:widowControl/>
                    <w:spacing w:line="320" w:lineRule="exact"/>
                    <w:jc w:val="center"/>
                    <w:rPr>
                      <w:color w:val="000000"/>
                      <w:sz w:val="21"/>
                      <w:szCs w:val="21"/>
                    </w:rPr>
                  </w:pPr>
                  <w:r>
                    <w:rPr>
                      <w:rFonts w:hint="eastAsia"/>
                      <w:color w:val="000000"/>
                      <w:sz w:val="21"/>
                      <w:szCs w:val="21"/>
                    </w:rPr>
                    <w:t>DA003喷漆房产生的废气</w:t>
                  </w:r>
                </w:p>
              </w:tc>
              <w:tc>
                <w:tcPr>
                  <w:tcW w:w="3085" w:type="pct"/>
                  <w:vAlign w:val="center"/>
                </w:tcPr>
                <w:p>
                  <w:pPr>
                    <w:widowControl/>
                    <w:spacing w:line="320" w:lineRule="exact"/>
                    <w:jc w:val="center"/>
                    <w:rPr>
                      <w:color w:val="000000"/>
                      <w:sz w:val="21"/>
                      <w:szCs w:val="21"/>
                    </w:rPr>
                  </w:pPr>
                  <w:r>
                    <w:rPr>
                      <w:rFonts w:hint="eastAsia"/>
                      <w:color w:val="000000"/>
                      <w:sz w:val="21"/>
                      <w:szCs w:val="21"/>
                    </w:rPr>
                    <w:t>设置一个喷漆房，喷漆房为封闭的空间，喷漆时内部为负压状态，</w:t>
                  </w:r>
                  <w:r>
                    <w:rPr>
                      <w:color w:val="000000"/>
                      <w:sz w:val="21"/>
                      <w:szCs w:val="21"/>
                    </w:rPr>
                    <w:t>喷漆工序</w:t>
                  </w:r>
                  <w:r>
                    <w:rPr>
                      <w:rFonts w:hint="eastAsia"/>
                      <w:color w:val="000000"/>
                      <w:sz w:val="21"/>
                      <w:szCs w:val="21"/>
                    </w:rPr>
                    <w:t>、烘干工序</w:t>
                  </w:r>
                  <w:r>
                    <w:rPr>
                      <w:color w:val="000000"/>
                      <w:sz w:val="21"/>
                      <w:szCs w:val="21"/>
                    </w:rPr>
                    <w:t>产生的废气经</w:t>
                  </w:r>
                  <w:r>
                    <w:rPr>
                      <w:rFonts w:hint="eastAsia"/>
                      <w:color w:val="000000"/>
                      <w:sz w:val="21"/>
                      <w:szCs w:val="21"/>
                    </w:rPr>
                    <w:t>排气口通入预处理装置</w:t>
                  </w:r>
                  <w:r>
                    <w:rPr>
                      <w:color w:val="000000"/>
                      <w:sz w:val="21"/>
                      <w:szCs w:val="21"/>
                    </w:rPr>
                    <w:t>+</w:t>
                  </w:r>
                  <w:r>
                    <w:rPr>
                      <w:rFonts w:hint="eastAsia"/>
                      <w:color w:val="000000"/>
                      <w:sz w:val="21"/>
                      <w:szCs w:val="21"/>
                    </w:rPr>
                    <w:t>活性炭吸附脱附+催化燃烧</w:t>
                  </w:r>
                  <w:r>
                    <w:rPr>
                      <w:color w:val="000000"/>
                      <w:sz w:val="21"/>
                      <w:szCs w:val="21"/>
                    </w:rPr>
                    <w:t>处理后，经1</w:t>
                  </w:r>
                  <w:r>
                    <w:rPr>
                      <w:rFonts w:hint="eastAsia"/>
                      <w:color w:val="000000"/>
                      <w:sz w:val="21"/>
                      <w:szCs w:val="21"/>
                    </w:rPr>
                    <w:t>5</w:t>
                  </w:r>
                  <w:r>
                    <w:rPr>
                      <w:color w:val="000000"/>
                      <w:sz w:val="21"/>
                      <w:szCs w:val="21"/>
                    </w:rPr>
                    <w:t>m</w:t>
                  </w:r>
                  <w:r>
                    <w:rPr>
                      <w:rFonts w:hint="eastAsia"/>
                      <w:color w:val="000000"/>
                      <w:sz w:val="21"/>
                      <w:szCs w:val="21"/>
                    </w:rPr>
                    <w:t>高的</w:t>
                  </w:r>
                  <w:r>
                    <w:rPr>
                      <w:color w:val="000000"/>
                      <w:sz w:val="21"/>
                      <w:szCs w:val="21"/>
                    </w:rPr>
                    <w:t>排气筒</w:t>
                  </w:r>
                  <w:r>
                    <w:rPr>
                      <w:rFonts w:hint="eastAsia"/>
                      <w:color w:val="000000"/>
                      <w:sz w:val="21"/>
                      <w:szCs w:val="21"/>
                    </w:rPr>
                    <w:t>（DA003）</w:t>
                  </w:r>
                  <w:r>
                    <w:rPr>
                      <w:color w:val="000000"/>
                      <w:sz w:val="21"/>
                      <w:szCs w:val="21"/>
                    </w:rPr>
                    <w:t>排放</w:t>
                  </w:r>
                </w:p>
              </w:tc>
              <w:tc>
                <w:tcPr>
                  <w:tcW w:w="426" w:type="pct"/>
                  <w:vAlign w:val="center"/>
                </w:tcPr>
                <w:p>
                  <w:pPr>
                    <w:pStyle w:val="62"/>
                    <w:spacing w:line="320" w:lineRule="exact"/>
                    <w:rPr>
                      <w:color w:val="000000"/>
                      <w:sz w:val="21"/>
                    </w:rPr>
                  </w:pPr>
                  <w:r>
                    <w:rPr>
                      <w:rFonts w:hint="eastAsia"/>
                      <w:color w:val="000000"/>
                      <w:sz w:val="21"/>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323" w:type="pct"/>
                  <w:vAlign w:val="center"/>
                </w:tcPr>
                <w:p>
                  <w:pPr>
                    <w:pStyle w:val="62"/>
                    <w:spacing w:line="320" w:lineRule="exact"/>
                    <w:rPr>
                      <w:color w:val="000000"/>
                      <w:sz w:val="21"/>
                    </w:rPr>
                  </w:pPr>
                  <w:r>
                    <w:rPr>
                      <w:rFonts w:hint="eastAsia"/>
                      <w:color w:val="000000"/>
                      <w:sz w:val="21"/>
                    </w:rPr>
                    <w:t>4</w:t>
                  </w:r>
                </w:p>
              </w:tc>
              <w:tc>
                <w:tcPr>
                  <w:tcW w:w="252" w:type="pct"/>
                  <w:vMerge w:val="continue"/>
                  <w:vAlign w:val="center"/>
                </w:tcPr>
                <w:p>
                  <w:pPr>
                    <w:pStyle w:val="62"/>
                    <w:spacing w:line="320" w:lineRule="exact"/>
                    <w:rPr>
                      <w:color w:val="000000"/>
                      <w:sz w:val="21"/>
                    </w:rPr>
                  </w:pPr>
                </w:p>
              </w:tc>
              <w:tc>
                <w:tcPr>
                  <w:tcW w:w="911" w:type="pct"/>
                  <w:vAlign w:val="center"/>
                </w:tcPr>
                <w:p>
                  <w:pPr>
                    <w:widowControl/>
                    <w:spacing w:line="320" w:lineRule="exact"/>
                    <w:jc w:val="center"/>
                    <w:rPr>
                      <w:color w:val="000000"/>
                      <w:sz w:val="21"/>
                      <w:szCs w:val="21"/>
                    </w:rPr>
                  </w:pPr>
                  <w:r>
                    <w:rPr>
                      <w:rFonts w:hint="eastAsia"/>
                      <w:color w:val="000000"/>
                      <w:sz w:val="21"/>
                      <w:szCs w:val="21"/>
                    </w:rPr>
                    <w:t>食堂产生的油烟</w:t>
                  </w:r>
                </w:p>
              </w:tc>
              <w:tc>
                <w:tcPr>
                  <w:tcW w:w="3085" w:type="pct"/>
                  <w:vAlign w:val="center"/>
                </w:tcPr>
                <w:p>
                  <w:pPr>
                    <w:widowControl/>
                    <w:spacing w:line="320" w:lineRule="exact"/>
                    <w:jc w:val="center"/>
                    <w:rPr>
                      <w:color w:val="000000"/>
                      <w:sz w:val="21"/>
                      <w:szCs w:val="21"/>
                    </w:rPr>
                  </w:pPr>
                  <w:r>
                    <w:rPr>
                      <w:rFonts w:hint="eastAsia"/>
                      <w:color w:val="000000"/>
                      <w:sz w:val="21"/>
                      <w:szCs w:val="21"/>
                    </w:rPr>
                    <w:t>在办公区的一楼西侧建设一间食堂，食堂产生的废气经处理效率为60%的油烟净化器处理后经排气筒排放</w:t>
                  </w:r>
                </w:p>
              </w:tc>
              <w:tc>
                <w:tcPr>
                  <w:tcW w:w="426" w:type="pct"/>
                  <w:vAlign w:val="center"/>
                </w:tcPr>
                <w:p>
                  <w:pPr>
                    <w:pStyle w:val="62"/>
                    <w:spacing w:line="320" w:lineRule="exact"/>
                    <w:rPr>
                      <w:color w:val="000000"/>
                      <w:sz w:val="21"/>
                    </w:rPr>
                  </w:pPr>
                  <w:r>
                    <w:rPr>
                      <w:rFonts w:hint="eastAsia"/>
                      <w:color w:val="000000"/>
                      <w:sz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rFonts w:hint="eastAsia"/>
                      <w:color w:val="000000"/>
                      <w:sz w:val="21"/>
                    </w:rPr>
                    <w:t>5</w:t>
                  </w:r>
                </w:p>
              </w:tc>
              <w:tc>
                <w:tcPr>
                  <w:tcW w:w="252" w:type="pct"/>
                  <w:vMerge w:val="restart"/>
                  <w:vAlign w:val="center"/>
                </w:tcPr>
                <w:p>
                  <w:pPr>
                    <w:widowControl/>
                    <w:spacing w:line="320" w:lineRule="exact"/>
                    <w:jc w:val="center"/>
                    <w:rPr>
                      <w:color w:val="000000"/>
                      <w:sz w:val="21"/>
                      <w:szCs w:val="21"/>
                    </w:rPr>
                  </w:pPr>
                  <w:r>
                    <w:rPr>
                      <w:color w:val="000000"/>
                      <w:sz w:val="21"/>
                      <w:szCs w:val="21"/>
                    </w:rPr>
                    <w:t>废水</w:t>
                  </w:r>
                </w:p>
              </w:tc>
              <w:tc>
                <w:tcPr>
                  <w:tcW w:w="911" w:type="pct"/>
                  <w:vAlign w:val="center"/>
                </w:tcPr>
                <w:p>
                  <w:pPr>
                    <w:widowControl/>
                    <w:spacing w:line="320" w:lineRule="exact"/>
                    <w:jc w:val="center"/>
                    <w:rPr>
                      <w:color w:val="000000"/>
                      <w:kern w:val="0"/>
                      <w:sz w:val="21"/>
                      <w:szCs w:val="21"/>
                    </w:rPr>
                  </w:pPr>
                  <w:r>
                    <w:rPr>
                      <w:color w:val="000000"/>
                      <w:sz w:val="21"/>
                      <w:szCs w:val="21"/>
                    </w:rPr>
                    <w:t>生活污水</w:t>
                  </w:r>
                </w:p>
              </w:tc>
              <w:tc>
                <w:tcPr>
                  <w:tcW w:w="3085" w:type="pct"/>
                  <w:vAlign w:val="center"/>
                </w:tcPr>
                <w:p>
                  <w:pPr>
                    <w:widowControl/>
                    <w:spacing w:line="320" w:lineRule="exact"/>
                    <w:jc w:val="center"/>
                    <w:rPr>
                      <w:color w:val="000000"/>
                      <w:sz w:val="21"/>
                      <w:szCs w:val="21"/>
                    </w:rPr>
                  </w:pPr>
                  <w:r>
                    <w:rPr>
                      <w:rFonts w:hint="eastAsia"/>
                      <w:sz w:val="21"/>
                      <w:szCs w:val="21"/>
                    </w:rPr>
                    <w:t>生活污水经3m</w:t>
                  </w:r>
                  <w:r>
                    <w:rPr>
                      <w:rFonts w:hint="eastAsia"/>
                      <w:sz w:val="21"/>
                      <w:szCs w:val="21"/>
                      <w:vertAlign w:val="superscript"/>
                    </w:rPr>
                    <w:t>3</w:t>
                  </w:r>
                  <w:r>
                    <w:rPr>
                      <w:rFonts w:hint="eastAsia"/>
                      <w:sz w:val="21"/>
                      <w:szCs w:val="21"/>
                    </w:rPr>
                    <w:t>化粪池处理后通过市政管网排入长子县城东污水处理厂</w:t>
                  </w:r>
                </w:p>
              </w:tc>
              <w:tc>
                <w:tcPr>
                  <w:tcW w:w="426" w:type="pct"/>
                  <w:vAlign w:val="center"/>
                </w:tcPr>
                <w:p>
                  <w:pPr>
                    <w:pStyle w:val="62"/>
                    <w:spacing w:line="320" w:lineRule="exact"/>
                    <w:rPr>
                      <w:color w:val="000000"/>
                      <w:sz w:val="21"/>
                    </w:rPr>
                  </w:pPr>
                  <w:r>
                    <w:rPr>
                      <w:rFonts w:hint="eastAsia"/>
                      <w:color w:val="000000"/>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rFonts w:hint="eastAsia"/>
                      <w:color w:val="000000"/>
                      <w:sz w:val="21"/>
                    </w:rPr>
                    <w:t>6</w:t>
                  </w:r>
                </w:p>
              </w:tc>
              <w:tc>
                <w:tcPr>
                  <w:tcW w:w="252" w:type="pct"/>
                  <w:vMerge w:val="continue"/>
                  <w:vAlign w:val="center"/>
                </w:tcPr>
                <w:p>
                  <w:pPr>
                    <w:widowControl/>
                    <w:spacing w:line="320" w:lineRule="exact"/>
                    <w:jc w:val="center"/>
                    <w:rPr>
                      <w:color w:val="000000"/>
                      <w:sz w:val="21"/>
                      <w:szCs w:val="21"/>
                    </w:rPr>
                  </w:pPr>
                </w:p>
              </w:tc>
              <w:tc>
                <w:tcPr>
                  <w:tcW w:w="911" w:type="pct"/>
                  <w:vAlign w:val="center"/>
                </w:tcPr>
                <w:p>
                  <w:pPr>
                    <w:widowControl/>
                    <w:spacing w:line="320" w:lineRule="exact"/>
                    <w:jc w:val="center"/>
                    <w:rPr>
                      <w:color w:val="000000"/>
                      <w:sz w:val="21"/>
                      <w:szCs w:val="21"/>
                    </w:rPr>
                  </w:pPr>
                  <w:r>
                    <w:rPr>
                      <w:rFonts w:hint="eastAsia"/>
                      <w:color w:val="000000"/>
                      <w:sz w:val="21"/>
                      <w:szCs w:val="21"/>
                    </w:rPr>
                    <w:t>食堂废水</w:t>
                  </w:r>
                </w:p>
              </w:tc>
              <w:tc>
                <w:tcPr>
                  <w:tcW w:w="3085" w:type="pct"/>
                  <w:vAlign w:val="center"/>
                </w:tcPr>
                <w:p>
                  <w:pPr>
                    <w:widowControl/>
                    <w:spacing w:line="320" w:lineRule="exact"/>
                    <w:jc w:val="center"/>
                    <w:rPr>
                      <w:sz w:val="21"/>
                      <w:szCs w:val="21"/>
                    </w:rPr>
                  </w:pPr>
                  <w:r>
                    <w:rPr>
                      <w:rFonts w:hint="eastAsia"/>
                      <w:sz w:val="21"/>
                      <w:szCs w:val="21"/>
                    </w:rPr>
                    <w:t>食堂废水经3m</w:t>
                  </w:r>
                  <w:r>
                    <w:rPr>
                      <w:rFonts w:hint="eastAsia"/>
                      <w:sz w:val="21"/>
                      <w:szCs w:val="21"/>
                      <w:vertAlign w:val="superscript"/>
                    </w:rPr>
                    <w:t>3</w:t>
                  </w:r>
                  <w:r>
                    <w:rPr>
                      <w:rFonts w:hint="eastAsia"/>
                      <w:sz w:val="21"/>
                      <w:szCs w:val="21"/>
                    </w:rPr>
                    <w:t>隔油池处理后进入厂区化粪池，通过市政管网排入长子县城东污水处理厂</w:t>
                  </w:r>
                </w:p>
              </w:tc>
              <w:tc>
                <w:tcPr>
                  <w:tcW w:w="426" w:type="pct"/>
                  <w:vAlign w:val="center"/>
                </w:tcPr>
                <w:p>
                  <w:pPr>
                    <w:pStyle w:val="62"/>
                    <w:spacing w:line="320" w:lineRule="exact"/>
                    <w:rPr>
                      <w:color w:val="000000"/>
                      <w:sz w:val="21"/>
                    </w:rPr>
                  </w:pPr>
                  <w:r>
                    <w:rPr>
                      <w:rFonts w:hint="eastAsia"/>
                      <w:color w:val="000000"/>
                      <w:sz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rFonts w:hint="eastAsia"/>
                      <w:color w:val="000000"/>
                      <w:sz w:val="21"/>
                    </w:rPr>
                    <w:t>7</w:t>
                  </w:r>
                </w:p>
              </w:tc>
              <w:tc>
                <w:tcPr>
                  <w:tcW w:w="252" w:type="pct"/>
                  <w:vMerge w:val="restart"/>
                  <w:vAlign w:val="center"/>
                </w:tcPr>
                <w:p>
                  <w:pPr>
                    <w:pStyle w:val="62"/>
                    <w:spacing w:line="320" w:lineRule="exact"/>
                    <w:rPr>
                      <w:color w:val="000000"/>
                      <w:sz w:val="21"/>
                    </w:rPr>
                  </w:pPr>
                  <w:r>
                    <w:rPr>
                      <w:color w:val="000000"/>
                      <w:sz w:val="21"/>
                    </w:rPr>
                    <w:t>固体废物</w:t>
                  </w:r>
                </w:p>
              </w:tc>
              <w:tc>
                <w:tcPr>
                  <w:tcW w:w="911" w:type="pct"/>
                  <w:vAlign w:val="center"/>
                </w:tcPr>
                <w:p>
                  <w:pPr>
                    <w:widowControl/>
                    <w:spacing w:line="320" w:lineRule="exact"/>
                    <w:jc w:val="center"/>
                    <w:rPr>
                      <w:color w:val="000000"/>
                      <w:kern w:val="0"/>
                      <w:sz w:val="21"/>
                      <w:szCs w:val="21"/>
                    </w:rPr>
                  </w:pPr>
                  <w:r>
                    <w:rPr>
                      <w:bCs/>
                      <w:color w:val="000000"/>
                      <w:sz w:val="21"/>
                      <w:szCs w:val="21"/>
                    </w:rPr>
                    <w:t>生活垃圾</w:t>
                  </w:r>
                </w:p>
              </w:tc>
              <w:tc>
                <w:tcPr>
                  <w:tcW w:w="3085" w:type="pct"/>
                  <w:vAlign w:val="center"/>
                </w:tcPr>
                <w:p>
                  <w:pPr>
                    <w:widowControl/>
                    <w:spacing w:line="320" w:lineRule="exact"/>
                    <w:jc w:val="center"/>
                    <w:rPr>
                      <w:color w:val="000000"/>
                      <w:sz w:val="21"/>
                      <w:szCs w:val="21"/>
                    </w:rPr>
                  </w:pPr>
                  <w:r>
                    <w:rPr>
                      <w:bCs/>
                      <w:color w:val="000000"/>
                      <w:sz w:val="21"/>
                      <w:szCs w:val="21"/>
                    </w:rPr>
                    <w:t>集中收集后由环卫部门定期清运。</w:t>
                  </w:r>
                </w:p>
              </w:tc>
              <w:tc>
                <w:tcPr>
                  <w:tcW w:w="426" w:type="pct"/>
                  <w:vAlign w:val="center"/>
                </w:tcPr>
                <w:p>
                  <w:pPr>
                    <w:pStyle w:val="62"/>
                    <w:spacing w:line="320" w:lineRule="exact"/>
                    <w:rPr>
                      <w:color w:val="000000"/>
                      <w:sz w:val="21"/>
                    </w:rPr>
                  </w:pPr>
                  <w:r>
                    <w:rPr>
                      <w:rFonts w:hint="eastAsia"/>
                      <w:color w:val="000000"/>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rFonts w:hint="eastAsia"/>
                      <w:color w:val="000000"/>
                      <w:sz w:val="21"/>
                    </w:rPr>
                    <w:t>8</w:t>
                  </w:r>
                </w:p>
              </w:tc>
              <w:tc>
                <w:tcPr>
                  <w:tcW w:w="252" w:type="pct"/>
                  <w:vMerge w:val="continue"/>
                  <w:vAlign w:val="center"/>
                </w:tcPr>
                <w:p>
                  <w:pPr>
                    <w:pStyle w:val="62"/>
                    <w:spacing w:line="320" w:lineRule="exact"/>
                    <w:rPr>
                      <w:color w:val="000000"/>
                      <w:sz w:val="21"/>
                    </w:rPr>
                  </w:pPr>
                </w:p>
              </w:tc>
              <w:tc>
                <w:tcPr>
                  <w:tcW w:w="911" w:type="pct"/>
                  <w:vAlign w:val="center"/>
                </w:tcPr>
                <w:p>
                  <w:pPr>
                    <w:widowControl/>
                    <w:spacing w:line="320" w:lineRule="exact"/>
                    <w:jc w:val="center"/>
                    <w:rPr>
                      <w:color w:val="000000" w:themeColor="text1"/>
                      <w:sz w:val="21"/>
                      <w:szCs w:val="21"/>
                    </w:rPr>
                  </w:pPr>
                  <w:r>
                    <w:rPr>
                      <w:bCs/>
                      <w:color w:val="000000" w:themeColor="text1"/>
                      <w:sz w:val="21"/>
                      <w:szCs w:val="21"/>
                    </w:rPr>
                    <w:t>除尘灰</w:t>
                  </w:r>
                </w:p>
              </w:tc>
              <w:tc>
                <w:tcPr>
                  <w:tcW w:w="3085" w:type="pct"/>
                  <w:vAlign w:val="center"/>
                </w:tcPr>
                <w:p>
                  <w:pPr>
                    <w:widowControl/>
                    <w:spacing w:line="320" w:lineRule="exact"/>
                    <w:jc w:val="center"/>
                    <w:rPr>
                      <w:color w:val="000000" w:themeColor="text1"/>
                      <w:sz w:val="21"/>
                      <w:szCs w:val="21"/>
                    </w:rPr>
                  </w:pPr>
                  <w:r>
                    <w:rPr>
                      <w:rFonts w:hint="eastAsia"/>
                      <w:bCs/>
                      <w:color w:val="000000" w:themeColor="text1"/>
                      <w:sz w:val="21"/>
                      <w:szCs w:val="21"/>
                    </w:rPr>
                    <w:t>切割下料、焊接产生的除尘灰、焊渣和废铁屑定期外售</w:t>
                  </w:r>
                  <w:r>
                    <w:rPr>
                      <w:bCs/>
                      <w:color w:val="000000" w:themeColor="text1"/>
                      <w:sz w:val="21"/>
                      <w:szCs w:val="21"/>
                    </w:rPr>
                    <w:t>。</w:t>
                  </w:r>
                  <w:r>
                    <w:rPr>
                      <w:rFonts w:hint="eastAsia"/>
                      <w:bCs/>
                      <w:color w:val="000000" w:themeColor="text1"/>
                      <w:sz w:val="21"/>
                      <w:szCs w:val="21"/>
                    </w:rPr>
                    <w:t>喷粉室产生的除尘灰回用于生产。</w:t>
                  </w:r>
                </w:p>
              </w:tc>
              <w:tc>
                <w:tcPr>
                  <w:tcW w:w="426" w:type="pct"/>
                  <w:vAlign w:val="center"/>
                </w:tcPr>
                <w:p>
                  <w:pPr>
                    <w:pStyle w:val="62"/>
                    <w:spacing w:line="320" w:lineRule="exact"/>
                    <w:rPr>
                      <w:color w:val="000000"/>
                      <w:sz w:val="21"/>
                    </w:rPr>
                  </w:pPr>
                  <w:r>
                    <w:rPr>
                      <w:rFonts w:hint="eastAsia"/>
                      <w:color w:val="000000"/>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rFonts w:hint="eastAsia"/>
                      <w:color w:val="000000"/>
                      <w:sz w:val="21"/>
                    </w:rPr>
                    <w:t>9</w:t>
                  </w:r>
                </w:p>
              </w:tc>
              <w:tc>
                <w:tcPr>
                  <w:tcW w:w="252" w:type="pct"/>
                  <w:vMerge w:val="continue"/>
                  <w:vAlign w:val="center"/>
                </w:tcPr>
                <w:p>
                  <w:pPr>
                    <w:pStyle w:val="62"/>
                    <w:spacing w:line="320" w:lineRule="exact"/>
                    <w:rPr>
                      <w:color w:val="000000"/>
                      <w:sz w:val="21"/>
                    </w:rPr>
                  </w:pPr>
                </w:p>
              </w:tc>
              <w:tc>
                <w:tcPr>
                  <w:tcW w:w="911" w:type="pct"/>
                  <w:vAlign w:val="center"/>
                </w:tcPr>
                <w:p>
                  <w:pPr>
                    <w:widowControl/>
                    <w:spacing w:line="320" w:lineRule="exact"/>
                    <w:jc w:val="center"/>
                    <w:rPr>
                      <w:bCs/>
                      <w:color w:val="000000" w:themeColor="text1"/>
                      <w:sz w:val="21"/>
                      <w:szCs w:val="21"/>
                    </w:rPr>
                  </w:pPr>
                  <w:r>
                    <w:rPr>
                      <w:rFonts w:hint="eastAsia"/>
                      <w:bCs/>
                      <w:color w:val="000000" w:themeColor="text1"/>
                      <w:sz w:val="21"/>
                      <w:szCs w:val="21"/>
                    </w:rPr>
                    <w:t>废液压油、废液压油桶、废乳化液、废水性漆桶、废活性炭、废棉纱、废漆渣、废催化剂、废过滤棉等</w:t>
                  </w:r>
                </w:p>
              </w:tc>
              <w:tc>
                <w:tcPr>
                  <w:tcW w:w="3085" w:type="pct"/>
                  <w:vAlign w:val="center"/>
                </w:tcPr>
                <w:p>
                  <w:pPr>
                    <w:widowControl/>
                    <w:spacing w:line="320" w:lineRule="exact"/>
                    <w:jc w:val="center"/>
                    <w:rPr>
                      <w:bCs/>
                      <w:color w:val="000000" w:themeColor="text1"/>
                      <w:sz w:val="21"/>
                      <w:szCs w:val="21"/>
                    </w:rPr>
                  </w:pPr>
                  <w:r>
                    <w:rPr>
                      <w:rFonts w:hint="eastAsia"/>
                      <w:bCs/>
                      <w:color w:val="000000" w:themeColor="text1"/>
                      <w:sz w:val="21"/>
                      <w:szCs w:val="21"/>
                    </w:rPr>
                    <w:t>在厂区的东南侧，联合厂房（一）的东侧，</w:t>
                  </w:r>
                  <w:r>
                    <w:rPr>
                      <w:bCs/>
                      <w:color w:val="000000" w:themeColor="text1"/>
                      <w:sz w:val="21"/>
                      <w:szCs w:val="21"/>
                    </w:rPr>
                    <w:t>设置一</w:t>
                  </w:r>
                  <w:r>
                    <w:rPr>
                      <w:rFonts w:hint="eastAsia"/>
                      <w:bCs/>
                      <w:color w:val="000000" w:themeColor="text1"/>
                      <w:sz w:val="21"/>
                      <w:szCs w:val="21"/>
                    </w:rPr>
                    <w:t>间10</w:t>
                  </w:r>
                  <w:r>
                    <w:rPr>
                      <w:bCs/>
                      <w:color w:val="000000" w:themeColor="text1"/>
                      <w:sz w:val="21"/>
                      <w:szCs w:val="21"/>
                    </w:rPr>
                    <w:t>m</w:t>
                  </w:r>
                  <w:r>
                    <w:rPr>
                      <w:bCs/>
                      <w:color w:val="000000" w:themeColor="text1"/>
                      <w:sz w:val="21"/>
                      <w:szCs w:val="21"/>
                      <w:vertAlign w:val="superscript"/>
                    </w:rPr>
                    <w:t>2</w:t>
                  </w:r>
                  <w:r>
                    <w:rPr>
                      <w:bCs/>
                      <w:color w:val="000000" w:themeColor="text1"/>
                      <w:sz w:val="21"/>
                      <w:szCs w:val="21"/>
                    </w:rPr>
                    <w:t>危废暂存间，</w:t>
                  </w:r>
                  <w:r>
                    <w:rPr>
                      <w:rFonts w:hint="eastAsia"/>
                      <w:bCs/>
                      <w:color w:val="000000" w:themeColor="text1"/>
                      <w:sz w:val="21"/>
                      <w:szCs w:val="21"/>
                    </w:rPr>
                    <w:t>废液压油、废液压油桶、废乳化液、废水性漆桶、废活性炭、废棉纱、废漆渣、废催化剂、废过滤棉等收集到危废暂存间内暂存，</w:t>
                  </w:r>
                  <w:r>
                    <w:rPr>
                      <w:bCs/>
                      <w:color w:val="000000" w:themeColor="text1"/>
                      <w:sz w:val="21"/>
                      <w:szCs w:val="21"/>
                    </w:rPr>
                    <w:t>委托有资质单位定期处置。要求危废暂存间进行防渗处理，并设置围堰</w:t>
                  </w:r>
                  <w:r>
                    <w:rPr>
                      <w:rFonts w:hint="eastAsia"/>
                      <w:bCs/>
                      <w:color w:val="000000" w:themeColor="text1"/>
                      <w:sz w:val="21"/>
                      <w:szCs w:val="21"/>
                    </w:rPr>
                    <w:t>、刷地坪漆和设导流渠</w:t>
                  </w:r>
                  <w:r>
                    <w:rPr>
                      <w:bCs/>
                      <w:color w:val="000000" w:themeColor="text1"/>
                      <w:sz w:val="21"/>
                      <w:szCs w:val="21"/>
                    </w:rPr>
                    <w:t>以防溢流。</w:t>
                  </w:r>
                </w:p>
              </w:tc>
              <w:tc>
                <w:tcPr>
                  <w:tcW w:w="426" w:type="pct"/>
                  <w:vAlign w:val="center"/>
                </w:tcPr>
                <w:p>
                  <w:pPr>
                    <w:pStyle w:val="62"/>
                    <w:spacing w:line="320" w:lineRule="exact"/>
                    <w:rPr>
                      <w:color w:val="000000"/>
                      <w:sz w:val="21"/>
                    </w:rPr>
                  </w:pPr>
                  <w:r>
                    <w:rPr>
                      <w:rFonts w:hint="eastAsia"/>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23" w:type="pct"/>
                  <w:vAlign w:val="center"/>
                </w:tcPr>
                <w:p>
                  <w:pPr>
                    <w:pStyle w:val="62"/>
                    <w:spacing w:line="320" w:lineRule="exact"/>
                    <w:rPr>
                      <w:color w:val="000000"/>
                      <w:sz w:val="21"/>
                    </w:rPr>
                  </w:pPr>
                  <w:r>
                    <w:rPr>
                      <w:rFonts w:hint="eastAsia"/>
                      <w:color w:val="000000"/>
                      <w:sz w:val="21"/>
                    </w:rPr>
                    <w:t>10</w:t>
                  </w:r>
                </w:p>
              </w:tc>
              <w:tc>
                <w:tcPr>
                  <w:tcW w:w="252" w:type="pct"/>
                  <w:vMerge w:val="continue"/>
                  <w:vAlign w:val="center"/>
                </w:tcPr>
                <w:p>
                  <w:pPr>
                    <w:pStyle w:val="62"/>
                    <w:spacing w:line="320" w:lineRule="exact"/>
                    <w:rPr>
                      <w:color w:val="000000"/>
                      <w:sz w:val="21"/>
                    </w:rPr>
                  </w:pPr>
                </w:p>
              </w:tc>
              <w:tc>
                <w:tcPr>
                  <w:tcW w:w="1446" w:type="dxa"/>
                  <w:vAlign w:val="center"/>
                </w:tcPr>
                <w:p>
                  <w:pPr>
                    <w:widowControl/>
                    <w:spacing w:line="320" w:lineRule="exact"/>
                    <w:jc w:val="center"/>
                    <w:rPr>
                      <w:color w:val="000000" w:themeColor="text1"/>
                      <w:sz w:val="21"/>
                      <w:szCs w:val="21"/>
                    </w:rPr>
                  </w:pPr>
                  <w:r>
                    <w:rPr>
                      <w:bCs/>
                      <w:color w:val="000000" w:themeColor="text1"/>
                      <w:sz w:val="21"/>
                      <w:szCs w:val="21"/>
                    </w:rPr>
                    <w:t>废弃边角料</w:t>
                  </w:r>
                </w:p>
              </w:tc>
              <w:tc>
                <w:tcPr>
                  <w:tcW w:w="4896" w:type="dxa"/>
                  <w:vAlign w:val="center"/>
                </w:tcPr>
                <w:p>
                  <w:pPr>
                    <w:widowControl/>
                    <w:spacing w:line="320" w:lineRule="exact"/>
                    <w:jc w:val="center"/>
                    <w:rPr>
                      <w:color w:val="000000" w:themeColor="text1"/>
                      <w:sz w:val="21"/>
                      <w:szCs w:val="21"/>
                    </w:rPr>
                  </w:pPr>
                  <w:r>
                    <w:rPr>
                      <w:bCs/>
                      <w:color w:val="000000" w:themeColor="text1"/>
                      <w:sz w:val="21"/>
                      <w:szCs w:val="21"/>
                    </w:rPr>
                    <w:t>在生产过程中产生的废弃边角料外售，得到合理处置</w:t>
                  </w:r>
                </w:p>
              </w:tc>
              <w:tc>
                <w:tcPr>
                  <w:tcW w:w="426" w:type="pct"/>
                  <w:vAlign w:val="center"/>
                </w:tcPr>
                <w:p>
                  <w:pPr>
                    <w:pStyle w:val="62"/>
                    <w:spacing w:line="320" w:lineRule="exact"/>
                    <w:rPr>
                      <w:color w:val="000000"/>
                      <w:sz w:val="21"/>
                    </w:rPr>
                  </w:pPr>
                  <w:r>
                    <w:rPr>
                      <w:rFonts w:hint="eastAsia"/>
                      <w:color w:val="000000"/>
                      <w:sz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23" w:type="pct"/>
                  <w:vAlign w:val="center"/>
                </w:tcPr>
                <w:p>
                  <w:pPr>
                    <w:pStyle w:val="62"/>
                    <w:spacing w:line="320" w:lineRule="exact"/>
                    <w:rPr>
                      <w:color w:val="000000"/>
                      <w:sz w:val="21"/>
                    </w:rPr>
                  </w:pPr>
                  <w:r>
                    <w:rPr>
                      <w:rFonts w:hint="eastAsia"/>
                      <w:color w:val="000000"/>
                      <w:sz w:val="21"/>
                    </w:rPr>
                    <w:t>11</w:t>
                  </w:r>
                </w:p>
              </w:tc>
              <w:tc>
                <w:tcPr>
                  <w:tcW w:w="252" w:type="pct"/>
                  <w:vAlign w:val="center"/>
                </w:tcPr>
                <w:p>
                  <w:pPr>
                    <w:pStyle w:val="62"/>
                    <w:spacing w:line="320" w:lineRule="exact"/>
                    <w:rPr>
                      <w:color w:val="000000"/>
                      <w:sz w:val="21"/>
                    </w:rPr>
                  </w:pPr>
                  <w:r>
                    <w:rPr>
                      <w:color w:val="000000"/>
                      <w:sz w:val="21"/>
                    </w:rPr>
                    <w:t>噪声</w:t>
                  </w:r>
                </w:p>
              </w:tc>
              <w:tc>
                <w:tcPr>
                  <w:tcW w:w="911" w:type="pct"/>
                  <w:vAlign w:val="center"/>
                </w:tcPr>
                <w:p>
                  <w:pPr>
                    <w:pStyle w:val="62"/>
                    <w:spacing w:line="320" w:lineRule="exact"/>
                    <w:rPr>
                      <w:color w:val="000000"/>
                      <w:kern w:val="0"/>
                      <w:sz w:val="21"/>
                    </w:rPr>
                  </w:pPr>
                  <w:r>
                    <w:rPr>
                      <w:color w:val="000000"/>
                      <w:kern w:val="0"/>
                      <w:sz w:val="21"/>
                    </w:rPr>
                    <w:t>设备噪声</w:t>
                  </w:r>
                </w:p>
              </w:tc>
              <w:tc>
                <w:tcPr>
                  <w:tcW w:w="3085" w:type="pct"/>
                  <w:vAlign w:val="center"/>
                </w:tcPr>
                <w:p>
                  <w:pPr>
                    <w:pStyle w:val="71"/>
                    <w:spacing w:line="320" w:lineRule="exact"/>
                    <w:rPr>
                      <w:rFonts w:ascii="Times New Roman" w:hAnsi="Times New Roman" w:cs="Times New Roman"/>
                      <w:color w:val="000000"/>
                      <w:sz w:val="21"/>
                      <w:szCs w:val="21"/>
                      <w:lang w:val="en-US"/>
                    </w:rPr>
                  </w:pPr>
                  <w:r>
                    <w:rPr>
                      <w:rFonts w:ascii="Times New Roman" w:hAnsi="Times New Roman" w:cs="Times New Roman"/>
                      <w:bCs/>
                      <w:color w:val="000000"/>
                      <w:sz w:val="21"/>
                      <w:szCs w:val="21"/>
                    </w:rPr>
                    <w:t>定期维护、基础减震、安装消声器、采用软连接、封闭厂房、绿化隔离</w:t>
                  </w:r>
                </w:p>
              </w:tc>
              <w:tc>
                <w:tcPr>
                  <w:tcW w:w="426" w:type="pct"/>
                  <w:vAlign w:val="center"/>
                </w:tcPr>
                <w:p>
                  <w:pPr>
                    <w:pStyle w:val="62"/>
                    <w:spacing w:line="320" w:lineRule="exact"/>
                    <w:rPr>
                      <w:color w:val="000000"/>
                      <w:sz w:val="21"/>
                    </w:rPr>
                  </w:pPr>
                  <w:r>
                    <w:rPr>
                      <w:rFonts w:hint="eastAsia"/>
                      <w:color w:val="000000"/>
                      <w:sz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23" w:type="pct"/>
                  <w:vAlign w:val="center"/>
                </w:tcPr>
                <w:p>
                  <w:pPr>
                    <w:pStyle w:val="62"/>
                    <w:spacing w:line="320" w:lineRule="exact"/>
                    <w:rPr>
                      <w:color w:val="000000"/>
                      <w:sz w:val="21"/>
                    </w:rPr>
                  </w:pPr>
                  <w:r>
                    <w:rPr>
                      <w:color w:val="000000"/>
                      <w:sz w:val="21"/>
                    </w:rPr>
                    <w:t>合计</w:t>
                  </w:r>
                </w:p>
              </w:tc>
              <w:tc>
                <w:tcPr>
                  <w:tcW w:w="4249" w:type="pct"/>
                  <w:gridSpan w:val="3"/>
                  <w:vAlign w:val="center"/>
                </w:tcPr>
                <w:p>
                  <w:pPr>
                    <w:pStyle w:val="62"/>
                    <w:spacing w:line="320" w:lineRule="exact"/>
                    <w:rPr>
                      <w:color w:val="000000"/>
                      <w:sz w:val="21"/>
                    </w:rPr>
                  </w:pPr>
                  <w:r>
                    <w:rPr>
                      <w:rFonts w:hint="eastAsia"/>
                      <w:color w:val="000000"/>
                      <w:sz w:val="21"/>
                    </w:rPr>
                    <w:t>/</w:t>
                  </w:r>
                </w:p>
              </w:tc>
              <w:tc>
                <w:tcPr>
                  <w:tcW w:w="426" w:type="pct"/>
                  <w:vAlign w:val="center"/>
                </w:tcPr>
                <w:p>
                  <w:pPr>
                    <w:pStyle w:val="62"/>
                    <w:spacing w:line="320" w:lineRule="exact"/>
                    <w:rPr>
                      <w:color w:val="000000"/>
                      <w:sz w:val="21"/>
                    </w:rPr>
                  </w:pPr>
                  <w:r>
                    <w:rPr>
                      <w:rFonts w:hint="eastAsia"/>
                      <w:color w:val="000000"/>
                      <w:sz w:val="21"/>
                    </w:rPr>
                    <w:t>140</w:t>
                  </w:r>
                </w:p>
              </w:tc>
            </w:tr>
          </w:tbl>
          <w:p>
            <w:pPr>
              <w:tabs>
                <w:tab w:val="left" w:pos="620"/>
              </w:tabs>
              <w:adjustRightInd w:val="0"/>
              <w:snapToGrid w:val="0"/>
              <w:spacing w:line="480" w:lineRule="exact"/>
              <w:rPr>
                <w:bCs/>
                <w:color w:val="000000"/>
                <w:spacing w:val="-10"/>
                <w:szCs w:val="21"/>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bCs/>
                <w:color w:val="000000"/>
                <w:spacing w:val="-10"/>
                <w:szCs w:val="21"/>
                <w:lang w:val="en-US" w:eastAsia="zh-CN"/>
              </w:rPr>
            </w:pPr>
          </w:p>
          <w:p>
            <w:pPr>
              <w:tabs>
                <w:tab w:val="left" w:pos="620"/>
              </w:tabs>
              <w:adjustRightInd w:val="0"/>
              <w:snapToGrid w:val="0"/>
              <w:spacing w:line="480" w:lineRule="exact"/>
              <w:rPr>
                <w:rFonts w:hint="eastAsia" w:eastAsia="宋体"/>
                <w:bCs/>
                <w:color w:val="000000"/>
                <w:spacing w:val="-10"/>
                <w:szCs w:val="21"/>
                <w:lang w:val="en-US" w:eastAsia="zh-CN"/>
              </w:rPr>
            </w:pPr>
          </w:p>
        </w:tc>
      </w:tr>
    </w:tbl>
    <w:p>
      <w:pPr>
        <w:adjustRightInd w:val="0"/>
        <w:snapToGrid w:val="0"/>
        <w:spacing w:line="360" w:lineRule="auto"/>
        <w:rPr>
          <w:b/>
          <w:color w:val="000000"/>
          <w:kern w:val="0"/>
          <w:sz w:val="28"/>
          <w:szCs w:val="28"/>
        </w:rPr>
        <w:sectPr>
          <w:pgSz w:w="11907" w:h="16840"/>
          <w:pgMar w:top="1701" w:right="1531" w:bottom="2127" w:left="1531" w:header="851" w:footer="851" w:gutter="0"/>
          <w:cols w:space="720" w:num="1"/>
          <w:docGrid w:linePitch="312" w:charSpace="0"/>
        </w:sectPr>
      </w:pPr>
    </w:p>
    <w:p>
      <w:pPr>
        <w:pStyle w:val="27"/>
        <w:jc w:val="center"/>
        <w:outlineLvl w:val="0"/>
        <w:rPr>
          <w:rFonts w:ascii="Times New Roman" w:hAnsi="Times New Roman" w:eastAsia="黑体"/>
          <w:snapToGrid w:val="0"/>
          <w:color w:val="000000"/>
          <w:sz w:val="30"/>
          <w:szCs w:val="30"/>
        </w:rPr>
      </w:pPr>
      <w:r>
        <w:rPr>
          <w:rFonts w:ascii="Times New Roman" w:hAnsi="Times New Roman" w:eastAsia="黑体"/>
          <w:snapToGrid w:val="0"/>
          <w:color w:val="000000"/>
          <w:sz w:val="30"/>
          <w:szCs w:val="30"/>
        </w:rPr>
        <w:t>五、</w:t>
      </w:r>
      <w:bookmarkStart w:id="36" w:name="_Hlk54167917"/>
      <w:r>
        <w:rPr>
          <w:rFonts w:ascii="Times New Roman" w:hAnsi="Times New Roman" w:eastAsia="黑体"/>
          <w:snapToGrid w:val="0"/>
          <w:color w:val="000000"/>
          <w:sz w:val="30"/>
          <w:szCs w:val="30"/>
        </w:rPr>
        <w:t>环境保护措施监督检查清单</w:t>
      </w:r>
      <w:bookmarkEnd w:id="3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778"/>
        <w:gridCol w:w="1024"/>
        <w:gridCol w:w="1131"/>
        <w:gridCol w:w="3057"/>
        <w:gridCol w:w="18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tcBorders>
              <w:tl2br w:val="single" w:color="auto" w:sz="4" w:space="0"/>
            </w:tcBorders>
          </w:tcPr>
          <w:p>
            <w:pPr>
              <w:adjustRightInd w:val="0"/>
              <w:snapToGrid w:val="0"/>
              <w:ind w:firstLine="840"/>
              <w:rPr>
                <w:color w:val="000000"/>
                <w:sz w:val="21"/>
                <w:szCs w:val="21"/>
              </w:rPr>
            </w:pPr>
            <w:r>
              <w:rPr>
                <w:color w:val="000000"/>
                <w:sz w:val="21"/>
                <w:szCs w:val="21"/>
              </w:rPr>
              <w:t>内容</w:t>
            </w:r>
          </w:p>
          <w:p>
            <w:pPr>
              <w:adjustRightInd w:val="0"/>
              <w:snapToGrid w:val="0"/>
              <w:rPr>
                <w:color w:val="000000"/>
                <w:sz w:val="21"/>
                <w:szCs w:val="21"/>
              </w:rPr>
            </w:pPr>
            <w:r>
              <w:rPr>
                <w:color w:val="000000"/>
                <w:sz w:val="21"/>
                <w:szCs w:val="21"/>
              </w:rPr>
              <w:t>要素</w:t>
            </w:r>
          </w:p>
        </w:tc>
        <w:tc>
          <w:tcPr>
            <w:tcW w:w="1024" w:type="dxa"/>
            <w:vAlign w:val="center"/>
          </w:tcPr>
          <w:p>
            <w:pPr>
              <w:adjustRightInd w:val="0"/>
              <w:snapToGrid w:val="0"/>
              <w:jc w:val="center"/>
              <w:rPr>
                <w:color w:val="000000"/>
                <w:sz w:val="21"/>
                <w:szCs w:val="21"/>
              </w:rPr>
            </w:pPr>
            <w:r>
              <w:rPr>
                <w:color w:val="000000"/>
                <w:sz w:val="21"/>
                <w:szCs w:val="21"/>
              </w:rPr>
              <w:t>排放口(编号、</w:t>
            </w:r>
          </w:p>
          <w:p>
            <w:pPr>
              <w:adjustRightInd w:val="0"/>
              <w:snapToGrid w:val="0"/>
              <w:jc w:val="center"/>
              <w:rPr>
                <w:color w:val="000000"/>
                <w:sz w:val="21"/>
                <w:szCs w:val="21"/>
              </w:rPr>
            </w:pPr>
            <w:r>
              <w:rPr>
                <w:color w:val="000000"/>
                <w:sz w:val="21"/>
                <w:szCs w:val="21"/>
              </w:rPr>
              <w:t>名称)/污染源</w:t>
            </w:r>
          </w:p>
        </w:tc>
        <w:tc>
          <w:tcPr>
            <w:tcW w:w="1131" w:type="dxa"/>
            <w:vAlign w:val="center"/>
          </w:tcPr>
          <w:p>
            <w:pPr>
              <w:adjustRightInd w:val="0"/>
              <w:snapToGrid w:val="0"/>
              <w:jc w:val="center"/>
              <w:rPr>
                <w:color w:val="000000"/>
                <w:sz w:val="21"/>
                <w:szCs w:val="21"/>
              </w:rPr>
            </w:pPr>
            <w:r>
              <w:rPr>
                <w:color w:val="000000"/>
                <w:sz w:val="21"/>
                <w:szCs w:val="21"/>
              </w:rPr>
              <w:t>污染物项目</w:t>
            </w:r>
          </w:p>
        </w:tc>
        <w:tc>
          <w:tcPr>
            <w:tcW w:w="3057" w:type="dxa"/>
            <w:vAlign w:val="center"/>
          </w:tcPr>
          <w:p>
            <w:pPr>
              <w:adjustRightInd w:val="0"/>
              <w:snapToGrid w:val="0"/>
              <w:jc w:val="center"/>
              <w:rPr>
                <w:color w:val="000000"/>
                <w:sz w:val="21"/>
                <w:szCs w:val="21"/>
              </w:rPr>
            </w:pPr>
            <w:r>
              <w:rPr>
                <w:color w:val="000000"/>
                <w:sz w:val="21"/>
                <w:szCs w:val="21"/>
              </w:rPr>
              <w:t>环境保护措施</w:t>
            </w:r>
          </w:p>
        </w:tc>
        <w:tc>
          <w:tcPr>
            <w:tcW w:w="1810" w:type="dxa"/>
            <w:vAlign w:val="center"/>
          </w:tcPr>
          <w:p>
            <w:pPr>
              <w:adjustRightInd w:val="0"/>
              <w:snapToGrid w:val="0"/>
              <w:jc w:val="center"/>
              <w:rPr>
                <w:color w:val="000000"/>
                <w:sz w:val="21"/>
                <w:szCs w:val="21"/>
              </w:rPr>
            </w:pPr>
            <w:r>
              <w:rPr>
                <w:color w:val="000000"/>
                <w:sz w:val="21"/>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7" w:hRule="atLeast"/>
          <w:jc w:val="center"/>
        </w:trPr>
        <w:tc>
          <w:tcPr>
            <w:tcW w:w="1778" w:type="dxa"/>
            <w:vMerge w:val="restart"/>
            <w:vAlign w:val="center"/>
          </w:tcPr>
          <w:p>
            <w:pPr>
              <w:adjustRightInd w:val="0"/>
              <w:snapToGrid w:val="0"/>
              <w:jc w:val="center"/>
              <w:rPr>
                <w:color w:val="000000"/>
              </w:rPr>
            </w:pPr>
            <w:r>
              <w:rPr>
                <w:color w:val="000000"/>
                <w:sz w:val="21"/>
                <w:szCs w:val="21"/>
              </w:rPr>
              <w:t>大气环境</w:t>
            </w:r>
          </w:p>
        </w:tc>
        <w:tc>
          <w:tcPr>
            <w:tcW w:w="1024" w:type="dxa"/>
            <w:vAlign w:val="center"/>
          </w:tcPr>
          <w:p>
            <w:pPr>
              <w:widowControl/>
              <w:spacing w:line="320" w:lineRule="exact"/>
              <w:jc w:val="center"/>
              <w:rPr>
                <w:color w:val="000000"/>
                <w:sz w:val="21"/>
                <w:szCs w:val="21"/>
              </w:rPr>
            </w:pPr>
            <w:r>
              <w:rPr>
                <w:rFonts w:hint="eastAsia"/>
                <w:color w:val="000000"/>
                <w:sz w:val="21"/>
                <w:szCs w:val="21"/>
              </w:rPr>
              <w:t>DA001联合厂房（一）生产过程中产生的废气</w:t>
            </w:r>
          </w:p>
        </w:tc>
        <w:tc>
          <w:tcPr>
            <w:tcW w:w="1131" w:type="dxa"/>
            <w:vAlign w:val="center"/>
          </w:tcPr>
          <w:p>
            <w:pPr>
              <w:widowControl/>
              <w:spacing w:line="320" w:lineRule="exact"/>
              <w:jc w:val="center"/>
              <w:rPr>
                <w:color w:val="000000"/>
                <w:sz w:val="21"/>
                <w:szCs w:val="21"/>
              </w:rPr>
            </w:pPr>
            <w:r>
              <w:rPr>
                <w:rFonts w:hint="eastAsia"/>
                <w:color w:val="000000"/>
                <w:sz w:val="21"/>
                <w:szCs w:val="21"/>
              </w:rPr>
              <w:t>烟尘</w:t>
            </w:r>
          </w:p>
        </w:tc>
        <w:tc>
          <w:tcPr>
            <w:tcW w:w="3057" w:type="dxa"/>
            <w:vAlign w:val="center"/>
          </w:tcPr>
          <w:p>
            <w:pPr>
              <w:widowControl/>
              <w:spacing w:line="320" w:lineRule="exact"/>
              <w:rPr>
                <w:color w:val="000000"/>
                <w:sz w:val="21"/>
                <w:szCs w:val="21"/>
              </w:rPr>
            </w:pPr>
            <w:r>
              <w:rPr>
                <w:rFonts w:hint="eastAsia"/>
                <w:color w:val="000000"/>
                <w:sz w:val="21"/>
                <w:szCs w:val="21"/>
              </w:rPr>
              <w:t>本项目在联合厂房（一）内设一套中央除尘系统，对联合厂房（一）的各生产环节产生的烟尘进行收集和处理。在1台数控等离子切割机和2台激光切割机的侧面设侧吸式集气罩（4×0.4m），周围设围挡，废气经集气罩收集后通入布袋除尘器中处理；3台锯床的顶部分别设顶吸式集气罩（1×0.5m），周围设围挡，废气经集气罩收集后通入布袋除尘器中处理；在</w:t>
            </w:r>
            <w:r>
              <w:rPr>
                <w:color w:val="000000"/>
                <w:sz w:val="21"/>
                <w:szCs w:val="21"/>
              </w:rPr>
              <w:t>1台</w:t>
            </w:r>
            <w:r>
              <w:rPr>
                <w:rFonts w:hint="eastAsia"/>
                <w:color w:val="000000"/>
                <w:sz w:val="21"/>
                <w:szCs w:val="21"/>
              </w:rPr>
              <w:t>龙门焊和1台门扇自动焊的焊接机上设顶吸式集气罩，周围设围挡废气经集气罩收集后通入布袋除尘器处理；对35台二保</w:t>
            </w:r>
            <w:r>
              <w:rPr>
                <w:color w:val="000000"/>
                <w:sz w:val="21"/>
                <w:szCs w:val="21"/>
              </w:rPr>
              <w:t>焊机</w:t>
            </w:r>
            <w:r>
              <w:rPr>
                <w:rFonts w:hint="eastAsia"/>
                <w:color w:val="000000"/>
                <w:sz w:val="21"/>
                <w:szCs w:val="21"/>
              </w:rPr>
              <w:t>产生的废气，设18台顶吸式集气罩，其中2台二保焊机共用一台集气罩，集气罩的周围设围挡，废气经集气罩收集后通入布袋除尘器处理。废气经处理后经15m高排气筒（DA001）排放。</w:t>
            </w:r>
          </w:p>
        </w:tc>
        <w:tc>
          <w:tcPr>
            <w:tcW w:w="1810" w:type="dxa"/>
            <w:vMerge w:val="restart"/>
            <w:vAlign w:val="center"/>
          </w:tcPr>
          <w:p>
            <w:pPr>
              <w:widowControl/>
              <w:spacing w:line="320" w:lineRule="exact"/>
              <w:rPr>
                <w:color w:val="000000"/>
                <w:sz w:val="21"/>
                <w:szCs w:val="21"/>
              </w:rPr>
            </w:pPr>
            <w:r>
              <w:rPr>
                <w:rFonts w:hint="eastAsia"/>
                <w:color w:val="000000"/>
                <w:sz w:val="21"/>
                <w:szCs w:val="21"/>
              </w:rPr>
              <w:t>《</w:t>
            </w:r>
            <w:r>
              <w:rPr>
                <w:color w:val="000000"/>
                <w:sz w:val="21"/>
                <w:szCs w:val="21"/>
              </w:rPr>
              <w:t>长治市工业企业无组织排放治理实施方案》（长气防办【2019】9号）</w:t>
            </w:r>
            <w:r>
              <w:rPr>
                <w:rFonts w:hint="eastAsia"/>
                <w:color w:val="000000"/>
                <w:sz w:val="21"/>
                <w:szCs w:val="21"/>
              </w:rPr>
              <w:t>中的相关要求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widowControl/>
              <w:spacing w:line="320" w:lineRule="exact"/>
              <w:jc w:val="center"/>
              <w:rPr>
                <w:color w:val="000000"/>
                <w:sz w:val="21"/>
                <w:szCs w:val="21"/>
              </w:rPr>
            </w:pPr>
            <w:r>
              <w:rPr>
                <w:rFonts w:hint="eastAsia"/>
                <w:color w:val="000000"/>
                <w:sz w:val="21"/>
                <w:szCs w:val="21"/>
              </w:rPr>
              <w:t>DA002喷砂房产生的废气</w:t>
            </w:r>
          </w:p>
        </w:tc>
        <w:tc>
          <w:tcPr>
            <w:tcW w:w="1131" w:type="dxa"/>
            <w:vAlign w:val="center"/>
          </w:tcPr>
          <w:p>
            <w:pPr>
              <w:widowControl/>
              <w:spacing w:line="320" w:lineRule="exact"/>
              <w:jc w:val="center"/>
              <w:rPr>
                <w:color w:val="000000"/>
                <w:sz w:val="21"/>
                <w:szCs w:val="21"/>
              </w:rPr>
            </w:pPr>
            <w:r>
              <w:rPr>
                <w:rFonts w:hint="eastAsia"/>
                <w:color w:val="000000"/>
                <w:sz w:val="21"/>
                <w:szCs w:val="21"/>
              </w:rPr>
              <w:t>粉尘</w:t>
            </w:r>
          </w:p>
        </w:tc>
        <w:tc>
          <w:tcPr>
            <w:tcW w:w="3057" w:type="dxa"/>
            <w:vAlign w:val="center"/>
          </w:tcPr>
          <w:p>
            <w:pPr>
              <w:widowControl/>
              <w:spacing w:line="320" w:lineRule="exact"/>
              <w:jc w:val="center"/>
              <w:rPr>
                <w:color w:val="000000"/>
                <w:sz w:val="21"/>
                <w:szCs w:val="21"/>
              </w:rPr>
            </w:pPr>
            <w:r>
              <w:rPr>
                <w:rFonts w:hint="eastAsia"/>
                <w:color w:val="000000"/>
                <w:sz w:val="21"/>
                <w:szCs w:val="21"/>
              </w:rPr>
              <w:t>设置一座喷砂房，喷砂房为封闭的空间，喷砂时内部为负压状态，产生的废气经排气口通入一套布袋除尘器中处理，处理后的废气经15m高的排气筒（DA002）排放。</w:t>
            </w:r>
          </w:p>
        </w:tc>
        <w:tc>
          <w:tcPr>
            <w:tcW w:w="1810" w:type="dxa"/>
            <w:vMerge w:val="continue"/>
            <w:vAlign w:val="center"/>
          </w:tcPr>
          <w:p>
            <w:pPr>
              <w:widowControl/>
              <w:spacing w:line="320" w:lineRule="exact"/>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widowControl/>
              <w:spacing w:line="320" w:lineRule="exact"/>
              <w:jc w:val="center"/>
              <w:rPr>
                <w:color w:val="000000"/>
                <w:sz w:val="21"/>
                <w:szCs w:val="21"/>
              </w:rPr>
            </w:pPr>
            <w:r>
              <w:rPr>
                <w:rFonts w:hint="eastAsia"/>
                <w:color w:val="000000"/>
                <w:sz w:val="21"/>
                <w:szCs w:val="21"/>
              </w:rPr>
              <w:t>DA003喷漆房产生的废气</w:t>
            </w:r>
          </w:p>
        </w:tc>
        <w:tc>
          <w:tcPr>
            <w:tcW w:w="1131" w:type="dxa"/>
            <w:vAlign w:val="center"/>
          </w:tcPr>
          <w:p>
            <w:pPr>
              <w:widowControl/>
              <w:spacing w:line="320" w:lineRule="exact"/>
              <w:jc w:val="center"/>
              <w:rPr>
                <w:color w:val="000000"/>
                <w:sz w:val="21"/>
                <w:szCs w:val="21"/>
              </w:rPr>
            </w:pPr>
            <w:r>
              <w:rPr>
                <w:rFonts w:hint="eastAsia"/>
                <w:color w:val="000000"/>
                <w:sz w:val="21"/>
                <w:szCs w:val="21"/>
              </w:rPr>
              <w:t>非甲烷总烃</w:t>
            </w:r>
          </w:p>
        </w:tc>
        <w:tc>
          <w:tcPr>
            <w:tcW w:w="3057" w:type="dxa"/>
            <w:vAlign w:val="center"/>
          </w:tcPr>
          <w:p>
            <w:pPr>
              <w:widowControl/>
              <w:spacing w:line="320" w:lineRule="exact"/>
              <w:jc w:val="center"/>
              <w:rPr>
                <w:color w:val="000000"/>
                <w:sz w:val="21"/>
                <w:szCs w:val="21"/>
              </w:rPr>
            </w:pPr>
            <w:r>
              <w:rPr>
                <w:rFonts w:hint="eastAsia"/>
                <w:color w:val="000000"/>
                <w:sz w:val="21"/>
                <w:szCs w:val="21"/>
              </w:rPr>
              <w:t>设置一个喷漆房，喷漆房为封闭的空间，喷漆时内部为负压状态，</w:t>
            </w:r>
            <w:r>
              <w:rPr>
                <w:color w:val="000000"/>
                <w:sz w:val="21"/>
                <w:szCs w:val="21"/>
              </w:rPr>
              <w:t>喷漆工序</w:t>
            </w:r>
            <w:r>
              <w:rPr>
                <w:rFonts w:hint="eastAsia"/>
                <w:color w:val="000000"/>
                <w:sz w:val="21"/>
                <w:szCs w:val="21"/>
              </w:rPr>
              <w:t>、烘干工序</w:t>
            </w:r>
            <w:r>
              <w:rPr>
                <w:color w:val="000000"/>
                <w:sz w:val="21"/>
                <w:szCs w:val="21"/>
              </w:rPr>
              <w:t>产生的废气经</w:t>
            </w:r>
            <w:r>
              <w:rPr>
                <w:rFonts w:hint="eastAsia"/>
                <w:color w:val="000000"/>
                <w:sz w:val="21"/>
                <w:szCs w:val="21"/>
              </w:rPr>
              <w:t>排气口通入预处理装置</w:t>
            </w:r>
            <w:r>
              <w:rPr>
                <w:color w:val="000000"/>
                <w:sz w:val="21"/>
                <w:szCs w:val="21"/>
              </w:rPr>
              <w:t>+</w:t>
            </w:r>
            <w:r>
              <w:rPr>
                <w:rFonts w:hint="eastAsia"/>
                <w:color w:val="000000"/>
                <w:sz w:val="21"/>
                <w:szCs w:val="21"/>
              </w:rPr>
              <w:t>活性炭吸附脱附+催化燃烧</w:t>
            </w:r>
            <w:r>
              <w:rPr>
                <w:color w:val="000000"/>
                <w:sz w:val="21"/>
                <w:szCs w:val="21"/>
              </w:rPr>
              <w:t>处理后，经1</w:t>
            </w:r>
            <w:r>
              <w:rPr>
                <w:rFonts w:hint="eastAsia"/>
                <w:color w:val="000000"/>
                <w:sz w:val="21"/>
                <w:szCs w:val="21"/>
              </w:rPr>
              <w:t>5</w:t>
            </w:r>
            <w:r>
              <w:rPr>
                <w:color w:val="000000"/>
                <w:sz w:val="21"/>
                <w:szCs w:val="21"/>
              </w:rPr>
              <w:t>m</w:t>
            </w:r>
            <w:r>
              <w:rPr>
                <w:rFonts w:hint="eastAsia"/>
                <w:color w:val="000000"/>
                <w:sz w:val="21"/>
                <w:szCs w:val="21"/>
              </w:rPr>
              <w:t>高的</w:t>
            </w:r>
            <w:r>
              <w:rPr>
                <w:color w:val="000000"/>
                <w:sz w:val="21"/>
                <w:szCs w:val="21"/>
              </w:rPr>
              <w:t>排气筒</w:t>
            </w:r>
            <w:r>
              <w:rPr>
                <w:rFonts w:hint="eastAsia"/>
                <w:color w:val="000000"/>
                <w:sz w:val="21"/>
                <w:szCs w:val="21"/>
              </w:rPr>
              <w:t>（DA003）</w:t>
            </w:r>
            <w:r>
              <w:rPr>
                <w:color w:val="000000"/>
                <w:sz w:val="21"/>
                <w:szCs w:val="21"/>
              </w:rPr>
              <w:t>排放</w:t>
            </w:r>
          </w:p>
        </w:tc>
        <w:tc>
          <w:tcPr>
            <w:tcW w:w="1810" w:type="dxa"/>
            <w:vAlign w:val="center"/>
          </w:tcPr>
          <w:p>
            <w:pPr>
              <w:widowControl/>
              <w:spacing w:line="320" w:lineRule="exact"/>
              <w:jc w:val="center"/>
              <w:rPr>
                <w:color w:val="000000"/>
                <w:sz w:val="21"/>
                <w:szCs w:val="21"/>
              </w:rPr>
            </w:pPr>
            <w:r>
              <w:rPr>
                <w:rFonts w:hint="eastAsia"/>
                <w:color w:val="000000"/>
                <w:sz w:val="21"/>
                <w:szCs w:val="21"/>
              </w:rPr>
              <w:t>《长治市环境保护局关于进一步加强重点行业挥发性有机物（VOCS）污染治理的通知》中工业涂装</w:t>
            </w:r>
            <w:r>
              <w:rPr>
                <w:color w:val="000000"/>
                <w:sz w:val="21"/>
                <w:szCs w:val="21"/>
              </w:rPr>
              <w:t>表</w:t>
            </w:r>
            <w:r>
              <w:rPr>
                <w:rFonts w:hint="eastAsia"/>
                <w:color w:val="000000"/>
                <w:sz w:val="21"/>
                <w:szCs w:val="21"/>
              </w:rPr>
              <w:t>一</w:t>
            </w:r>
            <w:r>
              <w:rPr>
                <w:color w:val="000000"/>
                <w:sz w:val="21"/>
                <w:szCs w:val="21"/>
              </w:rPr>
              <w:t>中</w:t>
            </w:r>
            <w:r>
              <w:rPr>
                <w:rFonts w:hint="eastAsia"/>
                <w:color w:val="000000"/>
                <w:sz w:val="21"/>
                <w:szCs w:val="21"/>
              </w:rPr>
              <w:t>有组织源排放限值、边界排放限值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2"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widowControl/>
              <w:spacing w:line="320" w:lineRule="exact"/>
              <w:jc w:val="center"/>
              <w:rPr>
                <w:color w:val="000000"/>
                <w:sz w:val="21"/>
                <w:szCs w:val="21"/>
              </w:rPr>
            </w:pPr>
            <w:r>
              <w:rPr>
                <w:rFonts w:hint="eastAsia"/>
                <w:color w:val="000000"/>
                <w:sz w:val="21"/>
                <w:szCs w:val="21"/>
              </w:rPr>
              <w:t>食堂产生的油烟</w:t>
            </w:r>
          </w:p>
        </w:tc>
        <w:tc>
          <w:tcPr>
            <w:tcW w:w="1131" w:type="dxa"/>
            <w:vAlign w:val="center"/>
          </w:tcPr>
          <w:p>
            <w:pPr>
              <w:widowControl/>
              <w:spacing w:line="320" w:lineRule="exact"/>
              <w:jc w:val="center"/>
              <w:rPr>
                <w:color w:val="000000"/>
                <w:sz w:val="21"/>
                <w:szCs w:val="21"/>
              </w:rPr>
            </w:pPr>
            <w:r>
              <w:rPr>
                <w:rFonts w:hint="eastAsia"/>
                <w:color w:val="000000"/>
                <w:sz w:val="21"/>
                <w:szCs w:val="21"/>
              </w:rPr>
              <w:t>烟尘</w:t>
            </w:r>
          </w:p>
        </w:tc>
        <w:tc>
          <w:tcPr>
            <w:tcW w:w="3057" w:type="dxa"/>
            <w:vAlign w:val="center"/>
          </w:tcPr>
          <w:p>
            <w:pPr>
              <w:widowControl/>
              <w:spacing w:line="320" w:lineRule="exact"/>
              <w:jc w:val="center"/>
              <w:rPr>
                <w:color w:val="000000"/>
                <w:sz w:val="21"/>
                <w:szCs w:val="21"/>
              </w:rPr>
            </w:pPr>
            <w:r>
              <w:rPr>
                <w:rFonts w:hint="eastAsia"/>
                <w:color w:val="000000"/>
                <w:sz w:val="21"/>
                <w:szCs w:val="21"/>
              </w:rPr>
              <w:t>在办公区的一楼西侧建设一间食堂，食堂产生的废气经处理效率为60%的油烟净化器处理后经排气筒排放</w:t>
            </w:r>
          </w:p>
        </w:tc>
        <w:tc>
          <w:tcPr>
            <w:tcW w:w="1810" w:type="dxa"/>
            <w:vAlign w:val="center"/>
          </w:tcPr>
          <w:p>
            <w:pPr>
              <w:widowControl/>
              <w:spacing w:line="320" w:lineRule="exact"/>
              <w:jc w:val="center"/>
              <w:rPr>
                <w:color w:val="000000"/>
                <w:sz w:val="21"/>
                <w:szCs w:val="21"/>
              </w:rPr>
            </w:pPr>
            <w:r>
              <w:rPr>
                <w:color w:val="000000"/>
                <w:sz w:val="21"/>
                <w:szCs w:val="21"/>
              </w:rPr>
              <w:t>《饮食业油烟排放标准》（</w:t>
            </w:r>
            <w:r>
              <w:rPr>
                <w:rFonts w:hint="eastAsia"/>
                <w:color w:val="000000"/>
                <w:sz w:val="21"/>
                <w:szCs w:val="21"/>
              </w:rPr>
              <w:t>GB18483-2001</w:t>
            </w:r>
            <w:r>
              <w:rPr>
                <w:color w:val="000000"/>
                <w:sz w:val="21"/>
                <w:szCs w:val="21"/>
              </w:rPr>
              <w:t>）</w:t>
            </w:r>
            <w:r>
              <w:rPr>
                <w:rFonts w:hint="eastAsia"/>
                <w:color w:val="000000"/>
                <w:sz w:val="21"/>
                <w:szCs w:val="21"/>
              </w:rPr>
              <w:t>中的相关限值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778" w:type="dxa"/>
            <w:vMerge w:val="restart"/>
            <w:vAlign w:val="center"/>
          </w:tcPr>
          <w:p>
            <w:pPr>
              <w:adjustRightInd w:val="0"/>
              <w:snapToGrid w:val="0"/>
              <w:jc w:val="center"/>
              <w:rPr>
                <w:color w:val="000000"/>
                <w:sz w:val="21"/>
                <w:szCs w:val="21"/>
              </w:rPr>
            </w:pPr>
            <w:r>
              <w:rPr>
                <w:color w:val="000000"/>
                <w:sz w:val="21"/>
                <w:szCs w:val="21"/>
              </w:rPr>
              <w:t>地表水环境</w:t>
            </w:r>
          </w:p>
        </w:tc>
        <w:tc>
          <w:tcPr>
            <w:tcW w:w="1024" w:type="dxa"/>
            <w:vAlign w:val="center"/>
          </w:tcPr>
          <w:p>
            <w:pPr>
              <w:widowControl/>
              <w:spacing w:line="320" w:lineRule="exact"/>
              <w:jc w:val="center"/>
              <w:rPr>
                <w:color w:val="000000"/>
                <w:sz w:val="21"/>
                <w:szCs w:val="21"/>
              </w:rPr>
            </w:pPr>
            <w:r>
              <w:rPr>
                <w:color w:val="000000"/>
                <w:sz w:val="21"/>
                <w:szCs w:val="21"/>
              </w:rPr>
              <w:t>生活污水</w:t>
            </w:r>
          </w:p>
        </w:tc>
        <w:tc>
          <w:tcPr>
            <w:tcW w:w="1131" w:type="dxa"/>
            <w:vAlign w:val="center"/>
          </w:tcPr>
          <w:p>
            <w:pPr>
              <w:widowControl/>
              <w:spacing w:line="320" w:lineRule="exact"/>
              <w:jc w:val="center"/>
              <w:rPr>
                <w:color w:val="000000"/>
                <w:sz w:val="21"/>
                <w:szCs w:val="21"/>
              </w:rPr>
            </w:pPr>
            <w:r>
              <w:rPr>
                <w:color w:val="000000"/>
                <w:sz w:val="21"/>
                <w:szCs w:val="21"/>
              </w:rPr>
              <w:t>BOD、COD、SS</w:t>
            </w:r>
          </w:p>
        </w:tc>
        <w:tc>
          <w:tcPr>
            <w:tcW w:w="3057" w:type="dxa"/>
            <w:vAlign w:val="center"/>
          </w:tcPr>
          <w:p>
            <w:pPr>
              <w:widowControl/>
              <w:spacing w:line="320" w:lineRule="exact"/>
              <w:jc w:val="center"/>
              <w:rPr>
                <w:color w:val="000000"/>
                <w:sz w:val="21"/>
                <w:szCs w:val="21"/>
              </w:rPr>
            </w:pPr>
            <w:r>
              <w:rPr>
                <w:rFonts w:hint="eastAsia"/>
                <w:sz w:val="21"/>
                <w:szCs w:val="21"/>
              </w:rPr>
              <w:t>生活污水经3m</w:t>
            </w:r>
            <w:r>
              <w:rPr>
                <w:rFonts w:hint="eastAsia"/>
                <w:sz w:val="21"/>
                <w:szCs w:val="21"/>
                <w:vertAlign w:val="superscript"/>
              </w:rPr>
              <w:t>3</w:t>
            </w:r>
            <w:r>
              <w:rPr>
                <w:rFonts w:hint="eastAsia"/>
                <w:sz w:val="21"/>
                <w:szCs w:val="21"/>
              </w:rPr>
              <w:t>化粪池处理后通过市政管网排入长子县城东污水处理厂</w:t>
            </w:r>
          </w:p>
        </w:tc>
        <w:tc>
          <w:tcPr>
            <w:tcW w:w="1810" w:type="dxa"/>
            <w:vMerge w:val="restart"/>
            <w:vAlign w:val="center"/>
          </w:tcPr>
          <w:p>
            <w:pPr>
              <w:adjustRightInd w:val="0"/>
              <w:snapToGrid w:val="0"/>
              <w:jc w:val="center"/>
              <w:rPr>
                <w:color w:val="000000"/>
                <w:sz w:val="21"/>
                <w:szCs w:val="21"/>
              </w:rPr>
            </w:pPr>
            <w:r>
              <w:rPr>
                <w:rFonts w:hint="eastAsia"/>
                <w:sz w:val="21"/>
                <w:szCs w:val="21"/>
              </w:rPr>
              <w:t>《污水排入城镇下水道水质标准》（GB/T31962-2015）中的A级要求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widowControl/>
              <w:spacing w:line="320" w:lineRule="exact"/>
              <w:jc w:val="center"/>
              <w:rPr>
                <w:color w:val="000000"/>
                <w:sz w:val="21"/>
                <w:szCs w:val="21"/>
              </w:rPr>
            </w:pPr>
            <w:r>
              <w:rPr>
                <w:rFonts w:hint="eastAsia"/>
                <w:color w:val="000000"/>
                <w:sz w:val="21"/>
                <w:szCs w:val="21"/>
              </w:rPr>
              <w:t>食堂废水</w:t>
            </w:r>
          </w:p>
        </w:tc>
        <w:tc>
          <w:tcPr>
            <w:tcW w:w="1131" w:type="dxa"/>
            <w:vAlign w:val="center"/>
          </w:tcPr>
          <w:p>
            <w:pPr>
              <w:widowControl/>
              <w:spacing w:line="320" w:lineRule="exact"/>
              <w:jc w:val="center"/>
              <w:rPr>
                <w:color w:val="000000"/>
                <w:sz w:val="21"/>
                <w:szCs w:val="21"/>
              </w:rPr>
            </w:pPr>
            <w:r>
              <w:rPr>
                <w:color w:val="000000"/>
                <w:sz w:val="21"/>
                <w:szCs w:val="21"/>
              </w:rPr>
              <w:t>BOD、COD、SS</w:t>
            </w:r>
          </w:p>
        </w:tc>
        <w:tc>
          <w:tcPr>
            <w:tcW w:w="3057" w:type="dxa"/>
            <w:vAlign w:val="center"/>
          </w:tcPr>
          <w:p>
            <w:pPr>
              <w:widowControl/>
              <w:spacing w:line="320" w:lineRule="exact"/>
              <w:jc w:val="center"/>
              <w:rPr>
                <w:color w:val="000000"/>
                <w:sz w:val="21"/>
                <w:szCs w:val="21"/>
              </w:rPr>
            </w:pPr>
            <w:r>
              <w:rPr>
                <w:rFonts w:hint="eastAsia"/>
                <w:sz w:val="21"/>
                <w:szCs w:val="21"/>
              </w:rPr>
              <w:t>食堂废水经3m</w:t>
            </w:r>
            <w:r>
              <w:rPr>
                <w:rFonts w:hint="eastAsia"/>
                <w:sz w:val="21"/>
                <w:szCs w:val="21"/>
                <w:vertAlign w:val="superscript"/>
              </w:rPr>
              <w:t>3</w:t>
            </w:r>
            <w:r>
              <w:rPr>
                <w:rFonts w:hint="eastAsia"/>
                <w:sz w:val="21"/>
                <w:szCs w:val="21"/>
              </w:rPr>
              <w:t>隔油池处理后进入厂区化粪池，通过市政管网排入长子县城东污水处理厂</w:t>
            </w:r>
          </w:p>
        </w:tc>
        <w:tc>
          <w:tcPr>
            <w:tcW w:w="1810" w:type="dxa"/>
            <w:vMerge w:val="continue"/>
            <w:vAlign w:val="center"/>
          </w:tcPr>
          <w:p>
            <w:pPr>
              <w:adjustRightInd w:val="0"/>
              <w:snapToGrid w:val="0"/>
              <w:jc w:val="center"/>
              <w:rPr>
                <w:color w:val="000000"/>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78" w:type="dxa"/>
            <w:vAlign w:val="center"/>
          </w:tcPr>
          <w:p>
            <w:pPr>
              <w:adjustRightInd w:val="0"/>
              <w:snapToGrid w:val="0"/>
              <w:jc w:val="center"/>
              <w:rPr>
                <w:color w:val="000000"/>
                <w:sz w:val="21"/>
                <w:szCs w:val="21"/>
              </w:rPr>
            </w:pPr>
            <w:r>
              <w:rPr>
                <w:color w:val="000000"/>
                <w:sz w:val="21"/>
                <w:szCs w:val="21"/>
              </w:rPr>
              <w:t>声环境</w:t>
            </w:r>
          </w:p>
        </w:tc>
        <w:tc>
          <w:tcPr>
            <w:tcW w:w="1024" w:type="dxa"/>
            <w:vAlign w:val="center"/>
          </w:tcPr>
          <w:p>
            <w:pPr>
              <w:adjustRightInd w:val="0"/>
              <w:snapToGrid w:val="0"/>
              <w:jc w:val="center"/>
              <w:rPr>
                <w:color w:val="000000"/>
                <w:sz w:val="21"/>
                <w:szCs w:val="21"/>
              </w:rPr>
            </w:pPr>
            <w:r>
              <w:rPr>
                <w:color w:val="000000"/>
                <w:sz w:val="21"/>
                <w:szCs w:val="21"/>
              </w:rPr>
              <w:t>主要生产设备</w:t>
            </w:r>
          </w:p>
        </w:tc>
        <w:tc>
          <w:tcPr>
            <w:tcW w:w="1131" w:type="dxa"/>
            <w:vAlign w:val="center"/>
          </w:tcPr>
          <w:p>
            <w:pPr>
              <w:widowControl/>
              <w:spacing w:line="320" w:lineRule="exact"/>
              <w:jc w:val="center"/>
              <w:rPr>
                <w:color w:val="000000"/>
                <w:sz w:val="21"/>
                <w:szCs w:val="21"/>
              </w:rPr>
            </w:pPr>
            <w:r>
              <w:rPr>
                <w:color w:val="000000"/>
                <w:sz w:val="21"/>
                <w:szCs w:val="21"/>
              </w:rPr>
              <w:t>噪声</w:t>
            </w:r>
          </w:p>
        </w:tc>
        <w:tc>
          <w:tcPr>
            <w:tcW w:w="3057" w:type="dxa"/>
            <w:vAlign w:val="center"/>
          </w:tcPr>
          <w:p>
            <w:pPr>
              <w:widowControl/>
              <w:spacing w:line="320" w:lineRule="exact"/>
              <w:jc w:val="center"/>
              <w:rPr>
                <w:color w:val="000000"/>
                <w:sz w:val="21"/>
                <w:szCs w:val="21"/>
              </w:rPr>
            </w:pPr>
            <w:r>
              <w:rPr>
                <w:rStyle w:val="37"/>
                <w:color w:val="000000"/>
                <w:szCs w:val="21"/>
              </w:rPr>
              <w:t>优先选用低噪声设备</w:t>
            </w:r>
            <w:r>
              <w:rPr>
                <w:color w:val="000000"/>
                <w:sz w:val="21"/>
                <w:szCs w:val="21"/>
              </w:rPr>
              <w:t>，室内安装，基础减震。</w:t>
            </w:r>
          </w:p>
        </w:tc>
        <w:tc>
          <w:tcPr>
            <w:tcW w:w="1810" w:type="dxa"/>
            <w:vAlign w:val="center"/>
          </w:tcPr>
          <w:p>
            <w:pPr>
              <w:widowControl/>
              <w:spacing w:line="320" w:lineRule="exact"/>
              <w:jc w:val="center"/>
              <w:rPr>
                <w:color w:val="000000"/>
                <w:sz w:val="21"/>
                <w:szCs w:val="21"/>
              </w:rPr>
            </w:pPr>
            <w:r>
              <w:rPr>
                <w:color w:val="000000"/>
                <w:sz w:val="21"/>
                <w:szCs w:val="21"/>
              </w:rPr>
              <w:t>《工业企业噪声排放标准》（GB12348-2008）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1778" w:type="dxa"/>
            <w:vMerge w:val="restart"/>
            <w:vAlign w:val="center"/>
          </w:tcPr>
          <w:p>
            <w:pPr>
              <w:adjustRightInd w:val="0"/>
              <w:snapToGrid w:val="0"/>
              <w:jc w:val="center"/>
              <w:rPr>
                <w:color w:val="000000"/>
                <w:sz w:val="21"/>
                <w:szCs w:val="21"/>
              </w:rPr>
            </w:pPr>
            <w:r>
              <w:rPr>
                <w:color w:val="000000"/>
                <w:sz w:val="21"/>
                <w:szCs w:val="21"/>
              </w:rPr>
              <w:t>电磁辐射</w:t>
            </w:r>
          </w:p>
        </w:tc>
        <w:tc>
          <w:tcPr>
            <w:tcW w:w="1024" w:type="dxa"/>
            <w:vAlign w:val="center"/>
          </w:tcPr>
          <w:p>
            <w:pPr>
              <w:adjustRightInd w:val="0"/>
              <w:snapToGrid w:val="0"/>
              <w:jc w:val="center"/>
              <w:rPr>
                <w:color w:val="000000"/>
                <w:sz w:val="21"/>
                <w:szCs w:val="21"/>
              </w:rPr>
            </w:pPr>
            <w:r>
              <w:rPr>
                <w:color w:val="000000"/>
                <w:sz w:val="21"/>
                <w:szCs w:val="21"/>
              </w:rPr>
              <w:t>/</w:t>
            </w:r>
          </w:p>
        </w:tc>
        <w:tc>
          <w:tcPr>
            <w:tcW w:w="1131" w:type="dxa"/>
            <w:vAlign w:val="center"/>
          </w:tcPr>
          <w:p>
            <w:pPr>
              <w:adjustRightInd w:val="0"/>
              <w:snapToGrid w:val="0"/>
              <w:jc w:val="center"/>
              <w:rPr>
                <w:color w:val="000000"/>
                <w:sz w:val="21"/>
                <w:szCs w:val="21"/>
              </w:rPr>
            </w:pPr>
            <w:r>
              <w:rPr>
                <w:color w:val="000000"/>
                <w:sz w:val="21"/>
                <w:szCs w:val="21"/>
              </w:rPr>
              <w:t>/</w:t>
            </w:r>
          </w:p>
        </w:tc>
        <w:tc>
          <w:tcPr>
            <w:tcW w:w="3057" w:type="dxa"/>
            <w:vAlign w:val="center"/>
          </w:tcPr>
          <w:p>
            <w:pPr>
              <w:adjustRightInd w:val="0"/>
              <w:snapToGrid w:val="0"/>
              <w:jc w:val="center"/>
              <w:rPr>
                <w:color w:val="000000"/>
                <w:sz w:val="21"/>
                <w:szCs w:val="21"/>
              </w:rPr>
            </w:pPr>
            <w:r>
              <w:rPr>
                <w:color w:val="000000"/>
                <w:sz w:val="21"/>
                <w:szCs w:val="21"/>
              </w:rPr>
              <w:t>/</w:t>
            </w:r>
          </w:p>
        </w:tc>
        <w:tc>
          <w:tcPr>
            <w:tcW w:w="1810" w:type="dxa"/>
            <w:vAlign w:val="center"/>
          </w:tcPr>
          <w:p>
            <w:pPr>
              <w:adjustRightInd w:val="0"/>
              <w:snapToGrid w:val="0"/>
              <w:jc w:val="center"/>
              <w:rPr>
                <w:color w:val="000000"/>
                <w:sz w:val="21"/>
                <w:szCs w:val="21"/>
              </w:rPr>
            </w:pPr>
            <w:r>
              <w:rPr>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adjustRightInd w:val="0"/>
              <w:snapToGrid w:val="0"/>
              <w:jc w:val="center"/>
              <w:rPr>
                <w:color w:val="000000"/>
                <w:sz w:val="21"/>
                <w:szCs w:val="21"/>
              </w:rPr>
            </w:pPr>
            <w:r>
              <w:rPr>
                <w:color w:val="000000"/>
                <w:sz w:val="21"/>
                <w:szCs w:val="21"/>
              </w:rPr>
              <w:t>/</w:t>
            </w:r>
          </w:p>
        </w:tc>
        <w:tc>
          <w:tcPr>
            <w:tcW w:w="1131" w:type="dxa"/>
            <w:vAlign w:val="center"/>
          </w:tcPr>
          <w:p>
            <w:pPr>
              <w:adjustRightInd w:val="0"/>
              <w:snapToGrid w:val="0"/>
              <w:jc w:val="center"/>
              <w:rPr>
                <w:color w:val="000000"/>
                <w:sz w:val="21"/>
                <w:szCs w:val="21"/>
              </w:rPr>
            </w:pPr>
            <w:r>
              <w:rPr>
                <w:color w:val="000000"/>
                <w:sz w:val="21"/>
                <w:szCs w:val="21"/>
              </w:rPr>
              <w:t>/</w:t>
            </w:r>
          </w:p>
        </w:tc>
        <w:tc>
          <w:tcPr>
            <w:tcW w:w="3057" w:type="dxa"/>
            <w:vAlign w:val="center"/>
          </w:tcPr>
          <w:p>
            <w:pPr>
              <w:adjustRightInd w:val="0"/>
              <w:snapToGrid w:val="0"/>
              <w:jc w:val="center"/>
              <w:rPr>
                <w:color w:val="000000"/>
                <w:sz w:val="21"/>
                <w:szCs w:val="21"/>
              </w:rPr>
            </w:pPr>
            <w:r>
              <w:rPr>
                <w:color w:val="000000"/>
                <w:sz w:val="21"/>
                <w:szCs w:val="21"/>
              </w:rPr>
              <w:t>/</w:t>
            </w:r>
          </w:p>
        </w:tc>
        <w:tc>
          <w:tcPr>
            <w:tcW w:w="1810" w:type="dxa"/>
            <w:vAlign w:val="center"/>
          </w:tcPr>
          <w:p>
            <w:pPr>
              <w:adjustRightInd w:val="0"/>
              <w:snapToGrid w:val="0"/>
              <w:jc w:val="center"/>
              <w:rPr>
                <w:color w:val="000000"/>
                <w:sz w:val="21"/>
                <w:szCs w:val="21"/>
              </w:rPr>
            </w:pPr>
            <w:r>
              <w:rPr>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5" w:hRule="atLeast"/>
          <w:jc w:val="center"/>
        </w:trPr>
        <w:tc>
          <w:tcPr>
            <w:tcW w:w="1778" w:type="dxa"/>
            <w:vMerge w:val="continue"/>
            <w:vAlign w:val="center"/>
          </w:tcPr>
          <w:p>
            <w:pPr>
              <w:adjustRightInd w:val="0"/>
              <w:snapToGrid w:val="0"/>
              <w:jc w:val="center"/>
              <w:rPr>
                <w:color w:val="000000"/>
                <w:sz w:val="21"/>
                <w:szCs w:val="21"/>
              </w:rPr>
            </w:pPr>
          </w:p>
        </w:tc>
        <w:tc>
          <w:tcPr>
            <w:tcW w:w="1024" w:type="dxa"/>
            <w:vAlign w:val="center"/>
          </w:tcPr>
          <w:p>
            <w:pPr>
              <w:adjustRightInd w:val="0"/>
              <w:snapToGrid w:val="0"/>
              <w:jc w:val="center"/>
              <w:rPr>
                <w:color w:val="000000"/>
                <w:sz w:val="21"/>
                <w:szCs w:val="21"/>
              </w:rPr>
            </w:pPr>
            <w:r>
              <w:rPr>
                <w:color w:val="000000"/>
                <w:sz w:val="21"/>
                <w:szCs w:val="21"/>
              </w:rPr>
              <w:t>/</w:t>
            </w:r>
          </w:p>
        </w:tc>
        <w:tc>
          <w:tcPr>
            <w:tcW w:w="1131" w:type="dxa"/>
            <w:vAlign w:val="center"/>
          </w:tcPr>
          <w:p>
            <w:pPr>
              <w:adjustRightInd w:val="0"/>
              <w:snapToGrid w:val="0"/>
              <w:jc w:val="center"/>
              <w:rPr>
                <w:color w:val="000000"/>
                <w:sz w:val="21"/>
                <w:szCs w:val="21"/>
              </w:rPr>
            </w:pPr>
            <w:r>
              <w:rPr>
                <w:color w:val="000000"/>
                <w:sz w:val="21"/>
                <w:szCs w:val="21"/>
              </w:rPr>
              <w:t>/</w:t>
            </w:r>
          </w:p>
        </w:tc>
        <w:tc>
          <w:tcPr>
            <w:tcW w:w="3057" w:type="dxa"/>
            <w:vAlign w:val="center"/>
          </w:tcPr>
          <w:p>
            <w:pPr>
              <w:adjustRightInd w:val="0"/>
              <w:snapToGrid w:val="0"/>
              <w:jc w:val="center"/>
              <w:rPr>
                <w:color w:val="000000"/>
                <w:sz w:val="21"/>
                <w:szCs w:val="21"/>
              </w:rPr>
            </w:pPr>
            <w:r>
              <w:rPr>
                <w:color w:val="000000"/>
                <w:sz w:val="21"/>
                <w:szCs w:val="21"/>
              </w:rPr>
              <w:t>/</w:t>
            </w:r>
          </w:p>
        </w:tc>
        <w:tc>
          <w:tcPr>
            <w:tcW w:w="1810" w:type="dxa"/>
            <w:vAlign w:val="center"/>
          </w:tcPr>
          <w:p>
            <w:pPr>
              <w:adjustRightInd w:val="0"/>
              <w:snapToGrid w:val="0"/>
              <w:jc w:val="center"/>
              <w:rPr>
                <w:color w:val="000000"/>
                <w:sz w:val="21"/>
                <w:szCs w:val="21"/>
              </w:rPr>
            </w:pPr>
            <w:r>
              <w:rPr>
                <w:color w:val="000000"/>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62" w:hRule="atLeast"/>
          <w:jc w:val="center"/>
        </w:trPr>
        <w:tc>
          <w:tcPr>
            <w:tcW w:w="1778" w:type="dxa"/>
            <w:vAlign w:val="center"/>
          </w:tcPr>
          <w:p>
            <w:pPr>
              <w:adjustRightInd w:val="0"/>
              <w:snapToGrid w:val="0"/>
              <w:jc w:val="center"/>
              <w:rPr>
                <w:color w:val="000000"/>
                <w:sz w:val="21"/>
                <w:szCs w:val="21"/>
              </w:rPr>
            </w:pPr>
            <w:r>
              <w:rPr>
                <w:color w:val="000000"/>
                <w:sz w:val="21"/>
                <w:szCs w:val="21"/>
              </w:rPr>
              <w:t>固体废物</w:t>
            </w:r>
          </w:p>
        </w:tc>
        <w:tc>
          <w:tcPr>
            <w:tcW w:w="7022" w:type="dxa"/>
            <w:gridSpan w:val="4"/>
            <w:vAlign w:val="center"/>
          </w:tcPr>
          <w:p>
            <w:pPr>
              <w:widowControl/>
              <w:spacing w:line="320" w:lineRule="exact"/>
              <w:jc w:val="center"/>
              <w:rPr>
                <w:color w:val="000000"/>
                <w:sz w:val="21"/>
                <w:szCs w:val="21"/>
              </w:rPr>
            </w:pPr>
            <w:r>
              <w:rPr>
                <w:bCs/>
                <w:color w:val="000000"/>
                <w:sz w:val="21"/>
                <w:szCs w:val="21"/>
              </w:rPr>
              <w:t>生活垃圾集中收集后由环卫部门定期清运</w:t>
            </w:r>
            <w:r>
              <w:rPr>
                <w:rFonts w:hint="eastAsia"/>
                <w:bCs/>
                <w:color w:val="000000"/>
                <w:sz w:val="21"/>
                <w:szCs w:val="21"/>
              </w:rPr>
              <w:t>；</w:t>
            </w:r>
            <w:r>
              <w:rPr>
                <w:bCs/>
                <w:color w:val="000000"/>
                <w:sz w:val="21"/>
                <w:szCs w:val="21"/>
              </w:rPr>
              <w:t>除尘器</w:t>
            </w:r>
            <w:r>
              <w:rPr>
                <w:rFonts w:hint="eastAsia"/>
                <w:bCs/>
                <w:color w:val="000000"/>
                <w:sz w:val="21"/>
                <w:szCs w:val="21"/>
              </w:rPr>
              <w:t>产生的</w:t>
            </w:r>
            <w:r>
              <w:rPr>
                <w:bCs/>
                <w:color w:val="000000"/>
                <w:sz w:val="21"/>
                <w:szCs w:val="21"/>
              </w:rPr>
              <w:t>除尘灰</w:t>
            </w:r>
            <w:r>
              <w:rPr>
                <w:rFonts w:hint="eastAsia"/>
                <w:bCs/>
                <w:color w:val="000000"/>
                <w:sz w:val="21"/>
                <w:szCs w:val="21"/>
              </w:rPr>
              <w:t>，切割下料、焊接产生的除尘灰定期外售；</w:t>
            </w:r>
            <w:r>
              <w:rPr>
                <w:bCs/>
                <w:color w:val="000000"/>
                <w:sz w:val="21"/>
                <w:szCs w:val="21"/>
              </w:rPr>
              <w:t>在生产过程中产生的废弃边角料外售，得到合理处置</w:t>
            </w:r>
            <w:r>
              <w:rPr>
                <w:rFonts w:hint="eastAsia"/>
                <w:bCs/>
                <w:color w:val="000000"/>
                <w:sz w:val="21"/>
                <w:szCs w:val="21"/>
              </w:rPr>
              <w:t>；</w:t>
            </w:r>
            <w:r>
              <w:rPr>
                <w:bCs/>
                <w:color w:val="000000"/>
                <w:sz w:val="21"/>
                <w:szCs w:val="21"/>
              </w:rPr>
              <w:t>危险废物</w:t>
            </w:r>
            <w:r>
              <w:rPr>
                <w:rFonts w:hint="eastAsia"/>
                <w:bCs/>
                <w:color w:val="000000"/>
                <w:sz w:val="21"/>
                <w:szCs w:val="21"/>
              </w:rPr>
              <w:t>有</w:t>
            </w:r>
            <w:r>
              <w:rPr>
                <w:bCs/>
                <w:color w:val="000000"/>
                <w:sz w:val="21"/>
                <w:szCs w:val="21"/>
              </w:rPr>
              <w:t>废机油、废棉</w:t>
            </w:r>
            <w:r>
              <w:rPr>
                <w:rFonts w:hint="eastAsia"/>
                <w:bCs/>
                <w:color w:val="000000"/>
                <w:sz w:val="21"/>
                <w:szCs w:val="21"/>
              </w:rPr>
              <w:t>纱</w:t>
            </w:r>
            <w:r>
              <w:rPr>
                <w:bCs/>
                <w:color w:val="000000"/>
                <w:sz w:val="21"/>
                <w:szCs w:val="21"/>
              </w:rPr>
              <w:t>、废乳化液、废活性炭</w:t>
            </w:r>
            <w:r>
              <w:rPr>
                <w:rFonts w:hint="eastAsia"/>
                <w:bCs/>
                <w:color w:val="000000"/>
                <w:sz w:val="21"/>
                <w:szCs w:val="21"/>
              </w:rPr>
              <w:t>、漆渣、废水性漆桶、废机油桶等，</w:t>
            </w:r>
            <w:r>
              <w:rPr>
                <w:rFonts w:hint="eastAsia"/>
                <w:color w:val="000000"/>
                <w:sz w:val="21"/>
                <w:szCs w:val="21"/>
              </w:rPr>
              <w:t>在厂区东南侧</w:t>
            </w:r>
            <w:r>
              <w:rPr>
                <w:bCs/>
                <w:color w:val="000000"/>
                <w:sz w:val="21"/>
                <w:szCs w:val="21"/>
              </w:rPr>
              <w:t>设置一</w:t>
            </w:r>
            <w:r>
              <w:rPr>
                <w:rFonts w:hint="eastAsia"/>
                <w:bCs/>
                <w:color w:val="000000"/>
                <w:sz w:val="21"/>
                <w:szCs w:val="21"/>
              </w:rPr>
              <w:t>间占地10</w:t>
            </w:r>
            <w:r>
              <w:rPr>
                <w:bCs/>
                <w:color w:val="000000"/>
                <w:sz w:val="21"/>
                <w:szCs w:val="21"/>
              </w:rPr>
              <w:t>m</w:t>
            </w:r>
            <w:r>
              <w:rPr>
                <w:bCs/>
                <w:color w:val="000000"/>
                <w:sz w:val="21"/>
                <w:szCs w:val="21"/>
                <w:vertAlign w:val="superscript"/>
              </w:rPr>
              <w:t>2</w:t>
            </w:r>
            <w:r>
              <w:rPr>
                <w:bCs/>
                <w:color w:val="000000"/>
                <w:sz w:val="21"/>
                <w:szCs w:val="21"/>
              </w:rPr>
              <w:t>危废暂存间，委托有资质单位定期处置。</w:t>
            </w:r>
            <w:r>
              <w:rPr>
                <w:rFonts w:hint="eastAsia"/>
                <w:bCs/>
                <w:color w:val="000000"/>
                <w:sz w:val="21"/>
                <w:szCs w:val="21"/>
              </w:rPr>
              <w:t>按</w:t>
            </w:r>
            <w:r>
              <w:rPr>
                <w:bCs/>
                <w:color w:val="000000"/>
                <w:sz w:val="21"/>
                <w:szCs w:val="21"/>
              </w:rPr>
              <w:t>要求</w:t>
            </w:r>
            <w:r>
              <w:rPr>
                <w:rFonts w:hint="eastAsia"/>
                <w:bCs/>
                <w:color w:val="000000"/>
                <w:sz w:val="21"/>
                <w:szCs w:val="21"/>
              </w:rPr>
              <w:t>对</w:t>
            </w:r>
            <w:r>
              <w:rPr>
                <w:bCs/>
                <w:color w:val="000000"/>
                <w:sz w:val="21"/>
                <w:szCs w:val="21"/>
              </w:rPr>
              <w:t>危废暂存间进行防渗处理，并设置围堰</w:t>
            </w:r>
            <w:r>
              <w:rPr>
                <w:rFonts w:hint="eastAsia"/>
                <w:bCs/>
                <w:color w:val="000000"/>
                <w:sz w:val="21"/>
                <w:szCs w:val="21"/>
              </w:rPr>
              <w:t>、刷地坪漆和设导流渠</w:t>
            </w:r>
            <w:r>
              <w:rPr>
                <w:bCs/>
                <w:color w:val="000000"/>
                <w:sz w:val="21"/>
                <w:szCs w:val="21"/>
              </w:rPr>
              <w:t>以防溢流。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45" w:hRule="atLeast"/>
          <w:jc w:val="center"/>
        </w:trPr>
        <w:tc>
          <w:tcPr>
            <w:tcW w:w="1778" w:type="dxa"/>
            <w:vAlign w:val="center"/>
          </w:tcPr>
          <w:p>
            <w:pPr>
              <w:adjustRightInd w:val="0"/>
              <w:snapToGrid w:val="0"/>
              <w:jc w:val="center"/>
              <w:rPr>
                <w:color w:val="000000"/>
                <w:sz w:val="21"/>
                <w:szCs w:val="21"/>
              </w:rPr>
            </w:pPr>
            <w:r>
              <w:rPr>
                <w:color w:val="000000"/>
                <w:sz w:val="21"/>
                <w:szCs w:val="21"/>
              </w:rPr>
              <w:t>土壤及地下水</w:t>
            </w:r>
          </w:p>
          <w:p>
            <w:pPr>
              <w:adjustRightInd w:val="0"/>
              <w:snapToGrid w:val="0"/>
              <w:jc w:val="center"/>
              <w:rPr>
                <w:color w:val="000000"/>
                <w:sz w:val="21"/>
                <w:szCs w:val="21"/>
              </w:rPr>
            </w:pPr>
            <w:r>
              <w:rPr>
                <w:color w:val="000000"/>
                <w:sz w:val="21"/>
                <w:szCs w:val="21"/>
              </w:rPr>
              <w:t>污染防治措施</w:t>
            </w:r>
          </w:p>
        </w:tc>
        <w:tc>
          <w:tcPr>
            <w:tcW w:w="7022" w:type="dxa"/>
            <w:gridSpan w:val="4"/>
            <w:vAlign w:val="center"/>
          </w:tcPr>
          <w:p>
            <w:pPr>
              <w:adjustRightInd w:val="0"/>
              <w:snapToGrid w:val="0"/>
              <w:spacing w:line="320" w:lineRule="exact"/>
              <w:jc w:val="center"/>
              <w:rPr>
                <w:color w:val="000000"/>
                <w:sz w:val="21"/>
                <w:szCs w:val="21"/>
              </w:rPr>
            </w:pPr>
            <w:r>
              <w:rPr>
                <w:bCs/>
                <w:color w:val="000000"/>
                <w:sz w:val="21"/>
                <w:szCs w:val="21"/>
              </w:rPr>
              <w:t>项目厂区按照规范和要求对</w:t>
            </w:r>
            <w:r>
              <w:rPr>
                <w:rFonts w:hint="eastAsia"/>
                <w:bCs/>
                <w:color w:val="000000"/>
                <w:sz w:val="21"/>
                <w:szCs w:val="21"/>
              </w:rPr>
              <w:t>危废暂存间、水性漆库等</w:t>
            </w:r>
            <w:r>
              <w:rPr>
                <w:bCs/>
                <w:color w:val="000000"/>
                <w:sz w:val="21"/>
                <w:szCs w:val="21"/>
              </w:rPr>
              <w:t>采取有效的防雨、防渗漏、防溢流措施，并加强对原料运输和危险废物储存的管理，在正常运行工况下，不会对地下水、土壤环境质量造成显著的不利影响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1778" w:type="dxa"/>
            <w:vAlign w:val="center"/>
          </w:tcPr>
          <w:p>
            <w:pPr>
              <w:adjustRightInd w:val="0"/>
              <w:snapToGrid w:val="0"/>
              <w:jc w:val="center"/>
              <w:rPr>
                <w:color w:val="000000"/>
                <w:sz w:val="21"/>
                <w:szCs w:val="21"/>
              </w:rPr>
            </w:pPr>
            <w:r>
              <w:rPr>
                <w:color w:val="000000"/>
                <w:sz w:val="21"/>
                <w:szCs w:val="21"/>
              </w:rPr>
              <w:t>生态保护措施</w:t>
            </w:r>
          </w:p>
        </w:tc>
        <w:tc>
          <w:tcPr>
            <w:tcW w:w="7022" w:type="dxa"/>
            <w:gridSpan w:val="4"/>
            <w:vAlign w:val="center"/>
          </w:tcPr>
          <w:p>
            <w:pPr>
              <w:adjustRightInd w:val="0"/>
              <w:snapToGrid w:val="0"/>
              <w:jc w:val="center"/>
              <w:rPr>
                <w:color w:val="000000"/>
                <w:sz w:val="21"/>
                <w:szCs w:val="21"/>
              </w:rPr>
            </w:pPr>
            <w:r>
              <w:rPr>
                <w:rFonts w:hint="eastAsia"/>
                <w:bCs/>
                <w:color w:val="000000"/>
                <w:sz w:val="21"/>
                <w:szCs w:val="21"/>
              </w:rPr>
              <w:t>车间周围以常绿、落叶树组成混交型自然式绿地，多种植草皮及地被植物，以免影响车间采光；办公室前种植枝叶浓密的常绿植物。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1778" w:type="dxa"/>
            <w:vAlign w:val="center"/>
          </w:tcPr>
          <w:p>
            <w:pPr>
              <w:adjustRightInd w:val="0"/>
              <w:snapToGrid w:val="0"/>
              <w:jc w:val="center"/>
              <w:rPr>
                <w:color w:val="000000"/>
                <w:spacing w:val="-8"/>
                <w:sz w:val="21"/>
                <w:szCs w:val="21"/>
              </w:rPr>
            </w:pPr>
            <w:r>
              <w:rPr>
                <w:color w:val="000000"/>
                <w:spacing w:val="-8"/>
                <w:sz w:val="21"/>
                <w:szCs w:val="21"/>
              </w:rPr>
              <w:t>环境风险</w:t>
            </w:r>
          </w:p>
          <w:p>
            <w:pPr>
              <w:adjustRightInd w:val="0"/>
              <w:snapToGrid w:val="0"/>
              <w:jc w:val="center"/>
              <w:rPr>
                <w:color w:val="000000"/>
                <w:spacing w:val="-8"/>
                <w:sz w:val="21"/>
                <w:szCs w:val="21"/>
              </w:rPr>
            </w:pPr>
            <w:r>
              <w:rPr>
                <w:color w:val="000000"/>
                <w:spacing w:val="-8"/>
                <w:sz w:val="21"/>
                <w:szCs w:val="21"/>
              </w:rPr>
              <w:t>防范措施</w:t>
            </w:r>
          </w:p>
        </w:tc>
        <w:tc>
          <w:tcPr>
            <w:tcW w:w="7022" w:type="dxa"/>
            <w:gridSpan w:val="4"/>
            <w:vAlign w:val="center"/>
          </w:tcPr>
          <w:p>
            <w:pPr>
              <w:adjustRightInd w:val="0"/>
              <w:snapToGrid w:val="0"/>
              <w:spacing w:line="320" w:lineRule="exact"/>
              <w:jc w:val="center"/>
              <w:rPr>
                <w:color w:val="000000"/>
                <w:sz w:val="21"/>
                <w:szCs w:val="21"/>
              </w:rPr>
            </w:pPr>
            <w:r>
              <w:rPr>
                <w:bCs/>
                <w:color w:val="000000"/>
                <w:sz w:val="21"/>
                <w:szCs w:val="21"/>
              </w:rPr>
              <w:t>对系统进行安全生产维护设计和抢险设计，配备较好的设备和相应的设施。当发生事故时，为不使事故扩大，防止二次灾害的发生，要求及时抢险抢修。必须对各种险情进行事故前预测，并针对性演练，做到遇险不乱，应保证抢险队伍的素质，并能全天候出动，力求尽早尽好地恢复安全生产，同时遇险时应及时与当地消防部门取得联系，以获得有力支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778" w:type="dxa"/>
            <w:vAlign w:val="center"/>
          </w:tcPr>
          <w:p>
            <w:pPr>
              <w:adjustRightInd w:val="0"/>
              <w:snapToGrid w:val="0"/>
              <w:jc w:val="center"/>
              <w:rPr>
                <w:color w:val="000000"/>
                <w:spacing w:val="-8"/>
                <w:sz w:val="21"/>
                <w:szCs w:val="21"/>
              </w:rPr>
            </w:pPr>
            <w:r>
              <w:rPr>
                <w:color w:val="000000"/>
                <w:spacing w:val="-8"/>
                <w:sz w:val="21"/>
                <w:szCs w:val="21"/>
              </w:rPr>
              <w:t>其他环境</w:t>
            </w:r>
          </w:p>
          <w:p>
            <w:pPr>
              <w:adjustRightInd w:val="0"/>
              <w:snapToGrid w:val="0"/>
              <w:jc w:val="center"/>
              <w:rPr>
                <w:color w:val="000000"/>
                <w:spacing w:val="-8"/>
                <w:sz w:val="21"/>
                <w:szCs w:val="21"/>
              </w:rPr>
            </w:pPr>
            <w:r>
              <w:rPr>
                <w:color w:val="000000"/>
                <w:spacing w:val="-8"/>
                <w:sz w:val="21"/>
                <w:szCs w:val="21"/>
              </w:rPr>
              <w:t>管理要求</w:t>
            </w:r>
          </w:p>
        </w:tc>
        <w:tc>
          <w:tcPr>
            <w:tcW w:w="7022" w:type="dxa"/>
            <w:gridSpan w:val="4"/>
            <w:vAlign w:val="center"/>
          </w:tcPr>
          <w:p>
            <w:pPr>
              <w:adjustRightInd w:val="0"/>
              <w:snapToGrid w:val="0"/>
              <w:spacing w:line="320" w:lineRule="exact"/>
              <w:jc w:val="center"/>
              <w:rPr>
                <w:bCs/>
                <w:color w:val="000000"/>
                <w:sz w:val="21"/>
                <w:szCs w:val="21"/>
              </w:rPr>
            </w:pPr>
            <w:r>
              <w:rPr>
                <w:bCs/>
                <w:color w:val="000000"/>
                <w:sz w:val="21"/>
                <w:szCs w:val="21"/>
              </w:rPr>
              <w:t>建设单位建立健全各项环境管理的规章制度，并把它作为企业领导和全体职工必须严格遵守的一种规范和准则。各项规章制度要体现环境管理的任务、内容和准则，使环境管理渗透到企业的各项管理工作中。环境管理制度包括企业环保工作的总要求、环境管理机构的工作任务、环保设施的运行管理、污染物监测、排放考核、奖惩、环保员责任及环保资料归档等方面的内容。</w:t>
            </w:r>
          </w:p>
          <w:p>
            <w:pPr>
              <w:adjustRightInd w:val="0"/>
              <w:snapToGrid w:val="0"/>
              <w:rPr>
                <w:color w:val="000000"/>
                <w:sz w:val="21"/>
                <w:szCs w:val="21"/>
              </w:rPr>
            </w:pPr>
          </w:p>
        </w:tc>
      </w:tr>
    </w:tbl>
    <w:p>
      <w:pPr>
        <w:pStyle w:val="27"/>
        <w:jc w:val="center"/>
        <w:outlineLvl w:val="0"/>
        <w:rPr>
          <w:rFonts w:ascii="Times New Roman" w:hAnsi="Times New Roman" w:eastAsia="黑体"/>
          <w:snapToGrid w:val="0"/>
          <w:color w:val="000000"/>
          <w:sz w:val="30"/>
          <w:szCs w:val="30"/>
        </w:rPr>
      </w:pPr>
      <w:r>
        <w:rPr>
          <w:rFonts w:ascii="Times New Roman" w:hAnsi="Times New Roman"/>
          <w:snapToGrid w:val="0"/>
          <w:color w:val="000000"/>
        </w:rPr>
        <w:br w:type="page"/>
      </w:r>
      <w:r>
        <w:rPr>
          <w:rFonts w:ascii="Times New Roman" w:hAnsi="Times New Roman" w:eastAsia="黑体"/>
          <w:snapToGrid w:val="0"/>
          <w:color w:val="000000"/>
          <w:sz w:val="30"/>
          <w:szCs w:val="30"/>
        </w:rPr>
        <w:t>六、结论</w:t>
      </w:r>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vAlign w:val="center"/>
          </w:tcPr>
          <w:p>
            <w:pPr>
              <w:spacing w:line="480" w:lineRule="exact"/>
              <w:ind w:firstLine="481" w:firstLineChars="200"/>
              <w:rPr>
                <w:color w:val="000000"/>
              </w:rPr>
            </w:pPr>
            <w:r>
              <w:rPr>
                <w:b/>
                <w:bCs/>
                <w:color w:val="000000"/>
              </w:rPr>
              <w:t>综上所述，本项目的建设符合国家产业政策和当地城乡发展规划，满足清洁生产的要求，污染物能够达标排放，体现了社会效益、经济效益和环境效益统一的特征。只要认真贯彻执行国家的环保法律、法规，认真落实环评单位确认和提出的污染防治对策，本项目从环保的角度讲是可行的。</w:t>
            </w:r>
          </w:p>
        </w:tc>
      </w:tr>
    </w:tbl>
    <w:p>
      <w:pPr>
        <w:rPr>
          <w:color w:val="000000"/>
        </w:rPr>
        <w:sectPr>
          <w:pgSz w:w="11906" w:h="16838"/>
          <w:pgMar w:top="1701" w:right="1531" w:bottom="1701" w:left="1531" w:header="851" w:footer="851" w:gutter="0"/>
          <w:cols w:space="720" w:num="1"/>
          <w:docGrid w:linePitch="312" w:charSpace="0"/>
        </w:sectPr>
      </w:pPr>
    </w:p>
    <w:p>
      <w:pPr>
        <w:pStyle w:val="27"/>
        <w:adjustRightInd w:val="0"/>
        <w:snapToGrid w:val="0"/>
        <w:spacing w:before="0" w:beforeAutospacing="0" w:after="0" w:afterAutospacing="0" w:line="648" w:lineRule="auto"/>
        <w:outlineLvl w:val="0"/>
        <w:rPr>
          <w:rFonts w:ascii="Times New Roman" w:hAnsi="Times New Roman" w:eastAsia="黑体"/>
          <w:snapToGrid w:val="0"/>
          <w:color w:val="000000"/>
          <w:sz w:val="32"/>
          <w:szCs w:val="32"/>
        </w:rPr>
      </w:pPr>
      <w:r>
        <w:rPr>
          <w:rFonts w:ascii="Times New Roman" w:hAnsi="Times New Roman" w:eastAsia="黑体"/>
          <w:snapToGrid w:val="0"/>
          <w:color w:val="000000"/>
          <w:sz w:val="32"/>
          <w:szCs w:val="32"/>
        </w:rPr>
        <w:t>附表</w:t>
      </w:r>
    </w:p>
    <w:p>
      <w:pPr>
        <w:pStyle w:val="27"/>
        <w:adjustRightInd w:val="0"/>
        <w:snapToGrid w:val="0"/>
        <w:spacing w:before="0" w:beforeAutospacing="0" w:after="0" w:afterAutospacing="0" w:line="504" w:lineRule="auto"/>
        <w:jc w:val="center"/>
        <w:outlineLvl w:val="0"/>
        <w:rPr>
          <w:rFonts w:ascii="Times New Roman" w:hAnsi="Times New Roman" w:eastAsia="方正小标宋_GBK"/>
          <w:snapToGrid w:val="0"/>
          <w:color w:val="000000"/>
          <w:sz w:val="38"/>
          <w:szCs w:val="38"/>
        </w:rPr>
      </w:pPr>
      <w:r>
        <w:rPr>
          <w:rFonts w:ascii="Times New Roman" w:hAnsi="Times New Roman" w:eastAsia="方正小标宋_GBK"/>
          <w:snapToGrid w:val="0"/>
          <w:color w:val="000000"/>
          <w:sz w:val="38"/>
          <w:szCs w:val="38"/>
        </w:rPr>
        <w:t>建设项目污染物排放量汇总表</w:t>
      </w:r>
    </w:p>
    <w:tbl>
      <w:tblPr>
        <w:tblStyle w:val="31"/>
        <w:tblW w:w="14147"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80"/>
        <w:gridCol w:w="1925"/>
        <w:gridCol w:w="140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tcMar>
              <w:left w:w="28" w:type="dxa"/>
              <w:right w:w="28" w:type="dxa"/>
            </w:tcMar>
            <w:vAlign w:val="center"/>
          </w:tcPr>
          <w:p>
            <w:pPr>
              <w:pStyle w:val="55"/>
              <w:spacing w:beforeLines="0" w:afterLines="0" w:line="240" w:lineRule="auto"/>
              <w:jc w:val="right"/>
              <w:rPr>
                <w:rFonts w:ascii="Times New Roman" w:eastAsia="黑体"/>
                <w:snapToGrid w:val="0"/>
                <w:color w:val="000000"/>
                <w:spacing w:val="-6"/>
                <w:kern w:val="21"/>
                <w:szCs w:val="21"/>
              </w:rPr>
            </w:pPr>
            <w:r>
              <w:rPr>
                <w:rFonts w:ascii="Times New Roman" w:eastAsia="黑体"/>
                <w:snapToGrid w:val="0"/>
                <w:color w:val="000000"/>
                <w:spacing w:val="-6"/>
                <w:kern w:val="21"/>
                <w:szCs w:val="21"/>
              </w:rPr>
              <w:t>项目</w:t>
            </w:r>
          </w:p>
          <w:p>
            <w:pPr>
              <w:pStyle w:val="55"/>
              <w:spacing w:beforeLines="0" w:afterLines="0" w:line="240" w:lineRule="auto"/>
              <w:jc w:val="left"/>
              <w:rPr>
                <w:rFonts w:ascii="Times New Roman" w:eastAsia="黑体"/>
                <w:snapToGrid w:val="0"/>
                <w:color w:val="000000"/>
                <w:spacing w:val="-6"/>
                <w:kern w:val="21"/>
                <w:szCs w:val="21"/>
              </w:rPr>
            </w:pPr>
            <w:r>
              <w:rPr>
                <w:rFonts w:ascii="Times New Roman" w:eastAsia="黑体"/>
                <w:snapToGrid w:val="0"/>
                <w:color w:val="000000"/>
                <w:spacing w:val="-6"/>
                <w:kern w:val="21"/>
                <w:szCs w:val="21"/>
              </w:rPr>
              <w:t>分类</w:t>
            </w:r>
          </w:p>
        </w:tc>
        <w:tc>
          <w:tcPr>
            <w:tcW w:w="1417"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污染物名称</w:t>
            </w:r>
          </w:p>
        </w:tc>
        <w:tc>
          <w:tcPr>
            <w:tcW w:w="1701"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1 \* GB3 \* MERGEFORMAT </w:instrText>
            </w:r>
            <w:r>
              <w:rPr>
                <w:rFonts w:ascii="Times New Roman" w:eastAsia="黑体"/>
                <w:snapToGrid w:val="0"/>
                <w:color w:val="000000"/>
                <w:spacing w:val="-6"/>
                <w:kern w:val="21"/>
                <w:szCs w:val="21"/>
              </w:rPr>
              <w:fldChar w:fldCharType="separate"/>
            </w:r>
            <w:r>
              <w:rPr>
                <w:rFonts w:ascii="Times New Roman" w:eastAsia="黑体"/>
                <w:color w:val="000000"/>
                <w:kern w:val="2"/>
                <w:szCs w:val="21"/>
              </w:rPr>
              <w:t>①</w:t>
            </w:r>
            <w:r>
              <w:rPr>
                <w:rFonts w:ascii="Times New Roman" w:eastAsia="黑体"/>
                <w:snapToGrid w:val="0"/>
                <w:color w:val="000000"/>
                <w:spacing w:val="-6"/>
                <w:kern w:val="21"/>
                <w:szCs w:val="21"/>
              </w:rPr>
              <w:fldChar w:fldCharType="end"/>
            </w:r>
          </w:p>
        </w:tc>
        <w:tc>
          <w:tcPr>
            <w:tcW w:w="1276"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现有工程</w:t>
            </w:r>
          </w:p>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许可排放量</w:t>
            </w:r>
          </w:p>
          <w:p>
            <w:pPr>
              <w:pStyle w:val="55"/>
              <w:spacing w:beforeLines="0" w:afterLines="0"/>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2 \* GB3 \* MERGEFORMAT </w:instrText>
            </w:r>
            <w:r>
              <w:rPr>
                <w:rFonts w:ascii="Times New Roman" w:eastAsia="黑体"/>
                <w:snapToGrid w:val="0"/>
                <w:color w:val="000000"/>
                <w:spacing w:val="-6"/>
                <w:kern w:val="21"/>
                <w:szCs w:val="21"/>
              </w:rPr>
              <w:fldChar w:fldCharType="separate"/>
            </w:r>
            <w:r>
              <w:rPr>
                <w:rFonts w:ascii="Times New Roman" w:eastAsia="黑体"/>
                <w:snapToGrid w:val="0"/>
                <w:color w:val="000000"/>
                <w:spacing w:val="-6"/>
                <w:kern w:val="21"/>
                <w:szCs w:val="21"/>
              </w:rPr>
              <w:t>②</w:t>
            </w:r>
            <w:r>
              <w:rPr>
                <w:rFonts w:ascii="Times New Roman" w:eastAsia="黑体"/>
                <w:snapToGrid w:val="0"/>
                <w:color w:val="000000"/>
                <w:spacing w:val="-6"/>
                <w:kern w:val="21"/>
                <w:szCs w:val="21"/>
              </w:rPr>
              <w:fldChar w:fldCharType="end"/>
            </w:r>
          </w:p>
        </w:tc>
        <w:tc>
          <w:tcPr>
            <w:tcW w:w="1701"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在建工程</w:t>
            </w:r>
          </w:p>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3 \* GB3 \* MERGEFORMAT </w:instrText>
            </w:r>
            <w:r>
              <w:rPr>
                <w:rFonts w:ascii="Times New Roman" w:eastAsia="黑体"/>
                <w:snapToGrid w:val="0"/>
                <w:color w:val="000000"/>
                <w:spacing w:val="-6"/>
                <w:kern w:val="21"/>
                <w:szCs w:val="21"/>
              </w:rPr>
              <w:fldChar w:fldCharType="separate"/>
            </w:r>
            <w:r>
              <w:rPr>
                <w:rFonts w:ascii="Times New Roman" w:eastAsia="黑体"/>
                <w:color w:val="000000"/>
                <w:kern w:val="2"/>
                <w:szCs w:val="21"/>
              </w:rPr>
              <w:t>③</w:t>
            </w:r>
            <w:r>
              <w:rPr>
                <w:rFonts w:ascii="Times New Roman" w:eastAsia="黑体"/>
                <w:snapToGrid w:val="0"/>
                <w:color w:val="000000"/>
                <w:spacing w:val="-6"/>
                <w:kern w:val="21"/>
                <w:szCs w:val="21"/>
              </w:rPr>
              <w:fldChar w:fldCharType="end"/>
            </w:r>
          </w:p>
        </w:tc>
        <w:tc>
          <w:tcPr>
            <w:tcW w:w="1559"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本项目</w:t>
            </w:r>
          </w:p>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排放量（固体废物产生量）</w:t>
            </w: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4 \* GB3 \* MERGEFORMAT </w:instrText>
            </w:r>
            <w:r>
              <w:rPr>
                <w:rFonts w:ascii="Times New Roman" w:eastAsia="黑体"/>
                <w:snapToGrid w:val="0"/>
                <w:color w:val="000000"/>
                <w:spacing w:val="-6"/>
                <w:kern w:val="21"/>
                <w:szCs w:val="21"/>
              </w:rPr>
              <w:fldChar w:fldCharType="separate"/>
            </w:r>
            <w:r>
              <w:rPr>
                <w:rFonts w:ascii="Times New Roman" w:eastAsia="黑体"/>
                <w:color w:val="000000"/>
                <w:kern w:val="2"/>
                <w:szCs w:val="21"/>
              </w:rPr>
              <w:t>④</w:t>
            </w:r>
            <w:r>
              <w:rPr>
                <w:rFonts w:ascii="Times New Roman" w:eastAsia="黑体"/>
                <w:snapToGrid w:val="0"/>
                <w:color w:val="000000"/>
                <w:spacing w:val="-6"/>
                <w:kern w:val="21"/>
                <w:szCs w:val="21"/>
              </w:rPr>
              <w:fldChar w:fldCharType="end"/>
            </w:r>
          </w:p>
        </w:tc>
        <w:tc>
          <w:tcPr>
            <w:tcW w:w="1580" w:type="dxa"/>
            <w:tcMar>
              <w:left w:w="28" w:type="dxa"/>
              <w:right w:w="28" w:type="dxa"/>
            </w:tcMar>
            <w:vAlign w:val="center"/>
          </w:tcPr>
          <w:p>
            <w:pPr>
              <w:pStyle w:val="55"/>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以新带老削减量</w:t>
            </w:r>
          </w:p>
          <w:p>
            <w:pPr>
              <w:pStyle w:val="55"/>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（新建项目不填）</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5 \* GB3 \* MERGEFORMAT </w:instrText>
            </w:r>
            <w:r>
              <w:rPr>
                <w:rFonts w:ascii="Times New Roman" w:eastAsia="黑体"/>
                <w:snapToGrid w:val="0"/>
                <w:color w:val="000000"/>
                <w:spacing w:val="-16"/>
                <w:kern w:val="21"/>
                <w:szCs w:val="21"/>
              </w:rPr>
              <w:fldChar w:fldCharType="separate"/>
            </w:r>
            <w:r>
              <w:rPr>
                <w:rFonts w:ascii="Times New Roman" w:eastAsia="黑体"/>
                <w:color w:val="000000"/>
                <w:kern w:val="2"/>
                <w:szCs w:val="21"/>
              </w:rPr>
              <w:t>⑤</w:t>
            </w:r>
            <w:r>
              <w:rPr>
                <w:rFonts w:ascii="Times New Roman" w:eastAsia="黑体"/>
                <w:snapToGrid w:val="0"/>
                <w:color w:val="000000"/>
                <w:spacing w:val="-16"/>
                <w:kern w:val="21"/>
                <w:szCs w:val="21"/>
              </w:rPr>
              <w:fldChar w:fldCharType="end"/>
            </w:r>
          </w:p>
        </w:tc>
        <w:tc>
          <w:tcPr>
            <w:tcW w:w="1925" w:type="dxa"/>
            <w:tcMar>
              <w:left w:w="28" w:type="dxa"/>
              <w:right w:w="28" w:type="dxa"/>
            </w:tcMar>
            <w:vAlign w:val="center"/>
          </w:tcPr>
          <w:p>
            <w:pPr>
              <w:pStyle w:val="55"/>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本项目建成后</w:t>
            </w:r>
          </w:p>
          <w:p>
            <w:pPr>
              <w:pStyle w:val="55"/>
              <w:spacing w:beforeLines="0" w:afterLines="0" w:line="240" w:lineRule="auto"/>
              <w:rPr>
                <w:rFonts w:ascii="Times New Roman" w:eastAsia="黑体"/>
                <w:snapToGrid w:val="0"/>
                <w:color w:val="000000"/>
                <w:spacing w:val="-16"/>
                <w:kern w:val="21"/>
                <w:szCs w:val="21"/>
              </w:rPr>
            </w:pPr>
            <w:r>
              <w:rPr>
                <w:rFonts w:ascii="Times New Roman" w:eastAsia="黑体"/>
                <w:snapToGrid w:val="0"/>
                <w:color w:val="000000"/>
                <w:spacing w:val="-16"/>
                <w:kern w:val="21"/>
                <w:szCs w:val="21"/>
              </w:rPr>
              <w:t>全厂排放量（固体废物产生量）</w:t>
            </w:r>
            <w:r>
              <w:rPr>
                <w:rFonts w:ascii="Times New Roman" w:eastAsia="黑体"/>
                <w:snapToGrid w:val="0"/>
                <w:color w:val="000000"/>
                <w:spacing w:val="-16"/>
                <w:kern w:val="21"/>
                <w:szCs w:val="21"/>
              </w:rPr>
              <w:fldChar w:fldCharType="begin"/>
            </w:r>
            <w:r>
              <w:rPr>
                <w:rFonts w:ascii="Times New Roman" w:eastAsia="黑体"/>
                <w:snapToGrid w:val="0"/>
                <w:color w:val="000000"/>
                <w:spacing w:val="-16"/>
                <w:kern w:val="21"/>
                <w:szCs w:val="21"/>
              </w:rPr>
              <w:instrText xml:space="preserve"> = 6 \* GB3 \* MERGEFORMAT </w:instrText>
            </w:r>
            <w:r>
              <w:rPr>
                <w:rFonts w:ascii="Times New Roman" w:eastAsia="黑体"/>
                <w:snapToGrid w:val="0"/>
                <w:color w:val="000000"/>
                <w:spacing w:val="-16"/>
                <w:kern w:val="21"/>
                <w:szCs w:val="21"/>
              </w:rPr>
              <w:fldChar w:fldCharType="separate"/>
            </w:r>
            <w:r>
              <w:rPr>
                <w:rFonts w:ascii="Times New Roman" w:eastAsia="黑体"/>
                <w:color w:val="000000"/>
                <w:kern w:val="2"/>
                <w:szCs w:val="21"/>
              </w:rPr>
              <w:t>⑥</w:t>
            </w:r>
            <w:r>
              <w:rPr>
                <w:rFonts w:ascii="Times New Roman" w:eastAsia="黑体"/>
                <w:snapToGrid w:val="0"/>
                <w:color w:val="000000"/>
                <w:spacing w:val="-16"/>
                <w:kern w:val="21"/>
                <w:szCs w:val="21"/>
              </w:rPr>
              <w:fldChar w:fldCharType="end"/>
            </w:r>
          </w:p>
        </w:tc>
        <w:tc>
          <w:tcPr>
            <w:tcW w:w="1400" w:type="dxa"/>
            <w:tcMar>
              <w:left w:w="28" w:type="dxa"/>
              <w:right w:w="28" w:type="dxa"/>
            </w:tcMar>
            <w:vAlign w:val="center"/>
          </w:tcPr>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t>变化量</w:t>
            </w:r>
          </w:p>
          <w:p>
            <w:pPr>
              <w:pStyle w:val="55"/>
              <w:spacing w:beforeLines="0" w:afterLines="0" w:line="240" w:lineRule="auto"/>
              <w:rPr>
                <w:rFonts w:ascii="Times New Roman" w:eastAsia="黑体"/>
                <w:snapToGrid w:val="0"/>
                <w:color w:val="000000"/>
                <w:spacing w:val="-6"/>
                <w:kern w:val="21"/>
                <w:szCs w:val="21"/>
              </w:rPr>
            </w:pPr>
            <w:r>
              <w:rPr>
                <w:rFonts w:ascii="Times New Roman" w:eastAsia="黑体"/>
                <w:snapToGrid w:val="0"/>
                <w:color w:val="000000"/>
                <w:spacing w:val="-6"/>
                <w:kern w:val="21"/>
                <w:szCs w:val="21"/>
              </w:rPr>
              <w:fldChar w:fldCharType="begin"/>
            </w:r>
            <w:r>
              <w:rPr>
                <w:rFonts w:ascii="Times New Roman" w:eastAsia="黑体"/>
                <w:snapToGrid w:val="0"/>
                <w:color w:val="000000"/>
                <w:spacing w:val="-6"/>
                <w:kern w:val="21"/>
                <w:szCs w:val="21"/>
              </w:rPr>
              <w:instrText xml:space="preserve"> = 7 \* GB3 \* MERGEFORMAT </w:instrText>
            </w:r>
            <w:r>
              <w:rPr>
                <w:rFonts w:ascii="Times New Roman" w:eastAsia="黑体"/>
                <w:snapToGrid w:val="0"/>
                <w:color w:val="000000"/>
                <w:spacing w:val="-6"/>
                <w:kern w:val="21"/>
                <w:szCs w:val="21"/>
              </w:rPr>
              <w:fldChar w:fldCharType="separate"/>
            </w:r>
            <w:r>
              <w:rPr>
                <w:rFonts w:ascii="Times New Roman" w:eastAsia="黑体"/>
                <w:color w:val="000000"/>
                <w:kern w:val="2"/>
                <w:szCs w:val="21"/>
              </w:rPr>
              <w:t>⑦</w:t>
            </w:r>
            <w:r>
              <w:rPr>
                <w:rFonts w:ascii="Times New Roman" w:eastAsia="黑体"/>
                <w:snapToGrid w:val="0"/>
                <w:color w:val="00000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5"/>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废气</w:t>
            </w:r>
          </w:p>
        </w:tc>
        <w:tc>
          <w:tcPr>
            <w:tcW w:w="1417"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粉尘</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adjustRightInd w:val="0"/>
              <w:snapToGrid w:val="0"/>
              <w:jc w:val="center"/>
              <w:rPr>
                <w:snapToGrid w:val="0"/>
                <w:color w:val="000000"/>
                <w:kern w:val="21"/>
                <w:sz w:val="21"/>
                <w:szCs w:val="21"/>
              </w:rPr>
            </w:pPr>
            <w:r>
              <w:rPr>
                <w:rFonts w:hint="eastAsia"/>
                <w:snapToGrid w:val="0"/>
                <w:color w:val="000000"/>
                <w:kern w:val="21"/>
                <w:sz w:val="21"/>
                <w:szCs w:val="21"/>
              </w:rPr>
              <w:t>0.92t/a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adjustRightInd w:val="0"/>
              <w:snapToGrid w:val="0"/>
              <w:jc w:val="center"/>
              <w:rPr>
                <w:snapToGrid w:val="0"/>
                <w:color w:val="000000"/>
                <w:kern w:val="21"/>
                <w:sz w:val="21"/>
                <w:szCs w:val="21"/>
              </w:rPr>
            </w:pPr>
            <w:r>
              <w:rPr>
                <w:rFonts w:hint="eastAsia"/>
                <w:snapToGrid w:val="0"/>
                <w:color w:val="000000"/>
                <w:kern w:val="21"/>
                <w:sz w:val="21"/>
                <w:szCs w:val="21"/>
              </w:rPr>
              <w:t>0.92t/a</w:t>
            </w:r>
          </w:p>
        </w:tc>
        <w:tc>
          <w:tcPr>
            <w:tcW w:w="1400" w:type="dxa"/>
            <w:vAlign w:val="center"/>
          </w:tcPr>
          <w:p>
            <w:pPr>
              <w:adjustRightInd w:val="0"/>
              <w:snapToGrid w:val="0"/>
              <w:jc w:val="center"/>
              <w:rPr>
                <w:rFonts w:eastAsia="Times New Roman"/>
                <w:snapToGrid w:val="0"/>
                <w:color w:val="000000"/>
                <w:kern w:val="21"/>
                <w:sz w:val="21"/>
                <w:szCs w:val="21"/>
              </w:rPr>
            </w:pPr>
            <w:r>
              <w:rPr>
                <w:rFonts w:hint="eastAsia"/>
                <w:snapToGrid w:val="0"/>
                <w:color w:val="000000"/>
                <w:kern w:val="21"/>
                <w:sz w:val="21"/>
                <w:szCs w:val="21"/>
              </w:rPr>
              <w:t>0.92t/a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烟尘</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adjustRightInd w:val="0"/>
              <w:snapToGrid w:val="0"/>
              <w:jc w:val="center"/>
              <w:rPr>
                <w:snapToGrid w:val="0"/>
                <w:color w:val="000000"/>
                <w:kern w:val="21"/>
                <w:sz w:val="21"/>
                <w:szCs w:val="21"/>
              </w:rPr>
            </w:pPr>
            <w:r>
              <w:rPr>
                <w:rFonts w:hint="eastAsia"/>
                <w:snapToGrid w:val="0"/>
                <w:color w:val="000000"/>
                <w:kern w:val="21"/>
                <w:sz w:val="21"/>
                <w:szCs w:val="21"/>
              </w:rPr>
              <w:t>1.84t/a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jc w:val="center"/>
              <w:rPr>
                <w:snapToGrid w:val="0"/>
                <w:color w:val="000000"/>
                <w:kern w:val="21"/>
                <w:sz w:val="21"/>
                <w:szCs w:val="21"/>
              </w:rPr>
            </w:pPr>
            <w:r>
              <w:rPr>
                <w:rFonts w:hint="eastAsia"/>
                <w:snapToGrid w:val="0"/>
                <w:color w:val="000000"/>
                <w:kern w:val="21"/>
                <w:sz w:val="21"/>
                <w:szCs w:val="21"/>
              </w:rPr>
              <w:t>1.84t/a</w:t>
            </w:r>
          </w:p>
        </w:tc>
        <w:tc>
          <w:tcPr>
            <w:tcW w:w="1400" w:type="dxa"/>
            <w:vAlign w:val="center"/>
          </w:tcPr>
          <w:p>
            <w:pPr>
              <w:jc w:val="center"/>
              <w:rPr>
                <w:snapToGrid w:val="0"/>
                <w:color w:val="000000"/>
                <w:kern w:val="21"/>
                <w:sz w:val="21"/>
                <w:szCs w:val="21"/>
              </w:rPr>
            </w:pPr>
            <w:r>
              <w:rPr>
                <w:rFonts w:hint="eastAsia"/>
                <w:snapToGrid w:val="0"/>
                <w:color w:val="000000"/>
                <w:kern w:val="21"/>
                <w:sz w:val="21"/>
                <w:szCs w:val="21"/>
              </w:rPr>
              <w:t>1.84t/a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非甲烷总烃</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0.230t/a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0.230t/a</w:t>
            </w:r>
          </w:p>
        </w:tc>
        <w:tc>
          <w:tcPr>
            <w:tcW w:w="1400"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0.230t/a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55"/>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废水</w:t>
            </w:r>
          </w:p>
        </w:tc>
        <w:tc>
          <w:tcPr>
            <w:tcW w:w="1417" w:type="dxa"/>
            <w:vAlign w:val="center"/>
          </w:tcPr>
          <w:p>
            <w:pPr>
              <w:pStyle w:val="55"/>
              <w:spacing w:beforeLines="0" w:afterLines="0" w:line="240" w:lineRule="auto"/>
              <w:rPr>
                <w:rFonts w:ascii="Times New Roman"/>
                <w:snapToGrid w:val="0"/>
                <w:color w:val="000000"/>
                <w:kern w:val="21"/>
                <w:sz w:val="21"/>
                <w:szCs w:val="21"/>
              </w:rPr>
            </w:pPr>
            <w:r>
              <w:rPr>
                <w:rFonts w:hint="eastAsia" w:ascii="Times New Roman"/>
                <w:snapToGrid w:val="0"/>
                <w:color w:val="000000"/>
                <w:kern w:val="21"/>
                <w:sz w:val="21"/>
                <w:szCs w:val="21"/>
              </w:rPr>
              <w:t>生活污水</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1008t/a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1008t/a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1008t/a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Align w:val="center"/>
          </w:tcPr>
          <w:p>
            <w:pPr>
              <w:pStyle w:val="55"/>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一般工业</w:t>
            </w:r>
          </w:p>
          <w:p>
            <w:pPr>
              <w:pStyle w:val="55"/>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固体废物</w:t>
            </w:r>
          </w:p>
        </w:tc>
        <w:tc>
          <w:tcPr>
            <w:tcW w:w="1417" w:type="dxa"/>
            <w:vAlign w:val="center"/>
          </w:tcPr>
          <w:p>
            <w:pPr>
              <w:pStyle w:val="55"/>
              <w:spacing w:beforeLines="0" w:afterLines="0" w:line="240" w:lineRule="auto"/>
              <w:jc w:val="both"/>
              <w:rPr>
                <w:rFonts w:ascii="Times New Roman"/>
                <w:snapToGrid w:val="0"/>
                <w:color w:val="000000"/>
                <w:kern w:val="21"/>
                <w:sz w:val="21"/>
                <w:szCs w:val="21"/>
              </w:rPr>
            </w:pPr>
            <w:r>
              <w:rPr>
                <w:rFonts w:hint="eastAsia" w:ascii="Times New Roman"/>
                <w:snapToGrid w:val="0"/>
                <w:color w:val="000000"/>
                <w:kern w:val="21"/>
                <w:sz w:val="21"/>
                <w:szCs w:val="21"/>
              </w:rPr>
              <w:t>废弃边角料</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23t/a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23t/a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23t/a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vAlign w:val="center"/>
          </w:tcPr>
          <w:p>
            <w:pPr>
              <w:pStyle w:val="55"/>
              <w:spacing w:beforeLines="0" w:afterLines="0" w:line="240" w:lineRule="auto"/>
              <w:rPr>
                <w:rFonts w:ascii="Times New Roman"/>
                <w:snapToGrid w:val="0"/>
                <w:color w:val="000000"/>
                <w:kern w:val="21"/>
                <w:sz w:val="21"/>
                <w:szCs w:val="21"/>
              </w:rPr>
            </w:pPr>
            <w:r>
              <w:rPr>
                <w:rFonts w:ascii="Times New Roman"/>
                <w:snapToGrid w:val="0"/>
                <w:color w:val="000000"/>
                <w:kern w:val="21"/>
                <w:sz w:val="21"/>
                <w:szCs w:val="21"/>
              </w:rPr>
              <w:t>危险废物</w:t>
            </w: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废机油</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w:t>
            </w:r>
            <w:r>
              <w:rPr>
                <w:snapToGrid w:val="0"/>
                <w:color w:val="000000"/>
                <w:kern w:val="21"/>
                <w:sz w:val="21"/>
                <w:szCs w:val="21"/>
              </w:rPr>
              <w:t>.37</w:t>
            </w:r>
            <w:r>
              <w:rPr>
                <w:rFonts w:hint="eastAsia"/>
                <w:snapToGrid w:val="0"/>
                <w:color w:val="000000"/>
                <w:kern w:val="21"/>
                <w:sz w:val="21"/>
                <w:szCs w:val="21"/>
              </w:rPr>
              <w:t>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w:t>
            </w:r>
            <w:r>
              <w:rPr>
                <w:snapToGrid w:val="0"/>
                <w:color w:val="000000"/>
                <w:kern w:val="21"/>
                <w:sz w:val="21"/>
                <w:szCs w:val="21"/>
              </w:rPr>
              <w:t>.37</w:t>
            </w:r>
            <w:r>
              <w:rPr>
                <w:rFonts w:hint="eastAsia"/>
                <w:snapToGrid w:val="0"/>
                <w:color w:val="000000"/>
                <w:kern w:val="21"/>
                <w:sz w:val="21"/>
                <w:szCs w:val="21"/>
              </w:rPr>
              <w:t>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w:t>
            </w:r>
            <w:r>
              <w:rPr>
                <w:snapToGrid w:val="0"/>
                <w:color w:val="000000"/>
                <w:kern w:val="21"/>
                <w:sz w:val="21"/>
                <w:szCs w:val="21"/>
              </w:rPr>
              <w:t>.37</w:t>
            </w:r>
            <w:r>
              <w:rPr>
                <w:rFonts w:hint="eastAsia"/>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废润滑油</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0.23</w:t>
            </w:r>
            <w:r>
              <w:rPr>
                <w:rFonts w:hint="eastAsia"/>
                <w:snapToGrid w:val="0"/>
                <w:color w:val="000000"/>
                <w:kern w:val="21"/>
                <w:sz w:val="21"/>
                <w:szCs w:val="21"/>
              </w:rPr>
              <w:t>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0.23</w:t>
            </w:r>
            <w:r>
              <w:rPr>
                <w:rFonts w:hint="eastAsia"/>
                <w:snapToGrid w:val="0"/>
                <w:color w:val="000000"/>
                <w:kern w:val="21"/>
                <w:sz w:val="21"/>
                <w:szCs w:val="21"/>
              </w:rPr>
              <w:t>t/a</w:t>
            </w:r>
          </w:p>
        </w:tc>
        <w:tc>
          <w:tcPr>
            <w:tcW w:w="1400"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0.23</w:t>
            </w:r>
            <w:r>
              <w:rPr>
                <w:rFonts w:hint="eastAsia"/>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废液压油</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0.9t/a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0.9t/a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废乳化液</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w:t>
            </w:r>
            <w:r>
              <w:rPr>
                <w:rFonts w:hint="eastAsia"/>
                <w:snapToGrid w:val="0"/>
                <w:color w:val="000000"/>
                <w:kern w:val="21"/>
                <w:sz w:val="21"/>
                <w:szCs w:val="21"/>
              </w:rPr>
              <w:t>64t/a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w:t>
            </w:r>
            <w:r>
              <w:rPr>
                <w:rFonts w:hint="eastAsia"/>
                <w:snapToGrid w:val="0"/>
                <w:color w:val="000000"/>
                <w:kern w:val="21"/>
                <w:sz w:val="21"/>
                <w:szCs w:val="21"/>
              </w:rPr>
              <w:t>64t/a</w:t>
            </w:r>
          </w:p>
        </w:tc>
        <w:tc>
          <w:tcPr>
            <w:tcW w:w="1400"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w:t>
            </w:r>
            <w:r>
              <w:rPr>
                <w:rFonts w:hint="eastAsia"/>
                <w:snapToGrid w:val="0"/>
                <w:color w:val="000000"/>
                <w:kern w:val="21"/>
                <w:sz w:val="21"/>
                <w:szCs w:val="21"/>
              </w:rPr>
              <w:t>64t/a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w:t>
            </w:r>
            <w:r>
              <w:rPr>
                <w:rFonts w:hint="eastAsia"/>
                <w:snapToGrid w:val="0"/>
                <w:color w:val="000000"/>
                <w:kern w:val="21"/>
                <w:sz w:val="21"/>
                <w:szCs w:val="21"/>
              </w:rPr>
              <w:t>水性漆</w:t>
            </w:r>
            <w:r>
              <w:rPr>
                <w:snapToGrid w:val="0"/>
                <w:color w:val="000000"/>
                <w:kern w:val="21"/>
                <w:sz w:val="21"/>
                <w:szCs w:val="21"/>
              </w:rPr>
              <w:t>桶</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废活性炭</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4.6t/a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4.6t/a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4.6t/a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w:t>
            </w:r>
            <w:r>
              <w:rPr>
                <w:rFonts w:hint="eastAsia"/>
                <w:snapToGrid w:val="0"/>
                <w:color w:val="000000"/>
                <w:kern w:val="21"/>
                <w:sz w:val="21"/>
                <w:szCs w:val="21"/>
              </w:rPr>
              <w:t>过滤棉</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2.1t/a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2.1t/a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2.1t/a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漆渣</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0.56t/a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0.56t/a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废棉纱</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0.08</w:t>
            </w:r>
            <w:r>
              <w:rPr>
                <w:rFonts w:hint="eastAsia"/>
                <w:snapToGrid w:val="0"/>
                <w:color w:val="000000"/>
                <w:kern w:val="21"/>
                <w:sz w:val="21"/>
                <w:szCs w:val="21"/>
              </w:rPr>
              <w:t>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0.08</w:t>
            </w:r>
            <w:r>
              <w:rPr>
                <w:rFonts w:hint="eastAsia"/>
                <w:snapToGrid w:val="0"/>
                <w:color w:val="000000"/>
                <w:kern w:val="21"/>
                <w:sz w:val="21"/>
                <w:szCs w:val="21"/>
              </w:rPr>
              <w:t>t/a</w:t>
            </w:r>
          </w:p>
        </w:tc>
        <w:tc>
          <w:tcPr>
            <w:tcW w:w="1400" w:type="dxa"/>
            <w:vAlign w:val="center"/>
          </w:tcPr>
          <w:p>
            <w:pPr>
              <w:snapToGrid w:val="0"/>
              <w:spacing w:line="240" w:lineRule="atLeast"/>
              <w:jc w:val="center"/>
              <w:rPr>
                <w:snapToGrid w:val="0"/>
                <w:color w:val="000000"/>
                <w:kern w:val="21"/>
                <w:sz w:val="21"/>
                <w:szCs w:val="21"/>
              </w:rPr>
            </w:pPr>
            <w:r>
              <w:rPr>
                <w:snapToGrid w:val="0"/>
                <w:color w:val="000000"/>
                <w:kern w:val="21"/>
                <w:sz w:val="21"/>
                <w:szCs w:val="21"/>
              </w:rPr>
              <w:t>0.08</w:t>
            </w:r>
            <w:r>
              <w:rPr>
                <w:rFonts w:hint="eastAsia"/>
                <w:snapToGrid w:val="0"/>
                <w:color w:val="000000"/>
                <w:kern w:val="21"/>
                <w:sz w:val="21"/>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vAlign w:val="center"/>
          </w:tcPr>
          <w:p>
            <w:pPr>
              <w:pStyle w:val="55"/>
              <w:spacing w:beforeLines="0" w:afterLines="0" w:line="240" w:lineRule="auto"/>
              <w:rPr>
                <w:rFonts w:ascii="Times New Roman"/>
                <w:snapToGrid w:val="0"/>
                <w:color w:val="000000"/>
                <w:kern w:val="21"/>
                <w:sz w:val="21"/>
                <w:szCs w:val="21"/>
              </w:rPr>
            </w:pPr>
          </w:p>
        </w:tc>
        <w:tc>
          <w:tcPr>
            <w:tcW w:w="1417"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废催化剂</w:t>
            </w: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276" w:type="dxa"/>
            <w:vAlign w:val="center"/>
          </w:tcPr>
          <w:p>
            <w:pPr>
              <w:pStyle w:val="55"/>
              <w:spacing w:beforeLines="0" w:afterLines="0" w:line="240" w:lineRule="auto"/>
              <w:rPr>
                <w:rFonts w:ascii="Times New Roman"/>
                <w:snapToGrid w:val="0"/>
                <w:color w:val="000000"/>
                <w:kern w:val="21"/>
                <w:sz w:val="21"/>
                <w:szCs w:val="21"/>
              </w:rPr>
            </w:pPr>
          </w:p>
        </w:tc>
        <w:tc>
          <w:tcPr>
            <w:tcW w:w="1701" w:type="dxa"/>
            <w:vAlign w:val="center"/>
          </w:tcPr>
          <w:p>
            <w:pPr>
              <w:pStyle w:val="55"/>
              <w:spacing w:beforeLines="0" w:afterLines="0" w:line="240" w:lineRule="auto"/>
              <w:rPr>
                <w:rFonts w:ascii="Times New Roman"/>
                <w:snapToGrid w:val="0"/>
                <w:color w:val="000000"/>
                <w:kern w:val="21"/>
                <w:sz w:val="21"/>
                <w:szCs w:val="21"/>
              </w:rPr>
            </w:pPr>
          </w:p>
        </w:tc>
        <w:tc>
          <w:tcPr>
            <w:tcW w:w="1559"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c>
          <w:tcPr>
            <w:tcW w:w="1580" w:type="dxa"/>
            <w:vAlign w:val="center"/>
          </w:tcPr>
          <w:p>
            <w:pPr>
              <w:pStyle w:val="55"/>
              <w:spacing w:beforeLines="0" w:afterLines="0" w:line="240" w:lineRule="auto"/>
              <w:rPr>
                <w:rFonts w:ascii="Times New Roman"/>
                <w:snapToGrid w:val="0"/>
                <w:color w:val="000000"/>
                <w:kern w:val="21"/>
                <w:sz w:val="21"/>
                <w:szCs w:val="21"/>
              </w:rPr>
            </w:pPr>
          </w:p>
        </w:tc>
        <w:tc>
          <w:tcPr>
            <w:tcW w:w="1925"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c>
          <w:tcPr>
            <w:tcW w:w="1400" w:type="dxa"/>
            <w:vAlign w:val="center"/>
          </w:tcPr>
          <w:p>
            <w:pPr>
              <w:snapToGrid w:val="0"/>
              <w:spacing w:line="240" w:lineRule="atLeast"/>
              <w:jc w:val="center"/>
              <w:rPr>
                <w:snapToGrid w:val="0"/>
                <w:color w:val="000000"/>
                <w:kern w:val="21"/>
                <w:sz w:val="21"/>
                <w:szCs w:val="21"/>
              </w:rPr>
            </w:pPr>
            <w:r>
              <w:rPr>
                <w:rFonts w:hint="eastAsia"/>
                <w:snapToGrid w:val="0"/>
                <w:color w:val="000000"/>
                <w:kern w:val="21"/>
                <w:sz w:val="21"/>
                <w:szCs w:val="21"/>
              </w:rPr>
              <w:t>0.5t/a</w:t>
            </w:r>
          </w:p>
        </w:tc>
      </w:tr>
    </w:tbl>
    <w:p>
      <w:pPr>
        <w:pStyle w:val="55"/>
        <w:spacing w:beforeLines="80" w:after="24"/>
        <w:jc w:val="left"/>
        <w:rPr>
          <w:rFonts w:ascii="Times New Roman"/>
          <w:snapToGrid w:val="0"/>
          <w:color w:val="000000"/>
          <w:spacing w:val="-6"/>
          <w:kern w:val="21"/>
          <w:szCs w:val="21"/>
        </w:rPr>
      </w:pPr>
      <w:r>
        <w:rPr>
          <w:rFonts w:ascii="Times New Roman"/>
          <w:snapToGrid w:val="0"/>
          <w:color w:val="000000"/>
          <w:kern w:val="21"/>
          <w:szCs w:val="21"/>
        </w:rPr>
        <w:t>注：</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3 \* GB3 \* MERGEFORMAT </w:instrText>
      </w:r>
      <w:r>
        <w:rPr>
          <w:rFonts w:ascii="Times New Roman"/>
          <w:snapToGrid w:val="0"/>
          <w:color w:val="000000"/>
          <w:spacing w:val="-6"/>
          <w:kern w:val="21"/>
          <w:szCs w:val="21"/>
        </w:rPr>
        <w:fldChar w:fldCharType="separate"/>
      </w:r>
      <w:r>
        <w:rPr>
          <w:rFonts w:ascii="Times New Roman"/>
          <w:color w:val="000000"/>
          <w:szCs w:val="21"/>
        </w:rPr>
        <w:t>③</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4 \* GB3 \* MERGEFORMAT </w:instrText>
      </w:r>
      <w:r>
        <w:rPr>
          <w:rFonts w:ascii="Times New Roman"/>
          <w:snapToGrid w:val="0"/>
          <w:color w:val="000000"/>
          <w:spacing w:val="-6"/>
          <w:kern w:val="21"/>
          <w:szCs w:val="21"/>
        </w:rPr>
        <w:fldChar w:fldCharType="separate"/>
      </w:r>
      <w:r>
        <w:rPr>
          <w:rFonts w:ascii="Times New Roman"/>
          <w:color w:val="000000"/>
          <w:szCs w:val="21"/>
        </w:rPr>
        <w:t>④</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5 \* GB3 \* MERGEFORMAT </w:instrText>
      </w:r>
      <w:r>
        <w:rPr>
          <w:rFonts w:ascii="Times New Roman"/>
          <w:snapToGrid w:val="0"/>
          <w:color w:val="000000"/>
          <w:spacing w:val="-16"/>
          <w:kern w:val="21"/>
          <w:szCs w:val="21"/>
        </w:rPr>
        <w:fldChar w:fldCharType="separate"/>
      </w:r>
      <w:r>
        <w:rPr>
          <w:rFonts w:ascii="Times New Roman"/>
          <w:color w:val="000000"/>
          <w:szCs w:val="21"/>
        </w:rPr>
        <w:t>⑤</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7 \* GB3 \* MERGEFORMAT </w:instrText>
      </w:r>
      <w:r>
        <w:rPr>
          <w:rFonts w:ascii="Times New Roman"/>
          <w:snapToGrid w:val="0"/>
          <w:color w:val="000000"/>
          <w:spacing w:val="-6"/>
          <w:kern w:val="21"/>
          <w:szCs w:val="21"/>
        </w:rPr>
        <w:fldChar w:fldCharType="separate"/>
      </w:r>
      <w:r>
        <w:rPr>
          <w:rFonts w:ascii="Times New Roman"/>
          <w:color w:val="000000"/>
          <w:szCs w:val="21"/>
        </w:rPr>
        <w:t>⑦</w:t>
      </w:r>
      <w:r>
        <w:rPr>
          <w:rFonts w:ascii="Times New Roman"/>
          <w:snapToGrid w:val="0"/>
          <w:color w:val="000000"/>
          <w:spacing w:val="-6"/>
          <w:kern w:val="21"/>
          <w:szCs w:val="21"/>
        </w:rPr>
        <w:fldChar w:fldCharType="end"/>
      </w:r>
      <w:r>
        <w:rPr>
          <w:rFonts w:ascii="Times New Roman"/>
          <w:snapToGrid w:val="0"/>
          <w:color w:val="000000"/>
          <w:spacing w:val="-6"/>
          <w:kern w:val="21"/>
          <w:szCs w:val="21"/>
        </w:rPr>
        <w:t>=</w:t>
      </w:r>
      <w:r>
        <w:rPr>
          <w:rFonts w:ascii="Times New Roman"/>
          <w:snapToGrid w:val="0"/>
          <w:color w:val="000000"/>
          <w:spacing w:val="-16"/>
          <w:kern w:val="21"/>
          <w:szCs w:val="21"/>
        </w:rPr>
        <w:fldChar w:fldCharType="begin"/>
      </w:r>
      <w:r>
        <w:rPr>
          <w:rFonts w:ascii="Times New Roman"/>
          <w:snapToGrid w:val="0"/>
          <w:color w:val="000000"/>
          <w:spacing w:val="-16"/>
          <w:kern w:val="21"/>
          <w:szCs w:val="21"/>
        </w:rPr>
        <w:instrText xml:space="preserve"> = 6 \* GB3 \* MERGEFORMAT </w:instrText>
      </w:r>
      <w:r>
        <w:rPr>
          <w:rFonts w:ascii="Times New Roman"/>
          <w:snapToGrid w:val="0"/>
          <w:color w:val="000000"/>
          <w:spacing w:val="-16"/>
          <w:kern w:val="21"/>
          <w:szCs w:val="21"/>
        </w:rPr>
        <w:fldChar w:fldCharType="separate"/>
      </w:r>
      <w:r>
        <w:rPr>
          <w:rFonts w:ascii="Times New Roman"/>
          <w:color w:val="000000"/>
          <w:szCs w:val="21"/>
        </w:rPr>
        <w:t>⑥</w:t>
      </w:r>
      <w:r>
        <w:rPr>
          <w:rFonts w:ascii="Times New Roman"/>
          <w:snapToGrid w:val="0"/>
          <w:color w:val="000000"/>
          <w:spacing w:val="-16"/>
          <w:kern w:val="21"/>
          <w:szCs w:val="21"/>
        </w:rPr>
        <w:fldChar w:fldCharType="end"/>
      </w:r>
      <w:r>
        <w:rPr>
          <w:rFonts w:ascii="Times New Roman"/>
          <w:snapToGrid w:val="0"/>
          <w:color w:val="000000"/>
          <w:spacing w:val="-16"/>
          <w:kern w:val="21"/>
          <w:szCs w:val="21"/>
        </w:rPr>
        <w:t>-</w:t>
      </w:r>
      <w:r>
        <w:rPr>
          <w:rFonts w:ascii="Times New Roman"/>
          <w:snapToGrid w:val="0"/>
          <w:color w:val="000000"/>
          <w:spacing w:val="-6"/>
          <w:kern w:val="21"/>
          <w:szCs w:val="21"/>
        </w:rPr>
        <w:fldChar w:fldCharType="begin"/>
      </w:r>
      <w:r>
        <w:rPr>
          <w:rFonts w:ascii="Times New Roman"/>
          <w:snapToGrid w:val="0"/>
          <w:color w:val="000000"/>
          <w:spacing w:val="-6"/>
          <w:kern w:val="21"/>
          <w:szCs w:val="21"/>
        </w:rPr>
        <w:instrText xml:space="preserve"> = 1 \* GB3 \* MERGEFORMAT </w:instrText>
      </w:r>
      <w:r>
        <w:rPr>
          <w:rFonts w:ascii="Times New Roman"/>
          <w:snapToGrid w:val="0"/>
          <w:color w:val="000000"/>
          <w:spacing w:val="-6"/>
          <w:kern w:val="21"/>
          <w:szCs w:val="21"/>
        </w:rPr>
        <w:fldChar w:fldCharType="separate"/>
      </w:r>
      <w:r>
        <w:rPr>
          <w:rFonts w:ascii="Times New Roman"/>
          <w:color w:val="000000"/>
          <w:szCs w:val="21"/>
        </w:rPr>
        <w:t>①</w:t>
      </w:r>
      <w:r>
        <w:rPr>
          <w:rFonts w:ascii="Times New Roman"/>
          <w:snapToGrid w:val="0"/>
          <w:color w:val="000000"/>
          <w:spacing w:val="-6"/>
          <w:kern w:val="21"/>
          <w:szCs w:val="21"/>
        </w:rPr>
        <w:fldChar w:fldCharType="end"/>
      </w:r>
    </w:p>
    <w:p>
      <w:pPr>
        <w:rPr>
          <w:color w:val="000000"/>
        </w:rPr>
      </w:pPr>
    </w:p>
    <w:p>
      <w:pPr>
        <w:rPr>
          <w:color w:val="000000"/>
        </w:rPr>
        <w:sectPr>
          <w:footerReference r:id="rId6" w:type="default"/>
          <w:pgSz w:w="16838" w:h="11906" w:orient="landscape"/>
          <w:pgMar w:top="1701" w:right="1531" w:bottom="1701" w:left="1531" w:header="851" w:footer="851" w:gutter="0"/>
          <w:cols w:space="720" w:num="1"/>
          <w:docGrid w:linePitch="312" w:charSpace="0"/>
        </w:sectPr>
      </w:pPr>
    </w:p>
    <w:p>
      <w:pPr>
        <w:pStyle w:val="29"/>
        <w:ind w:firstLine="210"/>
      </w:pPr>
    </w:p>
    <w:bookmarkEnd w:id="37"/>
    <w:sectPr>
      <w:footerReference r:id="rId7" w:type="default"/>
      <w:pgSz w:w="11906" w:h="16838"/>
      <w:pgMar w:top="1191" w:right="1134" w:bottom="1134" w:left="1134"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DejaVu Sans"/>
    <w:panose1 w:val="02020603050405020304"/>
    <w:charset w:val="A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MS Mincho">
    <w:altName w:val="方正书宋_GBK"/>
    <w:panose1 w:val="02020609040205080304"/>
    <w:charset w:val="80"/>
    <w:family w:val="roman"/>
    <w:pitch w:val="default"/>
    <w:sig w:usb0="00000000" w:usb1="00000000" w:usb2="00000010" w:usb3="00000000" w:csb0="00020000" w:csb1="00000000"/>
  </w:font>
  <w:font w:name="Arial Unicode MS">
    <w:altName w:val="DejaVu Sans"/>
    <w:panose1 w:val="020B0604020202020204"/>
    <w:charset w:val="86"/>
    <w:family w:val="roman"/>
    <w:pitch w:val="default"/>
    <w:sig w:usb0="00000000" w:usb1="00000000" w:usb2="0000003F" w:usb3="00000000" w:csb0="603F01FF" w:csb1="FFFF0000"/>
  </w:font>
  <w:font w:name="仿宋_GB2312">
    <w:altName w:val="方正仿宋_GBK"/>
    <w:panose1 w:val="02010609030101010101"/>
    <w:charset w:val="86"/>
    <w:family w:val="modern"/>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新宋体">
    <w:altName w:val="方正书宋_GBK"/>
    <w:panose1 w:val="02010609030101010101"/>
    <w:charset w:val="86"/>
    <w:family w:val="modern"/>
    <w:pitch w:val="default"/>
    <w:sig w:usb0="00000000" w:usb1="00000000" w:usb2="00000006" w:usb3="00000000" w:csb0="00040001" w:csb1="00000000"/>
  </w:font>
  <w:font w:name="方正小标宋_GBK">
    <w:panose1 w:val="02000000000000000000"/>
    <w:charset w:val="86"/>
    <w:family w:val="script"/>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Wingdings 2">
    <w:panose1 w:val="05020102010507070707"/>
    <w:charset w:val="02"/>
    <w:family w:val="auto"/>
    <w:pitch w:val="default"/>
    <w:sig w:usb0="00000000" w:usb1="00000000" w:usb2="00000000" w:usb3="00000000" w:csb0="80000000" w:csb1="00000000"/>
  </w:font>
  <w:font w:name="Noto Sans CJK JP Bold">
    <w:panose1 w:val="020B0800000000000000"/>
    <w:charset w:val="86"/>
    <w:family w:val="auto"/>
    <w:pitch w:val="default"/>
    <w:sig w:usb0="30000003" w:usb1="2BDF3C10" w:usb2="00000016" w:usb3="00000000" w:csb0="602E010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both"/>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p>
                      </w:txbxContent>
                    </wps:txbx>
                    <wps:bodyPr vert="horz" wrap="none" lIns="0" tIns="0" rIns="0" bIns="0" anchor="t" anchorCtr="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M6pebnPAAAABQEAAA8AAAAAAAAAAQAgAAAAOAAAAGRycy9kb3ducmV2LnhtbFBLAQIU&#10;ABQAAAAIAIdO4kAlad3x5gEAANEDAAAOAAAAAAAAAAEAIAAAADQBAABkcnMvZTJvRG9jLnhtbFBL&#10;BQYAAAAABgAGAFkBAACMBQAAAAA=&#10;">
              <v:fill on="f" focussize="0,0"/>
              <v:stroke on="f"/>
              <v:imagedata o:title=""/>
              <o:lock v:ext="edit" aspectratio="f"/>
              <v:textbox inset="0mm,0mm,0mm,0mm" style="mso-fit-shape-to-text:t;">
                <w:txbxContent>
                  <w:p>
                    <w:pPr>
                      <w:pStyle w:val="24"/>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framePr w:wrap="around" w:vAnchor="text" w:hAnchor="margin" w:xAlign="center" w:y="1"/>
      <w:rPr>
        <w:rStyle w:val="35"/>
      </w:rPr>
    </w:pPr>
    <w:r>
      <w:fldChar w:fldCharType="begin"/>
    </w:r>
    <w:r>
      <w:rPr>
        <w:rStyle w:val="35"/>
      </w:rPr>
      <w:instrText xml:space="preserve">PAGE  </w:instrText>
    </w:r>
    <w:r>
      <w:fldChar w:fldCharType="end"/>
    </w:r>
  </w:p>
  <w:p>
    <w:pPr>
      <w:pStyle w:val="24"/>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3"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tabs>
                              <w:tab w:val="clear" w:pos="4153"/>
                            </w:tabs>
                            <w:ind w:right="360" w:firstLine="360"/>
                            <w:jc w:val="center"/>
                          </w:pPr>
                        </w:p>
                        <w:p>
                          <w:pPr>
                            <w:pStyle w:val="24"/>
                          </w:pPr>
                          <w:r>
                            <w:fldChar w:fldCharType="begin"/>
                          </w:r>
                          <w:r>
                            <w:instrText xml:space="preserve"> PAGE  \* MERGEFORMAT </w:instrText>
                          </w:r>
                          <w:r>
                            <w:fldChar w:fldCharType="separate"/>
                          </w:r>
                          <w:r>
                            <w:t>37</w:t>
                          </w:r>
                          <w:r>
                            <w:fldChar w:fldCharType="end"/>
                          </w:r>
                        </w:p>
                      </w:txbxContent>
                    </wps:txbx>
                    <wps:bodyPr vert="horz" wrap="none" lIns="0" tIns="0" rIns="0" bIns="0" anchor="t" anchorCtr="0" upright="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BYAAABkcnMvUEsBAhQAFAAA&#10;AAgAh07iQM6pebnPAAAABQEAAA8AAAAAAAAAAQAgAAAAOAAAAGRycy9kb3ducmV2LnhtbFBLAQIU&#10;ABQAAAAIAIdO4kBwvnvE5gEAANEDAAAOAAAAAAAAAAEAIAAAADQBAABkcnMvZTJvRG9jLnhtbFBL&#10;BQYAAAAABgAGAFkBAACMBQAAAAA=&#10;">
              <v:fill on="f" focussize="0,0"/>
              <v:stroke on="f"/>
              <v:imagedata o:title=""/>
              <o:lock v:ext="edit" aspectratio="f"/>
              <v:textbox inset="0mm,0mm,0mm,0mm" style="mso-fit-shape-to-text:t;">
                <w:txbxContent>
                  <w:p>
                    <w:pPr>
                      <w:pStyle w:val="24"/>
                      <w:tabs>
                        <w:tab w:val="clear" w:pos="4153"/>
                      </w:tabs>
                      <w:ind w:right="360" w:firstLine="360"/>
                      <w:jc w:val="center"/>
                    </w:pPr>
                  </w:p>
                  <w:p>
                    <w:pPr>
                      <w:pStyle w:val="24"/>
                    </w:pPr>
                    <w:r>
                      <w:fldChar w:fldCharType="begin"/>
                    </w:r>
                    <w:r>
                      <w:instrText xml:space="preserve"> PAGE  \* MERGEFORMAT </w:instrText>
                    </w:r>
                    <w:r>
                      <w:fldChar w:fldCharType="separate"/>
                    </w:r>
                    <w:r>
                      <w:t>37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4"/>
      <w:ind w:right="360" w:firstLine="36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2"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pPr>
                            <w:pStyle w:val="24"/>
                          </w:pPr>
                        </w:p>
                      </w:txbxContent>
                    </wps:txbx>
                    <wps:bodyPr vert="horz" wrap="none" lIns="0" tIns="0" rIns="0" bIns="0" anchor="t" anchorCtr="0" upright="0">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WAAAAZHJzL1BLAQIUABQAAAAI&#10;AIdO4kDOqXm5zwAAAAUBAAAPAAAAAAAAAAEAIAAAADgAAABkcnMvZG93bnJldi54bWxQSwECFAAU&#10;AAAACACHTuJA42UxGOQBAADRAwAADgAAAAAAAAABACAAAAA0AQAAZHJzL2Uyb0RvYy54bWxQSwUG&#10;AAAAAAYABgBZAQAAigUAAAAA&#10;">
              <v:fill on="f" focussize="0,0"/>
              <v:stroke on="f"/>
              <v:imagedata o:title=""/>
              <o:lock v:ext="edit" aspectratio="f"/>
              <v:textbox inset="0mm,0mm,0mm,0mm" style="mso-fit-shape-to-text:t;">
                <w:txbxContent>
                  <w:p>
                    <w:pPr>
                      <w:pStyle w:val="24"/>
                    </w:pP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73DD38"/>
    <w:multiLevelType w:val="singleLevel"/>
    <w:tmpl w:val="8573DD38"/>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1">
    <w:nsid w:val="E094F286"/>
    <w:multiLevelType w:val="singleLevel"/>
    <w:tmpl w:val="E094F286"/>
    <w:lvl w:ilvl="0" w:tentative="0">
      <w:start w:val="1"/>
      <w:numFmt w:val="decimal"/>
      <w:suff w:val="nothing"/>
      <w:lvlText w:val="（%1）"/>
      <w:lvlJc w:val="left"/>
    </w:lvl>
  </w:abstractNum>
  <w:abstractNum w:abstractNumId="2">
    <w:nsid w:val="F92F804A"/>
    <w:multiLevelType w:val="singleLevel"/>
    <w:tmpl w:val="F92F804A"/>
    <w:lvl w:ilvl="0" w:tentative="0">
      <w:start w:val="2"/>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oNotDisplayPageBoundaries w:val="1"/>
  <w:hideSpellingErrors/>
  <w:attachedTemplate r:id="rId1"/>
  <w:documentProtection w:edit="trackedChanges" w:enforcement="0"/>
  <w:defaultTabStop w:val="420"/>
  <w:doNotHyphenateCaps/>
  <w:drawingGridVerticalSpacing w:val="156"/>
  <w:noPunctuationKerning w:val="1"/>
  <w:characterSpacingControl w:val="compressPunctuation"/>
  <w:noLineBreaksAfter w:lang="zh-CN" w:val="([{·‘“〈《「『【〔〖（．［｛￡￥"/>
  <w:noLineBreaksBefore w:lang="zh-CN" w:val="!),.:;?]}¨·ˇˉ―‖’”…∶、。〃々〉》」』】〕〗！＂＇），．：；？］｀｜｝～￠"/>
  <w:doNotValidateAgainstSchema/>
  <w:doNotDemarcateInvalidXml/>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lmMjJiODA4YzIwOWUzYjE3ZjBiMjg3ZGMxYzNkODkifQ=="/>
  </w:docVars>
  <w:rsids>
    <w:rsidRoot w:val="00A14947"/>
    <w:rsid w:val="0000044E"/>
    <w:rsid w:val="000060B3"/>
    <w:rsid w:val="00010BD8"/>
    <w:rsid w:val="000151BF"/>
    <w:rsid w:val="00031F10"/>
    <w:rsid w:val="0004364B"/>
    <w:rsid w:val="000526CA"/>
    <w:rsid w:val="00057EF6"/>
    <w:rsid w:val="00060B71"/>
    <w:rsid w:val="00061B1F"/>
    <w:rsid w:val="0006466D"/>
    <w:rsid w:val="000733C4"/>
    <w:rsid w:val="00074783"/>
    <w:rsid w:val="0008070B"/>
    <w:rsid w:val="000810AC"/>
    <w:rsid w:val="0008110D"/>
    <w:rsid w:val="00081A02"/>
    <w:rsid w:val="00082231"/>
    <w:rsid w:val="00092D38"/>
    <w:rsid w:val="0009377B"/>
    <w:rsid w:val="00093A22"/>
    <w:rsid w:val="000A19C5"/>
    <w:rsid w:val="000A20C9"/>
    <w:rsid w:val="000A39DB"/>
    <w:rsid w:val="000A5737"/>
    <w:rsid w:val="000B024C"/>
    <w:rsid w:val="000B058F"/>
    <w:rsid w:val="000B4467"/>
    <w:rsid w:val="000B4DB9"/>
    <w:rsid w:val="000C09AC"/>
    <w:rsid w:val="000C3804"/>
    <w:rsid w:val="000C767F"/>
    <w:rsid w:val="000C7951"/>
    <w:rsid w:val="000D5A44"/>
    <w:rsid w:val="000E3ED2"/>
    <w:rsid w:val="000E52E2"/>
    <w:rsid w:val="00121669"/>
    <w:rsid w:val="0012246E"/>
    <w:rsid w:val="00124E6F"/>
    <w:rsid w:val="00131F42"/>
    <w:rsid w:val="001357F1"/>
    <w:rsid w:val="00140FA8"/>
    <w:rsid w:val="00141727"/>
    <w:rsid w:val="00142FEB"/>
    <w:rsid w:val="001435CB"/>
    <w:rsid w:val="00143A2D"/>
    <w:rsid w:val="00145A41"/>
    <w:rsid w:val="00151675"/>
    <w:rsid w:val="00157435"/>
    <w:rsid w:val="00165C6E"/>
    <w:rsid w:val="0017504D"/>
    <w:rsid w:val="0017671A"/>
    <w:rsid w:val="00177422"/>
    <w:rsid w:val="00184590"/>
    <w:rsid w:val="001870D1"/>
    <w:rsid w:val="0018781E"/>
    <w:rsid w:val="0019262D"/>
    <w:rsid w:val="001A1B35"/>
    <w:rsid w:val="001A48A2"/>
    <w:rsid w:val="001A6F61"/>
    <w:rsid w:val="001B72B8"/>
    <w:rsid w:val="001B7AF0"/>
    <w:rsid w:val="001C69B3"/>
    <w:rsid w:val="001D39D6"/>
    <w:rsid w:val="001D5595"/>
    <w:rsid w:val="001D7874"/>
    <w:rsid w:val="001D7F22"/>
    <w:rsid w:val="001F0A37"/>
    <w:rsid w:val="001F0F17"/>
    <w:rsid w:val="001F3347"/>
    <w:rsid w:val="001F69E4"/>
    <w:rsid w:val="001F77C1"/>
    <w:rsid w:val="0020281F"/>
    <w:rsid w:val="002040B5"/>
    <w:rsid w:val="00210121"/>
    <w:rsid w:val="002125B4"/>
    <w:rsid w:val="002155B8"/>
    <w:rsid w:val="00224839"/>
    <w:rsid w:val="002249B2"/>
    <w:rsid w:val="00226574"/>
    <w:rsid w:val="002278EC"/>
    <w:rsid w:val="00231B3A"/>
    <w:rsid w:val="0023280E"/>
    <w:rsid w:val="002333C6"/>
    <w:rsid w:val="002377D1"/>
    <w:rsid w:val="002378CF"/>
    <w:rsid w:val="002506BC"/>
    <w:rsid w:val="00254345"/>
    <w:rsid w:val="00260A10"/>
    <w:rsid w:val="00264557"/>
    <w:rsid w:val="002805AB"/>
    <w:rsid w:val="00284204"/>
    <w:rsid w:val="002851E6"/>
    <w:rsid w:val="00291773"/>
    <w:rsid w:val="00291E20"/>
    <w:rsid w:val="00292785"/>
    <w:rsid w:val="00295529"/>
    <w:rsid w:val="002A168C"/>
    <w:rsid w:val="002A2745"/>
    <w:rsid w:val="002A3DC7"/>
    <w:rsid w:val="002A576E"/>
    <w:rsid w:val="002A66D8"/>
    <w:rsid w:val="002B1E0C"/>
    <w:rsid w:val="002B49E2"/>
    <w:rsid w:val="002B6D45"/>
    <w:rsid w:val="002B7B00"/>
    <w:rsid w:val="002B7C44"/>
    <w:rsid w:val="002C0F62"/>
    <w:rsid w:val="002C2B17"/>
    <w:rsid w:val="002C3823"/>
    <w:rsid w:val="002D3DD0"/>
    <w:rsid w:val="002E1F3A"/>
    <w:rsid w:val="002E298A"/>
    <w:rsid w:val="002F03F0"/>
    <w:rsid w:val="00301978"/>
    <w:rsid w:val="0030332C"/>
    <w:rsid w:val="003051C2"/>
    <w:rsid w:val="00312296"/>
    <w:rsid w:val="00312A50"/>
    <w:rsid w:val="0031478B"/>
    <w:rsid w:val="00314F0E"/>
    <w:rsid w:val="00321D8E"/>
    <w:rsid w:val="00325928"/>
    <w:rsid w:val="00326A38"/>
    <w:rsid w:val="00330D9C"/>
    <w:rsid w:val="00332863"/>
    <w:rsid w:val="0033684D"/>
    <w:rsid w:val="003376C1"/>
    <w:rsid w:val="00337B42"/>
    <w:rsid w:val="00341B42"/>
    <w:rsid w:val="0034348F"/>
    <w:rsid w:val="003502C3"/>
    <w:rsid w:val="00356653"/>
    <w:rsid w:val="0035743F"/>
    <w:rsid w:val="00357BE2"/>
    <w:rsid w:val="0036170C"/>
    <w:rsid w:val="00364687"/>
    <w:rsid w:val="00366E0F"/>
    <w:rsid w:val="0036778B"/>
    <w:rsid w:val="00372D66"/>
    <w:rsid w:val="003734C6"/>
    <w:rsid w:val="00377B2C"/>
    <w:rsid w:val="00381A72"/>
    <w:rsid w:val="00384676"/>
    <w:rsid w:val="00390857"/>
    <w:rsid w:val="0039307F"/>
    <w:rsid w:val="0039454D"/>
    <w:rsid w:val="003A1CFC"/>
    <w:rsid w:val="003A4BF3"/>
    <w:rsid w:val="003B420D"/>
    <w:rsid w:val="003C0F8E"/>
    <w:rsid w:val="003C6C16"/>
    <w:rsid w:val="003D10E0"/>
    <w:rsid w:val="003D54D4"/>
    <w:rsid w:val="003D6CB0"/>
    <w:rsid w:val="003D794D"/>
    <w:rsid w:val="003D7FE4"/>
    <w:rsid w:val="003E3058"/>
    <w:rsid w:val="003E76A9"/>
    <w:rsid w:val="003F0809"/>
    <w:rsid w:val="003F2FFC"/>
    <w:rsid w:val="003F6A8C"/>
    <w:rsid w:val="003F755C"/>
    <w:rsid w:val="00402EC2"/>
    <w:rsid w:val="00406F01"/>
    <w:rsid w:val="00416D50"/>
    <w:rsid w:val="00416FD5"/>
    <w:rsid w:val="00417772"/>
    <w:rsid w:val="00420E6A"/>
    <w:rsid w:val="00425A9E"/>
    <w:rsid w:val="00426D6B"/>
    <w:rsid w:val="00431E6C"/>
    <w:rsid w:val="00432819"/>
    <w:rsid w:val="00433CE7"/>
    <w:rsid w:val="004479C4"/>
    <w:rsid w:val="00450AAC"/>
    <w:rsid w:val="00452738"/>
    <w:rsid w:val="00456091"/>
    <w:rsid w:val="0046089B"/>
    <w:rsid w:val="00461EA6"/>
    <w:rsid w:val="00466321"/>
    <w:rsid w:val="00466D50"/>
    <w:rsid w:val="0047342F"/>
    <w:rsid w:val="00484B9B"/>
    <w:rsid w:val="004855F6"/>
    <w:rsid w:val="0048661E"/>
    <w:rsid w:val="00494670"/>
    <w:rsid w:val="004A19F1"/>
    <w:rsid w:val="004A3823"/>
    <w:rsid w:val="004C5CEA"/>
    <w:rsid w:val="004C6EA1"/>
    <w:rsid w:val="004D2F4E"/>
    <w:rsid w:val="004D71E6"/>
    <w:rsid w:val="004E10EA"/>
    <w:rsid w:val="004E3AB0"/>
    <w:rsid w:val="004E44B8"/>
    <w:rsid w:val="004E6946"/>
    <w:rsid w:val="004E6ED6"/>
    <w:rsid w:val="004F1AD8"/>
    <w:rsid w:val="00500070"/>
    <w:rsid w:val="00502268"/>
    <w:rsid w:val="005039CB"/>
    <w:rsid w:val="0050558F"/>
    <w:rsid w:val="00506286"/>
    <w:rsid w:val="00510625"/>
    <w:rsid w:val="00510813"/>
    <w:rsid w:val="00511990"/>
    <w:rsid w:val="00511DE0"/>
    <w:rsid w:val="00514870"/>
    <w:rsid w:val="00514B9B"/>
    <w:rsid w:val="00517F02"/>
    <w:rsid w:val="00524303"/>
    <w:rsid w:val="005258A2"/>
    <w:rsid w:val="005401AE"/>
    <w:rsid w:val="00542E07"/>
    <w:rsid w:val="00545424"/>
    <w:rsid w:val="0054582D"/>
    <w:rsid w:val="00554A7B"/>
    <w:rsid w:val="0055572C"/>
    <w:rsid w:val="0056106A"/>
    <w:rsid w:val="005720AE"/>
    <w:rsid w:val="00594D77"/>
    <w:rsid w:val="005969E4"/>
    <w:rsid w:val="005A06B7"/>
    <w:rsid w:val="005A1759"/>
    <w:rsid w:val="005A68A7"/>
    <w:rsid w:val="005B1125"/>
    <w:rsid w:val="005B2B98"/>
    <w:rsid w:val="005B31CE"/>
    <w:rsid w:val="005D36AB"/>
    <w:rsid w:val="005F723E"/>
    <w:rsid w:val="0060236F"/>
    <w:rsid w:val="00603651"/>
    <w:rsid w:val="00617CC3"/>
    <w:rsid w:val="00621137"/>
    <w:rsid w:val="00632194"/>
    <w:rsid w:val="0063483F"/>
    <w:rsid w:val="006377A6"/>
    <w:rsid w:val="00637A3D"/>
    <w:rsid w:val="0064048E"/>
    <w:rsid w:val="006411EF"/>
    <w:rsid w:val="00643FC8"/>
    <w:rsid w:val="00646183"/>
    <w:rsid w:val="00650ACC"/>
    <w:rsid w:val="00652E71"/>
    <w:rsid w:val="00653ACD"/>
    <w:rsid w:val="00656CCA"/>
    <w:rsid w:val="00656EE2"/>
    <w:rsid w:val="00662815"/>
    <w:rsid w:val="0067004E"/>
    <w:rsid w:val="00670B83"/>
    <w:rsid w:val="00671AE5"/>
    <w:rsid w:val="006748B8"/>
    <w:rsid w:val="006775C3"/>
    <w:rsid w:val="0069290A"/>
    <w:rsid w:val="0069775A"/>
    <w:rsid w:val="00697813"/>
    <w:rsid w:val="006A12A0"/>
    <w:rsid w:val="006A1F76"/>
    <w:rsid w:val="006A2254"/>
    <w:rsid w:val="006A3EE8"/>
    <w:rsid w:val="006A72BF"/>
    <w:rsid w:val="006B03F2"/>
    <w:rsid w:val="006B37DC"/>
    <w:rsid w:val="006B4F68"/>
    <w:rsid w:val="006C0592"/>
    <w:rsid w:val="006C272E"/>
    <w:rsid w:val="006C5479"/>
    <w:rsid w:val="006D015E"/>
    <w:rsid w:val="006D13B5"/>
    <w:rsid w:val="006D7939"/>
    <w:rsid w:val="006E12FF"/>
    <w:rsid w:val="006E607E"/>
    <w:rsid w:val="00706586"/>
    <w:rsid w:val="00706C5D"/>
    <w:rsid w:val="00716367"/>
    <w:rsid w:val="00732922"/>
    <w:rsid w:val="0073442F"/>
    <w:rsid w:val="00743AF8"/>
    <w:rsid w:val="0075162E"/>
    <w:rsid w:val="00754034"/>
    <w:rsid w:val="00756556"/>
    <w:rsid w:val="0076083E"/>
    <w:rsid w:val="007618C4"/>
    <w:rsid w:val="00764B55"/>
    <w:rsid w:val="00767980"/>
    <w:rsid w:val="00770B19"/>
    <w:rsid w:val="00774260"/>
    <w:rsid w:val="0077463F"/>
    <w:rsid w:val="007836EA"/>
    <w:rsid w:val="00784CDA"/>
    <w:rsid w:val="007906C4"/>
    <w:rsid w:val="007940EA"/>
    <w:rsid w:val="007967E8"/>
    <w:rsid w:val="007A2170"/>
    <w:rsid w:val="007A22BF"/>
    <w:rsid w:val="007A3323"/>
    <w:rsid w:val="007A588A"/>
    <w:rsid w:val="007A69F4"/>
    <w:rsid w:val="007B72B8"/>
    <w:rsid w:val="007B7A58"/>
    <w:rsid w:val="007C046A"/>
    <w:rsid w:val="007C21B5"/>
    <w:rsid w:val="007C4D96"/>
    <w:rsid w:val="007E155F"/>
    <w:rsid w:val="007E2E09"/>
    <w:rsid w:val="007E4BD2"/>
    <w:rsid w:val="007F315E"/>
    <w:rsid w:val="00801393"/>
    <w:rsid w:val="00802CEE"/>
    <w:rsid w:val="00802F88"/>
    <w:rsid w:val="008049E5"/>
    <w:rsid w:val="0081293E"/>
    <w:rsid w:val="00815465"/>
    <w:rsid w:val="00817E9A"/>
    <w:rsid w:val="008218D6"/>
    <w:rsid w:val="008306BD"/>
    <w:rsid w:val="00831A80"/>
    <w:rsid w:val="00833743"/>
    <w:rsid w:val="00833EEC"/>
    <w:rsid w:val="008340A4"/>
    <w:rsid w:val="0083468B"/>
    <w:rsid w:val="0084614D"/>
    <w:rsid w:val="0085607C"/>
    <w:rsid w:val="00857EB0"/>
    <w:rsid w:val="0086170C"/>
    <w:rsid w:val="0086356C"/>
    <w:rsid w:val="0087135F"/>
    <w:rsid w:val="00872D94"/>
    <w:rsid w:val="00880364"/>
    <w:rsid w:val="00881D22"/>
    <w:rsid w:val="00887F4C"/>
    <w:rsid w:val="00891592"/>
    <w:rsid w:val="00891E9E"/>
    <w:rsid w:val="008A2F68"/>
    <w:rsid w:val="008B4FA6"/>
    <w:rsid w:val="008B5282"/>
    <w:rsid w:val="008B7C17"/>
    <w:rsid w:val="008C2D01"/>
    <w:rsid w:val="008C40E6"/>
    <w:rsid w:val="008C430D"/>
    <w:rsid w:val="008D0F7A"/>
    <w:rsid w:val="008D68E4"/>
    <w:rsid w:val="008E0506"/>
    <w:rsid w:val="008E0CFF"/>
    <w:rsid w:val="008E29DD"/>
    <w:rsid w:val="008E362A"/>
    <w:rsid w:val="008E5D6B"/>
    <w:rsid w:val="008E76F0"/>
    <w:rsid w:val="008F15FE"/>
    <w:rsid w:val="008F2D29"/>
    <w:rsid w:val="008F468E"/>
    <w:rsid w:val="008F5101"/>
    <w:rsid w:val="008F5187"/>
    <w:rsid w:val="008F60D8"/>
    <w:rsid w:val="008F6765"/>
    <w:rsid w:val="00902727"/>
    <w:rsid w:val="0090312B"/>
    <w:rsid w:val="0091596A"/>
    <w:rsid w:val="0091736D"/>
    <w:rsid w:val="00925832"/>
    <w:rsid w:val="0093037A"/>
    <w:rsid w:val="00931874"/>
    <w:rsid w:val="009355E4"/>
    <w:rsid w:val="0094154D"/>
    <w:rsid w:val="0095155F"/>
    <w:rsid w:val="009524D7"/>
    <w:rsid w:val="00952FB9"/>
    <w:rsid w:val="00954429"/>
    <w:rsid w:val="009563CE"/>
    <w:rsid w:val="00976328"/>
    <w:rsid w:val="0097680D"/>
    <w:rsid w:val="009773B4"/>
    <w:rsid w:val="00982438"/>
    <w:rsid w:val="0098404C"/>
    <w:rsid w:val="00985283"/>
    <w:rsid w:val="00995992"/>
    <w:rsid w:val="009A03E5"/>
    <w:rsid w:val="009A0F3B"/>
    <w:rsid w:val="009A1BB4"/>
    <w:rsid w:val="009A2628"/>
    <w:rsid w:val="009A3200"/>
    <w:rsid w:val="009A495A"/>
    <w:rsid w:val="009B0897"/>
    <w:rsid w:val="009B73F3"/>
    <w:rsid w:val="009B7BD9"/>
    <w:rsid w:val="009C7DD5"/>
    <w:rsid w:val="009D3595"/>
    <w:rsid w:val="009E227D"/>
    <w:rsid w:val="009E5019"/>
    <w:rsid w:val="00A04F1B"/>
    <w:rsid w:val="00A0501B"/>
    <w:rsid w:val="00A13A2E"/>
    <w:rsid w:val="00A14947"/>
    <w:rsid w:val="00A14A8A"/>
    <w:rsid w:val="00A14CDE"/>
    <w:rsid w:val="00A21BE7"/>
    <w:rsid w:val="00A2523D"/>
    <w:rsid w:val="00A25276"/>
    <w:rsid w:val="00A32360"/>
    <w:rsid w:val="00A32A83"/>
    <w:rsid w:val="00A368DB"/>
    <w:rsid w:val="00A423AA"/>
    <w:rsid w:val="00A53972"/>
    <w:rsid w:val="00A53EC6"/>
    <w:rsid w:val="00A55C0F"/>
    <w:rsid w:val="00A61BDE"/>
    <w:rsid w:val="00A67978"/>
    <w:rsid w:val="00A70968"/>
    <w:rsid w:val="00A72244"/>
    <w:rsid w:val="00A81FA4"/>
    <w:rsid w:val="00A8713F"/>
    <w:rsid w:val="00A90BA1"/>
    <w:rsid w:val="00A97A9A"/>
    <w:rsid w:val="00AA0671"/>
    <w:rsid w:val="00AA2531"/>
    <w:rsid w:val="00AA38E8"/>
    <w:rsid w:val="00AB1E09"/>
    <w:rsid w:val="00AB5330"/>
    <w:rsid w:val="00AB5F21"/>
    <w:rsid w:val="00AB6BB1"/>
    <w:rsid w:val="00AB7747"/>
    <w:rsid w:val="00AC14CE"/>
    <w:rsid w:val="00AC2A56"/>
    <w:rsid w:val="00AC31A0"/>
    <w:rsid w:val="00AC4FE1"/>
    <w:rsid w:val="00AD055E"/>
    <w:rsid w:val="00AD07CB"/>
    <w:rsid w:val="00AD47A7"/>
    <w:rsid w:val="00AD5B61"/>
    <w:rsid w:val="00AD60F6"/>
    <w:rsid w:val="00AF0CBF"/>
    <w:rsid w:val="00AF257F"/>
    <w:rsid w:val="00AF33CF"/>
    <w:rsid w:val="00AF435F"/>
    <w:rsid w:val="00AF4D50"/>
    <w:rsid w:val="00AF6179"/>
    <w:rsid w:val="00B010DE"/>
    <w:rsid w:val="00B028C8"/>
    <w:rsid w:val="00B1295A"/>
    <w:rsid w:val="00B20A45"/>
    <w:rsid w:val="00B22C5C"/>
    <w:rsid w:val="00B24F30"/>
    <w:rsid w:val="00B268DB"/>
    <w:rsid w:val="00B269D6"/>
    <w:rsid w:val="00B31ABF"/>
    <w:rsid w:val="00B33BE3"/>
    <w:rsid w:val="00B44082"/>
    <w:rsid w:val="00B53B5D"/>
    <w:rsid w:val="00B6055E"/>
    <w:rsid w:val="00B60608"/>
    <w:rsid w:val="00B6317D"/>
    <w:rsid w:val="00B76D15"/>
    <w:rsid w:val="00B7723F"/>
    <w:rsid w:val="00B80534"/>
    <w:rsid w:val="00B8433C"/>
    <w:rsid w:val="00B87491"/>
    <w:rsid w:val="00BA0376"/>
    <w:rsid w:val="00BA29E9"/>
    <w:rsid w:val="00BA7142"/>
    <w:rsid w:val="00BB237C"/>
    <w:rsid w:val="00BB41A3"/>
    <w:rsid w:val="00BB7D81"/>
    <w:rsid w:val="00BC128C"/>
    <w:rsid w:val="00BC32DC"/>
    <w:rsid w:val="00BC35B6"/>
    <w:rsid w:val="00BC5B03"/>
    <w:rsid w:val="00BD1B51"/>
    <w:rsid w:val="00BD4596"/>
    <w:rsid w:val="00BE1405"/>
    <w:rsid w:val="00BE2761"/>
    <w:rsid w:val="00BE312D"/>
    <w:rsid w:val="00BF1C20"/>
    <w:rsid w:val="00BF2056"/>
    <w:rsid w:val="00BF6410"/>
    <w:rsid w:val="00C017D0"/>
    <w:rsid w:val="00C10578"/>
    <w:rsid w:val="00C135BC"/>
    <w:rsid w:val="00C156CC"/>
    <w:rsid w:val="00C15C95"/>
    <w:rsid w:val="00C2596A"/>
    <w:rsid w:val="00C27537"/>
    <w:rsid w:val="00C305E7"/>
    <w:rsid w:val="00C325B3"/>
    <w:rsid w:val="00C328FE"/>
    <w:rsid w:val="00C33507"/>
    <w:rsid w:val="00C4409D"/>
    <w:rsid w:val="00C44E72"/>
    <w:rsid w:val="00C45A06"/>
    <w:rsid w:val="00C47E5B"/>
    <w:rsid w:val="00C51D96"/>
    <w:rsid w:val="00C5481E"/>
    <w:rsid w:val="00C61E4B"/>
    <w:rsid w:val="00C61F45"/>
    <w:rsid w:val="00C64BFF"/>
    <w:rsid w:val="00C704E9"/>
    <w:rsid w:val="00C763C9"/>
    <w:rsid w:val="00C80057"/>
    <w:rsid w:val="00C82232"/>
    <w:rsid w:val="00C8257A"/>
    <w:rsid w:val="00C82913"/>
    <w:rsid w:val="00C972B1"/>
    <w:rsid w:val="00C97E6A"/>
    <w:rsid w:val="00CA2CCE"/>
    <w:rsid w:val="00CA43FD"/>
    <w:rsid w:val="00CA7EF8"/>
    <w:rsid w:val="00CB3441"/>
    <w:rsid w:val="00CC4002"/>
    <w:rsid w:val="00CC489B"/>
    <w:rsid w:val="00CD2BCD"/>
    <w:rsid w:val="00CD3A4C"/>
    <w:rsid w:val="00CE0DFA"/>
    <w:rsid w:val="00CE10E9"/>
    <w:rsid w:val="00CE2910"/>
    <w:rsid w:val="00CE5393"/>
    <w:rsid w:val="00CF36BE"/>
    <w:rsid w:val="00CF42BB"/>
    <w:rsid w:val="00CF49D3"/>
    <w:rsid w:val="00CF6000"/>
    <w:rsid w:val="00D003F3"/>
    <w:rsid w:val="00D0364F"/>
    <w:rsid w:val="00D06834"/>
    <w:rsid w:val="00D17DE7"/>
    <w:rsid w:val="00D308ED"/>
    <w:rsid w:val="00D3586C"/>
    <w:rsid w:val="00D36D86"/>
    <w:rsid w:val="00D428AA"/>
    <w:rsid w:val="00D44254"/>
    <w:rsid w:val="00D5053B"/>
    <w:rsid w:val="00D50A34"/>
    <w:rsid w:val="00D53EFA"/>
    <w:rsid w:val="00D66104"/>
    <w:rsid w:val="00D71F16"/>
    <w:rsid w:val="00D7648A"/>
    <w:rsid w:val="00D8124C"/>
    <w:rsid w:val="00D87B12"/>
    <w:rsid w:val="00D907D4"/>
    <w:rsid w:val="00D94A7C"/>
    <w:rsid w:val="00D95896"/>
    <w:rsid w:val="00DB2983"/>
    <w:rsid w:val="00DC1257"/>
    <w:rsid w:val="00DC3DC0"/>
    <w:rsid w:val="00DC5B2B"/>
    <w:rsid w:val="00DD318D"/>
    <w:rsid w:val="00DF046E"/>
    <w:rsid w:val="00DF2E12"/>
    <w:rsid w:val="00DF514A"/>
    <w:rsid w:val="00DF6690"/>
    <w:rsid w:val="00DF6804"/>
    <w:rsid w:val="00E0358D"/>
    <w:rsid w:val="00E04323"/>
    <w:rsid w:val="00E05F6A"/>
    <w:rsid w:val="00E06DCB"/>
    <w:rsid w:val="00E070A2"/>
    <w:rsid w:val="00E2656A"/>
    <w:rsid w:val="00E312B8"/>
    <w:rsid w:val="00E412D0"/>
    <w:rsid w:val="00E56322"/>
    <w:rsid w:val="00E57BF9"/>
    <w:rsid w:val="00E60982"/>
    <w:rsid w:val="00E61B39"/>
    <w:rsid w:val="00E62C62"/>
    <w:rsid w:val="00E654C1"/>
    <w:rsid w:val="00E65D97"/>
    <w:rsid w:val="00E72A5A"/>
    <w:rsid w:val="00E73354"/>
    <w:rsid w:val="00E75C79"/>
    <w:rsid w:val="00E86284"/>
    <w:rsid w:val="00E9242D"/>
    <w:rsid w:val="00E96BAD"/>
    <w:rsid w:val="00EB4FE9"/>
    <w:rsid w:val="00EB5255"/>
    <w:rsid w:val="00EB5C47"/>
    <w:rsid w:val="00ED0639"/>
    <w:rsid w:val="00EE40E6"/>
    <w:rsid w:val="00EF4755"/>
    <w:rsid w:val="00EF7135"/>
    <w:rsid w:val="00F02043"/>
    <w:rsid w:val="00F027DB"/>
    <w:rsid w:val="00F14A7A"/>
    <w:rsid w:val="00F15005"/>
    <w:rsid w:val="00F1597D"/>
    <w:rsid w:val="00F22985"/>
    <w:rsid w:val="00F25171"/>
    <w:rsid w:val="00F30384"/>
    <w:rsid w:val="00F30B83"/>
    <w:rsid w:val="00F33771"/>
    <w:rsid w:val="00F3383E"/>
    <w:rsid w:val="00F42046"/>
    <w:rsid w:val="00F42D5E"/>
    <w:rsid w:val="00F465A7"/>
    <w:rsid w:val="00F50B7C"/>
    <w:rsid w:val="00F51BCB"/>
    <w:rsid w:val="00F550E6"/>
    <w:rsid w:val="00F67BBB"/>
    <w:rsid w:val="00F74345"/>
    <w:rsid w:val="00F80A0A"/>
    <w:rsid w:val="00F82B19"/>
    <w:rsid w:val="00F86238"/>
    <w:rsid w:val="00F8786A"/>
    <w:rsid w:val="00F9212D"/>
    <w:rsid w:val="00F965DA"/>
    <w:rsid w:val="00FA406A"/>
    <w:rsid w:val="00FA573E"/>
    <w:rsid w:val="00FB3AEC"/>
    <w:rsid w:val="00FB423C"/>
    <w:rsid w:val="00FB503A"/>
    <w:rsid w:val="00FB516C"/>
    <w:rsid w:val="00FC065C"/>
    <w:rsid w:val="00FC0721"/>
    <w:rsid w:val="00FC0CAE"/>
    <w:rsid w:val="00FC653A"/>
    <w:rsid w:val="00FD0236"/>
    <w:rsid w:val="00FD18F4"/>
    <w:rsid w:val="00FD54DB"/>
    <w:rsid w:val="00FD619F"/>
    <w:rsid w:val="00FE17ED"/>
    <w:rsid w:val="01290F7E"/>
    <w:rsid w:val="013264ED"/>
    <w:rsid w:val="013902B4"/>
    <w:rsid w:val="015358E2"/>
    <w:rsid w:val="015D1E09"/>
    <w:rsid w:val="021A3102"/>
    <w:rsid w:val="021E256B"/>
    <w:rsid w:val="023F6AF2"/>
    <w:rsid w:val="025B0A94"/>
    <w:rsid w:val="02697903"/>
    <w:rsid w:val="026A724F"/>
    <w:rsid w:val="02A41B47"/>
    <w:rsid w:val="02D737B5"/>
    <w:rsid w:val="02DD1A2B"/>
    <w:rsid w:val="02F96569"/>
    <w:rsid w:val="03295C43"/>
    <w:rsid w:val="0367066E"/>
    <w:rsid w:val="038F5B81"/>
    <w:rsid w:val="03C14242"/>
    <w:rsid w:val="03C5377D"/>
    <w:rsid w:val="03C56CC2"/>
    <w:rsid w:val="03DB42C9"/>
    <w:rsid w:val="03EA7B21"/>
    <w:rsid w:val="03F5500E"/>
    <w:rsid w:val="044157B1"/>
    <w:rsid w:val="046540E2"/>
    <w:rsid w:val="04BC0EF4"/>
    <w:rsid w:val="04C2615A"/>
    <w:rsid w:val="04E622E9"/>
    <w:rsid w:val="05333B2A"/>
    <w:rsid w:val="05674777"/>
    <w:rsid w:val="05E33B0D"/>
    <w:rsid w:val="05F83EAE"/>
    <w:rsid w:val="06216C78"/>
    <w:rsid w:val="063E7D85"/>
    <w:rsid w:val="06975D70"/>
    <w:rsid w:val="070A3BBB"/>
    <w:rsid w:val="070C3111"/>
    <w:rsid w:val="07293586"/>
    <w:rsid w:val="07295285"/>
    <w:rsid w:val="0748600C"/>
    <w:rsid w:val="07636392"/>
    <w:rsid w:val="07770C56"/>
    <w:rsid w:val="07990692"/>
    <w:rsid w:val="07BD547E"/>
    <w:rsid w:val="07FC6630"/>
    <w:rsid w:val="08423879"/>
    <w:rsid w:val="08490A19"/>
    <w:rsid w:val="085010EC"/>
    <w:rsid w:val="085F64AC"/>
    <w:rsid w:val="086900C3"/>
    <w:rsid w:val="088171C7"/>
    <w:rsid w:val="08D95292"/>
    <w:rsid w:val="08DE7976"/>
    <w:rsid w:val="09026F2B"/>
    <w:rsid w:val="09044350"/>
    <w:rsid w:val="091E5277"/>
    <w:rsid w:val="092217DD"/>
    <w:rsid w:val="093373C6"/>
    <w:rsid w:val="093700E7"/>
    <w:rsid w:val="093A7294"/>
    <w:rsid w:val="09595DAC"/>
    <w:rsid w:val="09EC5ECA"/>
    <w:rsid w:val="0A263993"/>
    <w:rsid w:val="0A2A38AF"/>
    <w:rsid w:val="0A2D3AC2"/>
    <w:rsid w:val="0A907557"/>
    <w:rsid w:val="0AA755DF"/>
    <w:rsid w:val="0AEA4116"/>
    <w:rsid w:val="0B04049C"/>
    <w:rsid w:val="0B120D44"/>
    <w:rsid w:val="0B42215E"/>
    <w:rsid w:val="0B54781E"/>
    <w:rsid w:val="0B7C0579"/>
    <w:rsid w:val="0B7F0B66"/>
    <w:rsid w:val="0B942FE4"/>
    <w:rsid w:val="0B992B3C"/>
    <w:rsid w:val="0BA06162"/>
    <w:rsid w:val="0BD27BF6"/>
    <w:rsid w:val="0BE655BE"/>
    <w:rsid w:val="0BF35BF4"/>
    <w:rsid w:val="0C0E2359"/>
    <w:rsid w:val="0C3B3C7D"/>
    <w:rsid w:val="0C3C78DB"/>
    <w:rsid w:val="0C853B01"/>
    <w:rsid w:val="0CAB2EAE"/>
    <w:rsid w:val="0D0B08E2"/>
    <w:rsid w:val="0D1610EA"/>
    <w:rsid w:val="0D370610"/>
    <w:rsid w:val="0D535EFF"/>
    <w:rsid w:val="0D621C7D"/>
    <w:rsid w:val="0D7D0ACC"/>
    <w:rsid w:val="0D8F1F62"/>
    <w:rsid w:val="0D9A3031"/>
    <w:rsid w:val="0DA23B94"/>
    <w:rsid w:val="0DAE3F6E"/>
    <w:rsid w:val="0E1C0594"/>
    <w:rsid w:val="0E272392"/>
    <w:rsid w:val="0E4A241F"/>
    <w:rsid w:val="0E73034D"/>
    <w:rsid w:val="0E7E4FB0"/>
    <w:rsid w:val="0E8C2194"/>
    <w:rsid w:val="0E9658AF"/>
    <w:rsid w:val="0EAA1F13"/>
    <w:rsid w:val="0F0A7009"/>
    <w:rsid w:val="0F13775A"/>
    <w:rsid w:val="0F5F45FE"/>
    <w:rsid w:val="0F6F61A8"/>
    <w:rsid w:val="0F9A112B"/>
    <w:rsid w:val="0FC4644C"/>
    <w:rsid w:val="104C7328"/>
    <w:rsid w:val="1067566B"/>
    <w:rsid w:val="106D2F64"/>
    <w:rsid w:val="10827858"/>
    <w:rsid w:val="109D46C9"/>
    <w:rsid w:val="10B63710"/>
    <w:rsid w:val="10C81BAE"/>
    <w:rsid w:val="10D821AF"/>
    <w:rsid w:val="10F10820"/>
    <w:rsid w:val="11194DF6"/>
    <w:rsid w:val="111C2F7A"/>
    <w:rsid w:val="113C6F6C"/>
    <w:rsid w:val="1142606C"/>
    <w:rsid w:val="11537238"/>
    <w:rsid w:val="11665CA1"/>
    <w:rsid w:val="11C7784A"/>
    <w:rsid w:val="11DD7D16"/>
    <w:rsid w:val="11EE4579"/>
    <w:rsid w:val="12174F59"/>
    <w:rsid w:val="12575974"/>
    <w:rsid w:val="12702FE7"/>
    <w:rsid w:val="128129DB"/>
    <w:rsid w:val="12812BBF"/>
    <w:rsid w:val="12A6020F"/>
    <w:rsid w:val="12DF1917"/>
    <w:rsid w:val="13334D26"/>
    <w:rsid w:val="134A3C6D"/>
    <w:rsid w:val="134F0723"/>
    <w:rsid w:val="13616598"/>
    <w:rsid w:val="13951726"/>
    <w:rsid w:val="13B7374A"/>
    <w:rsid w:val="142C203F"/>
    <w:rsid w:val="142E0D06"/>
    <w:rsid w:val="14396509"/>
    <w:rsid w:val="14767F9A"/>
    <w:rsid w:val="14AF343B"/>
    <w:rsid w:val="14BA7E1E"/>
    <w:rsid w:val="14D113D9"/>
    <w:rsid w:val="14DD2C3C"/>
    <w:rsid w:val="150313BD"/>
    <w:rsid w:val="15913B9E"/>
    <w:rsid w:val="15A46B04"/>
    <w:rsid w:val="15D45EB3"/>
    <w:rsid w:val="15EE4223"/>
    <w:rsid w:val="16087E1D"/>
    <w:rsid w:val="16252DBA"/>
    <w:rsid w:val="164B18D5"/>
    <w:rsid w:val="16570FB1"/>
    <w:rsid w:val="168726E6"/>
    <w:rsid w:val="16B41138"/>
    <w:rsid w:val="16D90A2F"/>
    <w:rsid w:val="16E578A2"/>
    <w:rsid w:val="17053926"/>
    <w:rsid w:val="171E6DDE"/>
    <w:rsid w:val="171F0B4E"/>
    <w:rsid w:val="17701D14"/>
    <w:rsid w:val="17735226"/>
    <w:rsid w:val="17772FD7"/>
    <w:rsid w:val="17C33638"/>
    <w:rsid w:val="17D462F8"/>
    <w:rsid w:val="17E201BB"/>
    <w:rsid w:val="17E961A5"/>
    <w:rsid w:val="18182EA4"/>
    <w:rsid w:val="182E5A1F"/>
    <w:rsid w:val="182F2C9B"/>
    <w:rsid w:val="183F2BA2"/>
    <w:rsid w:val="187E045A"/>
    <w:rsid w:val="189F624C"/>
    <w:rsid w:val="18C94680"/>
    <w:rsid w:val="19AD79C5"/>
    <w:rsid w:val="19E04CF7"/>
    <w:rsid w:val="1A002A36"/>
    <w:rsid w:val="1A073B05"/>
    <w:rsid w:val="1A1C66C0"/>
    <w:rsid w:val="1A42393B"/>
    <w:rsid w:val="1A742AF9"/>
    <w:rsid w:val="1AAD45DE"/>
    <w:rsid w:val="1AC10F2A"/>
    <w:rsid w:val="1AD21972"/>
    <w:rsid w:val="1AE250EB"/>
    <w:rsid w:val="1AF776D6"/>
    <w:rsid w:val="1B046F80"/>
    <w:rsid w:val="1B0A77DF"/>
    <w:rsid w:val="1B177D78"/>
    <w:rsid w:val="1B3267B5"/>
    <w:rsid w:val="1B40161D"/>
    <w:rsid w:val="1B441859"/>
    <w:rsid w:val="1B5842B1"/>
    <w:rsid w:val="1B6606B1"/>
    <w:rsid w:val="1B6A4B75"/>
    <w:rsid w:val="1BC95EB3"/>
    <w:rsid w:val="1C0D522C"/>
    <w:rsid w:val="1C5E7925"/>
    <w:rsid w:val="1C631CFC"/>
    <w:rsid w:val="1C7E7266"/>
    <w:rsid w:val="1C8A1BF0"/>
    <w:rsid w:val="1CA53161"/>
    <w:rsid w:val="1CD34E47"/>
    <w:rsid w:val="1CFD070F"/>
    <w:rsid w:val="1D551C94"/>
    <w:rsid w:val="1D556C42"/>
    <w:rsid w:val="1D5F6196"/>
    <w:rsid w:val="1D6132A5"/>
    <w:rsid w:val="1D8528AD"/>
    <w:rsid w:val="1D8E56D5"/>
    <w:rsid w:val="1DE8250E"/>
    <w:rsid w:val="1E264420"/>
    <w:rsid w:val="1E3B5B2B"/>
    <w:rsid w:val="1E3C1A44"/>
    <w:rsid w:val="1E5A1BC9"/>
    <w:rsid w:val="1E764218"/>
    <w:rsid w:val="1E7A43DA"/>
    <w:rsid w:val="1EB10604"/>
    <w:rsid w:val="1ED16490"/>
    <w:rsid w:val="1EDE7F67"/>
    <w:rsid w:val="1F41211A"/>
    <w:rsid w:val="1FA93D9E"/>
    <w:rsid w:val="1FC102B2"/>
    <w:rsid w:val="1FDC6874"/>
    <w:rsid w:val="1FE7539E"/>
    <w:rsid w:val="1FFE74FC"/>
    <w:rsid w:val="2010087A"/>
    <w:rsid w:val="202F414D"/>
    <w:rsid w:val="20671BE0"/>
    <w:rsid w:val="207C3198"/>
    <w:rsid w:val="20963CB8"/>
    <w:rsid w:val="20A81A1B"/>
    <w:rsid w:val="20B07FB6"/>
    <w:rsid w:val="20B646FB"/>
    <w:rsid w:val="20C80882"/>
    <w:rsid w:val="20F2505A"/>
    <w:rsid w:val="21231B80"/>
    <w:rsid w:val="213B74B1"/>
    <w:rsid w:val="215A2310"/>
    <w:rsid w:val="219B5088"/>
    <w:rsid w:val="21B60F44"/>
    <w:rsid w:val="21C94C2A"/>
    <w:rsid w:val="21DE318A"/>
    <w:rsid w:val="21EF5B80"/>
    <w:rsid w:val="21F06E07"/>
    <w:rsid w:val="22250CD0"/>
    <w:rsid w:val="22482721"/>
    <w:rsid w:val="22576990"/>
    <w:rsid w:val="229753F4"/>
    <w:rsid w:val="22D0085A"/>
    <w:rsid w:val="22F47480"/>
    <w:rsid w:val="230C5F26"/>
    <w:rsid w:val="235F4991"/>
    <w:rsid w:val="236F2A2E"/>
    <w:rsid w:val="238C5A80"/>
    <w:rsid w:val="239857CE"/>
    <w:rsid w:val="23985936"/>
    <w:rsid w:val="23DE1C48"/>
    <w:rsid w:val="240210CD"/>
    <w:rsid w:val="240B07EF"/>
    <w:rsid w:val="240D3ED2"/>
    <w:rsid w:val="24166813"/>
    <w:rsid w:val="242F216C"/>
    <w:rsid w:val="24676843"/>
    <w:rsid w:val="24BF09F7"/>
    <w:rsid w:val="24CE082D"/>
    <w:rsid w:val="24DE2894"/>
    <w:rsid w:val="24E65029"/>
    <w:rsid w:val="252D53FE"/>
    <w:rsid w:val="256408FB"/>
    <w:rsid w:val="256529F2"/>
    <w:rsid w:val="25E1700B"/>
    <w:rsid w:val="25EC2D81"/>
    <w:rsid w:val="2605083E"/>
    <w:rsid w:val="260666B6"/>
    <w:rsid w:val="265759EE"/>
    <w:rsid w:val="2677675E"/>
    <w:rsid w:val="267C4460"/>
    <w:rsid w:val="26896FA5"/>
    <w:rsid w:val="26CA18C6"/>
    <w:rsid w:val="26DB7EAB"/>
    <w:rsid w:val="26EF0AD5"/>
    <w:rsid w:val="271445E8"/>
    <w:rsid w:val="27241414"/>
    <w:rsid w:val="273341C9"/>
    <w:rsid w:val="27492C2D"/>
    <w:rsid w:val="27495DBA"/>
    <w:rsid w:val="277057A2"/>
    <w:rsid w:val="27CC1926"/>
    <w:rsid w:val="27CD5BCB"/>
    <w:rsid w:val="27D34E76"/>
    <w:rsid w:val="27FB5720"/>
    <w:rsid w:val="28496975"/>
    <w:rsid w:val="28557F67"/>
    <w:rsid w:val="288625AA"/>
    <w:rsid w:val="28B14FB3"/>
    <w:rsid w:val="28BF3C4F"/>
    <w:rsid w:val="28CD582B"/>
    <w:rsid w:val="28E33B2A"/>
    <w:rsid w:val="290575BD"/>
    <w:rsid w:val="290D1BAD"/>
    <w:rsid w:val="29206EB8"/>
    <w:rsid w:val="292D2840"/>
    <w:rsid w:val="29595666"/>
    <w:rsid w:val="29874881"/>
    <w:rsid w:val="2994767D"/>
    <w:rsid w:val="29DE109C"/>
    <w:rsid w:val="29E0761C"/>
    <w:rsid w:val="29E325E0"/>
    <w:rsid w:val="2A0C1792"/>
    <w:rsid w:val="2A334F05"/>
    <w:rsid w:val="2A417680"/>
    <w:rsid w:val="2A452222"/>
    <w:rsid w:val="2A452503"/>
    <w:rsid w:val="2A487506"/>
    <w:rsid w:val="2A5B4C84"/>
    <w:rsid w:val="2A7A2BB7"/>
    <w:rsid w:val="2A9000CA"/>
    <w:rsid w:val="2AA52364"/>
    <w:rsid w:val="2AE95E8D"/>
    <w:rsid w:val="2AEA4748"/>
    <w:rsid w:val="2B5F05D9"/>
    <w:rsid w:val="2B7FA16F"/>
    <w:rsid w:val="2BA936A8"/>
    <w:rsid w:val="2C315A5A"/>
    <w:rsid w:val="2C485264"/>
    <w:rsid w:val="2C4B1C25"/>
    <w:rsid w:val="2C6A306C"/>
    <w:rsid w:val="2D6A364E"/>
    <w:rsid w:val="2D9E56F5"/>
    <w:rsid w:val="2E146C09"/>
    <w:rsid w:val="2E2C67F0"/>
    <w:rsid w:val="2E501544"/>
    <w:rsid w:val="2E667F96"/>
    <w:rsid w:val="2E8226AB"/>
    <w:rsid w:val="2EBA52ED"/>
    <w:rsid w:val="2EBD3CC5"/>
    <w:rsid w:val="2EDF31A0"/>
    <w:rsid w:val="2EF13AE3"/>
    <w:rsid w:val="2F5D7F2C"/>
    <w:rsid w:val="2F6D3570"/>
    <w:rsid w:val="2FD065E6"/>
    <w:rsid w:val="2FD96870"/>
    <w:rsid w:val="30046135"/>
    <w:rsid w:val="303170B3"/>
    <w:rsid w:val="303549B4"/>
    <w:rsid w:val="30580BC9"/>
    <w:rsid w:val="306950A6"/>
    <w:rsid w:val="30702380"/>
    <w:rsid w:val="3084018C"/>
    <w:rsid w:val="308D4213"/>
    <w:rsid w:val="30994096"/>
    <w:rsid w:val="311E2ED7"/>
    <w:rsid w:val="315619EE"/>
    <w:rsid w:val="315C449C"/>
    <w:rsid w:val="317858FF"/>
    <w:rsid w:val="31A00EC7"/>
    <w:rsid w:val="31A24CAD"/>
    <w:rsid w:val="31AE701E"/>
    <w:rsid w:val="31B82709"/>
    <w:rsid w:val="31BF7E3F"/>
    <w:rsid w:val="31D05482"/>
    <w:rsid w:val="31E96D5B"/>
    <w:rsid w:val="31FB0724"/>
    <w:rsid w:val="31FD5125"/>
    <w:rsid w:val="321D3A6E"/>
    <w:rsid w:val="32400B34"/>
    <w:rsid w:val="329B455F"/>
    <w:rsid w:val="329E6876"/>
    <w:rsid w:val="32B07808"/>
    <w:rsid w:val="32ED7540"/>
    <w:rsid w:val="32F46215"/>
    <w:rsid w:val="32F64227"/>
    <w:rsid w:val="333015F2"/>
    <w:rsid w:val="333B0E98"/>
    <w:rsid w:val="334B6320"/>
    <w:rsid w:val="33705B9E"/>
    <w:rsid w:val="337435CD"/>
    <w:rsid w:val="33B97056"/>
    <w:rsid w:val="33D934D4"/>
    <w:rsid w:val="33E22969"/>
    <w:rsid w:val="33FE2F6A"/>
    <w:rsid w:val="340E07E5"/>
    <w:rsid w:val="341C63E9"/>
    <w:rsid w:val="34235BF7"/>
    <w:rsid w:val="34581575"/>
    <w:rsid w:val="346175CF"/>
    <w:rsid w:val="34EA328A"/>
    <w:rsid w:val="3514315D"/>
    <w:rsid w:val="35154663"/>
    <w:rsid w:val="358C5FA8"/>
    <w:rsid w:val="359148EF"/>
    <w:rsid w:val="359D6772"/>
    <w:rsid w:val="35B135E5"/>
    <w:rsid w:val="35BE174B"/>
    <w:rsid w:val="35C15DF1"/>
    <w:rsid w:val="35CA3059"/>
    <w:rsid w:val="35E178D7"/>
    <w:rsid w:val="36074A7F"/>
    <w:rsid w:val="36163E0E"/>
    <w:rsid w:val="36187EB6"/>
    <w:rsid w:val="36195644"/>
    <w:rsid w:val="36435BFB"/>
    <w:rsid w:val="36893AD0"/>
    <w:rsid w:val="368B46A8"/>
    <w:rsid w:val="36923549"/>
    <w:rsid w:val="36B75FBF"/>
    <w:rsid w:val="36BD0C45"/>
    <w:rsid w:val="36C941B5"/>
    <w:rsid w:val="37200B4C"/>
    <w:rsid w:val="373327FA"/>
    <w:rsid w:val="37575508"/>
    <w:rsid w:val="37764C01"/>
    <w:rsid w:val="377847E9"/>
    <w:rsid w:val="3787198A"/>
    <w:rsid w:val="37982472"/>
    <w:rsid w:val="37E00298"/>
    <w:rsid w:val="383D1ACE"/>
    <w:rsid w:val="387B47CC"/>
    <w:rsid w:val="38B302F9"/>
    <w:rsid w:val="38C61D09"/>
    <w:rsid w:val="38F12CD3"/>
    <w:rsid w:val="38F94775"/>
    <w:rsid w:val="392971ED"/>
    <w:rsid w:val="39325651"/>
    <w:rsid w:val="3934169D"/>
    <w:rsid w:val="393A1FDD"/>
    <w:rsid w:val="39421A06"/>
    <w:rsid w:val="39456086"/>
    <w:rsid w:val="39CB4D56"/>
    <w:rsid w:val="3A1B70B7"/>
    <w:rsid w:val="3A1D0743"/>
    <w:rsid w:val="3A2A6D7B"/>
    <w:rsid w:val="3A5B0513"/>
    <w:rsid w:val="3A84306E"/>
    <w:rsid w:val="3A872856"/>
    <w:rsid w:val="3AAD21B4"/>
    <w:rsid w:val="3AE76F32"/>
    <w:rsid w:val="3B3763D1"/>
    <w:rsid w:val="3B3A636C"/>
    <w:rsid w:val="3B412C21"/>
    <w:rsid w:val="3B747829"/>
    <w:rsid w:val="3B9619BC"/>
    <w:rsid w:val="3BAF6B35"/>
    <w:rsid w:val="3BF82A8B"/>
    <w:rsid w:val="3C04535E"/>
    <w:rsid w:val="3C216E16"/>
    <w:rsid w:val="3C291941"/>
    <w:rsid w:val="3C2F6E1E"/>
    <w:rsid w:val="3C4F64BA"/>
    <w:rsid w:val="3C720E5A"/>
    <w:rsid w:val="3CDA245A"/>
    <w:rsid w:val="3D061FD5"/>
    <w:rsid w:val="3D0A1882"/>
    <w:rsid w:val="3D1E06B7"/>
    <w:rsid w:val="3D3C7DAC"/>
    <w:rsid w:val="3D715D82"/>
    <w:rsid w:val="3D89645B"/>
    <w:rsid w:val="3DAB5298"/>
    <w:rsid w:val="3EB56DDC"/>
    <w:rsid w:val="3EBA43F3"/>
    <w:rsid w:val="3EDA0523"/>
    <w:rsid w:val="3F12422F"/>
    <w:rsid w:val="3F3A7D4B"/>
    <w:rsid w:val="3F7F7310"/>
    <w:rsid w:val="3F9635F9"/>
    <w:rsid w:val="3F9C267E"/>
    <w:rsid w:val="3FAE4C33"/>
    <w:rsid w:val="3FB71E71"/>
    <w:rsid w:val="3FD52594"/>
    <w:rsid w:val="4010452E"/>
    <w:rsid w:val="401F4071"/>
    <w:rsid w:val="403F2E8B"/>
    <w:rsid w:val="40664891"/>
    <w:rsid w:val="4070535B"/>
    <w:rsid w:val="40733AF6"/>
    <w:rsid w:val="40774DE4"/>
    <w:rsid w:val="407A6407"/>
    <w:rsid w:val="409640E4"/>
    <w:rsid w:val="40B8548D"/>
    <w:rsid w:val="4100023C"/>
    <w:rsid w:val="410C297B"/>
    <w:rsid w:val="411755B4"/>
    <w:rsid w:val="41192A48"/>
    <w:rsid w:val="411A0851"/>
    <w:rsid w:val="41203B7F"/>
    <w:rsid w:val="412A3B09"/>
    <w:rsid w:val="4151753E"/>
    <w:rsid w:val="417C1591"/>
    <w:rsid w:val="41A6361F"/>
    <w:rsid w:val="4200449D"/>
    <w:rsid w:val="423A3BCC"/>
    <w:rsid w:val="42490F09"/>
    <w:rsid w:val="424E57D2"/>
    <w:rsid w:val="427373A3"/>
    <w:rsid w:val="42776E82"/>
    <w:rsid w:val="42B26C49"/>
    <w:rsid w:val="42C722BB"/>
    <w:rsid w:val="42F77AC9"/>
    <w:rsid w:val="432726F4"/>
    <w:rsid w:val="432B1BE7"/>
    <w:rsid w:val="433755AD"/>
    <w:rsid w:val="433A6FE6"/>
    <w:rsid w:val="43480868"/>
    <w:rsid w:val="4350713C"/>
    <w:rsid w:val="43555B1A"/>
    <w:rsid w:val="435966CC"/>
    <w:rsid w:val="436653E0"/>
    <w:rsid w:val="43835A88"/>
    <w:rsid w:val="4396621A"/>
    <w:rsid w:val="439B3DC9"/>
    <w:rsid w:val="43B672F4"/>
    <w:rsid w:val="43C4431A"/>
    <w:rsid w:val="43D57248"/>
    <w:rsid w:val="442C5D93"/>
    <w:rsid w:val="4450352C"/>
    <w:rsid w:val="4485474A"/>
    <w:rsid w:val="448E62B3"/>
    <w:rsid w:val="44AD18FE"/>
    <w:rsid w:val="44B00628"/>
    <w:rsid w:val="44B951CC"/>
    <w:rsid w:val="44BE5080"/>
    <w:rsid w:val="44CD14E0"/>
    <w:rsid w:val="44F20B0B"/>
    <w:rsid w:val="451748AA"/>
    <w:rsid w:val="4522342E"/>
    <w:rsid w:val="4522789E"/>
    <w:rsid w:val="452603CE"/>
    <w:rsid w:val="452E5F4C"/>
    <w:rsid w:val="455D0CA3"/>
    <w:rsid w:val="45612018"/>
    <w:rsid w:val="457367C0"/>
    <w:rsid w:val="457441C2"/>
    <w:rsid w:val="457866AC"/>
    <w:rsid w:val="457C3994"/>
    <w:rsid w:val="458946E9"/>
    <w:rsid w:val="45A47C0E"/>
    <w:rsid w:val="45AF61C8"/>
    <w:rsid w:val="45BF45B3"/>
    <w:rsid w:val="45D053B0"/>
    <w:rsid w:val="45D30DDC"/>
    <w:rsid w:val="45E00162"/>
    <w:rsid w:val="464D0FA2"/>
    <w:rsid w:val="46577FD6"/>
    <w:rsid w:val="4667382E"/>
    <w:rsid w:val="46756273"/>
    <w:rsid w:val="469E4531"/>
    <w:rsid w:val="46D54A9F"/>
    <w:rsid w:val="46D955A7"/>
    <w:rsid w:val="470E52AF"/>
    <w:rsid w:val="47133957"/>
    <w:rsid w:val="47253342"/>
    <w:rsid w:val="4726456C"/>
    <w:rsid w:val="473E61B4"/>
    <w:rsid w:val="47533C61"/>
    <w:rsid w:val="475C3C8C"/>
    <w:rsid w:val="47600D6E"/>
    <w:rsid w:val="477F0D5F"/>
    <w:rsid w:val="47926393"/>
    <w:rsid w:val="47A07E0C"/>
    <w:rsid w:val="47C33808"/>
    <w:rsid w:val="47CE200E"/>
    <w:rsid w:val="483E78D3"/>
    <w:rsid w:val="485E5D92"/>
    <w:rsid w:val="4870272E"/>
    <w:rsid w:val="48A60AF4"/>
    <w:rsid w:val="48E30093"/>
    <w:rsid w:val="490A5E1F"/>
    <w:rsid w:val="491037B2"/>
    <w:rsid w:val="495E4098"/>
    <w:rsid w:val="49675B90"/>
    <w:rsid w:val="49BE185D"/>
    <w:rsid w:val="49DC7715"/>
    <w:rsid w:val="49FB37A3"/>
    <w:rsid w:val="4A023139"/>
    <w:rsid w:val="4A553A52"/>
    <w:rsid w:val="4A6201A9"/>
    <w:rsid w:val="4A791982"/>
    <w:rsid w:val="4A7B576F"/>
    <w:rsid w:val="4A931F28"/>
    <w:rsid w:val="4ACF204F"/>
    <w:rsid w:val="4AF561A9"/>
    <w:rsid w:val="4B7524D0"/>
    <w:rsid w:val="4B983D0E"/>
    <w:rsid w:val="4BDC65AB"/>
    <w:rsid w:val="4C040DEB"/>
    <w:rsid w:val="4C073C58"/>
    <w:rsid w:val="4C2922C9"/>
    <w:rsid w:val="4C3A5F4E"/>
    <w:rsid w:val="4C4A0649"/>
    <w:rsid w:val="4C5D5145"/>
    <w:rsid w:val="4C7E5ECA"/>
    <w:rsid w:val="4C876AA5"/>
    <w:rsid w:val="4CB57744"/>
    <w:rsid w:val="4CC13EE9"/>
    <w:rsid w:val="4CC6729A"/>
    <w:rsid w:val="4D0E00FB"/>
    <w:rsid w:val="4D176606"/>
    <w:rsid w:val="4D537219"/>
    <w:rsid w:val="4D7C727D"/>
    <w:rsid w:val="4DEC4FB0"/>
    <w:rsid w:val="4DEE6522"/>
    <w:rsid w:val="4DF40953"/>
    <w:rsid w:val="4E075D8A"/>
    <w:rsid w:val="4E4F45ED"/>
    <w:rsid w:val="4E7A0EAD"/>
    <w:rsid w:val="4EB92177"/>
    <w:rsid w:val="4EC00FAD"/>
    <w:rsid w:val="4ED82B63"/>
    <w:rsid w:val="4F442F8A"/>
    <w:rsid w:val="4F6C19D8"/>
    <w:rsid w:val="4F9843DC"/>
    <w:rsid w:val="4FC62A8C"/>
    <w:rsid w:val="4FE20F0D"/>
    <w:rsid w:val="4FE26469"/>
    <w:rsid w:val="4FE51552"/>
    <w:rsid w:val="4FF37E93"/>
    <w:rsid w:val="502F66DA"/>
    <w:rsid w:val="50504C4B"/>
    <w:rsid w:val="507A5E38"/>
    <w:rsid w:val="50814F9F"/>
    <w:rsid w:val="509C6E7C"/>
    <w:rsid w:val="50B33D45"/>
    <w:rsid w:val="50B94A41"/>
    <w:rsid w:val="51303A5E"/>
    <w:rsid w:val="514846E2"/>
    <w:rsid w:val="5162104E"/>
    <w:rsid w:val="51792156"/>
    <w:rsid w:val="518A7639"/>
    <w:rsid w:val="51D029AB"/>
    <w:rsid w:val="5228416C"/>
    <w:rsid w:val="523D77D9"/>
    <w:rsid w:val="528410FC"/>
    <w:rsid w:val="529D281B"/>
    <w:rsid w:val="52A3201A"/>
    <w:rsid w:val="52AA4A52"/>
    <w:rsid w:val="52AD62F0"/>
    <w:rsid w:val="52B150D7"/>
    <w:rsid w:val="52B308BC"/>
    <w:rsid w:val="5333497D"/>
    <w:rsid w:val="53341A95"/>
    <w:rsid w:val="53736D40"/>
    <w:rsid w:val="53805AC6"/>
    <w:rsid w:val="538B3496"/>
    <w:rsid w:val="53945664"/>
    <w:rsid w:val="53A039CC"/>
    <w:rsid w:val="53A1505A"/>
    <w:rsid w:val="54063E08"/>
    <w:rsid w:val="543437E8"/>
    <w:rsid w:val="544404C7"/>
    <w:rsid w:val="545337DA"/>
    <w:rsid w:val="54F11164"/>
    <w:rsid w:val="54F73313"/>
    <w:rsid w:val="54F80955"/>
    <w:rsid w:val="55114192"/>
    <w:rsid w:val="5524219C"/>
    <w:rsid w:val="554967A4"/>
    <w:rsid w:val="555170A7"/>
    <w:rsid w:val="5587536D"/>
    <w:rsid w:val="559B174B"/>
    <w:rsid w:val="55CE0CF4"/>
    <w:rsid w:val="56160666"/>
    <w:rsid w:val="567671CE"/>
    <w:rsid w:val="56837A94"/>
    <w:rsid w:val="56963C12"/>
    <w:rsid w:val="56A6266A"/>
    <w:rsid w:val="56B22A9C"/>
    <w:rsid w:val="56F261C3"/>
    <w:rsid w:val="574E24A8"/>
    <w:rsid w:val="575A1E63"/>
    <w:rsid w:val="576F1363"/>
    <w:rsid w:val="57B72A76"/>
    <w:rsid w:val="57C3426C"/>
    <w:rsid w:val="57CE1F93"/>
    <w:rsid w:val="57D4416E"/>
    <w:rsid w:val="57D93BAC"/>
    <w:rsid w:val="580A63EB"/>
    <w:rsid w:val="583152CE"/>
    <w:rsid w:val="58607961"/>
    <w:rsid w:val="58736237"/>
    <w:rsid w:val="588743D1"/>
    <w:rsid w:val="5887701A"/>
    <w:rsid w:val="58A31F63"/>
    <w:rsid w:val="58AD7013"/>
    <w:rsid w:val="58DB6DBA"/>
    <w:rsid w:val="58E812CD"/>
    <w:rsid w:val="59284CA3"/>
    <w:rsid w:val="59815C5B"/>
    <w:rsid w:val="59A77AD0"/>
    <w:rsid w:val="59C0439F"/>
    <w:rsid w:val="5A6B636B"/>
    <w:rsid w:val="5A865480"/>
    <w:rsid w:val="5A9411C0"/>
    <w:rsid w:val="5ABE2233"/>
    <w:rsid w:val="5ACF0221"/>
    <w:rsid w:val="5AF157BC"/>
    <w:rsid w:val="5B0B71ED"/>
    <w:rsid w:val="5B275C9A"/>
    <w:rsid w:val="5B8C66DA"/>
    <w:rsid w:val="5BDF5D95"/>
    <w:rsid w:val="5BE80399"/>
    <w:rsid w:val="5BFE7528"/>
    <w:rsid w:val="5C0E7AD3"/>
    <w:rsid w:val="5C1D570D"/>
    <w:rsid w:val="5C4B04A5"/>
    <w:rsid w:val="5C8220DC"/>
    <w:rsid w:val="5C990253"/>
    <w:rsid w:val="5CAD2622"/>
    <w:rsid w:val="5CCE3017"/>
    <w:rsid w:val="5D087823"/>
    <w:rsid w:val="5D627CBE"/>
    <w:rsid w:val="5DB9221C"/>
    <w:rsid w:val="5DF61926"/>
    <w:rsid w:val="5E1845C3"/>
    <w:rsid w:val="5E2467F1"/>
    <w:rsid w:val="5E352B6B"/>
    <w:rsid w:val="5E626072"/>
    <w:rsid w:val="5E7B5553"/>
    <w:rsid w:val="5E7B5DE1"/>
    <w:rsid w:val="5E9A0B5E"/>
    <w:rsid w:val="5EB33E4F"/>
    <w:rsid w:val="5EC01AF3"/>
    <w:rsid w:val="5ECC7713"/>
    <w:rsid w:val="5EE23D90"/>
    <w:rsid w:val="5F1A2B43"/>
    <w:rsid w:val="5F5B5981"/>
    <w:rsid w:val="5F7F0A6C"/>
    <w:rsid w:val="5F93076B"/>
    <w:rsid w:val="5FB837BB"/>
    <w:rsid w:val="601A3CAD"/>
    <w:rsid w:val="602A0F80"/>
    <w:rsid w:val="602D53A5"/>
    <w:rsid w:val="603900ED"/>
    <w:rsid w:val="60AA2798"/>
    <w:rsid w:val="60CC405A"/>
    <w:rsid w:val="6115103E"/>
    <w:rsid w:val="61417BE2"/>
    <w:rsid w:val="61751CD2"/>
    <w:rsid w:val="6180495F"/>
    <w:rsid w:val="61D2459B"/>
    <w:rsid w:val="61D42785"/>
    <w:rsid w:val="61E215D8"/>
    <w:rsid w:val="61E2590E"/>
    <w:rsid w:val="61F2793C"/>
    <w:rsid w:val="621B3775"/>
    <w:rsid w:val="62364782"/>
    <w:rsid w:val="6245659C"/>
    <w:rsid w:val="625369B8"/>
    <w:rsid w:val="62600DDC"/>
    <w:rsid w:val="62D1318B"/>
    <w:rsid w:val="62DB1B9F"/>
    <w:rsid w:val="62EA7DAE"/>
    <w:rsid w:val="62F54349"/>
    <w:rsid w:val="62F82F7B"/>
    <w:rsid w:val="633A4C04"/>
    <w:rsid w:val="637E5963"/>
    <w:rsid w:val="638F0088"/>
    <w:rsid w:val="6394356A"/>
    <w:rsid w:val="63B0735E"/>
    <w:rsid w:val="63C61B2C"/>
    <w:rsid w:val="63CD05A1"/>
    <w:rsid w:val="63D40BE9"/>
    <w:rsid w:val="64102431"/>
    <w:rsid w:val="64264155"/>
    <w:rsid w:val="643241E9"/>
    <w:rsid w:val="64A5243A"/>
    <w:rsid w:val="64DE30C0"/>
    <w:rsid w:val="64F531DE"/>
    <w:rsid w:val="64FC7645"/>
    <w:rsid w:val="65373578"/>
    <w:rsid w:val="65FE3629"/>
    <w:rsid w:val="662616D6"/>
    <w:rsid w:val="665C5260"/>
    <w:rsid w:val="66C24A2E"/>
    <w:rsid w:val="66DA60F7"/>
    <w:rsid w:val="671F124A"/>
    <w:rsid w:val="672B1631"/>
    <w:rsid w:val="67362D34"/>
    <w:rsid w:val="677A33C6"/>
    <w:rsid w:val="67AC348D"/>
    <w:rsid w:val="67DA3B7F"/>
    <w:rsid w:val="67F15F36"/>
    <w:rsid w:val="67FD2B01"/>
    <w:rsid w:val="681F6961"/>
    <w:rsid w:val="6831673A"/>
    <w:rsid w:val="68610A2F"/>
    <w:rsid w:val="68651CA6"/>
    <w:rsid w:val="68691240"/>
    <w:rsid w:val="68805514"/>
    <w:rsid w:val="68971034"/>
    <w:rsid w:val="69316E2F"/>
    <w:rsid w:val="6933325E"/>
    <w:rsid w:val="693A1AF5"/>
    <w:rsid w:val="694E2071"/>
    <w:rsid w:val="695C2AE8"/>
    <w:rsid w:val="697246CC"/>
    <w:rsid w:val="69766163"/>
    <w:rsid w:val="697A3B33"/>
    <w:rsid w:val="697B1A8D"/>
    <w:rsid w:val="69C956EA"/>
    <w:rsid w:val="69D44760"/>
    <w:rsid w:val="69E01CA0"/>
    <w:rsid w:val="69F321B5"/>
    <w:rsid w:val="69F44277"/>
    <w:rsid w:val="6A0840AF"/>
    <w:rsid w:val="6A125210"/>
    <w:rsid w:val="6A477DBF"/>
    <w:rsid w:val="6A520EC7"/>
    <w:rsid w:val="6AF87E20"/>
    <w:rsid w:val="6B1E4291"/>
    <w:rsid w:val="6B322639"/>
    <w:rsid w:val="6B7A202B"/>
    <w:rsid w:val="6C116BFE"/>
    <w:rsid w:val="6C197558"/>
    <w:rsid w:val="6C636C38"/>
    <w:rsid w:val="6CA10C94"/>
    <w:rsid w:val="6CC13889"/>
    <w:rsid w:val="6CDF0D20"/>
    <w:rsid w:val="6D922DD8"/>
    <w:rsid w:val="6DA04245"/>
    <w:rsid w:val="6DB34098"/>
    <w:rsid w:val="6DB545B6"/>
    <w:rsid w:val="6DBC625B"/>
    <w:rsid w:val="6DE02FB4"/>
    <w:rsid w:val="6E2054D8"/>
    <w:rsid w:val="6E3E2060"/>
    <w:rsid w:val="6E514CED"/>
    <w:rsid w:val="6E68477A"/>
    <w:rsid w:val="6EB563D5"/>
    <w:rsid w:val="6ED92677"/>
    <w:rsid w:val="6F0502FF"/>
    <w:rsid w:val="6F1D6E77"/>
    <w:rsid w:val="6F225983"/>
    <w:rsid w:val="6F310E0E"/>
    <w:rsid w:val="6F511CB2"/>
    <w:rsid w:val="6F887A72"/>
    <w:rsid w:val="6F8B7900"/>
    <w:rsid w:val="6F944294"/>
    <w:rsid w:val="6F983C73"/>
    <w:rsid w:val="6FEF58F0"/>
    <w:rsid w:val="6FFC5590"/>
    <w:rsid w:val="702F185F"/>
    <w:rsid w:val="706D1DD0"/>
    <w:rsid w:val="707D2BBB"/>
    <w:rsid w:val="70856B87"/>
    <w:rsid w:val="70D527EE"/>
    <w:rsid w:val="70FE26C6"/>
    <w:rsid w:val="71183116"/>
    <w:rsid w:val="715A55B1"/>
    <w:rsid w:val="715B5300"/>
    <w:rsid w:val="718A3BCA"/>
    <w:rsid w:val="71927207"/>
    <w:rsid w:val="71BD3AF3"/>
    <w:rsid w:val="71D27F8A"/>
    <w:rsid w:val="71E94797"/>
    <w:rsid w:val="722F74C0"/>
    <w:rsid w:val="72553024"/>
    <w:rsid w:val="72776157"/>
    <w:rsid w:val="728E4EF0"/>
    <w:rsid w:val="72BB3601"/>
    <w:rsid w:val="731210FD"/>
    <w:rsid w:val="73122968"/>
    <w:rsid w:val="731F5D5E"/>
    <w:rsid w:val="73202B7E"/>
    <w:rsid w:val="73444C10"/>
    <w:rsid w:val="734671BA"/>
    <w:rsid w:val="736C29EC"/>
    <w:rsid w:val="73906A3B"/>
    <w:rsid w:val="73C51AD5"/>
    <w:rsid w:val="73D159B4"/>
    <w:rsid w:val="741E793C"/>
    <w:rsid w:val="742427F8"/>
    <w:rsid w:val="742554A1"/>
    <w:rsid w:val="742B020C"/>
    <w:rsid w:val="745E3944"/>
    <w:rsid w:val="747C39DA"/>
    <w:rsid w:val="74B90540"/>
    <w:rsid w:val="74C05509"/>
    <w:rsid w:val="74C97000"/>
    <w:rsid w:val="74D12B06"/>
    <w:rsid w:val="74D70E1D"/>
    <w:rsid w:val="75273889"/>
    <w:rsid w:val="75497CA3"/>
    <w:rsid w:val="754C7E13"/>
    <w:rsid w:val="75D33BFF"/>
    <w:rsid w:val="760553FA"/>
    <w:rsid w:val="76167B78"/>
    <w:rsid w:val="7635099D"/>
    <w:rsid w:val="768A6A19"/>
    <w:rsid w:val="76B17579"/>
    <w:rsid w:val="7764705B"/>
    <w:rsid w:val="77762421"/>
    <w:rsid w:val="77B56B1F"/>
    <w:rsid w:val="77BC7585"/>
    <w:rsid w:val="77D73466"/>
    <w:rsid w:val="77DA0EFF"/>
    <w:rsid w:val="77F43B0E"/>
    <w:rsid w:val="77FE0A3B"/>
    <w:rsid w:val="780F09F4"/>
    <w:rsid w:val="78143D12"/>
    <w:rsid w:val="7819779E"/>
    <w:rsid w:val="787E7B35"/>
    <w:rsid w:val="78A90480"/>
    <w:rsid w:val="795A5FDB"/>
    <w:rsid w:val="79621F1D"/>
    <w:rsid w:val="79D85F65"/>
    <w:rsid w:val="79E35622"/>
    <w:rsid w:val="7A364017"/>
    <w:rsid w:val="7A7F1A71"/>
    <w:rsid w:val="7A824F20"/>
    <w:rsid w:val="7A8265E1"/>
    <w:rsid w:val="7AC06311"/>
    <w:rsid w:val="7AD80094"/>
    <w:rsid w:val="7AF16E13"/>
    <w:rsid w:val="7B021D86"/>
    <w:rsid w:val="7B161BF5"/>
    <w:rsid w:val="7B187E5A"/>
    <w:rsid w:val="7B4F7695"/>
    <w:rsid w:val="7B686D42"/>
    <w:rsid w:val="7B841746"/>
    <w:rsid w:val="7BA06447"/>
    <w:rsid w:val="7BA27BB7"/>
    <w:rsid w:val="7BAD728F"/>
    <w:rsid w:val="7BB722E9"/>
    <w:rsid w:val="7C597C95"/>
    <w:rsid w:val="7C6C5AC7"/>
    <w:rsid w:val="7C822046"/>
    <w:rsid w:val="7CC6544B"/>
    <w:rsid w:val="7CE42B19"/>
    <w:rsid w:val="7D0239FF"/>
    <w:rsid w:val="7D0E1539"/>
    <w:rsid w:val="7D2A03BA"/>
    <w:rsid w:val="7D5E40CD"/>
    <w:rsid w:val="7D804FF1"/>
    <w:rsid w:val="7D99109C"/>
    <w:rsid w:val="7DCD56F2"/>
    <w:rsid w:val="7DFF3B4A"/>
    <w:rsid w:val="7E11605E"/>
    <w:rsid w:val="7E4A07E3"/>
    <w:rsid w:val="7EA365EA"/>
    <w:rsid w:val="7EB76EFE"/>
    <w:rsid w:val="7EB775EF"/>
    <w:rsid w:val="7ECF3D41"/>
    <w:rsid w:val="7ED64D94"/>
    <w:rsid w:val="7F001CE7"/>
    <w:rsid w:val="7F123A49"/>
    <w:rsid w:val="7F51339B"/>
    <w:rsid w:val="7F6745E1"/>
    <w:rsid w:val="7F777AB2"/>
    <w:rsid w:val="7F7ADC95"/>
    <w:rsid w:val="7F972208"/>
    <w:rsid w:val="7FD30601"/>
    <w:rsid w:val="7FE47E50"/>
    <w:rsid w:val="7FEB73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1" w:semiHidden="0" w:name="heading 2" w:locked="1"/>
    <w:lsdException w:qFormat="1" w:uiPriority="0" w:name="heading 3" w:locked="1"/>
    <w:lsdException w:qFormat="1" w:unhideWhenUsed="0" w:uiPriority="1" w:semiHidden="0" w:name="heading 4" w:locked="1"/>
    <w:lsdException w:qFormat="1" w:uiPriority="0" w:name="heading 5" w:locked="1"/>
    <w:lsdException w:qFormat="1" w:uiPriority="0" w:name="heading 6" w:locked="1"/>
    <w:lsdException w:qFormat="1" w:unhideWhenUsed="0" w:uiPriority="1" w:semiHidden="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qFormat="1" w:unhideWhenUsed="0" w:uiPriority="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5">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6">
    <w:name w:val="heading 2"/>
    <w:basedOn w:val="1"/>
    <w:next w:val="1"/>
    <w:qFormat/>
    <w:locked/>
    <w:uiPriority w:val="1"/>
    <w:pPr>
      <w:ind w:left="307"/>
      <w:outlineLvl w:val="1"/>
    </w:pPr>
    <w:rPr>
      <w:rFonts w:ascii="微软雅黑" w:hAnsi="微软雅黑" w:eastAsia="微软雅黑"/>
      <w:b/>
      <w:bCs/>
      <w:sz w:val="20"/>
      <w:szCs w:val="20"/>
    </w:rPr>
  </w:style>
  <w:style w:type="paragraph" w:styleId="7">
    <w:name w:val="heading 4"/>
    <w:basedOn w:val="1"/>
    <w:next w:val="1"/>
    <w:qFormat/>
    <w:locked/>
    <w:uiPriority w:val="1"/>
    <w:pPr>
      <w:jc w:val="center"/>
      <w:outlineLvl w:val="3"/>
    </w:pPr>
    <w:rPr>
      <w:rFonts w:ascii="宋体" w:hAnsi="宋体" w:cs="宋体"/>
      <w:b/>
      <w:bCs/>
    </w:rPr>
  </w:style>
  <w:style w:type="paragraph" w:styleId="8">
    <w:name w:val="heading 7"/>
    <w:basedOn w:val="1"/>
    <w:next w:val="1"/>
    <w:qFormat/>
    <w:locked/>
    <w:uiPriority w:val="1"/>
    <w:pPr>
      <w:outlineLvl w:val="6"/>
    </w:pPr>
    <w:rPr>
      <w:rFonts w:ascii="宋体" w:hAnsi="宋体" w:cs="宋体"/>
      <w:b/>
      <w:bCs/>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3"/>
    <w:next w:val="4"/>
    <w:qFormat/>
    <w:uiPriority w:val="99"/>
    <w:pPr>
      <w:autoSpaceDE w:val="0"/>
      <w:autoSpaceDN w:val="0"/>
    </w:pPr>
    <w:rPr>
      <w:rFonts w:hAnsi="Calibri" w:cs="宋体"/>
      <w:color w:val="000000"/>
      <w:szCs w:val="24"/>
    </w:rPr>
  </w:style>
  <w:style w:type="paragraph" w:customStyle="1" w:styleId="3">
    <w:name w:val="纯文本1"/>
    <w:basedOn w:val="1"/>
    <w:qFormat/>
    <w:uiPriority w:val="0"/>
    <w:pPr>
      <w:adjustRightInd w:val="0"/>
    </w:pPr>
    <w:rPr>
      <w:rFonts w:ascii="宋体" w:hAnsi="Courier New"/>
      <w:szCs w:val="20"/>
    </w:rPr>
  </w:style>
  <w:style w:type="paragraph" w:customStyle="1" w:styleId="4">
    <w:name w:val="表格文字"/>
    <w:basedOn w:val="1"/>
    <w:next w:val="1"/>
    <w:qFormat/>
    <w:uiPriority w:val="0"/>
    <w:pPr>
      <w:tabs>
        <w:tab w:val="center" w:pos="1053"/>
      </w:tabs>
      <w:jc w:val="center"/>
    </w:pPr>
    <w:rPr>
      <w:kern w:val="21"/>
      <w:szCs w:val="21"/>
    </w:rPr>
  </w:style>
  <w:style w:type="paragraph" w:styleId="9">
    <w:name w:val="Normal Indent"/>
    <w:basedOn w:val="1"/>
    <w:next w:val="1"/>
    <w:link w:val="41"/>
    <w:qFormat/>
    <w:locked/>
    <w:uiPriority w:val="0"/>
    <w:pPr>
      <w:spacing w:line="600" w:lineRule="exact"/>
      <w:ind w:firstLine="567"/>
      <w:jc w:val="left"/>
    </w:pPr>
    <w:rPr>
      <w:rFonts w:ascii="Calibri" w:hAnsi="Calibri" w:cs="Calibri"/>
      <w:sz w:val="28"/>
      <w:szCs w:val="20"/>
    </w:rPr>
  </w:style>
  <w:style w:type="paragraph" w:styleId="10">
    <w:name w:val="annotation text"/>
    <w:basedOn w:val="1"/>
    <w:link w:val="42"/>
    <w:semiHidden/>
    <w:qFormat/>
    <w:uiPriority w:val="0"/>
    <w:pPr>
      <w:jc w:val="left"/>
    </w:pPr>
    <w:rPr>
      <w:kern w:val="0"/>
      <w:szCs w:val="20"/>
    </w:rPr>
  </w:style>
  <w:style w:type="paragraph" w:styleId="11">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4"/>
    <w:qFormat/>
    <w:uiPriority w:val="0"/>
    <w:pPr>
      <w:spacing w:after="120"/>
      <w:ind w:left="420" w:leftChars="200"/>
    </w:pPr>
    <w:rPr>
      <w:kern w:val="0"/>
      <w:szCs w:val="20"/>
    </w:rPr>
  </w:style>
  <w:style w:type="paragraph" w:styleId="13">
    <w:name w:val="header"/>
    <w:basedOn w:val="1"/>
    <w:next w:val="14"/>
    <w:link w:val="49"/>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4">
    <w:name w:val="样式5"/>
    <w:basedOn w:val="15"/>
    <w:next w:val="1"/>
    <w:qFormat/>
    <w:uiPriority w:val="0"/>
    <w:pPr>
      <w:tabs>
        <w:tab w:val="left" w:pos="360"/>
      </w:tabs>
      <w:snapToGrid w:val="0"/>
      <w:spacing w:beforeLines="20" w:afterLines="20" w:line="480" w:lineRule="exact"/>
      <w:ind w:firstLine="523" w:firstLineChars="218"/>
    </w:pPr>
    <w:rPr>
      <w:i/>
      <w:iCs/>
      <w:sz w:val="24"/>
    </w:rPr>
  </w:style>
  <w:style w:type="paragraph" w:customStyle="1" w:styleId="15">
    <w:name w:val="样式12"/>
    <w:basedOn w:val="1"/>
    <w:qFormat/>
    <w:uiPriority w:val="0"/>
    <w:pPr>
      <w:keepNext/>
      <w:keepLines/>
      <w:tabs>
        <w:tab w:val="left" w:pos="360"/>
      </w:tabs>
      <w:spacing w:beforeLines="50" w:afterLines="50" w:line="360" w:lineRule="auto"/>
      <w:ind w:left="567" w:hanging="567"/>
      <w:outlineLvl w:val="1"/>
    </w:pPr>
    <w:rPr>
      <w:rFonts w:eastAsia="MS Mincho"/>
      <w:kern w:val="0"/>
      <w:sz w:val="28"/>
      <w:szCs w:val="28"/>
    </w:rPr>
  </w:style>
  <w:style w:type="paragraph" w:styleId="16">
    <w:name w:val="Block Text"/>
    <w:basedOn w:val="1"/>
    <w:qFormat/>
    <w:locked/>
    <w:uiPriority w:val="0"/>
    <w:pPr>
      <w:spacing w:after="120"/>
      <w:ind w:left="1440" w:leftChars="700" w:right="1440" w:rightChars="700"/>
    </w:pPr>
  </w:style>
  <w:style w:type="paragraph" w:styleId="17">
    <w:name w:val="Plain Text"/>
    <w:basedOn w:val="1"/>
    <w:link w:val="45"/>
    <w:qFormat/>
    <w:locked/>
    <w:uiPriority w:val="0"/>
    <w:rPr>
      <w:rFonts w:ascii="宋体" w:hAnsi="Courier New" w:cs="Courier New"/>
      <w:szCs w:val="21"/>
    </w:rPr>
  </w:style>
  <w:style w:type="paragraph" w:styleId="18">
    <w:name w:val="List Bullet 5"/>
    <w:basedOn w:val="1"/>
    <w:qFormat/>
    <w:locked/>
    <w:uiPriority w:val="0"/>
    <w:pPr>
      <w:numPr>
        <w:ilvl w:val="0"/>
        <w:numId w:val="1"/>
      </w:numPr>
    </w:pPr>
  </w:style>
  <w:style w:type="paragraph" w:styleId="19">
    <w:name w:val="Date"/>
    <w:basedOn w:val="1"/>
    <w:next w:val="1"/>
    <w:link w:val="46"/>
    <w:qFormat/>
    <w:uiPriority w:val="0"/>
    <w:pPr>
      <w:ind w:left="100" w:leftChars="2500"/>
    </w:pPr>
    <w:rPr>
      <w:kern w:val="0"/>
      <w:szCs w:val="20"/>
    </w:rPr>
  </w:style>
  <w:style w:type="paragraph" w:styleId="20">
    <w:name w:val="Body Text Indent 2"/>
    <w:basedOn w:val="1"/>
    <w:next w:val="21"/>
    <w:qFormat/>
    <w:locked/>
    <w:uiPriority w:val="0"/>
    <w:pPr>
      <w:spacing w:after="120" w:line="480" w:lineRule="auto"/>
      <w:ind w:left="420" w:leftChars="200"/>
    </w:pPr>
  </w:style>
  <w:style w:type="paragraph" w:customStyle="1" w:styleId="21">
    <w:name w:val="reader-word-layer reader-word-s46-2"/>
    <w:basedOn w:val="1"/>
    <w:next w:val="22"/>
    <w:qFormat/>
    <w:uiPriority w:val="0"/>
    <w:pPr>
      <w:widowControl/>
      <w:spacing w:before="100" w:beforeAutospacing="1" w:after="100" w:afterAutospacing="1"/>
      <w:jc w:val="left"/>
    </w:pPr>
    <w:rPr>
      <w:rFonts w:ascii="宋体" w:hAnsi="宋体" w:cs="宋体"/>
      <w:kern w:val="0"/>
    </w:rPr>
  </w:style>
  <w:style w:type="paragraph" w:customStyle="1" w:styleId="22">
    <w:name w:val="xl35"/>
    <w:basedOn w:val="1"/>
    <w:next w:val="1"/>
    <w:qFormat/>
    <w:uiPriority w:val="0"/>
    <w:pPr>
      <w:widowControl/>
      <w:pBdr>
        <w:left w:val="single" w:color="000000" w:sz="4" w:space="0"/>
        <w:right w:val="single" w:color="000000" w:sz="4" w:space="0"/>
      </w:pBdr>
      <w:shd w:val="clear" w:color="FFFFFF" w:fill="FFFFFF"/>
      <w:spacing w:beforeAutospacing="1" w:afterAutospacing="1"/>
      <w:jc w:val="left"/>
      <w:textAlignment w:val="center"/>
    </w:pPr>
    <w:rPr>
      <w:rFonts w:ascii="Arial Unicode MS" w:hAnsi="Arial Unicode MS" w:eastAsia="Arial Unicode MS" w:cs="Arial Unicode MS"/>
      <w:kern w:val="0"/>
    </w:rPr>
  </w:style>
  <w:style w:type="paragraph" w:styleId="23">
    <w:name w:val="Balloon Text"/>
    <w:basedOn w:val="1"/>
    <w:link w:val="47"/>
    <w:semiHidden/>
    <w:qFormat/>
    <w:uiPriority w:val="0"/>
    <w:rPr>
      <w:kern w:val="0"/>
      <w:sz w:val="18"/>
      <w:szCs w:val="20"/>
    </w:rPr>
  </w:style>
  <w:style w:type="paragraph" w:styleId="24">
    <w:name w:val="footer"/>
    <w:basedOn w:val="1"/>
    <w:link w:val="48"/>
    <w:qFormat/>
    <w:uiPriority w:val="99"/>
    <w:pPr>
      <w:tabs>
        <w:tab w:val="center" w:pos="4153"/>
        <w:tab w:val="right" w:pos="8306"/>
      </w:tabs>
      <w:snapToGrid w:val="0"/>
      <w:jc w:val="left"/>
    </w:pPr>
    <w:rPr>
      <w:kern w:val="0"/>
      <w:sz w:val="18"/>
      <w:szCs w:val="20"/>
    </w:rPr>
  </w:style>
  <w:style w:type="paragraph" w:styleId="25">
    <w:name w:val="toc 2"/>
    <w:basedOn w:val="1"/>
    <w:next w:val="1"/>
    <w:semiHidden/>
    <w:qFormat/>
    <w:locked/>
    <w:uiPriority w:val="0"/>
    <w:pPr>
      <w:ind w:left="420" w:leftChars="200"/>
    </w:pPr>
  </w:style>
  <w:style w:type="paragraph" w:styleId="26">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rPr>
  </w:style>
  <w:style w:type="paragraph" w:styleId="27">
    <w:name w:val="Normal (Web)"/>
    <w:basedOn w:val="1"/>
    <w:link w:val="50"/>
    <w:qFormat/>
    <w:uiPriority w:val="0"/>
    <w:pPr>
      <w:widowControl/>
      <w:spacing w:before="100" w:beforeAutospacing="1" w:after="100" w:afterAutospacing="1"/>
      <w:jc w:val="left"/>
    </w:pPr>
    <w:rPr>
      <w:rFonts w:ascii="宋体" w:hAnsi="宋体"/>
      <w:kern w:val="0"/>
      <w:szCs w:val="20"/>
    </w:rPr>
  </w:style>
  <w:style w:type="paragraph" w:styleId="28">
    <w:name w:val="annotation subject"/>
    <w:basedOn w:val="10"/>
    <w:next w:val="10"/>
    <w:link w:val="51"/>
    <w:semiHidden/>
    <w:qFormat/>
    <w:uiPriority w:val="0"/>
    <w:rPr>
      <w:b/>
    </w:rPr>
  </w:style>
  <w:style w:type="paragraph" w:styleId="29">
    <w:name w:val="Body Text First Indent"/>
    <w:basedOn w:val="11"/>
    <w:qFormat/>
    <w:locked/>
    <w:uiPriority w:val="0"/>
    <w:pPr>
      <w:widowControl w:val="0"/>
      <w:snapToGrid/>
      <w:spacing w:before="0" w:after="120" w:line="240" w:lineRule="auto"/>
      <w:ind w:right="0" w:firstLine="420" w:firstLineChars="100"/>
    </w:pPr>
    <w:rPr>
      <w:kern w:val="2"/>
      <w:sz w:val="21"/>
      <w:szCs w:val="24"/>
    </w:rPr>
  </w:style>
  <w:style w:type="paragraph" w:styleId="30">
    <w:name w:val="Body Text First Indent 2"/>
    <w:basedOn w:val="1"/>
    <w:next w:val="1"/>
    <w:qFormat/>
    <w:locked/>
    <w:uiPriority w:val="0"/>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locked/>
    <w:uiPriority w:val="0"/>
    <w:rPr>
      <w:b/>
    </w:rPr>
  </w:style>
  <w:style w:type="character" w:styleId="35">
    <w:name w:val="page number"/>
    <w:basedOn w:val="33"/>
    <w:qFormat/>
    <w:locked/>
    <w:uiPriority w:val="0"/>
  </w:style>
  <w:style w:type="character" w:styleId="36">
    <w:name w:val="Hyperlink"/>
    <w:basedOn w:val="33"/>
    <w:qFormat/>
    <w:locked/>
    <w:uiPriority w:val="0"/>
    <w:rPr>
      <w:color w:val="0000FF"/>
      <w:u w:val="single"/>
    </w:rPr>
  </w:style>
  <w:style w:type="character" w:styleId="37">
    <w:name w:val="annotation reference"/>
    <w:basedOn w:val="33"/>
    <w:semiHidden/>
    <w:qFormat/>
    <w:uiPriority w:val="0"/>
    <w:rPr>
      <w:sz w:val="21"/>
    </w:rPr>
  </w:style>
  <w:style w:type="paragraph" w:customStyle="1" w:styleId="38">
    <w:name w:val="表格内容"/>
    <w:qFormat/>
    <w:uiPriority w:val="0"/>
    <w:pPr>
      <w:widowControl w:val="0"/>
      <w:snapToGrid w:val="0"/>
      <w:spacing w:line="240" w:lineRule="atLeast"/>
      <w:jc w:val="center"/>
    </w:pPr>
    <w:rPr>
      <w:rFonts w:ascii="Times New Roman" w:hAnsi="Times New Roman" w:eastAsia="仿宋_GB2312" w:cs="Times New Roman"/>
      <w:kern w:val="2"/>
      <w:sz w:val="24"/>
      <w:szCs w:val="24"/>
      <w:lang w:val="en-US" w:eastAsia="zh-CN" w:bidi="ar-SA"/>
    </w:rPr>
  </w:style>
  <w:style w:type="paragraph" w:customStyle="1" w:styleId="39">
    <w:name w:val="Body Text 21"/>
    <w:basedOn w:val="1"/>
    <w:qFormat/>
    <w:uiPriority w:val="0"/>
    <w:pPr>
      <w:spacing w:after="120" w:line="480" w:lineRule="auto"/>
    </w:pPr>
  </w:style>
  <w:style w:type="paragraph" w:customStyle="1" w:styleId="40">
    <w:name w:val="样式 正文文本缩进 + 行距: 1.5 倍行距"/>
    <w:basedOn w:val="1"/>
    <w:qFormat/>
    <w:uiPriority w:val="0"/>
    <w:pPr>
      <w:spacing w:after="120" w:line="360" w:lineRule="auto"/>
      <w:ind w:left="90" w:leftChars="32" w:firstLine="560" w:firstLineChars="200"/>
    </w:pPr>
    <w:rPr>
      <w:rFonts w:cs="宋体"/>
    </w:rPr>
  </w:style>
  <w:style w:type="character" w:customStyle="1" w:styleId="41">
    <w:name w:val="正文缩进 Char"/>
    <w:link w:val="9"/>
    <w:qFormat/>
    <w:uiPriority w:val="0"/>
    <w:rPr>
      <w:rFonts w:ascii="Calibri" w:hAnsi="Calibri" w:cs="Calibri"/>
      <w:kern w:val="2"/>
      <w:sz w:val="28"/>
    </w:rPr>
  </w:style>
  <w:style w:type="character" w:customStyle="1" w:styleId="42">
    <w:name w:val="批注文字 Char"/>
    <w:link w:val="10"/>
    <w:qFormat/>
    <w:locked/>
    <w:uiPriority w:val="0"/>
    <w:rPr>
      <w:rFonts w:ascii="Times New Roman" w:hAnsi="Times New Roman" w:eastAsia="宋体"/>
      <w:sz w:val="24"/>
    </w:rPr>
  </w:style>
  <w:style w:type="character" w:customStyle="1" w:styleId="43">
    <w:name w:val="正文文本 Char"/>
    <w:link w:val="11"/>
    <w:qFormat/>
    <w:locked/>
    <w:uiPriority w:val="0"/>
    <w:rPr>
      <w:sz w:val="18"/>
    </w:rPr>
  </w:style>
  <w:style w:type="character" w:customStyle="1" w:styleId="44">
    <w:name w:val="正文文本缩进 Char"/>
    <w:link w:val="12"/>
    <w:semiHidden/>
    <w:qFormat/>
    <w:locked/>
    <w:uiPriority w:val="0"/>
    <w:rPr>
      <w:rFonts w:ascii="Times New Roman" w:hAnsi="Times New Roman" w:eastAsia="宋体"/>
      <w:sz w:val="24"/>
    </w:rPr>
  </w:style>
  <w:style w:type="character" w:customStyle="1" w:styleId="45">
    <w:name w:val="纯文本 Char"/>
    <w:link w:val="17"/>
    <w:qFormat/>
    <w:uiPriority w:val="0"/>
    <w:rPr>
      <w:rFonts w:ascii="宋体" w:hAnsi="Courier New" w:cs="Courier New"/>
      <w:kern w:val="2"/>
      <w:sz w:val="21"/>
      <w:szCs w:val="21"/>
    </w:rPr>
  </w:style>
  <w:style w:type="character" w:customStyle="1" w:styleId="46">
    <w:name w:val="日期 Char"/>
    <w:link w:val="19"/>
    <w:qFormat/>
    <w:locked/>
    <w:uiPriority w:val="0"/>
    <w:rPr>
      <w:rFonts w:ascii="Times New Roman" w:hAnsi="Times New Roman" w:eastAsia="宋体"/>
      <w:sz w:val="24"/>
    </w:rPr>
  </w:style>
  <w:style w:type="character" w:customStyle="1" w:styleId="47">
    <w:name w:val="批注框文本 Char"/>
    <w:link w:val="23"/>
    <w:semiHidden/>
    <w:qFormat/>
    <w:locked/>
    <w:uiPriority w:val="0"/>
    <w:rPr>
      <w:rFonts w:ascii="Times New Roman" w:hAnsi="Times New Roman" w:eastAsia="宋体"/>
      <w:sz w:val="18"/>
    </w:rPr>
  </w:style>
  <w:style w:type="character" w:customStyle="1" w:styleId="48">
    <w:name w:val="页脚 Char"/>
    <w:link w:val="24"/>
    <w:qFormat/>
    <w:locked/>
    <w:uiPriority w:val="99"/>
    <w:rPr>
      <w:sz w:val="18"/>
    </w:rPr>
  </w:style>
  <w:style w:type="character" w:customStyle="1" w:styleId="49">
    <w:name w:val="页眉 Char"/>
    <w:link w:val="13"/>
    <w:qFormat/>
    <w:locked/>
    <w:uiPriority w:val="0"/>
    <w:rPr>
      <w:sz w:val="18"/>
    </w:rPr>
  </w:style>
  <w:style w:type="character" w:customStyle="1" w:styleId="50">
    <w:name w:val="普通(网站) Char"/>
    <w:link w:val="27"/>
    <w:qFormat/>
    <w:locked/>
    <w:uiPriority w:val="0"/>
    <w:rPr>
      <w:rFonts w:ascii="宋体" w:hAnsi="宋体" w:eastAsia="宋体"/>
      <w:sz w:val="24"/>
    </w:rPr>
  </w:style>
  <w:style w:type="character" w:customStyle="1" w:styleId="51">
    <w:name w:val="批注主题 Char"/>
    <w:link w:val="28"/>
    <w:semiHidden/>
    <w:qFormat/>
    <w:locked/>
    <w:uiPriority w:val="0"/>
    <w:rPr>
      <w:rFonts w:ascii="Times New Roman" w:hAnsi="Times New Roman" w:eastAsia="宋体"/>
      <w:b/>
      <w:kern w:val="2"/>
      <w:sz w:val="24"/>
    </w:rPr>
  </w:style>
  <w:style w:type="character" w:customStyle="1" w:styleId="52">
    <w:name w:val="正文文本 字符1"/>
    <w:semiHidden/>
    <w:qFormat/>
    <w:uiPriority w:val="0"/>
    <w:rPr>
      <w:rFonts w:ascii="Times New Roman" w:hAnsi="Times New Roman" w:eastAsia="宋体"/>
      <w:sz w:val="24"/>
    </w:rPr>
  </w:style>
  <w:style w:type="character" w:customStyle="1" w:styleId="53">
    <w:name w:val="页脚 字符"/>
    <w:basedOn w:val="33"/>
    <w:qFormat/>
    <w:uiPriority w:val="99"/>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批注文字 字符1"/>
    <w:semiHidden/>
    <w:qFormat/>
    <w:uiPriority w:val="0"/>
    <w:rPr>
      <w:rFonts w:ascii="Times New Roman" w:hAnsi="Times New Roman" w:eastAsia="宋体"/>
      <w:sz w:val="24"/>
    </w:rPr>
  </w:style>
  <w:style w:type="character" w:customStyle="1" w:styleId="57">
    <w:name w:val="日期 字符"/>
    <w:semiHidden/>
    <w:qFormat/>
    <w:uiPriority w:val="0"/>
    <w:rPr>
      <w:rFonts w:ascii="Times New Roman" w:hAnsi="Times New Roman" w:eastAsia="宋体"/>
      <w:sz w:val="24"/>
    </w:rPr>
  </w:style>
  <w:style w:type="paragraph" w:customStyle="1" w:styleId="58">
    <w:name w:val="正文2"/>
    <w:qFormat/>
    <w:uiPriority w:val="0"/>
    <w:pPr>
      <w:spacing w:line="0" w:lineRule="atLeast"/>
      <w:jc w:val="both"/>
    </w:pPr>
    <w:rPr>
      <w:rFonts w:ascii="Calibri" w:hAnsi="Calibri" w:eastAsia="Calibri" w:cs="宋体"/>
      <w:kern w:val="2"/>
      <w:sz w:val="21"/>
      <w:szCs w:val="21"/>
      <w:lang w:val="en-US" w:eastAsia="zh-CN" w:bidi="ar-SA"/>
    </w:rPr>
  </w:style>
  <w:style w:type="paragraph" w:customStyle="1" w:styleId="59">
    <w:name w:val="Body text|5"/>
    <w:basedOn w:val="1"/>
    <w:qFormat/>
    <w:uiPriority w:val="0"/>
    <w:rPr>
      <w:rFonts w:ascii="宋体" w:hAnsi="宋体" w:cs="宋体"/>
      <w:sz w:val="15"/>
      <w:szCs w:val="15"/>
      <w:shd w:val="clear" w:color="auto" w:fill="FFFFFF"/>
    </w:rPr>
  </w:style>
  <w:style w:type="paragraph" w:customStyle="1" w:styleId="60">
    <w:name w:val="表图标题"/>
    <w:basedOn w:val="61"/>
    <w:qFormat/>
    <w:uiPriority w:val="0"/>
    <w:pPr>
      <w:ind w:firstLine="0" w:firstLineChars="0"/>
      <w:jc w:val="center"/>
    </w:pPr>
    <w:rPr>
      <w:b/>
      <w:sz w:val="21"/>
    </w:rPr>
  </w:style>
  <w:style w:type="paragraph" w:customStyle="1" w:styleId="61">
    <w:name w:val="列出段落1"/>
    <w:basedOn w:val="1"/>
    <w:qFormat/>
    <w:uiPriority w:val="99"/>
    <w:pPr>
      <w:ind w:firstLine="420" w:firstLineChars="200"/>
    </w:pPr>
  </w:style>
  <w:style w:type="paragraph" w:customStyle="1" w:styleId="62">
    <w:name w:val="环评表格字体"/>
    <w:basedOn w:val="1"/>
    <w:qFormat/>
    <w:uiPriority w:val="0"/>
    <w:pPr>
      <w:snapToGrid w:val="0"/>
      <w:jc w:val="center"/>
    </w:pPr>
    <w:rPr>
      <w:szCs w:val="21"/>
    </w:rPr>
  </w:style>
  <w:style w:type="paragraph" w:customStyle="1" w:styleId="63">
    <w:name w:val="正文文本136"/>
    <w:basedOn w:val="1"/>
    <w:next w:val="1"/>
    <w:qFormat/>
    <w:uiPriority w:val="0"/>
    <w:pPr>
      <w:spacing w:line="480" w:lineRule="exact"/>
      <w:ind w:firstLine="496" w:firstLineChars="200"/>
    </w:pPr>
    <w:rPr>
      <w:color w:val="000000"/>
      <w:spacing w:val="4"/>
    </w:rPr>
  </w:style>
  <w:style w:type="paragraph" w:customStyle="1" w:styleId="64">
    <w:name w:val="普通(网站)2"/>
    <w:basedOn w:val="1"/>
    <w:qFormat/>
    <w:uiPriority w:val="0"/>
    <w:pPr>
      <w:widowControl/>
      <w:spacing w:before="100" w:beforeAutospacing="1" w:after="100" w:afterAutospacing="1"/>
      <w:jc w:val="left"/>
    </w:pPr>
    <w:rPr>
      <w:rFonts w:ascii="宋体" w:hAnsi="宋体"/>
      <w:szCs w:val="20"/>
    </w:rPr>
  </w:style>
  <w:style w:type="paragraph" w:customStyle="1" w:styleId="65">
    <w:name w:val="正文环评"/>
    <w:basedOn w:val="1"/>
    <w:qFormat/>
    <w:uiPriority w:val="0"/>
    <w:pPr>
      <w:spacing w:line="360" w:lineRule="auto"/>
      <w:ind w:firstLine="720" w:firstLineChars="200"/>
    </w:p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表格内容5号"/>
    <w:basedOn w:val="38"/>
    <w:qFormat/>
    <w:uiPriority w:val="0"/>
    <w:pPr>
      <w:spacing w:line="300" w:lineRule="exact"/>
    </w:pPr>
    <w:rPr>
      <w:sz w:val="21"/>
    </w:rPr>
  </w:style>
  <w:style w:type="paragraph" w:customStyle="1" w:styleId="68">
    <w:name w:val="文字表格1"/>
    <w:basedOn w:val="1"/>
    <w:qFormat/>
    <w:uiPriority w:val="0"/>
    <w:pPr>
      <w:spacing w:beforeLines="30" w:line="440" w:lineRule="exact"/>
      <w:jc w:val="center"/>
    </w:pPr>
    <w:rPr>
      <w:rFonts w:hint="eastAsia" w:ascii="黑体" w:eastAsia="黑体"/>
      <w:kern w:val="0"/>
      <w:szCs w:val="20"/>
    </w:rPr>
  </w:style>
  <w:style w:type="paragraph" w:customStyle="1" w:styleId="69">
    <w:name w:val="标准正文"/>
    <w:basedOn w:val="1"/>
    <w:qFormat/>
    <w:uiPriority w:val="0"/>
    <w:pPr>
      <w:spacing w:line="360" w:lineRule="auto"/>
      <w:ind w:firstLine="200" w:firstLineChars="200"/>
    </w:pPr>
    <w:rPr>
      <w:szCs w:val="22"/>
    </w:rPr>
  </w:style>
  <w:style w:type="paragraph" w:customStyle="1" w:styleId="70">
    <w:name w:val="表内"/>
    <w:basedOn w:val="25"/>
    <w:qFormat/>
    <w:uiPriority w:val="0"/>
    <w:pPr>
      <w:tabs>
        <w:tab w:val="right" w:leader="dot" w:pos="8296"/>
      </w:tabs>
      <w:snapToGrid w:val="0"/>
      <w:ind w:left="0" w:leftChars="0"/>
      <w:jc w:val="center"/>
    </w:pPr>
    <w:rPr>
      <w:snapToGrid w:val="0"/>
      <w:kern w:val="0"/>
      <w:szCs w:val="21"/>
    </w:rPr>
  </w:style>
  <w:style w:type="paragraph" w:customStyle="1" w:styleId="71">
    <w:name w:val="Table Paragraph"/>
    <w:basedOn w:val="1"/>
    <w:qFormat/>
    <w:uiPriority w:val="1"/>
    <w:rPr>
      <w:rFonts w:ascii="宋体" w:hAnsi="宋体" w:cs="宋体"/>
      <w:lang w:val="zh-CN" w:bidi="zh-CN"/>
    </w:rPr>
  </w:style>
  <w:style w:type="paragraph" w:customStyle="1" w:styleId="72">
    <w:name w:val="表格内2"/>
    <w:basedOn w:val="1"/>
    <w:qFormat/>
    <w:uiPriority w:val="0"/>
    <w:pPr>
      <w:widowControl/>
      <w:adjustRightInd w:val="0"/>
      <w:snapToGrid w:val="0"/>
      <w:spacing w:line="240" w:lineRule="atLeast"/>
      <w:jc w:val="center"/>
    </w:pPr>
    <w:rPr>
      <w:rFonts w:hint="eastAsia" w:ascii="黑体" w:hAnsi="宋体"/>
      <w:kern w:val="0"/>
      <w:sz w:val="21"/>
      <w:szCs w:val="21"/>
    </w:rPr>
  </w:style>
  <w:style w:type="paragraph" w:customStyle="1" w:styleId="73">
    <w:name w:val="Char Char Char Char Char Char Char Char Char Char"/>
    <w:basedOn w:val="1"/>
    <w:qFormat/>
    <w:uiPriority w:val="0"/>
    <w:pPr>
      <w:spacing w:line="560" w:lineRule="exact"/>
      <w:ind w:firstLine="200" w:firstLineChars="200"/>
    </w:pPr>
    <w:rPr>
      <w:rFonts w:ascii="宋体" w:hAnsi="宋体" w:cs="宋体"/>
      <w:sz w:val="28"/>
      <w:szCs w:val="28"/>
    </w:rPr>
  </w:style>
  <w:style w:type="paragraph" w:customStyle="1" w:styleId="74">
    <w:name w:val="环评表头字体"/>
    <w:basedOn w:val="1"/>
    <w:qFormat/>
    <w:uiPriority w:val="0"/>
    <w:rPr>
      <w:b/>
      <w:snapToGrid w:val="0"/>
      <w:sz w:val="21"/>
      <w:szCs w:val="21"/>
    </w:rPr>
  </w:style>
  <w:style w:type="paragraph" w:customStyle="1" w:styleId="75">
    <w:name w:val="Body text|1"/>
    <w:basedOn w:val="1"/>
    <w:qFormat/>
    <w:uiPriority w:val="0"/>
    <w:pPr>
      <w:spacing w:line="415" w:lineRule="auto"/>
      <w:ind w:firstLine="400"/>
    </w:pPr>
    <w:rPr>
      <w:rFonts w:ascii="宋体" w:hAnsi="宋体" w:cs="宋体"/>
      <w:sz w:val="94"/>
      <w:szCs w:val="94"/>
      <w:lang w:val="zh-TW" w:eastAsia="zh-TW" w:bidi="zh-TW"/>
    </w:rPr>
  </w:style>
  <w:style w:type="table" w:customStyle="1" w:styleId="76">
    <w:name w:val="网格型6"/>
    <w:basedOn w:val="31"/>
    <w:qFormat/>
    <w:uiPriority w:val="0"/>
    <w:rPr>
      <w:rFonts w:cs="Calibri"/>
      <w:kern w:val="2"/>
      <w:sz w:val="2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7">
    <w:name w:val="李表头常用格式"/>
    <w:basedOn w:val="16"/>
    <w:qFormat/>
    <w:uiPriority w:val="0"/>
    <w:pPr>
      <w:snapToGrid w:val="0"/>
      <w:spacing w:after="0" w:line="320" w:lineRule="exact"/>
      <w:ind w:left="0" w:leftChars="0" w:right="0" w:rightChars="0"/>
      <w:jc w:val="center"/>
    </w:pPr>
    <w:rPr>
      <w:rFonts w:eastAsia="黑体"/>
      <w:color w:val="000000"/>
      <w:szCs w:val="21"/>
    </w:rPr>
  </w:style>
  <w:style w:type="paragraph" w:customStyle="1" w:styleId="78">
    <w:name w:val="李表格常用格式"/>
    <w:basedOn w:val="1"/>
    <w:qFormat/>
    <w:uiPriority w:val="0"/>
    <w:pPr>
      <w:spacing w:line="320" w:lineRule="exact"/>
      <w:jc w:val="center"/>
    </w:pPr>
    <w:rPr>
      <w:color w:val="000000"/>
      <w:szCs w:val="21"/>
    </w:rPr>
  </w:style>
  <w:style w:type="paragraph" w:customStyle="1" w:styleId="79">
    <w:name w:val="表中"/>
    <w:basedOn w:val="1"/>
    <w:qFormat/>
    <w:uiPriority w:val="0"/>
    <w:pPr>
      <w:spacing w:line="360" w:lineRule="exact"/>
      <w:jc w:val="center"/>
    </w:pPr>
    <w:rPr>
      <w:szCs w:val="21"/>
      <w:lang w:val="de-DE"/>
    </w:rPr>
  </w:style>
  <w:style w:type="character" w:customStyle="1" w:styleId="80">
    <w:name w:val="新正文 字符"/>
    <w:link w:val="81"/>
    <w:qFormat/>
    <w:uiPriority w:val="0"/>
    <w:rPr>
      <w:rFonts w:hAnsi="Times New Roman"/>
      <w:color w:val="000000"/>
      <w:kern w:val="0"/>
    </w:rPr>
  </w:style>
  <w:style w:type="paragraph" w:customStyle="1" w:styleId="81">
    <w:name w:val="新正文"/>
    <w:basedOn w:val="82"/>
    <w:link w:val="80"/>
    <w:qFormat/>
    <w:uiPriority w:val="0"/>
    <w:pPr>
      <w:spacing w:line="480" w:lineRule="exact"/>
      <w:ind w:firstLine="480"/>
    </w:pPr>
    <w:rPr>
      <w:rFonts w:hAnsi="Times New Roman"/>
      <w:color w:val="000000"/>
      <w:kern w:val="0"/>
    </w:rPr>
  </w:style>
  <w:style w:type="paragraph" w:customStyle="1" w:styleId="82">
    <w:name w:val="正文11"/>
    <w:basedOn w:val="1"/>
    <w:qFormat/>
    <w:uiPriority w:val="0"/>
    <w:pPr>
      <w:widowControl/>
      <w:snapToGrid w:val="0"/>
      <w:spacing w:line="480" w:lineRule="atLeast"/>
      <w:ind w:firstLine="200" w:firstLineChars="200"/>
      <w:jc w:val="left"/>
    </w:pPr>
    <w:rPr>
      <w:rFonts w:hAnsi="宋体"/>
    </w:rPr>
  </w:style>
  <w:style w:type="paragraph" w:customStyle="1" w:styleId="83">
    <w:name w:val="表头文字"/>
    <w:basedOn w:val="1"/>
    <w:qFormat/>
    <w:uiPriority w:val="0"/>
    <w:pPr>
      <w:spacing w:line="360" w:lineRule="auto"/>
      <w:ind w:firstLine="192" w:firstLineChars="200"/>
      <w:jc w:val="center"/>
    </w:pPr>
    <w:rPr>
      <w:sz w:val="28"/>
      <w:szCs w:val="20"/>
    </w:rPr>
  </w:style>
  <w:style w:type="paragraph" w:customStyle="1" w:styleId="84">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85">
    <w:name w:val="a正文排版格式"/>
    <w:basedOn w:val="1"/>
    <w:qFormat/>
    <w:uiPriority w:val="0"/>
    <w:pPr>
      <w:spacing w:line="520" w:lineRule="exact"/>
      <w:ind w:firstLine="1440" w:firstLineChars="200"/>
    </w:pPr>
    <w:rPr>
      <w:sz w:val="28"/>
    </w:rPr>
  </w:style>
  <w:style w:type="paragraph" w:customStyle="1" w:styleId="86">
    <w:name w:val="6.18"/>
    <w:basedOn w:val="1"/>
    <w:qFormat/>
    <w:uiPriority w:val="0"/>
    <w:pPr>
      <w:adjustRightInd w:val="0"/>
      <w:snapToGrid w:val="0"/>
      <w:spacing w:line="360" w:lineRule="auto"/>
      <w:ind w:firstLine="720" w:firstLineChars="200"/>
    </w:pPr>
  </w:style>
  <w:style w:type="paragraph" w:customStyle="1" w:styleId="87">
    <w:name w:val="5"/>
    <w:basedOn w:val="1"/>
    <w:qFormat/>
    <w:uiPriority w:val="0"/>
    <w:pPr>
      <w:spacing w:line="560" w:lineRule="exact"/>
      <w:ind w:firstLine="200" w:firstLineChars="200"/>
      <w:jc w:val="left"/>
    </w:pPr>
    <w:rPr>
      <w:szCs w:val="20"/>
    </w:rPr>
  </w:style>
  <w:style w:type="paragraph" w:customStyle="1" w:styleId="88">
    <w:name w:val="样式35"/>
    <w:basedOn w:val="89"/>
    <w:next w:val="1"/>
    <w:qFormat/>
    <w:uiPriority w:val="0"/>
    <w:pPr>
      <w:tabs>
        <w:tab w:val="left" w:pos="0"/>
        <w:tab w:val="left" w:pos="360"/>
        <w:tab w:val="left" w:pos="540"/>
        <w:tab w:val="left" w:pos="567"/>
      </w:tabs>
      <w:spacing w:line="312" w:lineRule="auto"/>
      <w:ind w:firstLine="567"/>
    </w:pPr>
    <w:rPr>
      <w:rFonts w:ascii="宋体"/>
      <w:sz w:val="28"/>
    </w:rPr>
  </w:style>
  <w:style w:type="paragraph" w:customStyle="1" w:styleId="89">
    <w:name w:val="样式26"/>
    <w:basedOn w:val="90"/>
    <w:qFormat/>
    <w:uiPriority w:val="0"/>
    <w:pPr>
      <w:tabs>
        <w:tab w:val="left" w:pos="0"/>
        <w:tab w:val="left" w:pos="360"/>
        <w:tab w:val="left" w:pos="540"/>
        <w:tab w:val="left" w:pos="567"/>
      </w:tabs>
    </w:pPr>
  </w:style>
  <w:style w:type="paragraph" w:customStyle="1" w:styleId="90">
    <w:name w:val="样式21"/>
    <w:basedOn w:val="14"/>
    <w:qFormat/>
    <w:uiPriority w:val="0"/>
    <w:pPr>
      <w:tabs>
        <w:tab w:val="left" w:pos="567"/>
      </w:tabs>
      <w:spacing w:beforeLines="0" w:afterLines="0"/>
      <w:ind w:hanging="992"/>
    </w:pPr>
  </w:style>
  <w:style w:type="paragraph" w:styleId="91">
    <w:name w:val="List Paragraph"/>
    <w:basedOn w:val="1"/>
    <w:qFormat/>
    <w:uiPriority w:val="1"/>
    <w:pPr>
      <w:ind w:left="1189" w:firstLine="480"/>
    </w:pPr>
    <w:rPr>
      <w:rFonts w:ascii="宋体" w:hAnsi="宋体" w:cs="宋体"/>
    </w:rPr>
  </w:style>
  <w:style w:type="character" w:customStyle="1" w:styleId="92">
    <w:name w:val="fontstyle01"/>
    <w:qFormat/>
    <w:uiPriority w:val="0"/>
    <w:rPr>
      <w:rFonts w:hint="eastAsia" w:ascii="新宋体" w:hAnsi="新宋体" w:eastAsia="新宋体"/>
      <w:color w:val="000000"/>
      <w:sz w:val="24"/>
      <w:szCs w:val="24"/>
    </w:rPr>
  </w:style>
  <w:style w:type="paragraph" w:customStyle="1" w:styleId="93">
    <w:name w:val="Char Char Char Char Char Char1 Char Char Char Char"/>
    <w:basedOn w:val="1"/>
    <w:next w:val="1"/>
    <w:semiHidden/>
    <w:qFormat/>
    <w:uiPriority w:val="0"/>
    <w:pPr>
      <w:spacing w:line="360" w:lineRule="auto"/>
      <w:ind w:firstLine="200" w:firstLineChars="200"/>
    </w:pPr>
    <w:rPr>
      <w:rFonts w:ascii="宋体" w:hAnsi="宋体" w:cs="宋体"/>
      <w:szCs w:val="21"/>
    </w:rPr>
  </w:style>
  <w:style w:type="paragraph" w:customStyle="1" w:styleId="94">
    <w:name w:val="表文字"/>
    <w:qFormat/>
    <w:uiPriority w:val="0"/>
    <w:pPr>
      <w:spacing w:line="300" w:lineRule="exact"/>
    </w:pPr>
    <w:rPr>
      <w:rFonts w:ascii="Times New Roman" w:hAnsi="Times New Roman" w:eastAsia="宋体" w:cs="Times New Roman"/>
      <w:sz w:val="21"/>
      <w:szCs w:val="21"/>
      <w:lang w:val="en-US" w:eastAsia="zh-CN" w:bidi="ar-SA"/>
    </w:rPr>
  </w:style>
  <w:style w:type="paragraph" w:customStyle="1" w:styleId="95">
    <w:name w:val="00正文"/>
    <w:basedOn w:val="1"/>
    <w:qFormat/>
    <w:uiPriority w:val="0"/>
    <w:pPr>
      <w:adjustRightInd w:val="0"/>
      <w:snapToGrid w:val="0"/>
      <w:spacing w:line="360" w:lineRule="auto"/>
      <w:ind w:firstLine="200" w:firstLineChars="200"/>
    </w:pPr>
    <w:rPr>
      <w:snapToGrid w:val="0"/>
      <w:kern w:val="0"/>
      <w:sz w:val="21"/>
      <w:szCs w:val="21"/>
    </w:rPr>
  </w:style>
  <w:style w:type="paragraph" w:customStyle="1" w:styleId="96">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7.wmf"/><Relationship Id="rId16" Type="http://schemas.openxmlformats.org/officeDocument/2006/relationships/oleObject" Target="embeddings/oleObject2.bin"/><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home/user/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Info spid="_x0000_s2050"/>
    <customShpInfo spid="_x0000_s2051"/>
  </customShpExts>
  <extobjs>
    <extobj name="ECB019B1-382A-4266-B25C-5B523AA43C14-2">
      <extobjdata type="ECB019B1-382A-4266-B25C-5B523AA43C14" data="ewoJIkZpbGVJZCIgOiAiMTcyNzEyMzg3MzIwIiwKCSJHcm91cElkIiA6ICIxMTI3NDA0NzQ3IiwKCSJJbWFnZSIgOiAiaVZCT1J3MEtHZ29BQUFBTlNVaEVVZ0FBQXd3QUFBSE5DQVlBQUFDelZQeERBQUFBQ1hCSVdYTUFBQXNUQUFBTEV3RUFtcHdZQUFBZ0FFbEVRVlI0bk96ZGVYek1kLzRIOE5kM2NoRWlDQTNXc1ZyYnk4TldKaEt5UVVpcWJWS2xqVnRWM1phTmxDcUtidGtldENoS3Era3BXdXUrRzBJUm9pV1c1bGpIdHZ5MGFKMUptM3R5elBIOS9QNndtYzJZSkpMSnpIem5lRDBmano0NjM4LzNtUGZNZkQ4eTcvbGNBQ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S9IOTRrZVYvTmdLN3ZBQUFBQUJKUlU1RXJrSmdnZz09IiwKCSJUaGVtZSIgOiAiIiwKCSJUeXBlIiA6ICJmbG93IiwKCSJWZXJzaW9uIiA6ICIiCn0K"/>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74</Pages>
  <Words>40119</Words>
  <Characters>45791</Characters>
  <Lines>377</Lines>
  <Paragraphs>106</Paragraphs>
  <TotalTime>6</TotalTime>
  <ScaleCrop>false</ScaleCrop>
  <LinksUpToDate>false</LinksUpToDate>
  <CharactersWithSpaces>46027</CharactersWithSpaces>
  <Application>WPS Office_11.8.2.1131_F1E327BC-269C-435d-A152-05C5408002CA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2022-08-04T16:55:00Z</dcterms:created>
  <dc:creator>lhj</dc:creator>
  <cp:lastModifiedBy>user</cp:lastModifiedBy>
  <cp:lastPrinted>2022-07-08T19:51:00Z</cp:lastPrinted>
  <dcterms:modified xsi:type="dcterms:W3CDTF">2024-12-12T18:01:47Z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2052-11.8.2.1131</vt:lpwstr>
  </property>
  <property fmtid="{D5CDD505-2E9C-101B-9397-08002B2CF9AE}" pid="3" name="ICV">
    <vt:lpwstr>2218A8C8322DF0CB8BB45A672E18A648</vt:lpwstr>
  </property>
</Properties>
</file>