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hint="default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</w:pPr>
      <w:bookmarkStart w:id="3" w:name="_GoBack"/>
      <w:bookmarkStart w:id="0" w:name="_Toc7257"/>
      <w:bookmarkStart w:id="1" w:name="_Toc9047"/>
      <w:bookmarkStart w:id="2" w:name="_Toc28614"/>
      <w:r>
        <w:rPr>
          <w:rFonts w:hint="default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附表</w:t>
      </w:r>
      <w:bookmarkEnd w:id="0"/>
      <w:bookmarkEnd w:id="1"/>
      <w:bookmarkEnd w:id="2"/>
      <w:r>
        <w:rPr>
          <w:rFonts w:hint="default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3</w:t>
      </w:r>
    </w:p>
    <w:p>
      <w:pPr>
        <w:widowControl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kern w:val="0"/>
          <w:sz w:val="36"/>
          <w:szCs w:val="36"/>
        </w:rPr>
        <w:t>重污染天气预警分级及启动条件</w:t>
      </w:r>
    </w:p>
    <w:bookmarkEnd w:id="3"/>
    <w:tbl>
      <w:tblPr>
        <w:tblStyle w:val="3"/>
        <w:tblW w:w="0" w:type="auto"/>
        <w:tblInd w:w="-1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4370"/>
        <w:gridCol w:w="3544"/>
        <w:gridCol w:w="3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716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预警级别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黄色预警（Ⅲ级）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橙色预警（Ⅱ级）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红色预警（Ⅰ级）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2716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启动条件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预测日AQI＞200或日AQI&gt;150持续48小时及以上，且未达到高级别预警条件；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预测日 AQI&gt;200 持续 48 小时或日 AQI&gt;150 持续 72 小时及以上，且未达到高级别预警条件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预测日 AQI&gt;200 持续 72 小时且日 AQI&gt;300 持续 24 小时及以上。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预警响应级别</w:t>
            </w:r>
          </w:p>
        </w:tc>
        <w:tc>
          <w:tcPr>
            <w:tcW w:w="4370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Ⅲ级应急响应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Ⅱ级应急响应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widowControl/>
              <w:spacing w:before="78" w:beforeLines="25" w:after="78" w:afterLines="25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Ⅰ级应急响应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CE76742"/>
    <w:rsid w:val="4CE7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2024-01-23T02:53:00Z</dcterms:created>
  <dc:creator>搬书匠小许同志</dc:creator>
  <cp:lastModifiedBy>搬书匠小许同志</cp:lastModifiedBy>
  <dcterms:modified xsi:type="dcterms:W3CDTF">2024-01-23T02:54:12Z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30659DBC5691429CBDA36371C72B5BBE_11</vt:lpwstr>
  </property>
</Properties>
</file>