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line="480" w:lineRule="auto"/>
        <w:jc w:val="center"/>
        <w:textAlignment w:val="baseline"/>
        <w:rPr>
          <w:rFonts w:hint="eastAsia" w:ascii="黑体" w:hAnsi="黑体" w:eastAsia="黑体" w:cs="宋体"/>
          <w:b/>
          <w:color w:val="404040"/>
          <w:kern w:val="0"/>
          <w:sz w:val="44"/>
          <w:szCs w:val="44"/>
        </w:rPr>
      </w:pPr>
      <w:r>
        <w:rPr>
          <w:rFonts w:hint="eastAsia" w:ascii="黑体" w:hAnsi="黑体" w:eastAsia="黑体" w:cs="宋体"/>
          <w:b/>
          <w:color w:val="404040"/>
          <w:kern w:val="0"/>
          <w:sz w:val="44"/>
          <w:szCs w:val="44"/>
        </w:rPr>
        <w:t>长子县行政审批服务管理局</w:t>
      </w:r>
    </w:p>
    <w:p>
      <w:pPr>
        <w:widowControl/>
        <w:spacing w:after="312" w:line="480" w:lineRule="auto"/>
        <w:jc w:val="center"/>
        <w:textAlignment w:val="baseline"/>
        <w:rPr>
          <w:rFonts w:hint="eastAsia" w:ascii="黑体" w:hAnsi="黑体" w:eastAsia="黑体" w:cs="宋体"/>
          <w:b/>
          <w:color w:val="404040"/>
          <w:kern w:val="0"/>
          <w:sz w:val="44"/>
          <w:szCs w:val="44"/>
        </w:rPr>
      </w:pPr>
      <w:r>
        <w:rPr>
          <w:rFonts w:hint="eastAsia" w:ascii="黑体" w:hAnsi="黑体" w:eastAsia="黑体" w:cs="宋体"/>
          <w:b/>
          <w:color w:val="404040"/>
          <w:kern w:val="0"/>
          <w:sz w:val="44"/>
          <w:szCs w:val="44"/>
        </w:rPr>
        <w:t>行政执法程序</w:t>
      </w:r>
    </w:p>
    <w:p>
      <w:pPr>
        <w:widowControl/>
        <w:ind w:firstLine="481" w:firstLineChars="150"/>
        <w:jc w:val="left"/>
        <w:textAlignment w:val="baseline"/>
        <w:rPr>
          <w:rFonts w:hint="eastAsia" w:cs="宋体" w:asciiTheme="minorEastAsia" w:hAnsiTheme="minorEastAsia"/>
          <w:b/>
          <w:color w:val="404040"/>
          <w:kern w:val="0"/>
          <w:sz w:val="32"/>
          <w:szCs w:val="32"/>
        </w:rPr>
      </w:pPr>
    </w:p>
    <w:p>
      <w:pPr>
        <w:widowControl/>
        <w:ind w:firstLine="481" w:firstLineChars="150"/>
        <w:jc w:val="left"/>
        <w:textAlignment w:val="baseline"/>
        <w:rPr>
          <w:rFonts w:cs="宋体" w:asciiTheme="minorEastAsia" w:hAnsiTheme="minorEastAsia"/>
          <w:b/>
          <w:color w:val="404040"/>
          <w:kern w:val="0"/>
          <w:sz w:val="32"/>
          <w:szCs w:val="32"/>
        </w:rPr>
      </w:pPr>
      <w:r>
        <w:rPr>
          <w:rFonts w:cs="宋体" w:asciiTheme="minorEastAsia" w:hAnsiTheme="minorEastAsia"/>
          <w:b/>
          <w:color w:val="404040"/>
          <w:kern w:val="0"/>
          <w:sz w:val="32"/>
          <w:szCs w:val="32"/>
        </w:rPr>
        <w:t>（一）申请程序</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申请</w:t>
      </w:r>
      <w:r>
        <w:rPr>
          <w:rFonts w:ascii="仿宋" w:hAnsi="仿宋" w:eastAsia="仿宋" w:cs="宋体"/>
          <w:color w:val="404040"/>
          <w:kern w:val="0"/>
          <w:sz w:val="32"/>
          <w:szCs w:val="32"/>
          <w:lang w:val="en"/>
        </w:rPr>
        <w:t>程序</w:t>
      </w:r>
      <w:r>
        <w:rPr>
          <w:rFonts w:ascii="仿宋" w:hAnsi="仿宋" w:eastAsia="仿宋" w:cs="宋体"/>
          <w:color w:val="404040"/>
          <w:kern w:val="0"/>
          <w:sz w:val="32"/>
          <w:szCs w:val="32"/>
        </w:rPr>
        <w:t>必须符合以下要件：</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1、申请行为必须向有行政许可权的行政机关提出。</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2、申请人有明确的意思表示行为。</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3、申请人必须提交所需的有关材料。</w:t>
      </w:r>
    </w:p>
    <w:p>
      <w:pPr>
        <w:widowControl/>
        <w:jc w:val="left"/>
        <w:textAlignment w:val="baseline"/>
        <w:rPr>
          <w:rFonts w:cs="宋体" w:asciiTheme="minorEastAsia" w:hAnsiTheme="minorEastAsia"/>
          <w:b/>
          <w:color w:val="404040"/>
          <w:kern w:val="0"/>
          <w:sz w:val="32"/>
          <w:szCs w:val="32"/>
        </w:rPr>
      </w:pPr>
      <w:r>
        <w:rPr>
          <w:rFonts w:ascii="仿宋" w:hAnsi="仿宋" w:eastAsia="仿宋" w:cs="宋体"/>
          <w:color w:val="404040"/>
          <w:kern w:val="0"/>
          <w:sz w:val="32"/>
          <w:szCs w:val="32"/>
        </w:rPr>
        <w:t>　　</w:t>
      </w:r>
      <w:r>
        <w:rPr>
          <w:rFonts w:cs="宋体" w:asciiTheme="minorEastAsia" w:hAnsiTheme="minorEastAsia"/>
          <w:b/>
          <w:color w:val="404040"/>
          <w:kern w:val="0"/>
          <w:sz w:val="32"/>
          <w:szCs w:val="32"/>
        </w:rPr>
        <w:t>（二）受理程序</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行政机关收到申请人提出的</w:t>
      </w:r>
      <w:bookmarkStart w:id="0" w:name="_GoBack"/>
      <w:bookmarkEnd w:id="0"/>
      <w:r>
        <w:rPr>
          <w:rFonts w:ascii="仿宋" w:hAnsi="仿宋" w:eastAsia="仿宋" w:cs="宋体"/>
          <w:color w:val="404040"/>
          <w:kern w:val="0"/>
          <w:sz w:val="32"/>
          <w:szCs w:val="32"/>
        </w:rPr>
        <w:t>许可申请后，可以根据不同的情形分别做出一下几种处理</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1、予以受理对于申请事项属于本行政机关职权范围内，申请材料齐全，符合法定形式，或者申请人按照本行政机关的要求提交全部补正申请材料，受理行政许可申请。</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2、要求当场申请材料存在可以当场更正的错误的，应当允许申请人当场更正的错误，应当允许当场更正错误。</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3、限期补正申请材料不齐全或者不符合法定形式的，应当当场或确定的时间内一次告知申请人需要补正的全部内容，逾期不告知的，自收到申请材料之日起即为受理。</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4、不予受理它主要有两种情况：一是申请事项依法不需要去的行政许可；二是申请事项依法不属于受理行政机关职权范围。</w:t>
      </w:r>
    </w:p>
    <w:p>
      <w:pPr>
        <w:widowControl/>
        <w:jc w:val="left"/>
        <w:textAlignment w:val="baseline"/>
        <w:rPr>
          <w:rFonts w:cs="宋体" w:asciiTheme="minorEastAsia" w:hAnsiTheme="minorEastAsia"/>
          <w:b/>
          <w:color w:val="404040"/>
          <w:kern w:val="0"/>
          <w:sz w:val="32"/>
          <w:szCs w:val="32"/>
        </w:rPr>
      </w:pPr>
      <w:r>
        <w:rPr>
          <w:rFonts w:ascii="仿宋" w:hAnsi="仿宋" w:eastAsia="仿宋" w:cs="宋体"/>
          <w:color w:val="404040"/>
          <w:kern w:val="0"/>
          <w:sz w:val="32"/>
          <w:szCs w:val="32"/>
        </w:rPr>
        <w:t>　　</w:t>
      </w:r>
      <w:r>
        <w:rPr>
          <w:rFonts w:cs="宋体" w:asciiTheme="minorEastAsia" w:hAnsiTheme="minorEastAsia"/>
          <w:b/>
          <w:color w:val="404040"/>
          <w:kern w:val="0"/>
          <w:sz w:val="32"/>
          <w:szCs w:val="32"/>
        </w:rPr>
        <w:t>（三）审查程序</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形式性审查，是指行政机关对申请人提交的申请材料是否齐全，是否符合法定形式进行审查。审查合格后，行政机关能够当场做出决定的，当场做出书面行政许可决定。</w:t>
      </w:r>
    </w:p>
    <w:p>
      <w:pPr>
        <w:widowControl/>
        <w:jc w:val="left"/>
        <w:textAlignment w:val="baseline"/>
        <w:rPr>
          <w:rFonts w:cs="宋体" w:asciiTheme="minorEastAsia" w:hAnsiTheme="minorEastAsia"/>
          <w:b/>
          <w:color w:val="404040"/>
          <w:kern w:val="0"/>
          <w:sz w:val="32"/>
          <w:szCs w:val="32"/>
        </w:rPr>
      </w:pPr>
      <w:r>
        <w:rPr>
          <w:rFonts w:ascii="仿宋" w:hAnsi="仿宋" w:eastAsia="仿宋" w:cs="宋体"/>
          <w:color w:val="404040"/>
          <w:kern w:val="0"/>
          <w:sz w:val="32"/>
          <w:szCs w:val="32"/>
        </w:rPr>
        <w:t>　　</w:t>
      </w:r>
      <w:r>
        <w:rPr>
          <w:rFonts w:cs="宋体" w:asciiTheme="minorEastAsia" w:hAnsiTheme="minorEastAsia"/>
          <w:b/>
          <w:color w:val="404040"/>
          <w:kern w:val="0"/>
          <w:sz w:val="32"/>
          <w:szCs w:val="32"/>
        </w:rPr>
        <w:t>（四）听证程序</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听证的具体程序步骤分为：</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1、</w:t>
      </w:r>
      <w:r>
        <w:rPr>
          <w:rFonts w:hint="eastAsia" w:ascii="仿宋" w:hAnsi="仿宋" w:eastAsia="仿宋" w:cs="宋体"/>
          <w:color w:val="404040"/>
          <w:kern w:val="0"/>
          <w:sz w:val="32"/>
          <w:szCs w:val="32"/>
          <w:lang w:eastAsia="zh-CN"/>
        </w:rPr>
        <w:t>申请</w:t>
      </w:r>
      <w:r>
        <w:rPr>
          <w:rFonts w:ascii="仿宋" w:hAnsi="仿宋" w:eastAsia="仿宋" w:cs="宋体"/>
          <w:color w:val="404040"/>
          <w:kern w:val="0"/>
          <w:sz w:val="32"/>
          <w:szCs w:val="32"/>
        </w:rPr>
        <w:t>人或利害关系人要求听证并在被告知有权要求听证之日起一定期限内提出听证申请；</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2、组织听证行政机关当收到申请人或利害关系人听证申请之日起在一定期限内组织听证；</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3、通知有关事项；</w:t>
      </w:r>
    </w:p>
    <w:p>
      <w:pPr>
        <w:widowControl/>
        <w:jc w:val="left"/>
        <w:textAlignment w:val="baseline"/>
        <w:rPr>
          <w:rFonts w:ascii="仿宋" w:hAnsi="仿宋" w:eastAsia="仿宋" w:cs="宋体"/>
          <w:color w:val="404040"/>
          <w:kern w:val="0"/>
          <w:sz w:val="32"/>
          <w:szCs w:val="32"/>
        </w:rPr>
      </w:pPr>
      <w:r>
        <w:rPr>
          <w:rFonts w:ascii="仿宋" w:hAnsi="仿宋" w:eastAsia="仿宋" w:cs="宋体"/>
          <w:color w:val="404040"/>
          <w:kern w:val="0"/>
          <w:sz w:val="32"/>
          <w:szCs w:val="32"/>
        </w:rPr>
        <w:t>　　4、决定行政机关应当根据听证笔录，并在法定的许可决定期限内做出是否准予行政许可的决定。</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2022年10月10日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Dk1M2U0ZWE1N2RkNmJjYzUxOWJkMjRmMDFjYmMifQ=="/>
  </w:docVars>
  <w:rsids>
    <w:rsidRoot w:val="5B4565DD"/>
    <w:rsid w:val="5B4565DD"/>
    <w:rsid w:val="B8DBA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2025-02-20T16:12:00Z</dcterms:created>
  <dc:creator>Administrator</dc:creator>
  <cp:lastModifiedBy>user</cp:lastModifiedBy>
  <dcterms:modified xsi:type="dcterms:W3CDTF">2025-04-03T16:08:36Z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D3606034113348BFAEC979EF87D9308F_11</vt:lpwstr>
  </property>
</Properties>
</file>