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31"/>
        </w:tabs>
        <w:spacing w:line="432" w:lineRule="exact"/>
        <w:ind w:left="231"/>
        <w:outlineLvl w:val="0"/>
        <w:rPr>
          <w:rFonts w:hint="eastAsia" w:ascii="黑体" w:hAnsi="黑体" w:eastAsia="黑体" w:cs="黑体"/>
          <w:sz w:val="32"/>
          <w:szCs w:val="32"/>
          <w:lang w:eastAsia="zh-CN"/>
        </w:rPr>
      </w:pPr>
      <w:bookmarkStart w:id="0" w:name="_Toc1265"/>
      <w:r>
        <w:rPr>
          <w:rFonts w:hint="eastAsia" w:ascii="黑体" w:hAnsi="黑体" w:eastAsia="黑体" w:cs="黑体"/>
          <w:sz w:val="32"/>
          <w:szCs w:val="32"/>
          <w:lang w:eastAsia="zh-CN"/>
        </w:rPr>
        <w:t>附件4</w:t>
      </w:r>
      <w:bookmarkEnd w:id="0"/>
      <w:r>
        <w:rPr>
          <w:rFonts w:hint="eastAsia" w:ascii="黑体" w:hAnsi="黑体" w:eastAsia="黑体" w:cs="黑体"/>
          <w:sz w:val="32"/>
          <w:szCs w:val="32"/>
          <w:lang w:eastAsia="zh-CN"/>
        </w:rPr>
        <w:t>：</w:t>
      </w:r>
    </w:p>
    <w:p>
      <w:pPr>
        <w:keepNext w:val="0"/>
        <w:keepLines w:val="0"/>
        <w:pageBreakBefore w:val="0"/>
        <w:widowControl w:val="0"/>
        <w:tabs>
          <w:tab w:val="left" w:pos="1431"/>
        </w:tabs>
        <w:kinsoku/>
        <w:wordWrap/>
        <w:overflowPunct/>
        <w:topLinePunct w:val="0"/>
        <w:autoSpaceDE/>
        <w:autoSpaceDN/>
        <w:bidi w:val="0"/>
        <w:adjustRightInd/>
        <w:snapToGrid/>
        <w:spacing w:line="432" w:lineRule="exact"/>
        <w:ind w:left="0"/>
        <w:jc w:val="center"/>
        <w:textAlignment w:val="auto"/>
        <w:rPr>
          <w:rFonts w:hint="eastAsia" w:ascii="方正小标宋简体" w:hAnsi="宋体" w:eastAsia="方正小标宋简体" w:cs="Times New Roman"/>
          <w:color w:val="000000"/>
          <w:kern w:val="2"/>
          <w:sz w:val="36"/>
          <w:szCs w:val="36"/>
          <w:lang w:val="en-US" w:eastAsia="zh-CN"/>
        </w:rPr>
      </w:pPr>
      <w:bookmarkStart w:id="2" w:name="_GoBack"/>
      <w:bookmarkStart w:id="1" w:name="_Toc11560"/>
      <w:r>
        <w:rPr>
          <w:rFonts w:hint="eastAsia" w:ascii="方正小标宋简体" w:hAnsi="宋体" w:eastAsia="方正小标宋简体" w:cs="Times New Roman"/>
          <w:color w:val="000000"/>
          <w:kern w:val="2"/>
          <w:sz w:val="36"/>
          <w:szCs w:val="36"/>
          <w:lang w:val="en-US" w:eastAsia="zh-CN"/>
        </w:rPr>
        <w:t>长子县突发环境事件响应条件及应急措施表</w:t>
      </w:r>
      <w:bookmarkEnd w:id="1"/>
    </w:p>
    <w:bookmarkEnd w:id="2"/>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2"/>
        <w:gridCol w:w="3543"/>
        <w:gridCol w:w="35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250" w:type="pct"/>
            <w:noWrap w:val="0"/>
            <w:vAlign w:val="center"/>
          </w:tcPr>
          <w:p>
            <w:pPr>
              <w:spacing w:line="34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一级响应</w:t>
            </w:r>
          </w:p>
        </w:tc>
        <w:tc>
          <w:tcPr>
            <w:tcW w:w="1250" w:type="pct"/>
            <w:noWrap w:val="0"/>
            <w:vAlign w:val="center"/>
          </w:tcPr>
          <w:p>
            <w:pPr>
              <w:spacing w:line="34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二级响应</w:t>
            </w:r>
          </w:p>
        </w:tc>
        <w:tc>
          <w:tcPr>
            <w:tcW w:w="1250" w:type="pct"/>
            <w:noWrap w:val="0"/>
            <w:vAlign w:val="center"/>
          </w:tcPr>
          <w:p>
            <w:pPr>
              <w:spacing w:line="34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三级响应</w:t>
            </w:r>
          </w:p>
        </w:tc>
        <w:tc>
          <w:tcPr>
            <w:tcW w:w="1250" w:type="pct"/>
            <w:noWrap w:val="0"/>
            <w:vAlign w:val="center"/>
          </w:tcPr>
          <w:p>
            <w:pPr>
              <w:spacing w:line="340" w:lineRule="exact"/>
              <w:jc w:val="center"/>
              <w:rPr>
                <w:rFonts w:ascii="Times New Roman" w:hAnsi="Times New Roman" w:eastAsia="黑体"/>
                <w:bCs/>
                <w:color w:val="000000"/>
                <w:sz w:val="30"/>
                <w:szCs w:val="30"/>
              </w:rPr>
            </w:pPr>
            <w:r>
              <w:rPr>
                <w:rFonts w:ascii="Times New Roman" w:hAnsi="Times New Roman" w:eastAsia="黑体"/>
                <w:bCs/>
                <w:color w:val="000000"/>
                <w:sz w:val="30"/>
                <w:szCs w:val="30"/>
              </w:rPr>
              <w:t>四级响应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9" w:hRule="atLeast"/>
        </w:trPr>
        <w:tc>
          <w:tcPr>
            <w:tcW w:w="1250" w:type="pct"/>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bCs/>
                <w:color w:val="000000"/>
                <w:sz w:val="24"/>
                <w:szCs w:val="21"/>
              </w:rPr>
            </w:pPr>
            <w:r>
              <w:rPr>
                <w:rFonts w:ascii="Times New Roman" w:hAnsi="Times New Roman" w:eastAsia="仿宋_GB2312"/>
                <w:bCs/>
                <w:color w:val="000000"/>
                <w:sz w:val="24"/>
                <w:szCs w:val="21"/>
              </w:rPr>
              <w:t>启动条件：</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bCs/>
                <w:color w:val="000000"/>
                <w:sz w:val="24"/>
                <w:szCs w:val="21"/>
              </w:rPr>
            </w:pPr>
            <w:r>
              <w:rPr>
                <w:rFonts w:ascii="Times New Roman" w:hAnsi="Times New Roman" w:eastAsia="仿宋_GB2312"/>
                <w:bCs/>
                <w:color w:val="000000"/>
                <w:sz w:val="24"/>
                <w:szCs w:val="21"/>
              </w:rPr>
              <w:t>初判①9人以上死亡；</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bCs/>
                <w:color w:val="000000"/>
                <w:sz w:val="24"/>
                <w:szCs w:val="21"/>
              </w:rPr>
            </w:pPr>
            <w:r>
              <w:rPr>
                <w:rFonts w:eastAsia="仿宋_GB2312"/>
                <w:bCs/>
                <w:color w:val="000000"/>
                <w:sz w:val="24"/>
                <w:szCs w:val="21"/>
              </w:rPr>
              <w:t>②9人以上涉险、被困、失联；</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bCs/>
                <w:color w:val="000000"/>
                <w:sz w:val="24"/>
                <w:szCs w:val="21"/>
              </w:rPr>
            </w:pPr>
            <w:r>
              <w:rPr>
                <w:rFonts w:eastAsia="仿宋_GB2312"/>
                <w:bCs/>
                <w:color w:val="000000"/>
                <w:sz w:val="24"/>
                <w:szCs w:val="21"/>
              </w:rPr>
              <w:t>③30人以上重伤、中毒；</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bCs/>
                <w:color w:val="000000"/>
                <w:sz w:val="24"/>
                <w:szCs w:val="21"/>
              </w:rPr>
            </w:pPr>
            <w:r>
              <w:rPr>
                <w:rFonts w:eastAsia="仿宋_GB2312"/>
                <w:bCs/>
                <w:color w:val="000000"/>
                <w:sz w:val="24"/>
                <w:szCs w:val="21"/>
              </w:rPr>
              <w:t>④疏散、转移人员7000人以上；</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bCs/>
                <w:color w:val="000000"/>
                <w:sz w:val="24"/>
                <w:szCs w:val="21"/>
              </w:rPr>
            </w:pPr>
            <w:r>
              <w:rPr>
                <w:rFonts w:eastAsia="仿宋_GB2312"/>
                <w:bCs/>
                <w:color w:val="000000"/>
                <w:sz w:val="24"/>
                <w:szCs w:val="21"/>
              </w:rPr>
              <w:t>⑤因环境污染造成直接经济损失2000万元以上的；</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bCs/>
                <w:color w:val="000000"/>
                <w:sz w:val="24"/>
                <w:szCs w:val="21"/>
              </w:rPr>
            </w:pPr>
            <w:r>
              <w:rPr>
                <w:rFonts w:eastAsia="仿宋_GB2312"/>
                <w:bCs/>
                <w:color w:val="000000"/>
                <w:sz w:val="24"/>
                <w:szCs w:val="21"/>
              </w:rPr>
              <w:t>⑥因环境污染造成区域生态功能部分丧失或该区域国家重点保护野生动植物种群大批死亡的或区域生态功能丧失或该区域国家重点保护物种灭绝的；</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bCs/>
                <w:color w:val="000000"/>
                <w:sz w:val="24"/>
                <w:szCs w:val="21"/>
              </w:rPr>
            </w:pPr>
            <w:r>
              <w:rPr>
                <w:rFonts w:eastAsia="仿宋_GB2312"/>
                <w:bCs/>
                <w:color w:val="000000"/>
                <w:sz w:val="24"/>
                <w:szCs w:val="21"/>
              </w:rPr>
              <w:t>⑦因环境污染造成县级以上城市集中式饮用水水源地取水中断的；</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bCs/>
                <w:color w:val="000000"/>
                <w:sz w:val="24"/>
                <w:szCs w:val="21"/>
              </w:rPr>
            </w:pPr>
            <w:r>
              <w:rPr>
                <w:rFonts w:eastAsia="仿宋_GB2312"/>
                <w:bCs/>
                <w:color w:val="000000"/>
                <w:sz w:val="24"/>
                <w:szCs w:val="21"/>
              </w:rPr>
              <w:t>⑧造成跨省级以上行政区域影响的突发环境事件。</w:t>
            </w:r>
          </w:p>
          <w:p>
            <w:pPr>
              <w:pStyle w:val="5"/>
              <w:keepNext w:val="0"/>
              <w:keepLines w:val="0"/>
              <w:pageBreakBefore w:val="0"/>
              <w:widowControl w:val="0"/>
              <w:kinsoku/>
              <w:wordWrap/>
              <w:overflowPunct/>
              <w:topLinePunct w:val="0"/>
              <w:autoSpaceDE/>
              <w:autoSpaceDN/>
              <w:bidi w:val="0"/>
              <w:spacing w:line="300" w:lineRule="exact"/>
              <w:ind w:firstLine="0" w:firstLineChars="0"/>
              <w:textAlignment w:val="auto"/>
              <w:rPr>
                <w:rFonts w:eastAsia="仿宋_GB2312"/>
              </w:rPr>
            </w:pPr>
            <w:r>
              <w:rPr>
                <w:rFonts w:eastAsia="仿宋_GB2312"/>
                <w:bCs/>
                <w:color w:val="000000"/>
                <w:sz w:val="24"/>
                <w:szCs w:val="21"/>
              </w:rPr>
              <w:t>当符合以上情形之一时，启动一级响应。</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bCs/>
                <w:color w:val="000000"/>
                <w:sz w:val="24"/>
                <w:szCs w:val="21"/>
              </w:rPr>
            </w:pPr>
            <w:r>
              <w:rPr>
                <w:rFonts w:ascii="Times New Roman" w:hAnsi="Times New Roman" w:eastAsia="仿宋_GB2312"/>
                <w:bCs/>
                <w:color w:val="000000"/>
                <w:sz w:val="24"/>
                <w:szCs w:val="21"/>
              </w:rPr>
              <w:t>应急措施：详见5.3.4。</w:t>
            </w:r>
          </w:p>
        </w:tc>
        <w:tc>
          <w:tcPr>
            <w:tcW w:w="1250" w:type="pct"/>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启动条件：</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初判①6-9人以下死亡；</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②6-9人以下涉险、被困、失联；</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③10-30人重伤、中毒；</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④疏散、转移人员5000-7000人；</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⑤因环境污染造成直接经济损失1000万元以上2000万元以下的；</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⑥因环境污染造成国家重点保护的动植物物种受到破坏的；</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⑦因环境污染造成乡镇集中式饮用水水源地取水中断的；</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⑧造成跨设区的市级行政区域影响的突发环境事件。</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当符合以上情形之一时，启动二级响应。</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bCs/>
                <w:color w:val="000000"/>
                <w:sz w:val="24"/>
                <w:szCs w:val="21"/>
              </w:rPr>
            </w:pPr>
            <w:r>
              <w:rPr>
                <w:rFonts w:ascii="Times New Roman" w:hAnsi="Times New Roman" w:eastAsia="仿宋_GB2312" w:cs="Times New Roman"/>
                <w:bCs/>
                <w:color w:val="000000"/>
                <w:sz w:val="24"/>
                <w:szCs w:val="21"/>
              </w:rPr>
              <w:t>应急措施：详见5.3.3。</w:t>
            </w:r>
          </w:p>
        </w:tc>
        <w:tc>
          <w:tcPr>
            <w:tcW w:w="1250" w:type="pct"/>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启动条件：</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初判①3-6人死亡；</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②3-6人涉险、被困、失联；</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③5人以上10人以下中毒；</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④疏散、转移人员3000人以上5000人以下；</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⑤因环境污染造成直接经济损失500万元以上1000万元以下的。</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当符合以上情形之一时，启动三级响应。</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bCs/>
                <w:color w:val="000000"/>
                <w:sz w:val="24"/>
                <w:szCs w:val="21"/>
              </w:rPr>
            </w:pPr>
            <w:r>
              <w:rPr>
                <w:rFonts w:ascii="Times New Roman" w:hAnsi="Times New Roman" w:eastAsia="仿宋_GB2312" w:cs="Times New Roman"/>
                <w:bCs/>
                <w:color w:val="000000"/>
                <w:sz w:val="24"/>
                <w:szCs w:val="21"/>
              </w:rPr>
              <w:t>应急措施：详见5.3.2。</w:t>
            </w:r>
          </w:p>
        </w:tc>
        <w:tc>
          <w:tcPr>
            <w:tcW w:w="1250" w:type="pct"/>
            <w:noWrap w:val="0"/>
            <w:vAlign w:val="center"/>
          </w:tcPr>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启动条件：</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初判①3人以下死亡；</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②3人以下涉险、被困、失联；</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③5人以下中毒；</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④疏散、转移人员3000人以下；</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⑤因环境污染造成直接经济损失500万元以下的；</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⑥因环境污染造成跨县级行政区域纠纷，引起一般性群体影响的；</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⑦对环境造成一定影响，尚未达到较大突发环境事件级别的。</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cs="Times New Roman"/>
                <w:bCs/>
                <w:color w:val="000000"/>
                <w:sz w:val="24"/>
                <w:szCs w:val="21"/>
              </w:rPr>
            </w:pPr>
            <w:r>
              <w:rPr>
                <w:rFonts w:ascii="Times New Roman" w:hAnsi="Times New Roman" w:eastAsia="仿宋_GB2312" w:cs="Times New Roman"/>
                <w:bCs/>
                <w:color w:val="000000"/>
                <w:sz w:val="24"/>
                <w:szCs w:val="21"/>
              </w:rPr>
              <w:t>当符合以上情形之一时，启动四级响应。</w:t>
            </w:r>
          </w:p>
          <w:p>
            <w:pPr>
              <w:keepNext w:val="0"/>
              <w:keepLines w:val="0"/>
              <w:pageBreakBefore w:val="0"/>
              <w:widowControl w:val="0"/>
              <w:kinsoku/>
              <w:wordWrap/>
              <w:overflowPunct/>
              <w:topLinePunct w:val="0"/>
              <w:autoSpaceDE/>
              <w:autoSpaceDN/>
              <w:bidi w:val="0"/>
              <w:spacing w:line="300" w:lineRule="exact"/>
              <w:textAlignment w:val="auto"/>
              <w:rPr>
                <w:rFonts w:ascii="Times New Roman" w:hAnsi="Times New Roman" w:eastAsia="仿宋_GB2312"/>
                <w:bCs/>
                <w:color w:val="000000"/>
                <w:sz w:val="24"/>
              </w:rPr>
            </w:pPr>
            <w:r>
              <w:rPr>
                <w:rFonts w:ascii="Times New Roman" w:hAnsi="Times New Roman" w:eastAsia="仿宋_GB2312" w:cs="Times New Roman"/>
                <w:bCs/>
                <w:color w:val="000000"/>
                <w:sz w:val="24"/>
                <w:szCs w:val="21"/>
              </w:rPr>
              <w:t>应急措施：详见5.3.1。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5000" w:type="pct"/>
            <w:gridSpan w:val="4"/>
            <w:noWrap w:val="0"/>
            <w:vAlign w:val="center"/>
          </w:tcPr>
          <w:p>
            <w:pPr>
              <w:spacing w:line="260" w:lineRule="exact"/>
              <w:rPr>
                <w:rFonts w:ascii="Times New Roman" w:hAnsi="Times New Roman" w:eastAsia="仿宋_GB2312"/>
                <w:bCs/>
                <w:color w:val="000000"/>
                <w:sz w:val="24"/>
              </w:rPr>
            </w:pPr>
            <w:r>
              <w:rPr>
                <w:rFonts w:ascii="Times New Roman" w:hAnsi="Times New Roman" w:eastAsia="仿宋_GB2312"/>
                <w:bCs/>
                <w:color w:val="000000"/>
                <w:sz w:val="24"/>
                <w:szCs w:val="21"/>
              </w:rPr>
              <w:t>上述响应条件有关数量的表述中，“以上”含本数，“以下”不含本数</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20DC3EC3"/>
    <w:rsid w:val="20DC3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100" w:beforeAutospacing="1" w:after="100" w:afterAutospacing="1"/>
      <w:ind w:left="0" w:right="0" w:firstLine="0"/>
      <w:jc w:val="left"/>
    </w:pPr>
    <w:rPr>
      <w:kern w:val="0"/>
      <w:sz w:val="24"/>
      <w:lang w:val="en-US" w:eastAsia="zh-CN" w:bidi="ar"/>
    </w:rPr>
  </w:style>
  <w:style w:type="paragraph" w:styleId="5">
    <w:name w:val="Normal Indent"/>
    <w:basedOn w:val="1"/>
    <w:qFormat/>
    <w:uiPriority w:val="0"/>
    <w:pPr>
      <w:adjustRightInd w:val="0"/>
      <w:snapToGrid w:val="0"/>
      <w:spacing w:line="360" w:lineRule="auto"/>
      <w:ind w:firstLine="200" w:firstLineChars="200"/>
    </w:pPr>
    <w:rPr>
      <w:rFonts w:ascii="Times New Roman" w:hAnsi="Times New Roman"/>
      <w:sz w:val="28"/>
      <w:szCs w:val="20"/>
    </w:rPr>
  </w:style>
  <w:style w:type="paragraph" w:styleId="6">
    <w:name w:val="footer"/>
    <w:basedOn w:val="1"/>
    <w:unhideWhenUsed/>
    <w:uiPriority w:val="99"/>
    <w:pPr>
      <w:tabs>
        <w:tab w:val="center" w:pos="4153"/>
        <w:tab w:val="right" w:pos="8306"/>
      </w:tabs>
      <w:snapToGrid w:val="0"/>
      <w:jc w:val="left"/>
    </w:pPr>
    <w:rPr>
      <w:rFonts w:ascii="Times New Roman" w:hAnsi="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2024-08-28T04:18:00Z</dcterms:created>
  <dc:creator>彤彤彤</dc:creator>
  <cp:lastModifiedBy>彤彤彤</cp:lastModifiedBy>
  <dcterms:modified xsi:type="dcterms:W3CDTF">2024-08-28T04:19:54Z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6788810924AA42D2860020A9FADD2003_11</vt:lpwstr>
  </property>
</Properties>
</file>