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color w:val="auto"/>
        </w:rPr>
      </w:pPr>
    </w:p>
    <w:p>
      <w:pPr>
        <w:spacing w:line="400" w:lineRule="exact"/>
        <w:rPr>
          <w:rFonts w:hint="eastAsia" w:ascii="黑体" w:hAnsi="黑体" w:eastAsia="黑体"/>
          <w:color w:val="auto"/>
          <w:sz w:val="32"/>
          <w:szCs w:val="32"/>
        </w:rPr>
      </w:pPr>
      <w:r>
        <w:rPr>
          <w:rFonts w:hint="eastAsia" w:ascii="黑体" w:hAnsi="黑体" w:eastAsia="黑体"/>
          <w:color w:val="auto"/>
          <w:sz w:val="32"/>
          <w:szCs w:val="32"/>
        </w:rPr>
        <w:t>附件</w:t>
      </w:r>
    </w:p>
    <w:p>
      <w:pPr>
        <w:spacing w:line="500" w:lineRule="exact"/>
        <w:jc w:val="center"/>
        <w:rPr>
          <w:rFonts w:hint="eastAsia" w:ascii="方正小标宋简体" w:eastAsia="方正小标宋简体"/>
          <w:color w:val="auto"/>
          <w:sz w:val="44"/>
          <w:szCs w:val="44"/>
        </w:rPr>
      </w:pPr>
      <w:bookmarkStart w:id="0" w:name="_GoBack"/>
      <w:r>
        <w:rPr>
          <w:rFonts w:hint="eastAsia" w:ascii="方正小标宋简体" w:eastAsia="方正小标宋简体"/>
          <w:color w:val="auto"/>
          <w:sz w:val="44"/>
          <w:szCs w:val="44"/>
          <w:lang w:eastAsia="zh-CN"/>
        </w:rPr>
        <w:t>长子县</w:t>
      </w:r>
      <w:r>
        <w:rPr>
          <w:rFonts w:hint="eastAsia" w:ascii="方正小标宋简体" w:eastAsia="方正小标宋简体"/>
          <w:color w:val="auto"/>
          <w:sz w:val="44"/>
          <w:szCs w:val="44"/>
        </w:rPr>
        <w:t>“证照分离”改革事项清单（2022年版）</w:t>
      </w:r>
    </w:p>
    <w:bookmarkEnd w:id="0"/>
    <w:p>
      <w:pPr>
        <w:spacing w:line="200" w:lineRule="exact"/>
        <w:rPr>
          <w:rFonts w:ascii="楷体_GB2312" w:eastAsia="楷体_GB2312"/>
          <w:color w:val="auto"/>
          <w:sz w:val="32"/>
          <w:szCs w:val="32"/>
        </w:rPr>
      </w:pPr>
    </w:p>
    <w:tbl>
      <w:tblPr>
        <w:tblStyle w:val="6"/>
        <w:tblW w:w="13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87"/>
        <w:gridCol w:w="763"/>
        <w:gridCol w:w="914"/>
        <w:gridCol w:w="941"/>
        <w:gridCol w:w="954"/>
        <w:gridCol w:w="901"/>
        <w:gridCol w:w="627"/>
        <w:gridCol w:w="586"/>
        <w:gridCol w:w="532"/>
        <w:gridCol w:w="545"/>
        <w:gridCol w:w="249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pPr>
              <w:tabs>
                <w:tab w:val="left" w:pos="213"/>
              </w:tabs>
              <w:adjustRightInd w:val="0"/>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序号</w:t>
            </w:r>
          </w:p>
        </w:tc>
        <w:tc>
          <w:tcPr>
            <w:tcW w:w="587"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国家主管部门</w:t>
            </w:r>
          </w:p>
        </w:tc>
        <w:tc>
          <w:tcPr>
            <w:tcW w:w="763"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省级</w:t>
            </w:r>
          </w:p>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主管</w:t>
            </w:r>
          </w:p>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部门</w:t>
            </w:r>
          </w:p>
        </w:tc>
        <w:tc>
          <w:tcPr>
            <w:tcW w:w="914"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改革</w:t>
            </w:r>
          </w:p>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事项</w:t>
            </w:r>
          </w:p>
        </w:tc>
        <w:tc>
          <w:tcPr>
            <w:tcW w:w="941"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许可证件名称</w:t>
            </w:r>
          </w:p>
        </w:tc>
        <w:tc>
          <w:tcPr>
            <w:tcW w:w="954"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设定依据</w:t>
            </w:r>
          </w:p>
        </w:tc>
        <w:tc>
          <w:tcPr>
            <w:tcW w:w="901"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审批</w:t>
            </w:r>
          </w:p>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层级和部门</w:t>
            </w:r>
          </w:p>
        </w:tc>
        <w:tc>
          <w:tcPr>
            <w:tcW w:w="2290" w:type="dxa"/>
            <w:gridSpan w:val="4"/>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改革方式</w:t>
            </w:r>
          </w:p>
        </w:tc>
        <w:tc>
          <w:tcPr>
            <w:tcW w:w="2496"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具体改革举措</w:t>
            </w:r>
          </w:p>
        </w:tc>
        <w:tc>
          <w:tcPr>
            <w:tcW w:w="3454"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pPr>
              <w:tabs>
                <w:tab w:val="left" w:pos="213"/>
              </w:tabs>
              <w:adjustRightInd w:val="0"/>
              <w:jc w:val="center"/>
              <w:rPr>
                <w:rFonts w:ascii="Times New Roman" w:hAnsi="Times New Roman" w:eastAsia="仿宋_GB2312"/>
                <w:b/>
                <w:bCs/>
                <w:color w:val="auto"/>
                <w:kern w:val="0"/>
                <w:sz w:val="18"/>
                <w:szCs w:val="18"/>
              </w:rPr>
            </w:pPr>
          </w:p>
        </w:tc>
        <w:tc>
          <w:tcPr>
            <w:tcW w:w="587"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763"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914"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941"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954"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901"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627" w:type="dxa"/>
            <w:tcBorders>
              <w:tl2br w:val="nil"/>
              <w:tr2bl w:val="nil"/>
            </w:tcBorders>
            <w:vAlign w:val="center"/>
          </w:tcPr>
          <w:p>
            <w:pPr>
              <w:widowControl/>
              <w:spacing w:line="28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直接取消审批</w:t>
            </w:r>
          </w:p>
        </w:tc>
        <w:tc>
          <w:tcPr>
            <w:tcW w:w="586" w:type="dxa"/>
            <w:tcBorders>
              <w:tl2br w:val="nil"/>
              <w:tr2bl w:val="nil"/>
            </w:tcBorders>
            <w:vAlign w:val="center"/>
          </w:tcPr>
          <w:p>
            <w:pPr>
              <w:widowControl/>
              <w:spacing w:line="28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审批改为备案</w:t>
            </w:r>
          </w:p>
        </w:tc>
        <w:tc>
          <w:tcPr>
            <w:tcW w:w="532" w:type="dxa"/>
            <w:tcBorders>
              <w:tl2br w:val="nil"/>
              <w:tr2bl w:val="nil"/>
            </w:tcBorders>
            <w:vAlign w:val="center"/>
          </w:tcPr>
          <w:p>
            <w:pPr>
              <w:widowControl/>
              <w:spacing w:line="28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实行告知承诺</w:t>
            </w:r>
          </w:p>
        </w:tc>
        <w:tc>
          <w:tcPr>
            <w:tcW w:w="545" w:type="dxa"/>
            <w:tcBorders>
              <w:tl2br w:val="nil"/>
              <w:tr2bl w:val="nil"/>
            </w:tcBorders>
            <w:vAlign w:val="center"/>
          </w:tcPr>
          <w:p>
            <w:pPr>
              <w:widowControl/>
              <w:spacing w:line="28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优化审批服务</w:t>
            </w:r>
          </w:p>
        </w:tc>
        <w:tc>
          <w:tcPr>
            <w:tcW w:w="2496" w:type="dxa"/>
            <w:vMerge w:val="continue"/>
            <w:tcBorders>
              <w:tl2br w:val="nil"/>
              <w:tr2bl w:val="nil"/>
            </w:tcBorders>
            <w:vAlign w:val="center"/>
          </w:tcPr>
          <w:p>
            <w:pPr>
              <w:widowControl/>
              <w:spacing w:line="320" w:lineRule="exact"/>
              <w:jc w:val="left"/>
              <w:rPr>
                <w:rFonts w:ascii="Times New Roman" w:hAnsi="Times New Roman" w:eastAsia="仿宋_GB2312"/>
                <w:b/>
                <w:bCs/>
                <w:color w:val="auto"/>
                <w:kern w:val="0"/>
                <w:sz w:val="18"/>
                <w:szCs w:val="18"/>
              </w:rPr>
            </w:pPr>
          </w:p>
        </w:tc>
        <w:tc>
          <w:tcPr>
            <w:tcW w:w="3454" w:type="dxa"/>
            <w:vMerge w:val="continue"/>
            <w:tcBorders>
              <w:tl2br w:val="nil"/>
              <w:tr2bl w:val="nil"/>
            </w:tcBorders>
            <w:vAlign w:val="center"/>
          </w:tcPr>
          <w:p>
            <w:pPr>
              <w:widowControl/>
              <w:spacing w:line="320" w:lineRule="exact"/>
              <w:jc w:val="left"/>
              <w:rPr>
                <w:rFonts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外商投资经营电信业务（基础电信业务）审批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外商投资经营电信业务审定意见书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《外商投资电信企业管理规定》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取消该项许可审批，在办理“电信业务经营许可”时对外商投资电信企业落实股比限制要求情况进行审查把关。</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bl>
    <w:p>
      <w:pPr>
        <w:adjustRightInd w:val="0"/>
        <w:spacing w:line="280" w:lineRule="exact"/>
        <w:jc w:val="center"/>
        <w:rPr>
          <w:rFonts w:hint="eastAsia" w:ascii="仿宋" w:hAnsi="仿宋" w:eastAsia="仿宋" w:cs="仿宋"/>
          <w:color w:val="auto"/>
          <w:kern w:val="0"/>
          <w:sz w:val="18"/>
          <w:szCs w:val="18"/>
        </w:rPr>
        <w:sectPr>
          <w:footerReference r:id="rId4" w:type="default"/>
          <w:headerReference r:id="rId3" w:type="even"/>
          <w:footerReference r:id="rId5" w:type="even"/>
          <w:pgSz w:w="16838" w:h="11906" w:orient="landscape"/>
          <w:pgMar w:top="1588" w:right="2098" w:bottom="1474" w:left="1985" w:header="851" w:footer="1191" w:gutter="0"/>
          <w:pgBorders>
            <w:top w:val="none" w:sz="0" w:space="0"/>
            <w:left w:val="none" w:sz="0" w:space="0"/>
            <w:bottom w:val="none" w:sz="0" w:space="0"/>
            <w:right w:val="none" w:sz="0" w:space="0"/>
          </w:pgBorders>
          <w:pgNumType w:fmt="numberInDash"/>
          <w:cols w:space="720" w:num="1"/>
          <w:docGrid w:type="linesAndChars" w:linePitch="579" w:charSpace="-849"/>
        </w:sectPr>
      </w:pPr>
    </w:p>
    <w:tbl>
      <w:tblPr>
        <w:tblStyle w:val="6"/>
        <w:tblW w:w="13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87"/>
        <w:gridCol w:w="763"/>
        <w:gridCol w:w="914"/>
        <w:gridCol w:w="941"/>
        <w:gridCol w:w="954"/>
        <w:gridCol w:w="901"/>
        <w:gridCol w:w="627"/>
        <w:gridCol w:w="586"/>
        <w:gridCol w:w="532"/>
        <w:gridCol w:w="545"/>
        <w:gridCol w:w="249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pStyle w:val="2"/>
              <w:rPr>
                <w:rFonts w:hint="eastAsia"/>
              </w:rPr>
            </w:pPr>
          </w:p>
          <w:p>
            <w:pPr>
              <w:adjustRightInd w:val="0"/>
              <w:spacing w:line="280" w:lineRule="exact"/>
              <w:jc w:val="center"/>
              <w:rPr>
                <w:rFonts w:hint="eastAsia" w:ascii="仿宋" w:hAnsi="仿宋" w:eastAsia="仿宋" w:cs="仿宋"/>
                <w:color w:val="auto"/>
                <w:kern w:val="0"/>
                <w:sz w:val="18"/>
                <w:szCs w:val="18"/>
              </w:rPr>
            </w:pPr>
          </w:p>
          <w:p>
            <w:pPr>
              <w:adjustRightInd w:val="0"/>
              <w:spacing w:line="280" w:lineRule="exact"/>
              <w:jc w:val="center"/>
              <w:rPr>
                <w:rFonts w:hint="eastAsia" w:ascii="仿宋" w:hAnsi="仿宋" w:eastAsia="仿宋" w:cs="仿宋"/>
                <w:color w:val="auto"/>
                <w:kern w:val="0"/>
                <w:sz w:val="18"/>
                <w:szCs w:val="18"/>
              </w:rPr>
            </w:pPr>
          </w:p>
          <w:p>
            <w:pPr>
              <w:adjustRightInd w:val="0"/>
              <w:spacing w:line="280" w:lineRule="exact"/>
              <w:jc w:val="center"/>
              <w:rPr>
                <w:rFonts w:hint="eastAsia" w:ascii="仿宋" w:hAnsi="仿宋" w:eastAsia="仿宋" w:cs="仿宋"/>
                <w:color w:val="auto"/>
                <w:kern w:val="0"/>
                <w:sz w:val="18"/>
                <w:szCs w:val="18"/>
              </w:rPr>
            </w:pPr>
          </w:p>
          <w:p>
            <w:pPr>
              <w:adjustRightInd w:val="0"/>
              <w:spacing w:line="280" w:lineRule="exact"/>
              <w:jc w:val="center"/>
              <w:rPr>
                <w:rFonts w:hint="eastAsia" w:ascii="仿宋" w:hAnsi="仿宋" w:eastAsia="仿宋" w:cs="仿宋"/>
                <w:color w:val="auto"/>
                <w:kern w:val="0"/>
                <w:sz w:val="18"/>
                <w:szCs w:val="18"/>
              </w:rPr>
            </w:pPr>
          </w:p>
          <w:p>
            <w:pPr>
              <w:adjustRightInd w:val="0"/>
              <w:spacing w:line="280" w:lineRule="exact"/>
              <w:jc w:val="center"/>
              <w:rPr>
                <w:rFonts w:hint="eastAsia" w:ascii="仿宋" w:hAnsi="仿宋" w:eastAsia="仿宋" w:cs="仿宋"/>
                <w:color w:val="auto"/>
                <w:kern w:val="0"/>
                <w:sz w:val="18"/>
                <w:szCs w:val="18"/>
              </w:rPr>
            </w:pPr>
            <w:r>
              <w:rPr>
                <w:rFonts w:hint="eastAsia" w:ascii="Calibri" w:hAnsi="Calibri" w:eastAsia="仿宋_GB2312" w:cs="Times New Roman"/>
                <w:color w:val="auto"/>
                <w:kern w:val="2"/>
                <w:sz w:val="32"/>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-1284605</wp:posOffset>
                      </wp:positionH>
                      <wp:positionV relativeFrom="paragraph">
                        <wp:posOffset>4272280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left:-101.15pt;margin-top:336.4pt;height:144pt;width:144pt;mso-position-horizontal-relative:margin;mso-wrap-style:none;z-index:251659264;mso-width-relative:page;mso-height-relative:page;" filled="f" stroked="f" coordsize="21600,21600" o:gfxdata="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8JYxO1wAAAAsBAAAPAAAAAAAAAAEAIAAAACIAAABkcnMvZG93&#10;bnJldi54bWxQSwECFAAUAAAACACHTuJA43lGj8gBAACZAwAADgAAAAAAAAABACAAAAAmAQAAZHJz&#10;L2Uyb0RvYy54bWxQSwUGAAAAAAYABgBZAQAAYAUAAAAA&#10;">
                      <v:fill on="f" focussize="0,0"/>
                      <v:stroke on="f"/>
                      <v:imagedata o:title=""/>
                      <o:lock v:ext="edit" aspectratio="f"/>
                      <v:textbox inset="0mm,0mm,0mm,0mm" style="mso-fit-shape-to-text:t;">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仿宋" w:hAnsi="仿宋" w:eastAsia="仿宋" w:cs="仿宋"/>
                <w:color w:val="auto"/>
                <w:kern w:val="0"/>
                <w:sz w:val="18"/>
                <w:szCs w:val="18"/>
              </w:rPr>
              <w:t>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外商投资经营电信业务（第一类增值电信业务）审批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外商投资经营电信业务审定意见书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《外商投资电信企业管理规定》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取消该项许可审批，在办理“电信业务经营许可”时对外商投资电信企业落实股比限制要求情况进行审查把关。</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Calibri" w:hAnsi="Calibri" w:eastAsia="仿宋_GB2312" w:cs="Times New Roman"/>
                <w:color w:val="auto"/>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-1284605</wp:posOffset>
                      </wp:positionH>
                      <wp:positionV relativeFrom="paragraph">
                        <wp:posOffset>7855585</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left:-101.15pt;margin-top:618.55pt;height:144pt;width:144pt;mso-position-horizontal-relative:margin;mso-wrap-style:none;z-index:251660288;mso-width-relative:page;mso-height-relative:page;" filled="f" stroked="f" coordsize="21600,21600" o:gfxdata="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PUeltgAAAANAQAADwAAAAAAAAABACAAAAAiAAAAZHJzL2Rv&#10;d25yZXYueG1sUEsBAhQAFAAAAAgAh07iQPFYOeHIAQAAmQMAAA4AAAAAAAAAAQAgAAAAJwEAAGRy&#10;cy9lMm9Eb2MueG1sUEsFBgAAAAAGAAYAWQEAAGEFAAAAAA==&#10;">
                      <v:fill on="f" focussize="0,0"/>
                      <v:stroke on="f"/>
                      <v:imagedata o:title=""/>
                      <o:lock v:ext="edit" aspectratio="f"/>
                      <v:textbox inset="0mm,0mm,0mm,0mm" style="mso-fit-shape-to-text:t;">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外商投资经营电信业务（第二类增值电信业务）审批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外商投资经营电信业务审定意见书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《外商投资电信企业管理规定》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取消该项许可审批，在办理“电信业务经营许可”时对外商投资电信企业落实股比限制要求情况进行审查把关。</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第二、三类监控化学品和第四类监控化学品中含磷、硫、氟的特定有机化学品生产特别许可（初审）</w:t>
            </w:r>
          </w:p>
        </w:tc>
        <w:tc>
          <w:tcPr>
            <w:tcW w:w="941"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《中华人民共和国监控化学品管理条例》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取消初审环节，将该项许可由省工信厅初审、工业和信息化部审批，调整为省工信厅直接审批。</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1.开展“双随机、一公开”监管，依法查处违法违规生产活动并公开结果。2.依法依规对失信主体开展失信惩戒。3.省工信厅定期将审批情况报工业和信息化部备案。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典当业特种行业许可证核发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典当业特种行业许可证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县（区）公安机关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部门间信息共享，省地方金融监管局在实施“设立典当行及分支机构审批”后及时将有关信息推送至公安机关，公安机关及时将典当行及其分支机构纳入监管范围。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城乡规划编制单位丙级资质认定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《中华人民共和国城乡规划法》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将城乡规划编制单位的资质由三级调整为两级，取消丙级资质，相应调整乙级资质的许可条件。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Calibri" w:hAnsi="Calibri" w:eastAsia="仿宋_GB2312" w:cs="Times New Roman"/>
                <w:color w:val="auto"/>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-1284605</wp:posOffset>
                      </wp:positionH>
                      <wp:positionV relativeFrom="paragraph">
                        <wp:posOffset>3992880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left:-101.15pt;margin-top:314.4pt;height:144pt;width:144pt;mso-position-horizontal-relative:margin;mso-wrap-style:none;z-index:251661312;mso-width-relative:page;mso-height-relative:page;" filled="f" stroked="f" coordsize="21600,21600" o:gfxdata="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m7R3PXAAAACwEAAA8AAAAAAAAAAQAgAAAAIgAAAGRycy9kb3du&#10;cmV2LnhtbFBLAQIUABQAAAAIAIdO4kAPiP9XxwEAAJkDAAAOAAAAAAAAAAEAIAAAACYBAABkcnMv&#10;ZTJvRG9jLnhtbFBLBQYAAAAABgAGAFkBAABfBQAAAAA=&#10;">
                      <v:fill on="f" focussize="0,0"/>
                      <v:stroke on="f"/>
                      <v:imagedata o:title=""/>
                      <o:lock v:ext="edit" aspectratio="f"/>
                      <v:textbox inset="0mm,0mm,0mm,0mm" style="mso-fit-shape-to-text:t;">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仿宋" w:hAnsi="仿宋" w:eastAsia="仿宋" w:cs="仿宋"/>
                <w:color w:val="auto"/>
                <w:kern w:val="0"/>
                <w:sz w:val="18"/>
                <w:szCs w:val="18"/>
              </w:rPr>
              <w:t>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地质灾害危险性评估单位丙级资质审批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将地质灾害危险性评估单位的资质由三级调整为两级，取消丙级资质，相应调整乙级资质的许可条件。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地质灾害治理工程勘查单位丙级资质审批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将地质灾害治理工程勘查单位的资质由三级调整为两级，取消丙级资质，相应调整乙级资质的许可条件。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地质灾害治理工程设计单位丙级资质审批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将地质灾害治理工程设计单位的资质由三级调整为两级，取消丙级资质，相应调整乙级资质的许可条件。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地质灾害治理工程施工单位丙级资质审批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将地质灾害治理工程施工单位的资质由三级调整为两级，取消丙级资质，相应调整乙级资质的许可条件。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地质灾害治理工程监理单位丙级资质审批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将地质灾害治理工程监理单位的资质由三级调整为两级，取消丙级资质，相应调整乙级资质的许可条件。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从事测绘活动的单位丙级资质审批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测绘资质证书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《中华人民共和国测绘法》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将从事测绘活动的单位资质由四级调整为两级，取消丙级资质，相应调整乙级资质的许可条件。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从事测绘活动的单位丁级资质审批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测绘资质证书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《中华人民共和国测绘法》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将从事测绘活动的单位资质由四级调整为两级，取消丁级资质，相应调整乙级资质的许可条件。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放射性污染监测机构资质认定（省级权限）</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取消省生态环境厅实施的该项许可审批，从事放射性污染监测的机构可向生态环境部申请办理资质认定。</w:t>
            </w:r>
          </w:p>
        </w:tc>
        <w:tc>
          <w:tcPr>
            <w:tcW w:w="3454" w:type="dxa"/>
            <w:tcBorders>
              <w:tl2br w:val="nil"/>
              <w:tr2bl w:val="nil"/>
            </w:tcBorders>
            <w:shd w:val="clear" w:color="000000"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虚假承诺或严重不实的要依法处理。2.依法依规建立失信惩戒及信用共享机制，依法向社会公布监测机构信用状况，依法依规对失信主体开展失信惩戒，将相关信息纳入全国信用信息共享平台。3.推动企业信息公开，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工程造价咨询企业甲级资质认定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工程造价咨询企业甲级资质证书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取消该项资质认定。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工程造价咨询企业乙级资质认定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工程造价咨询企业乙级资质证书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取消该项资质认定。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房地产开发企业三级资质核定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《中华人民共和国城市房地产管理法》《城市房地产开发经营管理条例》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行政审批局；县（区）住建或行政审批部门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将房地产开发企业资质由四级调整为两级，取消三级资质，相应调整二级资质的许可条件。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1.开展“双随机、一公开”监管，依法查处违法违规行为并公开结果。2.加强信用监管，依法依规对失信主体开展失信惩戒。3.发挥行业协会自律作用。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房地产开发企业四级资质核定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《中华人民共和国城市房地产管理法》《城市房地产开发经营管理条例》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行政审批局；县（区）住建或行政审批部门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将房地产开发企业资质由四级调整为两级，取消四级资质，相应调整二级资质的许可条件。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1.开展“双随机、一公开”监管，依法查处违法违规行为并公开结果。2.加强信用监管，依法依规对失信主体开展失信惩戒。3.发挥行业协会自律作用。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建设工程勘察企业资质认定（丙级）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工程勘察资质证书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将建设工程勘察企业资质由三级调整为两级，取消丙级资质，相应调整乙级资质的许可条件。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工程设计企业资质认定（丙级、丁级）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将工程设计企业资质由三级或者四级调整为两级，取消丙级、丁级资质，相应调整乙级资质的许可条件。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施工企业资质认定（三级）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《中华人民共和国建筑法》《建设工程安全生产管理条例》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将施工企业资质由三级调整为两级，取消三级资质，相应调整二级资质的许可条件。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工程监理企业资质认定（丙级，事务所，公路、水利水电、港口与航道、农林工程专业资质）</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1.将工程监理企业资质由三级调整为两级，取消丙级资质，相应调整乙级资质的许可条件。2.取消住房城乡建设部门审批的监理事务所资质和公路、水利水电、港口与航道、农林工程专业监理资质。</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国际客船、散装液体危险品船运输业务经营审批（初审）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《中华人民共和国国际海运条例》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取消省交通厅实施的该项审批（初审），申请人直接向交通运输部提出申请。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交通运输部实施的“从事大陆与台湾间海上运输业务许可”，对原初审审查事项进行审核。2.开展“双随机、一公开”监管，发现违法违规行为要依法查处并公开结果。3.建立信用档案并依法向社会公开信用记录，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从事大陆与台湾间海上运输业务许可（初审）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取消省交通厅实施的该项许可（初审），申请人直接向交通运输部提出申请。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交通运输部实施的“从事大陆与台湾间海上运输业务许可”，对原初审审查事项进行审核。2.开展“双随机、一公开”监管，发现违法违规行为要依法查处并公开结果。3.加强信用监管，建立有关海运企业信用档案并依法向社会公开信用记录，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水运工程监理企业丙级资质认定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将水运工程监理企业资质由三级调整为两级，取消丙级资质，相应调整乙级资质的许可条件。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市场检查，开展“双随机一公开”监管，发现违法违规行为要依法查处并公开结果。2.强化信用监管，加强相关信用信息在工程招标投标、企业资质审核等方面的应用。3.充分利用信息化手段加强社会监督，通过全国水运建设市场信用信息管理系统公示企业业绩、人员资格等信息，接受社会监督。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公路工程专业丙级监理资质认定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将公路工程监理企业资质由三级调整为两级，取消丙级资质，相应调整乙级资质的许可条件。</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水利工程建设监理单位资质等级证书（丙级）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将水利工程建设监理单位资质由三级调整为两级，取消丙级资质，将乙级资质的许可条件调整为目前丙级资质的许可条件。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拖拉机驾驶培训学校、驾驶培训班资格认定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拖拉机驾驶培训许可证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《中华人民共和国道路交通安全法》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培训环节强化驾驶员安全教育。2.加强教练员队伍建设和管理，推动拖拉机培训机构建立培训记录、提高培训水平。3.严把拖拉机驾驶证件考试关口，严肃考试纪律，确保持证人员掌握驾驶技能和道路安全法规知识。4.农业农村部门、公安机关依照法定职责加强对拖拉机的驾驶安全管理，依法查处违规驾驶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进出口农作物种子（苗）审批（初审）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取消省农业农村厅实施的该项审批（初审），申请人直接向农业农村部提出申请。</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外商投资农作物新品种选育和种子生产经营审批</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取消该项许可审批，与“农作物种子生产经营（外商投资企业）许可证核发”合并办理。</w:t>
            </w:r>
          </w:p>
          <w:p>
            <w:pPr>
              <w:pStyle w:val="2"/>
              <w:rPr>
                <w:rFonts w:hint="eastAsia"/>
                <w:lang w:eastAsia="zh-CN"/>
              </w:rPr>
            </w:pP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转基因棉花种子生产经营许可证核发（初审）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《农业转基因生物安全管理条例》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取消省农业农村厅实施的该项可证核发（初审），申请人直接向农业农村部提出申请。</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远洋渔业项目初审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《中华人民共和国渔业法实施细则》</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取消省农业农村厅实施的该项初审，申请人直接向农业农村部提出申请。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水产良种场的水产苗种生产许可证核发</w:t>
            </w:r>
          </w:p>
        </w:tc>
        <w:tc>
          <w:tcPr>
            <w:tcW w:w="94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水产苗种生产许可证</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不再保留水产良种场类别，原有良种场纳入一般水产苗种场管理，不再实施特别的管理措施。</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石油成品油批发经营资格审批（初审）</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取消省商务厅实施的该项许可审批。</w:t>
            </w:r>
          </w:p>
          <w:p>
            <w:pPr>
              <w:pStyle w:val="2"/>
              <w:rPr>
                <w:rFonts w:hint="eastAsia"/>
                <w:lang w:eastAsia="zh-CN"/>
              </w:rPr>
            </w:pPr>
          </w:p>
        </w:tc>
        <w:tc>
          <w:tcPr>
            <w:tcW w:w="3454" w:type="dxa"/>
            <w:tcBorders>
              <w:tl2br w:val="nil"/>
              <w:tr2bl w:val="nil"/>
            </w:tcBorders>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商务部门严格落实行业监管职责。要求有关企业建立购销和出入库台账制度。开展“双随机、一公开”监管、信用监管，发现违法违规行为要依法处理或者提请有关部门予以查处。2.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val="en-US" w:eastAsia="zh-CN"/>
              </w:rPr>
              <w:t>登记</w:t>
            </w:r>
            <w:r>
              <w:rPr>
                <w:rFonts w:hint="eastAsia" w:ascii="仿宋" w:hAnsi="仿宋" w:eastAsia="仿宋" w:cs="仿宋"/>
                <w:color w:val="auto"/>
                <w:kern w:val="0"/>
                <w:sz w:val="18"/>
                <w:szCs w:val="18"/>
              </w:rPr>
              <w:t>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石油成品油批发经营资格审批</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原油销售经营批准证书、成品油批发经营批准证书</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商务部门严格落实行业监管职责。要求有关企业建立购销和出入库台账制度。开展“双随机、一公开”监管、信用监管，发现违法违规行为要依法处理或者提请有关部门予以查处。2.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val="en-US" w:eastAsia="zh-CN"/>
              </w:rPr>
              <w:t>登记</w:t>
            </w:r>
            <w:r>
              <w:rPr>
                <w:rFonts w:hint="eastAsia" w:ascii="仿宋" w:hAnsi="仿宋" w:eastAsia="仿宋" w:cs="仿宋"/>
                <w:color w:val="auto"/>
                <w:kern w:val="0"/>
                <w:sz w:val="18"/>
                <w:szCs w:val="18"/>
              </w:rPr>
              <w:t>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石油成品油仓储经营资格审批（初审）</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取消省商务厅实施的该项许可审批。</w:t>
            </w:r>
          </w:p>
          <w:p>
            <w:pPr>
              <w:pStyle w:val="2"/>
              <w:rPr>
                <w:rFonts w:hint="eastAsia"/>
                <w:lang w:eastAsia="zh-CN"/>
              </w:rPr>
            </w:pP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商务部门严格落实行业监管职责。要求有关企业建立购销和出入库台账制度。开展“双随机、一公开”监管、信用监管，发现违法违规行为要依法处理或者提请有关部门予以查处。2.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val="en-US" w:eastAsia="zh-CN"/>
              </w:rPr>
              <w:t>登记</w:t>
            </w:r>
            <w:r>
              <w:rPr>
                <w:rFonts w:hint="eastAsia" w:ascii="仿宋" w:hAnsi="仿宋" w:eastAsia="仿宋" w:cs="仿宋"/>
                <w:color w:val="auto"/>
                <w:kern w:val="0"/>
                <w:sz w:val="18"/>
                <w:szCs w:val="18"/>
              </w:rPr>
              <w:t>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石油成品油仓储经营资格审批</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原油仓储经营批准证书、成品油仓储经营批准证书</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商务部门严格落实行业监管职责。要求有关企业建立购销和出入库台账制度。开展“双随机、一公开”监管、信用监管，发现违法违规行为要依法处理或者提请有关部门予以查处。2.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val="en-US" w:eastAsia="zh-CN"/>
              </w:rPr>
              <w:t>登记</w:t>
            </w:r>
            <w:r>
              <w:rPr>
                <w:rFonts w:hint="eastAsia" w:ascii="仿宋" w:hAnsi="仿宋" w:eastAsia="仿宋" w:cs="仿宋"/>
                <w:color w:val="auto"/>
                <w:kern w:val="0"/>
                <w:sz w:val="18"/>
                <w:szCs w:val="18"/>
              </w:rPr>
              <w:t>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诊所设置审批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省卫生健康部门；市卫健委；县（区）卫生健康或行政审批部门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开办诊所不再向卫生健康部门申办设置审批，直接办理诊所执业备案。</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计划生育技术服务机构设立许可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计划生育技术服务机构执业许可证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《计划生育技术服务管理条例》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取消该项许可审批，纳入“母婴保健专项技术服务许可”进行统一审批管理。</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1.加强监督管理，发现违法违规行为要依法查处并公开结果。2.加强信用监管，将计划生育技术服务机构执业状况记入信用记录并依法向社会公布。3.依法及时处理投诉举报。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部分医疗机构（除三级医院、三级妇幼保健院、急救中心、急救站、临床检验中心、中外合资合作医疗机构、港澳台独资医疗机构外）《设置医疗机构批准书》核发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设置医疗机构批准书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1.对医疗机构开展定期校验，加强对医疗机构执业活动的监管，发现违法违规行为要依法查处并公开结果。2.组织开展医疗机构评审。3.依法及时处理投诉举报。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职业卫生技术服务机构甲级资质认可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将职业卫生技术服务机构的资质由三级调整为一级，明确由省卫健委负责审批，执业地域范围明确为全国。</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职业卫生技术服务机构丙级资质认可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将职业卫生技术服务机构的资质由三级调整为一级，明确由省卫健委负责审批，执业地域范围明确为全国。</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省消防救援总队</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消防技术服务机构资质审批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消防技术服务机构资质证书</w:t>
            </w:r>
          </w:p>
        </w:tc>
        <w:tc>
          <w:tcPr>
            <w:tcW w:w="9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《中华人民共和国消防法》、中共山西省委办公厅山西省人民政府办公厅印发《关于深化消防执法改革的实施意见》的通知（厅字〔2020〕61号）</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省消防救援总队</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取消该项资质审批。</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银行间债券市场做市商审批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进出口商品检验鉴定业务的检验许可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进出口商品检验鉴定机构资格证书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《中华人民共和国进出口商品检验法》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市场监管总局根据海关总署关于进出口商品检验机构的特别准入要求，拟定检验检测机构（进出口商品检验领域）资质准入的特别条件。新增、变更业务范围的检验检测机构（进出口商品检验领域）或续期的进出口商品检验机构直接向市场监管部门申请办理有关许可，市场监管部门审批时征求海关总署意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市场监管部门通过“双随机、一公开”监管、重点监管、信用监管等方式，对检验检测机构实施日常管理，发现违法违规行为要依法查处并向社会公开结果，涉及检验检测机构（进出口商品检验领域）的还要及时推送至海关。2.海关依法对检验检测机构（进出口商品检验领域）检验检测活动进行监管，指导有关检验检测机构提升业务能力和管理水平。在海关日常监管中，发现违法违规行为要依法查处并向社会公开结果，及时通报有关市场监管部门。3.市场监管部门会同海关推进跨部门联合监管，减轻企业监管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从事强制性认证以及相关活动的检查机构指定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《中华人民共和国认证认可条例》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依法依规建立工厂检查员黑名单制度，依法向社会公开信用记录。4.督促认可机构加强认可管理。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广告发布登记</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关于准予广告发布登记的通知书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《中华人民共和国广告法》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行政审批局；县（区）市场监管或行政审批部门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1.加大广告监测力度，发现广告发布机构发布虚假违法广告要依法查处。2.加强协同监管，联合有关部门共同做好广告发布机构监管工作。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广播电视视频点播业务（甲种）审批（初审）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取消省广电局实施的该项许可审批，申请人直接向广电总局提出申请。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国家粮食和储备局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省粮食和储备局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中央储备粮代储资格认定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中央储备粮代储企业资格认定证书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《中央储备粮管理条例》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国家粮食和储备局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取消该项许可审批，中央储备粮由中国储备粮管理集团有限公司直属企业承储。</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1.通过“双随机、一公开”监管、重点监管等方式，依法查处违法行为。2.加强信用监管，依法向社会公布企业信用状况，依法依规对失信主体开展失信惩戒。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国家国防科工局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第二类武器装备科研生产许可（初审）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《武器装备科研生产许可管理条例》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取消省国防科工局实施的该项许可审批，申请人直接向国家国防科工局提出申请。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跨部门联合监管等，发现问题及时依法处理。2.依法及时处理投诉举报。3.强化信用约束，对弄虚作假、提供假冒伪劣产品等严重失信的企事业单位，依法依规将其列入失信黑名单并通报。4.强化属地管理，省国防科工局对本行政区域内从事生产活动的单位加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国家国防科工局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三级国防计量技术机构设置审批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《国防计量监督管理条例》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将国防计量技术机构资质由三级调整为两级，将二级资质的许可条件调整为目前三级资质的许可条件。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在草原上开展经营性旅游活动审批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草原作业许可证（草原经营性旅游活动）</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《中华人民共和国草原法》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省林草部门；市规划和自然资源局；县（区）规划和自然资源部门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开展“双随机、一公开”监管，在草原征占用行为监管过程中，一并对有关经营性旅游活动进行检查，发现违法违规行为要依法查处并公开结果。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林草种子（林木良种苗木）生产经营许可证核发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不再保留林木良种苗木类别，原有林木良种苗木纳入一般林木种苗管理，不再实施特别的管理措施。</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1.开展“双随机、一公开”监管，发现违法违规行为要依法查处并公开结果。2.加强信用监管，建立企业信用档案并依法公开，依法依规对失信单位和个人开展失信惩戒。3.发挥行业协会自律作用。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林草种子（选育生产经营相结合单位）生产经营许可证核发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不再保留林草种子选育生产经营相结合单位类别，原有单位纳入一般林草种子生产经营企业管理，不再实施特别的管理措施。</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1.开展“双随机、一公开”监管，发现违法违规行为要依法查处并公开结果。2.加强信用监管，建立企业信用档案并依法公开，依法依规对失信单位和个人开展失信惩戒。3.发挥行业协会自律作用。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林草种子质量检验机构资质考核</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林草种子质量检验机构资质证书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国家林草局；省林草局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市场监管部门通过“双随机、一公开”监管、重点监管、信用监管等方式，对检验检测机构实施日常管理，发现违法违规行为要依法查处并向社会公开结果，涉及林木种子质量检验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林业质检机构资质认定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林业质检机构资质审查认可授权证书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《中华人民共和国标准化法实施条例》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市场监管总局规定或调整检验检测机构准入条件时，要征求国家林草局意见，体现林草部门关于林业质检机构的特别准入要求。新增或续期的林业质检机构直接向市场监管部门申请办理有关许可，市场监管部门审批时征求同级林草部门意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市场监管部门通过“双随机、一公开”监管、重点监管、信用监管等方式，对检验检测机构实施日常管理，发现违法违规行为要依法查处并向社会公开结果，涉及林业质检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中国民航局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设立国际机场审批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批复文件</w:t>
            </w:r>
          </w:p>
        </w:tc>
        <w:tc>
          <w:tcPr>
            <w:tcW w:w="9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中国民航局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取消民航局该项许可审批，新设国际机场依法办理口岸设置有关手续后无需向民航局申办该项许可。</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每年年初制定行政检查计划，对辖区内机场进行年度适用性检查，并通过机场安全监管系统实现监察电子化及整改问题在线流转，每5年对辖区内机场组织实施1次符合性评价。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国家邮政局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省邮政管理局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经营境内邮政通信业务审批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经营邮政通信业务批准文件</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国家邮政局；省邮政管理局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1.严格执行法律法规的规定，对经营邮政通信业务企业加强监督。2.开展“双随机、一公开”监管，发现违法违规行为要依法查处并公开结果。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文物保护工程勘察设计丙级资质审批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文物保护工程勘察设计资质证书</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将文物保护工程勘察设计资质由三级调整为两级，取消丙级资质，相应调整乙级资质的许可条件。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文物保护工程施工三级资质审批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文物保护工程施工资质证书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文物保护工程施工单位资质由三级调整为两级，取消三级资质，相应调整二级资质的许可条件。2.对尚未核定公布为文物保护单位的不可移动文物的保养维护工程、抢险加固工程、修缮工程，取消对施工单位资质的限定要求。</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文物保护工程监理丙级资质审批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文物保护工程监理资质证书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文物保护工程监理单位资质由三级调整为两级，取消丙级资质，相应调整乙级资质的许可条件。2.对尚未核定公布为文物保护单位的不可移动文物的保养维护工程、抢险加固工程、修缮工程，取消对监理单位资质的限定要求。</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药品委托生产审批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药品委托生产批件</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《中华人民共和国药品管理法》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1.落实“四个最严”要求，严格执行药品法律法规规章和标准。2.加强日常监管，通过检查、检验、监测等手段督促企业持续合规经营，依法查处违法违规行为。3.及时向社会公开许可信息，加强社会监督。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国家保密局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省国家保密局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武器装备科研生产单位三级保密资格认定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武器装备科研生产单位三级保密资格证书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省国家保密局会同省国防科工局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将武器装备科研生产单位保密资格由三级调整为两级，取消三级资格，相应优化二级资格的许可条件。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1.开展“双随机、一公开”监管，继续采取飞行检查，完善联动处置机制，发现违规行为要依法查处。2.将监管结果纳入市场主体的社会信用记录，增强保密资格单位的保密意识，提高保密管理水平。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人民防空工程设计甲级资质认定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人民防空工程建设设计资质证书（甲级）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取消该项许可审批，取得住房城乡建设部门认定的工程设计企业人防工程专业资质即可开展人民防空工程设计。</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人民防空工程设计乙级资质认定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人民防空工程建设设计资质证书（乙级资质）</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取消该项许可审批，取得住房城乡建设部门认定的工程设计企业人防工程专业资质即可开展人民防空工程设计。</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人民防空工程监理甲级资质认定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人民防空工程建设监理单位资质等级证书（甲级资质）</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取消该项许可审批，取得住房城乡建设部门认定的工程监理企业相应资质即可开展人民防空工程监理。</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人民防空工程监理乙级资质认定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人民防空工程建设监理单位资质等级证书（乙级）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取消该项许可审批，取得住房城乡建设部门认定的工程监理企业相应资质即可开展人民防空工程监理。</w:t>
            </w:r>
          </w:p>
          <w:p>
            <w:pPr>
              <w:pStyle w:val="2"/>
              <w:rPr>
                <w:rFonts w:hint="eastAsia"/>
                <w:lang w:eastAsia="zh-CN"/>
              </w:rPr>
            </w:pP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人民防空工程监理丙级资质认定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人民防空工程建设监理单位资质等级证书（丙级）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取消该项许可审批，取得住房城乡建设部门认定的工程监理企业相应资质即可开展人民防空工程监理。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保安培训许可证核发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保安培训许可证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备案内容真实性的核查，发现未依法备案、提供虚假备案材料、不符合法定条件的，依法进行处理。2.开展“双随机、一公开”监管、重点监管，及时处理投诉举报，依法查处违法违规行为。3.加强跨部门联合监管和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施工企业资质认定（专业作业）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《中华人民共和国建筑法》《建设工程安全生产管理条例》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弄虚作假行为，对弄虚作假的企业依法予以处理。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机动车驾驶员培训许可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《中华人民共和国道路交通安全法》《中华人民共和国道路运输条例》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县（区）交通运输或行政审批部门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健全信用管理制度，强化对驾驶培训机构和教练员的信用监管。2.加强与公安、市场监管部门的信息共享，实施跨部门联合监管。3.开展“双随机、一公开”监管，对培训学时造假等违法违规行为依法查处并公开结果。4.严厉打击虚假备案行为，对弄虚作假的培训机构依法处理，情节严重的实行行业禁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新农药登记试验审批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新农药登记试验批准证书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1.开展“双随机、一公开”监管，发现违法违规行为要依法查处。2.根据投诉举报实施重点监管。3.加强信用监管，依法向社会公布新农药登记试验单位信用状况，依法依规对失信主体开展失信惩戒。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肥料登记（大量元素水溶肥料、中量元素水溶肥料、微量元素水溶肥料、农用氯化钾镁、农用硫酸钾镁、复混肥料、掺混肥料）</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肥料登记证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《中华人民共和国土壤污染防治法》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对大量元素水溶肥料、中量元素水溶肥料、微量元素水溶肥料、农用氯化钾镁、农用硫酸钾镁、复混肥料、掺混肥料产品，取消许可准入管理，改为备案管理。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对外贸易经营者备案登记</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对外贸易经营者备案登记表</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《中华人民共和国对外贸易法》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省商务部门；市商务局；县（区）商务或行政审批部门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实行</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多证合一、一照一码</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改革，由企业登记部门将对外贸易经营者备案登记相关信息推送至商务部门，企业不需再到商务部门办理备案登记</w:t>
            </w:r>
            <w:r>
              <w:rPr>
                <w:rFonts w:hint="eastAsia" w:ascii="仿宋" w:hAnsi="仿宋" w:eastAsia="仿宋" w:cs="仿宋"/>
                <w:color w:val="auto"/>
                <w:kern w:val="0"/>
                <w:sz w:val="18"/>
                <w:szCs w:val="18"/>
                <w:lang w:eastAsia="zh-CN"/>
              </w:rPr>
              <w:t>。</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等事中事后监管，发现违法违规行为要依法查处并公开结果，对严重违法违规的企业要依法联合实施市场禁入措施。2.加强信用监管，建立经营主体信用记录，依法依规实施失信惩戒。3.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诊所执业登记</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医疗机构执业许可证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省卫生健康部门；市卫健委；县（区）卫生健康或行政审批部门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取消对诊所执业的许可准入管理，改为备案管理。</w:t>
            </w:r>
          </w:p>
          <w:p>
            <w:pPr>
              <w:pStyle w:val="2"/>
              <w:rPr>
                <w:rFonts w:hint="eastAsia"/>
                <w:lang w:eastAsia="zh-CN"/>
              </w:rPr>
            </w:pP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报关企业注册登记</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中华人民共和国报关单位注册登记证书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直属海关或者其授权的隶属海关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取消对报关企业的许可准入管理，改为备案管理。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1.将报关企业备案纳入“多证合一”范围，在企业登记注册环节一并办理备案手续。2.</w:t>
            </w:r>
            <w:r>
              <w:rPr>
                <w:rFonts w:hint="eastAsia" w:ascii="仿宋" w:hAnsi="仿宋" w:eastAsia="仿宋" w:cs="仿宋"/>
                <w:color w:val="auto"/>
                <w:kern w:val="0"/>
                <w:sz w:val="18"/>
                <w:szCs w:val="18"/>
                <w:lang w:eastAsia="zh-CN"/>
              </w:rPr>
              <w:t>登记</w:t>
            </w:r>
            <w:r>
              <w:rPr>
                <w:rFonts w:hint="eastAsia" w:ascii="仿宋" w:hAnsi="仿宋" w:eastAsia="仿宋" w:cs="仿宋"/>
                <w:color w:val="auto"/>
                <w:kern w:val="0"/>
                <w:sz w:val="18"/>
                <w:szCs w:val="18"/>
              </w:rPr>
              <w:t>部门将备案信息推送至海关，海关做好对备案信息的核对工作。3.加强信用监管，综合运用稽查、缉私等方面数据，及时调整企业信用等级。4.加强报关企业年报管理。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出口食品生产企业备案核准</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出口食品生产企业备案证明</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主管海关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取消对出口食品生产企业的许可准入管理，改为备案管理。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食品经营许可（仅销售预包装食品）</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省市场监管部门；市市场监管局；县（区）市场监管或行政审批部门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1.对仅销售预包装食品的企业，取消食品经营许可，改为备案管理。2.将“食品经营备案（仅销售预包装食品）”纳入“多证合一”范围，在企业登记注册环节一并办理备案手续。</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备案企业加强监督检查，重点检查备案信息与实际情况是否相符、备案企业是否经营预包装食品以外的其他食品，依法严厉打击违规经营行为。2.加强食品销售风险分级管理和信用监管，将虚假备案、违规经营等信息记入企业食品安全信用记录，依法依规对失信主体开展失信惩戒，依法查处违法违规行为。3.畅通投诉举报渠道，强化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资信评级机构从事证券服务业审批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批准文件、中华人民共和国证券市场资信评级业务许可证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取消“资信评级机构从事证券服务业审批”，改为备案管理。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落实辖区监管责任，强化一线监管和自律管理职能，加强行政监管、自律管理、稽查执法和刑事追责的衔接配合。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财务顾问机构从事证券服务业审批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取消“财务顾问机构从事证券服务业审批”，改为备案管理。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国家粮食和储备局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省粮食和储备局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粮食收购资格认定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粮食收购许可证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《粮食流通管理条例》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省粮食和储备部门;市行政审批局；县（区）行政审批部门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取消“粮食收购资格认定”，改为备案管理。</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双随机、一公开”监管、重点监管等方式，依法查处违法违规企业。2.加强信用监管，依法向社会公布企业信用状况，依法依规对失信主体开展失信惩戒。3.严厉打击备案弄虚作假行为，对提交虚假备案信息的企业依法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中国民航局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非经营性通用航空活动登记核准</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非经营性通用航空登记证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《中华人民共和国民用航空法》《国务院关于通用航空管理的暂行规定》</w:t>
            </w:r>
          </w:p>
        </w:tc>
        <w:tc>
          <w:tcPr>
            <w:tcW w:w="901"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对非经营性通用航空企业取消许可准入管理，改为备案管理。</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中国民航局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民航企业及机场联合、重组和改制审批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准予许可的批复</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取消“民航企业及机场联合、重组和改制审批”，改为备案管理。</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1.开展“双随机、一公开”监管、重点监管和非现场监管，及时处理投诉举报。2.完善民航企业及机场年度报告制度。3.加强信用监管，对因严重失信行为被记入信用记录的企业依法实施失信惩戒。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旅馆业特种行业许可证核发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旅馆业特种行业许可证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《国务院对确需保留的行政审批项目设定行政许可的决定》《旅馆业治安管理办法》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县（区）公安机关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1.加强对承诺内容真实性的核查，发现虚假承诺、承诺严重不实的要依法处理。2.开展“双随机、一公开”监管，依法查处违法违规行为。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公章刻制业特种行业许可证核发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公章刻制业特种行业许可证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《国务院对确需保留的行政审批项目设定行政许可的决定》《印铸刻字业暂行管理规则》</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县（区）公安机关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承诺内容真实性的核查，发现虚假承诺、承诺严重不实的要依法处理。2.开展“双随机、一公开”监管，依法查处违法违规行为。3.加强公章刻制备案管理，督促公章刻制企业严格落实公章刻制备案管理要求，及时规范上传、报送公章刻制备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互联网上网服务营业场所信息网络安全审核</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县（区）公安机关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承诺内容真实性的核查，发现虚假承诺、承诺严重不实的要依法处理。2.开展“双随机、一公开”监管，依法查处违法违规行为。3.加强信用监管，建立从业人员信用记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91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会计师事务所分支机构设立审批</w:t>
            </w:r>
          </w:p>
        </w:tc>
        <w:tc>
          <w:tcPr>
            <w:tcW w:w="94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会计师事务所分所执业证书</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《中华人民共和国注册会计师法》</w:t>
            </w:r>
          </w:p>
        </w:tc>
        <w:tc>
          <w:tcPr>
            <w:tcW w:w="90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627"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91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中介机构从事代理记账业务审批</w:t>
            </w:r>
          </w:p>
        </w:tc>
        <w:tc>
          <w:tcPr>
            <w:tcW w:w="94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代理记账许可证书</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《中华人民共和国会计法》</w:t>
            </w:r>
          </w:p>
        </w:tc>
        <w:tc>
          <w:tcPr>
            <w:tcW w:w="90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县（区）财政或行政审批部门</w:t>
            </w:r>
          </w:p>
        </w:tc>
        <w:tc>
          <w:tcPr>
            <w:tcW w:w="627"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民办职业培训学校设立、分立、合并、变更及终止审批</w:t>
            </w:r>
          </w:p>
        </w:tc>
        <w:tc>
          <w:tcPr>
            <w:tcW w:w="94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民办学校办学许可证</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w:t>
            </w:r>
          </w:p>
        </w:tc>
        <w:tc>
          <w:tcPr>
            <w:tcW w:w="901"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省人力资源和社会保障部门；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行政审批局；县（区）人力资源和社会保障</w:t>
            </w:r>
            <w:r>
              <w:rPr>
                <w:rFonts w:hint="eastAsia" w:ascii="仿宋" w:hAnsi="仿宋" w:eastAsia="仿宋" w:cs="仿宋"/>
                <w:color w:val="auto"/>
                <w:kern w:val="0"/>
                <w:sz w:val="18"/>
                <w:szCs w:val="18"/>
                <w:lang w:eastAsia="zh-CN"/>
              </w:rPr>
              <w:t>部门</w:t>
            </w:r>
            <w:r>
              <w:rPr>
                <w:rFonts w:hint="eastAsia" w:ascii="仿宋" w:hAnsi="仿宋" w:eastAsia="仿宋" w:cs="仿宋"/>
                <w:color w:val="auto"/>
                <w:kern w:val="0"/>
                <w:sz w:val="18"/>
                <w:szCs w:val="18"/>
              </w:rPr>
              <w:t>或行政审批部门</w:t>
            </w:r>
          </w:p>
        </w:tc>
        <w:tc>
          <w:tcPr>
            <w:tcW w:w="627"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1.开展“双随机、一公开”监管，发现违法违规行为要依法查处并公开结果。2.加强信用监管，依法向社会公布民办职业培训学校信用状况，依法依规对失信主体开展失信惩戒。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经营性中外合作职业技能培训机构设立、分立、合并、变更、终止审批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中外合作办学许可证、内地与港澳台地区合作办学许可证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《中华人民共和国中外合作办学条例》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1.开展“双随机、一公开”监管，发现违法违规行为要依法查处并公开结果。2.加强信用监管，依法向社会公布经营性中外合作职业技能培训机构信用状况，依法依规对失信主体开展失信惩戒。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人力资源服务许可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人力资源服务许可证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《中华人民共和国就业促进法》《人力资源市场暂行条例》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省人力资源和社会保障部门；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行政审批局；县（区）人力资源和社会保障</w:t>
            </w:r>
            <w:r>
              <w:rPr>
                <w:rFonts w:hint="eastAsia" w:ascii="仿宋" w:hAnsi="仿宋" w:eastAsia="仿宋" w:cs="仿宋"/>
                <w:color w:val="auto"/>
                <w:kern w:val="0"/>
                <w:sz w:val="18"/>
                <w:szCs w:val="18"/>
                <w:lang w:eastAsia="zh-CN"/>
              </w:rPr>
              <w:t>部门</w:t>
            </w:r>
            <w:r>
              <w:rPr>
                <w:rFonts w:hint="eastAsia" w:ascii="仿宋" w:hAnsi="仿宋" w:eastAsia="仿宋" w:cs="仿宋"/>
                <w:color w:val="auto"/>
                <w:kern w:val="0"/>
                <w:sz w:val="18"/>
                <w:szCs w:val="18"/>
              </w:rPr>
              <w:t>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1.开展“双随机、一公开”监管，发现违法违规行为要依法查处并公开结果。2.加强信用监管，依法向社会公布人力资源服务机构信用状况，依法依规对失信主体开展失信惩戒。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城乡规划编制单位乙级资质认定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《中华人民共和国城乡规划法》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5.修改完善城乡规划编制单位资质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从事生活垃圾（含粪便）经营性清扫、收集、运输、处理服务审批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从事生活垃圾（含粪便）经营性清扫、收集、运输、处理服务许可证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w:t>
            </w:r>
          </w:p>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（环境卫生）部门；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行政审批局；县（区）住建（环境</w:t>
            </w:r>
          </w:p>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卫生）</w:t>
            </w:r>
          </w:p>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或行政审批部门</w:t>
            </w:r>
          </w:p>
        </w:tc>
        <w:tc>
          <w:tcPr>
            <w:tcW w:w="627"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2.构建生活垃圾经营性服务全过程监管体系，强化日常监管。3.推动生活垃圾无害化处理设施建设和运营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水运工程监理企业乙级资质认定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建立健全水运工程监理企业黑名单制度。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水运工程监理企业机电专项资质认定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构建水运工程监理企业黑名单制度。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道路货运经营许可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县（区）交通运输或行政审批部门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道路旅客运输站经营许可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县（区）交通运输或行政审批部门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公路工程专业乙级监理资质认定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承诺内容真实性核查，发现虚假承诺行为要依法处理。2.开展“双随机、一公开”监管，发现违法违规行为要依法查处并公开结果。3.加强“互联网+监管”，通过信息化手段强化对企业投标及履约行为的监管。4.加强信用监管，依法向社会公布公路工程监理企业信用状况，拓展信用评价结果应用范围，依法依规实行失信惩戒。5.依法及时处理投诉举报。6.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水利工程质量检测单位资质认定（乙级）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水利工程质量检测单位资质等级证书（乙级）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投诉举报多的单位实施重点监管，加强对企业承诺内容真实性的核查，发现虚假承诺或者承诺严重不实的要依法处理。2.加强信用监管，依法向社会公布水利工程质量检测单位（乙级）信用状况，依法依规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从事拍卖业务许可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拍卖经营批准证书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《中华人民共和国拍卖法》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1.加强部门间信息共享，统一归集企业信用信息，依法进行公示。2.完善拍卖企业年度核查制度。3.密切与有关部门的联系协调，加强跨部门监管。4.支持行业协会发挥自律作用。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公共场所卫生许可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卫生许可证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《公共场所卫生管理条例》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1.开展“双随机、一公开”监管，发现违法违规行为要依法查处并公开结果。2.加强信用监管，向社会公布卫生状况存在严重问题的公共场所信息。3.畅通投诉举报渠道，依法及时处理投诉举报。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社会办医疗机构乙类大型医用设备配置许可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乙类大型医用设备配置许可证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提供虚假材料、未达到承诺要求或者采取其他欺骗手段取得配置许可证的要依法处理。2.加强医疗机构执业活动监管，发现违法违规行为要依法查处并公开结果。3.加强信用监管，向社会公布配置乙类大型医用设备医疗机构的信用状况。4.依法及时处理投诉举报。5.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省消防救援总队</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公众聚集场所投入使用、营业前消防安全检查</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公众聚集场所投入使用、营业前消防安全检查意见书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《中华人民共和国消防法》、中共山西省委办公厅山西省人民政府办公厅印发《关于深化消防执法改革的实施意见》的通知（厅字〔2020〕61号）</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市消防救援支队；县（区）消防救援机构或应急部门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投诉举报多的场所实施重点监管。2.公众聚集场所发生造成人员死亡或重大社会影响的火灾，倒查使用管理方主体责任，依法严肃查处。3.加强信用监管，依法向社会公布公众聚集场所消防安全检查情况，依法依规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口岸卫生许可证（涉及公共场所）核发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国境口岸卫生许可证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《中华人民共和国国境卫生检疫法实施细则》</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主管海关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许可证的企业，加强对其承诺内容真实性的核查，发现虚假承诺或承诺严重不实的要依法处理。2.开展“双随机、一公开”监管，发现违法违规行为要依法查处并公开结果。3.对许可证有效期届满延期换证的企业，在日常监管中核查承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检验检测机构资质认定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检验检测机构资质认定证书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《中华人民共和国计量法》《中华人民共和国食品安全法》《中华人民共和国计量法实施细则》《中华人民共和国认证认可条例》《医疗器械监督管理条例》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市场监管总局；省市场监管局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依法向社会公布检验检测机构信用状况，依法依规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设立认证机构（低风险等级）审批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认证机构批准书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《中华人民共和国认证认可条例》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3.加强认证行业监测，针对发现的普遍性问题和突出风险开展专项检查，确保不发生系统性、区域性风险。4.加强信用监管，依法依规完善认证领域黑名单制度，并建立失信主体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重要工业产品生产许可证核发（食品相关产品、化肥、危险化学品包装物及容器和电线电缆产品）</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重要工业产品生产许可证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《中华人民共和国食品安全法》《中华人民共和国工业产品生产许可证管理条例》</w:t>
            </w:r>
          </w:p>
        </w:tc>
        <w:tc>
          <w:tcPr>
            <w:tcW w:w="901"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市场监管局（初审）</w:t>
            </w:r>
          </w:p>
        </w:tc>
        <w:tc>
          <w:tcPr>
            <w:tcW w:w="627" w:type="dxa"/>
            <w:tcBorders>
              <w:tl2br w:val="nil"/>
              <w:tr2bl w:val="nil"/>
            </w:tcBorders>
            <w:shd w:val="clear" w:color="000000" w:fill="FFFFFF"/>
            <w:vAlign w:val="center"/>
          </w:tcPr>
          <w:p>
            <w:pPr>
              <w:widowControl/>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2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1.对通过告知承诺取得许可证（包括许可范围变更）的企业开展例行检查，发现虚假承诺或者承诺严重不实的要依法处理。2.对许可有效期届满延期换证的企业，在日常监管中核查承诺情况。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食品（含食品添加剂）生产许可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行政审批局；县（区）市场监管或行政审批部门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 为“实行告知承诺”：对部分低风险食品生产许可试点实施告知承诺。2.除特殊食品（包括保健食品、婴幼儿配方食品和特殊医学用途配方食品）、婴幼儿辅助食品、食盐外，将审批权限由省市场监管局下放至设区的市、县级市场监管部门。3.实现申请、审批全程网上办理。4.不再要求申请人提供营业执照、食品安全管理制度文本等材料，但申请特殊食品生产许可的应提交与所生产食品相适应的生产质量管理体系文件。5.将审批时限由10个工作日压减至6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大信息公示力度，向社会公开食品生产许可信息。2.加强日常监督检查，根据食品生产企业风险分级情况确定检查频次，开展监督检查并向社会公开检查结果。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音像制作单位设立、变更审批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音像制品制作许可证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1.申请人达到法定条件前，不得从事相关经营活动。2.实行全覆盖例行检查，发现实际情况与承诺内容不符的，依法撤销审批并处罚。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电子出版物制作单位设立、变更审批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电子出版物制作许可证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1.申请人达到法定条件前，不得从事相关经营活动。2.实行全覆盖例行检查，发现实际情况与承诺内容不符的，依法撤销审批并处罚。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111</w:t>
            </w:r>
          </w:p>
        </w:tc>
        <w:tc>
          <w:tcPr>
            <w:tcW w:w="587" w:type="dxa"/>
            <w:tcBorders>
              <w:tl2br w:val="nil"/>
              <w:tr2bl w:val="nil"/>
            </w:tcBorders>
            <w:shd w:val="clear" w:color="auto" w:fill="auto"/>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auto" w:fill="auto"/>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auto" w:fill="auto"/>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从事包装装潢印刷品和其他印刷品（不含商标、票据、保密印刷）印刷经营活动企业（不含外资企业）的设立、变更审批</w:t>
            </w:r>
          </w:p>
        </w:tc>
        <w:tc>
          <w:tcPr>
            <w:tcW w:w="941" w:type="dxa"/>
            <w:tcBorders>
              <w:tl2br w:val="nil"/>
              <w:tr2bl w:val="nil"/>
            </w:tcBorders>
            <w:shd w:val="clear" w:color="auto" w:fill="auto"/>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印刷经营许可证</w:t>
            </w:r>
          </w:p>
        </w:tc>
        <w:tc>
          <w:tcPr>
            <w:tcW w:w="954" w:type="dxa"/>
            <w:tcBorders>
              <w:tl2br w:val="nil"/>
              <w:tr2bl w:val="nil"/>
            </w:tcBorders>
            <w:shd w:val="clear" w:color="auto" w:fill="auto"/>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《印刷业管理条例》</w:t>
            </w:r>
          </w:p>
        </w:tc>
        <w:tc>
          <w:tcPr>
            <w:tcW w:w="901" w:type="dxa"/>
            <w:tcBorders>
              <w:tl2br w:val="nil"/>
              <w:tr2bl w:val="nil"/>
            </w:tcBorders>
            <w:shd w:val="clear" w:color="auto" w:fill="auto"/>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新闻出版局</w:t>
            </w:r>
          </w:p>
        </w:tc>
        <w:tc>
          <w:tcPr>
            <w:tcW w:w="627" w:type="dxa"/>
            <w:tcBorders>
              <w:tl2br w:val="nil"/>
              <w:tr2bl w:val="nil"/>
            </w:tcBorders>
            <w:shd w:val="clear" w:color="auto" w:fill="auto"/>
            <w:vAlign w:val="center"/>
          </w:tcPr>
          <w:p>
            <w:pPr>
              <w:widowControl/>
              <w:spacing w:line="2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auto" w:fill="auto"/>
            <w:vAlign w:val="center"/>
          </w:tcPr>
          <w:p>
            <w:pPr>
              <w:widowControl/>
              <w:spacing w:line="2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auto" w:fill="auto"/>
            <w:vAlign w:val="center"/>
          </w:tcPr>
          <w:p>
            <w:pPr>
              <w:widowControl/>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auto" w:fill="auto"/>
            <w:vAlign w:val="center"/>
          </w:tcPr>
          <w:p>
            <w:pPr>
              <w:widowControl/>
              <w:spacing w:line="22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发现企业不符合承诺条件开展经营的责令限期整改，逾期不整改或整改后仍达不到要求的依法撤销许可证件。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国家能源局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山西能监办</w:t>
            </w:r>
          </w:p>
        </w:tc>
        <w:tc>
          <w:tcPr>
            <w:tcW w:w="914"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电力业务许可证核发</w:t>
            </w:r>
          </w:p>
        </w:tc>
        <w:tc>
          <w:tcPr>
            <w:tcW w:w="941"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电力业务许可证</w:t>
            </w:r>
          </w:p>
        </w:tc>
        <w:tc>
          <w:tcPr>
            <w:tcW w:w="954"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《中华人民共和国电力法》《电力供应与使用条例》《电力监管条例》</w:t>
            </w:r>
          </w:p>
        </w:tc>
        <w:tc>
          <w:tcPr>
            <w:tcW w:w="901"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山西能监办</w:t>
            </w:r>
          </w:p>
        </w:tc>
        <w:tc>
          <w:tcPr>
            <w:tcW w:w="627" w:type="dxa"/>
            <w:tcBorders>
              <w:tl2br w:val="nil"/>
              <w:tr2bl w:val="nil"/>
            </w:tcBorders>
            <w:shd w:val="clear" w:color="000000" w:fill="FFFFFF"/>
            <w:vAlign w:val="center"/>
          </w:tcPr>
          <w:p>
            <w:pPr>
              <w:widowControl/>
              <w:spacing w:line="2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2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国家能源局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山西能监办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承装（修、试）电力设施许可证核发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承装（修、试）电力设施许可证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《中华人民共和国电力法》《电力供应与使用条例》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山西能监办</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林草种子（普通）生产经营许可证核发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行政审批局；县（区）规划和自然资源</w:t>
            </w:r>
            <w:r>
              <w:rPr>
                <w:rFonts w:hint="eastAsia" w:ascii="仿宋" w:hAnsi="仿宋" w:eastAsia="仿宋" w:cs="仿宋"/>
                <w:color w:val="auto"/>
                <w:kern w:val="0"/>
                <w:sz w:val="18"/>
                <w:szCs w:val="18"/>
                <w:lang w:eastAsia="zh-CN"/>
              </w:rPr>
              <w:t>部门</w:t>
            </w:r>
            <w:r>
              <w:rPr>
                <w:rFonts w:hint="eastAsia" w:ascii="仿宋" w:hAnsi="仿宋" w:eastAsia="仿宋" w:cs="仿宋"/>
                <w:color w:val="auto"/>
                <w:kern w:val="0"/>
                <w:sz w:val="18"/>
                <w:szCs w:val="18"/>
              </w:rPr>
              <w:t>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1.开展“双随机、一公开”监管，发现违法违规行为要依法查处并公开结果。2.制定核查办法，明确核查时间、标准、方式，优化现场检查程序。3.加强信用监管，建立企业信用记录并依法向社会公开。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由国家林草局审批的国家重点保护陆生野生动物人工繁育许可证核发（已制定人工繁育技术标准的物种）</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国家重点保护陆生野生动物人工繁育许可证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1.严格落实行业标准和规范要求，加大监督检查力度。2.加强信用监管，依法依规对失信主体开展失信惩戒。3.组织开展行业培训。4.发挥行业协会自律作用。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省级权限内国家重点保护陆生野生动物人工繁育许可证核发（已制定人工繁育技术标准的物种和列入人工繁育国家重点保护陆生野生动物目录的物种）</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国家重点保护陆生野生动物人工繁育许可证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1.严格落实行业标准和规范要求，加大监督检查力度。2.加强信用监管，依法依规对失信主体开展失信惩戒。3.组织开展行业培训。4.发挥行业协会自律作用。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药品互联网信息服务审批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互联网药品信息服务资格证书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《互联网信息服务管理办法》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医疗器械互联网信息服务审批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互联网药品信息服务资格证书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《互联网信息服务管理办法》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医疗机构使用放射性药品（一、二类）许可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放射性药品使用许可证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《放射性药品管理办法》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国家知识产权局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省市场监管局（省知识产权局）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专利代理机构执业许可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专利代理机构执业许可证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《专利代理条例》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国家知识产权局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施工企业资质认定（部分施工总承包乙级资质，部分专业承包资质，燃气燃烧器具安装维修企业资质）</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《中华人民共和国建筑法》《建设工程安全生产管理条例》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市住建局；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1.燃气燃烧器具安装、维修企业资质认定由</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住建局划转至</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行政审批服务管理局。2.申请人承诺已经具备许可条件的，经形式审查后当场作出审批决定。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施工企业资质认定（部分施工总承包甲级、乙级资质，部分专业承包资质）</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《中华人民共和国建筑法》《建设工设部门程安全生产管理条例》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建设工程勘察企业资质认定（乙级）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工程勘察资质证书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住建局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工程设计企业资质认定（部分行业乙级资质及部分专业乙级资质）</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住建局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125</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工程监理企业资质认定（部分专业甲级资质，部分专业乙级资质）</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工程监理资质证书</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126</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工程监理企业资质认定（部分专业乙级资质）</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工程监理资质证书</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住建局</w:t>
            </w:r>
          </w:p>
        </w:tc>
        <w:tc>
          <w:tcPr>
            <w:tcW w:w="627"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127</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建筑施工企业安全生产许可证核发</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建筑施工企业安全生产许可证</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不具备安全生产条件的，对其依法责令限期整改，或实施暂扣或吊销安全生产许可证等处罚。2.严格开展事故企业安全生产条件复核，对事故责任主体依法实施暂扣或吊销安全生产许可证等处罚，并对其建筑施工活动实施重点监管。3.强化信用监管，将违法失信主体纳入安全生产不良信用记录和“黑名单“，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128</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生鲜乳准运证明核发</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生鲜乳准运证明</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《乳品质量安全监督管理条例》</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1.开展“双随机、一公开”监管，发现违法违规行为要依法查处并公开结果。2.加强对生鲜乳运输车辆的监管，将车辆全部纳入监管监测信息系统，实时掌握运营情况。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129</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兽药经营许可证核发（非生物制品类）</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兽药经营许可证</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《兽药管理条例》</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一次性告知申请人申办兽药经营许可证应具备的条件和需提交的材料，申请人承诺符合条件并提交材料的，当场作出审批决定。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130</w:t>
            </w:r>
          </w:p>
        </w:tc>
        <w:tc>
          <w:tcPr>
            <w:tcW w:w="587"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动物诊疗许可证核发</w:t>
            </w:r>
          </w:p>
        </w:tc>
        <w:tc>
          <w:tcPr>
            <w:tcW w:w="94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动物诊疗许可证</w:t>
            </w:r>
          </w:p>
        </w:tc>
        <w:tc>
          <w:tcPr>
            <w:tcW w:w="9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《中华人民共和国动物防疫法》</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对动物诊疗机构应当具备的条件和技术能力（包括面积、选址、布局、设施设备、制度、人员要求等）实行告知承诺，申请人承诺符合条件并提交材料的，当场作出审批决定。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1.开展“双随机、一公开”监管，发现违法违规行为要依法查处并公开结果。2.对以告知承诺方式取得经营许可证的企业，加强对其承诺内容真实性的核查，发现虚假承诺或承诺严重不实的要依法处理。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131</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旅行社设立许可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《中华人民共和国旅游法》《旅行社条例》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1.开展“双随机、一公开”监管，发现未经许可经营旅行社业务，出租、出借、转让业务经营许可证等违法违规行为的，要依法查处并公开结果。2.加强信用监管，对失信主体开展联合惩戒。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132</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水运工程监理企业甲级资质认定</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对水运工程监理企业取得甲级资质应当具备的条件（包括人员、业绩、设备等）实行告知承诺，经形式审查后当场作出审批决定。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通过告知承诺方式取得资质认定的企业在一定期限内开展许可条件核查，发现虚假承诺或者承诺严重不实的要依法处理。2.开展“双随机，一公开”监管，发现违法违规行为要依法查处并公开结果。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133</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广播电视节目制作经营单位设立审批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广播电视节目制作经营许可证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广电总局；省广电局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2.开展“双随机，一公开”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134</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中外合资、合作印刷企业和外商独资包装装潢印刷企业的设立、变更审批</w:t>
            </w:r>
          </w:p>
        </w:tc>
        <w:tc>
          <w:tcPr>
            <w:tcW w:w="94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印刷经营许可证</w:t>
            </w:r>
          </w:p>
        </w:tc>
        <w:tc>
          <w:tcPr>
            <w:tcW w:w="95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《印刷业管理条例》</w:t>
            </w:r>
          </w:p>
        </w:tc>
        <w:tc>
          <w:tcPr>
            <w:tcW w:w="90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3.进一步优化审批服务：将审批层级下放至县级新闻出版部门。</w:t>
            </w:r>
          </w:p>
        </w:tc>
        <w:tc>
          <w:tcPr>
            <w:tcW w:w="3454" w:type="dxa"/>
            <w:tcBorders>
              <w:tl2br w:val="nil"/>
              <w:tr2bl w:val="nil"/>
            </w:tcBorders>
            <w:shd w:val="clear" w:color="000000"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并公开结果。2.发现企业不符合承诺条件开展经营的责令限期整改，逾期不整改或整改后仍达不到要求的依法撤销许可证件。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135</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国内水路运输业务经营许可（不含省际旅客、 危险品货物水路运输许可）</w:t>
            </w:r>
          </w:p>
        </w:tc>
        <w:tc>
          <w:tcPr>
            <w:tcW w:w="94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国内水路运输经营许可证</w:t>
            </w:r>
          </w:p>
        </w:tc>
        <w:tc>
          <w:tcPr>
            <w:tcW w:w="95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《国内水路运输管理条例》</w:t>
            </w:r>
          </w:p>
        </w:tc>
        <w:tc>
          <w:tcPr>
            <w:tcW w:w="90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对企业应当具备的条件和技术能力（相关证书、人员、设施设备、管理制度等）实行告知承诺，经形式审查后当场作出审批决定。2.进一步优化审批服务，推动实现申请、审批全程网上办理。</w:t>
            </w:r>
          </w:p>
        </w:tc>
        <w:tc>
          <w:tcPr>
            <w:tcW w:w="3454" w:type="dxa"/>
            <w:tcBorders>
              <w:tl2br w:val="nil"/>
              <w:tr2bl w:val="nil"/>
            </w:tcBorders>
            <w:shd w:val="clear" w:color="000000"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1.对不符合承诺条件开展经营的责令限期整改;逾期不整改或整改后仍达不到要求的,依法撤销许可证件。2.加强信用监管,建立健全诚信管理制度,及时向社会公布水路运输企业信用状况。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136</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水产苗种场（不含原种场）的水产苗种生产许可证核发</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水产苗种生产许可证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农业农村局；县（区）农业农村（渔业）或行政审批部门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改革方式由“优化审批服务”调整为“实行告知承诺”：一次性告知申请人办理水产苗种生产审批应具备的条件和需提交的材料，申请人承诺符合条件并提交材料的，当场作出审批决定。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1.开展“双随机、一公开”监管，发现违法违规行为的依法查处。2.对风险等级较高、投诉举报多的企业实施重点监管。3.依法及时处理</w:t>
            </w:r>
            <w:r>
              <w:rPr>
                <w:rFonts w:hint="eastAsia" w:ascii="仿宋" w:hAnsi="仿宋" w:eastAsia="仿宋" w:cs="仿宋"/>
                <w:color w:val="auto"/>
                <w:kern w:val="0"/>
                <w:sz w:val="18"/>
                <w:szCs w:val="18"/>
                <w:lang w:eastAsia="zh-CN"/>
              </w:rPr>
              <w:t>投诉</w:t>
            </w:r>
            <w:r>
              <w:rPr>
                <w:rFonts w:hint="eastAsia" w:ascii="仿宋" w:hAnsi="仿宋" w:eastAsia="仿宋" w:cs="仿宋"/>
                <w:color w:val="auto"/>
                <w:kern w:val="0"/>
                <w:sz w:val="18"/>
                <w:szCs w:val="18"/>
              </w:rPr>
              <w:t>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137</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农药经营许可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对除限制使用农药以外其他农药经营许可实行告知承诺，申请人承诺符合条件并提交材料的，当场作出审批决定。2.实现申请、审批网上办理。3.不再要求申请人同时提供申请材料的纸质文件和电子文档。4.不再要求提供身份证、营业执照等能通过部门共享获取的信息材料。不能通过部门共享获取的信息，由申请人提供。</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并公开结果。2.加强行业监督，畅通投诉举报渠道，将有风险隐患、投诉举报较多的企业列入重点监管对象。3.对以告知承诺方式取得经营许可证的企业，加强对其承诺内容真实性的核查，发现虚假承诺或承诺严重不实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138</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动物防疫条件合格证核发</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动物防疫条件合格证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《中华人民共和国动物防疫法》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农业农村局；县（区）农业农村或行政审批部门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8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动物防疫条件合格证核发（变更）实行告知承诺，一次性告知申请人申办动物防疫条件合格证核发应具备的条件和需提交的材料，申请人承诺符合条件并提交材料的，当场作出审批决定。2.实现申请、审批网上办理。3.将审批时限由20个工作日压减至8个工作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动物防疫条件合格证的企业，加强对其承诺内容真实性的核查，发现虚假承诺或承诺严重不实的依法处理。2.开展“双随机、一公开”监管，发现违法违规行为的依法查处并公开结果。3.强化社会监督，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139</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游艺娱乐场所设立审批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县（区）文旅或行政审批部门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改革方式由“优化审批服务”调整为“实行告知承诺”：申请人材料齐全，承诺已具备经营许可条件的，并经过公示、听证无异议的，当即作出行政许可决定，即可开展经营。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告知承诺”取得审批证件的被审批人与通过一般审批程序取得审批证件的被审批人平等对待。各级文化和旅游行政部门要切实加强事中事后监管，发现被审批人有违法行为的，依法作出处理。因虚假承诺或者违反承诺被撤销行政审批决定的，被审批人基于行政审批取得的利益不受保护，造成的损失由被审批人承担。对被审批人因虚假承诺或者违反承诺依法被撤销行政审批决定的信息，行政审批机关作为不良信息记入被审批人的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140</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文艺表演团体设立审批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县（区）文旅或行政审批部门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改革方式由“优化审批服务”调整为“实行告知承诺”：申请人材料齐全，承诺已具备经营许可条件的，当即作出行政许可决定，即可开展经营。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告知承诺”取得审批证件的被审批人与通过一般审批程序取得审批证件的被审批人平等对待。各级文化和旅游行政部门切实加强事中事后监管，发现被审批人有违法行为的，依法作出处理。因虚假承诺或者违反承诺被撤销行政审批决定的，被审批人基于行政审批取得的利益不受保护，造成的损失由被审批人承担。对被审批人因虚假承诺或者违反承诺依法被撤销行政审批决定的信息，行政审批机关作为不良信息记入被审批人的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141</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美术品进出口经营活动审批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1.改革方式由“优化审批服务”调整为“实行告知承诺”：申请人材料齐全，承诺已具备经营许可条件的，当市即作出行政许可决定,现场核查通过后即可开展经营。2.审批层级已委托下放各设区的</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告知承诺”取得审批证件的被审批人与通过一般审批程序取得审批证件的被审批人平等对待。各级文化和旅游行政部门切实加强事中事后监管，发现被审批人有违法行为的，依法作出处理。因虚假承诺或者违反承诺被撤销行政审批决定的，被审批人基于行政审批取得的利益不受保护，造成的损失由被审批人承担。对被审批人因虚假承诺或者违反承诺依法被撤销行政审批决定的信息，行政审批机关作为不良信息记入被审批人的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142</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放射源诊疗技术和医用辐射机构许可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放射诊疗许可证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《中华人民共和国职业病防治法》《放射性同位素与射线装置安全和防护条例》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改革方式由“优化审批服务”调整为“实行告知承诺”：放射源诊疗技术和医用辐射机构许可实行告知承诺制，申请人提交相关材料齐全并签订告知承诺书后，当场发放《放射诊疗许可证》。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通过告知承诺制取得《放射诊疗许可证》后，卫生健康行政部门在2个月内开展全覆盖例行检查，发现实际情况与承诺内容不符，确定无法达到审批条件或者经责令限期改正后仍不符合条件的，依法撤销行政许可决定。未达到审批条件而继续经营的，依法予以处罚。2.建立诚信档案，因失信被撤销许可的，记入诚信档案且2年内再次申请卫生行政许可时，不采取告知承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143</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麻醉药品和第一类精神药品购用许可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麻醉药品和第一类精神药品购用印鉴卡</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麻醉药品和第一类精神药品购用许可实行告知承诺制，申请人提交相关材料齐全并签订告知承诺书后，当场发放《麻醉药品和第一类精神药品购用印鉴卡》。</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通过告知承诺制取得《麻醉药品和第一类精神药品购用印鉴卡》后，卫生健康行政部门在2个月内开展全覆盖例行检查，发现实际情况与承诺内容不符，确定无法达到审批条件或者经责令限期改正后仍不符合条件的，依法撤销行政许可决定。未达到审批条件而继续经营的，依法予以处罚。2.建立诚信档案，因失信被撤销许可的，记入诚信档案且2年内再次申请卫生行政许可时，不采取告知承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144</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生产用于传染病防治的消毒产品的单位审批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消毒产品生产企业卫生许可证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《中华人民共和国传染病防治法》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针对生产用于传染病防治的消毒产品的单位审批（延续）实行告知承诺。申请人提交相关材料齐全并签订告知承诺书后，当场发放《消毒产品生产企业卫生许可证》。2.推动实现申请、审批全程网上办理并在网上公开办理进度。3.将审批时限由20个工作日压减至10个工作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通过告知承诺制获准延续并取得《消毒产品生产企业卫生许可证》后，卫生健康行政部门在2个月内开展全覆盖例行检查，发现实际情况与承诺内容不符，确定无法达到延续条件或者经责令限期改正后仍不符合条件的，依法撤销行政许可决定。未达到延续条件而继续经营的，依法予以处罚。2.建立诚信档案。因失信被撤销许可决定的，记入诚信档案且2年内再次申请卫生行政许可时，不采取告知承诺制。3.开展“双随机、一公开”监管，发现违法违规行为的依法查处并公开结果。4.对违法宣传疗效、非法添加违禁物质等问题开展专项整治。5. 加强“互联网+监管”，开展消毒产品生产企业分类监督、综合评价工作。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145</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承担国家法定计量检定机构任务授权审批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计量授权证书</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《中华人民共和国计量法》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省级以上市场监管部门；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行政审批局；县（区）市场监管或行政审批部门</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改革方式由“优化审批服务”调整为“实行告知承诺”：对计量授权的新建、复查、扩项、变更等实行告知承诺，经形式审查后当场作出审批决定。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作出准予计量授权决定后30天内，对申请企业的承诺内容是否属实进行现场核查。2.对于申请人作出虚假承诺或者承诺内容严重不实的，由市场监管部门依照《中华人民共和国行政许可法》相关规定撤销许可决定，并予以公布。被市场监管部门依法撤销许可决定的企业，其基于本次行政许可取得的利益不受保护，对外出具的相关检定报告不具有证明作用，并承担因此引发的相应法律责任。3.申请企业作出虚假承诺、承诺内容严重不实的，由市场监管部门记入其信用档案，在该不良信息的保存和披露期限届满或者信用修复前，该企业不再适用告知承诺的计量授权方式。4.以告知承诺方式取得计量授权的企业发生其他违法违规行为，依照法律法规的相关规定，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146</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食品经营许可（除仅销售预包装食品外）</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省市场监管部门；市市场监管局；县（区）市场监管或行政审批部门</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改革方式由“优化审批服务”调整为“实行告知承诺”：1.自愿接受评审且通过评审的直营连锁食品经营企业门店新开办许可(销售经营企业和餐饮经营企业) 。2.按照《山西省市场监督管理局关于深化食品经营许可改革的实施意见》（晋市监发〔2020〕401号）关于8类事项实行“告知承诺制”审批和推行品牌连锁便利店食品经营许可改革、“一照多证”改革、减少申请材料、压缩审批时间、优化许可事项等12项改革措施要求抓好落实。</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许可的食品经营者，市场监管部门在许可审批部门作出许可决定之日起30个工作日内实施检查，重点检查食品经营实际情况与承诺内容是否相符、食品经营条件是否符合要求。2.对检查发现食品经营条件不符合要求的，按照相关法律法规予以处理；对食品经营实际情况与承诺内容严重不符（不符合比例超过40%），以欺骗等不正当手段取得食品经营许可的，按照《食品经营许可管理办法》第四十七条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147</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特种设备检验检测机构核准</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特种设备检验检测机构核准证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《中华人民共和国特种设备安全法》《特种设备安全监察条例》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对其中的液化石油气钢瓶检验机构实施告知承诺，在审批环节不再开展现场评审，企业提交申请书、检验报告、自查表、核查记录表、符合法律法规要求和保障质量安全承诺书后，经形式审查合格即发放许可证；对液化石油气钢瓶检验机构在许可周期内未发生行政处罚、责任事故、质量安全问题和质量投诉未结案等情况, 且满足检验业绩有关规定的单位, 在许可证书有效期满前, 采取单位自我声明承诺方式申请直接换证, 取消鉴定评审要求，但不可连续2个许可周期申请直接换证。2.实现申请、审批全过程网上办理，开通审批进度网上查询功能，实现“零跑”。3.压减审批要件，将一般许可申请资料简化为仅需要提交许可申请书。4.制定公布准确完备、简明扼要的服务指南。</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1.对未经现场评审，通过告知承诺获得许可证的单位，各设区</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部门在发证后30天内开展后置现场核查，对不具备检验条件、提供虚假材料的予以依法处理。2.开展“双随机、一公开”监管，明确监督抽查比例和检查要求，发现违规违法行为的依法查处并公开结果。3.对有投诉举报和检验质量问题的机构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148</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特种设备生产单位许可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特种设备生产许可证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《中华人民共和国特种设备安全法》《国务院对确需保留的行政审批项目设定行政许可的决定》《特种设备安全监察条例》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1.改革方式由“优化审批服务”调整为“实行告知承诺”：对特种设备生产单位在许可周期内未发生行政处罚、责任事故、质量安全问题和质量投诉未结案等情况, 且满足生产业绩有关规定的生产单位, 在许可证书有效期满前, 采取企业自我声明承诺方式申请直接换证，取消鉴定评审要求，但不可连续2个许可周期申请直接换证。2.实现申请、审批全过程网上办理，开通审批进度网上查询功能，实现“零跑”。3.压减审批要件，将许可申请资料简化为仅需要提交许可申请书。4.制定公布准确完备、简明扼要的服务指南。5.不再将型式试验和监督检验作为审批前置条件。6.进一步优化审批服务：将审批时限由30个工作日压减至9个工作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并公开结果。2.对有投诉举报和质量问题的企业实施重点监管。3.检验检测机构在开展型式试验和监督检验时对持证生产单位是否符合许可条件进行检查, 发现问题及时报告有关部门。4.针对通过自我承诺申请直接换证的生产单位，发现提交的申请材料中有虚假内容的依法处理。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149</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移动式压力容器、气瓶充装单位许可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移动式压力容器充装许可证、气瓶充装许可证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《中华人民共和国特种设备安全法》《特种设备安全监察条例》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市场监管局（气瓶）</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1.改革方式由“优化审批服务”调整为“实行告知承诺”：对移动式压力容器、气瓶充装单位在许可周期内未发生行政处罚、责任事故、质量投诉未结案等情况, 且满足充装业绩有关规定的充装单位, 在许可证书有效期满前, 采取企业自我声明承诺方式申请直接换证，取消鉴定评审要求，但不可连续2个许可周期申请直接换证。2.实现申请、审批全过程网上办理，开通审批进度网上查询功能，实现“零跑”。3.压减审批要件，将许可申请资料简化为仅需要提交许可申请书。4.制定公布准确完备、简明扼要的服务指南。5.进一步优化审批服务：将审批时限由30个工作日压减至9个工作日。</w:t>
            </w:r>
            <w:r>
              <w:rPr>
                <w:rFonts w:hint="eastAsia" w:ascii="仿宋" w:hAnsi="仿宋" w:eastAsia="仿宋" w:cs="仿宋"/>
                <w:color w:val="auto"/>
                <w:kern w:val="0"/>
                <w:sz w:val="18"/>
                <w:szCs w:val="18"/>
                <w:lang w:val="en-US" w:eastAsia="zh-CN"/>
              </w:rPr>
              <w:t>6.长子县</w:t>
            </w:r>
            <w:r>
              <w:rPr>
                <w:rFonts w:hint="eastAsia" w:ascii="仿宋" w:hAnsi="仿宋" w:eastAsia="仿宋" w:cs="仿宋"/>
                <w:color w:val="auto"/>
                <w:kern w:val="0"/>
                <w:sz w:val="18"/>
                <w:szCs w:val="18"/>
              </w:rPr>
              <w:t>市场监管局</w:t>
            </w:r>
            <w:r>
              <w:rPr>
                <w:rFonts w:hint="eastAsia" w:ascii="仿宋" w:hAnsi="仿宋" w:eastAsia="仿宋" w:cs="仿宋"/>
                <w:color w:val="auto"/>
                <w:kern w:val="0"/>
                <w:sz w:val="18"/>
                <w:szCs w:val="18"/>
                <w:lang w:eastAsia="zh-CN"/>
              </w:rPr>
              <w:t>负责气瓶充装单位许可。</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并公开结果。2.根据规定开展年度监督检查工作。3.对有投诉举报和发生充装事故的企业实施重点监管。4.针对通过自我承诺申请直接换证的充装单位，发现提交的申请材料中有虚假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150</w:t>
            </w:r>
          </w:p>
        </w:tc>
        <w:tc>
          <w:tcPr>
            <w:tcW w:w="587"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763"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91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设立健身气功站点审批</w:t>
            </w:r>
          </w:p>
        </w:tc>
        <w:tc>
          <w:tcPr>
            <w:tcW w:w="94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健身气功站点注册证</w:t>
            </w:r>
          </w:p>
        </w:tc>
        <w:tc>
          <w:tcPr>
            <w:tcW w:w="95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行政审批局；县（区）体育或行政审批部门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申请人承诺符合条件并提交材料的，当场作出审批决定。2.推广全程网上办理，推进体育领域信息数据共享应用。3.将审批时限由20个工作日变为即时办结。</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重点监管，发现违法违规行为的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151</w:t>
            </w:r>
          </w:p>
        </w:tc>
        <w:tc>
          <w:tcPr>
            <w:tcW w:w="587"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文物商店设立审批</w:t>
            </w:r>
          </w:p>
        </w:tc>
        <w:tc>
          <w:tcPr>
            <w:tcW w:w="94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w:t>
            </w:r>
          </w:p>
        </w:tc>
        <w:tc>
          <w:tcPr>
            <w:tcW w:w="90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商店设立应当具备的执业条件（包括注册资本、人员要求、保管文物的场所和设施条件、技术条件、消防验收材料、无外国资本投资）实行告知承诺，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文物商店设立准予行政许可决定书的文物商店，在一定期限内进行全覆盖检查，加强对其承诺内容真实性的核查。发现虚假承诺或承诺严重不实的，予以依法处理。2.开展“双随机、一公开”监管，并根据文物商店受到的处罚情况、其他部门移交线索、群众举报等，建立文物商店黑名单，对名单内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152</w:t>
            </w:r>
          </w:p>
        </w:tc>
        <w:tc>
          <w:tcPr>
            <w:tcW w:w="587"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文物拍卖经营许可</w:t>
            </w:r>
          </w:p>
        </w:tc>
        <w:tc>
          <w:tcPr>
            <w:tcW w:w="94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文物拍卖许可证</w:t>
            </w:r>
          </w:p>
        </w:tc>
        <w:tc>
          <w:tcPr>
            <w:tcW w:w="95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w:t>
            </w:r>
          </w:p>
        </w:tc>
        <w:tc>
          <w:tcPr>
            <w:tcW w:w="90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拍卖企业应当具备的执业条件（包括注册资本、人员要求、必要的场所和设施条件、技术条件、近2年内无违法违规经营文物行为、无外国资本投资）实行告知承诺，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文物拍卖许可证的拍卖企业，在一定期限内进行全覆盖检查，加强对其承诺内容真实性的核查。发现虚假承诺或承诺严重不实的，予以依法处理。2.开展“双随机、一公开”监管，并根据文物拍卖企业受到的处罚情况、其他部门移交线索、群众举报等，建立文物拍卖企业黑名单，对名单内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153</w:t>
            </w:r>
          </w:p>
        </w:tc>
        <w:tc>
          <w:tcPr>
            <w:tcW w:w="587"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文物保护工程勘察设计乙级资质审批</w:t>
            </w:r>
          </w:p>
        </w:tc>
        <w:tc>
          <w:tcPr>
            <w:tcW w:w="94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文物保护工程勘察设计资质证书</w:t>
            </w:r>
          </w:p>
        </w:tc>
        <w:tc>
          <w:tcPr>
            <w:tcW w:w="95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保护工程勘察设计单位的法定代表人任职文件、工作简历，文物保护工程责任设计师职业资格证、业务范围、社保证明、身份证、劳动合同、任职文件，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以告知承诺方式取得的文物保护工程勘察设计乙级、丙级资质单位，在一定期限内进行全覆盖检查，加强对其承诺内容真实性的核查，发现虚假承诺或承诺严重不实的予以依法处理。2.开展“双随机、一公开”监管，并根据资质单位受处罚情况、其他部门移交线索、群众举报等实施重点监管。3.加强信用监管，完善文物保护工程勘察设计资质单位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154</w:t>
            </w:r>
          </w:p>
        </w:tc>
        <w:tc>
          <w:tcPr>
            <w:tcW w:w="587"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文物保护工程施工二级资质审批</w:t>
            </w:r>
          </w:p>
        </w:tc>
        <w:tc>
          <w:tcPr>
            <w:tcW w:w="94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文物保护工程施工资质证书</w:t>
            </w:r>
          </w:p>
        </w:tc>
        <w:tc>
          <w:tcPr>
            <w:tcW w:w="95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保护工程施工单位的法定代表人任职文件、工作简历，文物保护工程责任工程师职业资格证、业务范围、社保证明、身份证、劳动合同、任职文件，文物保护工程施工技术人员的施工类文物保护工程从业上岗证、社保证明、劳动合同、身份证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的文物保护工程施工二级、三级资质单位，在一定期限内进行全覆盖检查，加强对其承诺内容真实性的核查，发现虚假承诺或承诺严重不实的予以依法处理。2.开展“双随机、一公开”监管，并根据资质单位受处罚情况、其他部门移交线索、群众举报等实施重点监管。3.加强信用监管，完善文物保护工程施工资质单位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155</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文物保护工程监理乙级资质审批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文物保护工程监理资质证书</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保护工程监理单位的法定代表人任职文件、工作简历，文物保护工程责任监理师职业资格证、业务范围、社保证明、身份证、劳动合同、任职文件，文物保护工程监理员的监理类文物保护工程从业上岗证、劳动合同、身份证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以告知承诺方式取得的文物保护工程监理乙级、丙级资质单位，在一定期限内进行全覆盖检查，加强对其承诺内容真实性的核查，发现虚假承诺或承诺严重不实的予以依法处理。2.开展“双随机、一公开”监管，并根据资质单位受处罚情况、其他部门移交线索、群众举报等实施重点监管。3.加强信用监管，完善文物保护工程监理资质单位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156</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药品零售企业许可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《中华人民共和国药品管理法》《中华人民共和国药品管理法实施条例》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行政审批局；县（区）市场监管或行政审批部门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申请人申请筹建药品零售连锁总部、连锁门店、单体药店可采取告知承诺办理，符合要求当场发放同意筹建的许可决定书。药品零售企业申请药品经营许可证变更企业名称、法定代表人、企业负责人、企业质量负责人可采取告知承诺办理，符合要求当场变更药品经营许可证。2.不再要求申请人提供营业执照等材料。3.进一步压减药品零售企业许可事项审批时限。</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以上通过告知承诺获得许可的企业，市、县（区）监管部门可通过书面资料核查、现场检查等方式对被许可人的承诺内容是否属实进行核查。对不具备许可条件、提供虚假材料的依法处理。在作出准予许可决定后3个月内，相关部门可通过书面资料核查、现场检查或组织属地监管部门现场检查等方式对被许可人的承诺内容是否属实进行核查。经核查不符合承诺内容的，按相关规定处理。2.落实“四个最严”要求，通过日常监管督促企业不断完善、改进质量管理体系，持续合法合规经营。对违法违规行为，依法严厉查处并公开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157</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中国气象局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省气象局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升放无人驾驶自由气球、系留气球单位资质认定</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升放气球资质证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省气象局；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企业提出资质认定申请，相关审批部门一次性告知其所需资质认定条件和要求以及相关材料，申请单位以书面形式承诺其符合法定条件和技术能力要求，由资质认定部门先行作出资质认定决定。2.不再要求申请人提供法人证书或营业执照原件。3.实现申请、审批全程网上办理并在网上公布审批程序、受理条件、办理标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双随机、一公开”监管、跨部门联合监管等方式，对升放无人驾驶自由气球、系留气球活动实施严格监管，发现违法违规行为的依法查处并公开结果。2.加强对升放气球行为的法律法规和科普宣传，提高升放单位和社会公众的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158</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科技部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省科技厅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实验动物生产和使用许可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实验动物生产许可证、实验动物使用许可证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《实验动物管理条例》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省科技厅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验动物生产许可证、使用许可证换证环节探索实施告知承诺制，实验动物生产许可证、使用许可证有效期满申请延续的，如申请单位承诺原许可范围及条件没有实质性变化，经形式审查后可直接作出许可决定。2.不再要求申请人提供营业执照复印件、工作人员体检证明、特殊工种证件复印件、经办人身份证复印件（含授权委托书）等材料。3.进一步压缩审批时间，从法定的20个工作日压缩到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1.开展“双随机、一公开”监管，发现违法违规行为要依法查处并公开结果。2.依法及时处理投诉举报。3.对初次申请的，在现场评估时进行合规性核查。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159</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教育部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省教育厅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实施中等及中等以下学历教育、学前教育、自学考试助学及其他文化教育的民办学校设立、变更和终止审批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中华人民共和国民办学校办学许可证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《中华人民共和国民办教育促进法》《中华人民共和国民办教育促进法实施条例》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省教育部门；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行政审批局；县（区）教育或行政审批部门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160</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教育部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省教育厅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实施专科教育的高等学校和其他高等教育机构的设立、分立、合并、变更和终止审批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中华人民共和国民办学校办学许可证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《中华人民共和国高等教育法》《中华人民共和国民办教育促进法》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省级人民政府或省教育厅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食盐定点批发企业审批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食盐定点批发企业证书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《食盐专营办法》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1.严格执行有关法律法规和标准，对食盐定点批发企业加强监管。2.加强信用监管，依法向社会公布食盐定点批发企业信用状况，依法依规对失信主体开展失信惩戒。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食盐定点生产企业审批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食盐定点生产企业证书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《食盐专营办法》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1.严格执行有关法律法规和标准，对食盐定点生产企业加强监管。2.加强信用监管，依法向社会公布食盐定点生产企业信用状况，依法依规对失信主体开展失信惩戒。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电信业务（基础电信业务）经营许可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《中华人民共和国电信条例》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1.加强政务信息共享共用，不再要求申请人提供营业执照、人员身份证明等材料。2.健全有关管理平台，提升审批服务水平。</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电信业务（第一类增值电信业务）经营许可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《中华人民共和国电信条例》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1.加强政务信息共享共用，不再要求申请人提供营业执照、人员身份证明等材料。2.健全有关管理平台，提升审批服务水平。</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电信业务（第二类增值电信业务）经营许可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《中华人民共和国电信条例》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1.加强政务信息共享共用，不再要求申请人提供营业执照、人员身份证明等材料。2.健全有关管理平台，提升审批服务水平。</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电子认证服务许可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电子认证服务许可证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《中华人民共和国电子签名法》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1.优化审批流程，将工业和信息化部审查和征求商务部意见两个环节由串联改为并联。2.将审批时限由45个工作日压减至40个工作日。</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1.开展“双随机、一公开”监管，按照不同业务类型、信用水平等，合理确定抽查比例。2.加强信用监管，依法依规对失信主体开展失信惩戒。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167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民用爆炸物品生产许可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民用爆炸物品生产许可证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《民用爆炸物品安全管理条例》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u w:val="none"/>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u w:val="none"/>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u w:val="none"/>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将审批时限由45个工作日压减至30个工作日。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1.加强行政执法，依法依规组织各级民爆行业主管部门实行全覆盖监管，发现违法违规行为要依法查处并公开结果。2.依法从严查处未经许可生产民用爆炸物品、利用现场混装炸药作业系统非法生产工业炸药的行为。3.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民用爆炸物品安全生产许可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民用爆炸物品安全生产许可证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《安全生产许可证条例》《民用爆炸物品安全管理条例》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1.将审批时限由45个工作日压减至10个工作日。2.将无需现场核查的业务办理项“审查“与”决定”环节合并，时限压缩至5工作日。3.将民用爆炸物品安全生产许可证年检制度改为年度报告制度。</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1.加强行政执法，依法依规实行全覆盖监管，开展民用爆炸物品行业安全生产专项督查，发现违法违规行为要依法查处并公开结果。2.及时处理投诉举报。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民用爆炸物品销售许可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民用爆炸物品销售许可证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审批时限由30个工作日压减至10个工作日。2.将无需现场核查的业务办理项“审查“与”决定”环节合并，时限压缩至5工作日。3.将民用爆炸物品销售许可证年检制度改为年度报告制度。4.取消申请许可时“从事配送业务的必须具备押运员、驾驶员以及符合特定的爆炸物品专用运输车辆”的要求。</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1.加强行政执法，依法依规实行全覆盖监管，发现违法违规销售民用爆炸物品（包括硝酸铵）行为要依法查处并公开结果。2.及时处理投诉举报。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互联网域名根服务器设置及其运行机构和注册管理机构的设立审批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1.开展“双随机、一公开”监管，发现违法违规行为要依法查处并公开结果。2.及时处理投诉举报。3.督促企业按照有关要求定期报送信息。4.利用技术手段提高监管有效性，及时处置违法违规行为。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设立互联网域名注册服务机构审批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1.开展“双随机、一公开”监管，发现违法违规行为要依法查处并公开结果。2.及时处理投诉举报。3.督促企业按照有关要求定期报送信息。4.利用技术手段提高监管有效性，及时处置违法违规行为。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道路机动车辆生产企业许可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公告</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《中华人民共和国道路交通安全法》《国务院对确需保留的行政审批项目设定行政许可的决定》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将产品参数变更扩展由审批改为备案，推行企业产品准入自检自证和系族车型管理。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1.开展“双随机、一公开”监管，发现违法违规行为要依法查处并公开结果。2.建立车辆信用信息管理体系，会同有关部门开展联合监管。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第二类监控化学品经营许可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第二类监控化学品经营许可证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《中华人民共和国监控化学品管理条例》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将审批时限由20个工作日压减至18个工作日。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1.开展“双随机、一公开”监管，依法查处违法违规经营活动并公开结果。2.加强信用监管，依法依规对失信主体开展失信惩戒。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第二、三类监控化学品和第四类监控化学品中含磷、硫、氟的特定有机化学品生产特别许可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监控化学品生产特别许可证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《中华人民共和国监控化学品管理条例》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1.将“第二、三类监控化学品和第四类监控化学品中含磷、硫、氟的特定有机化学品生产特别许可”由省工信厅初审、工业和信息化部审批，调整为省工信厅直接审批。2.不再要求申请人提供车间平面布置图。</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1.开展“双随机、一公开”监管，依法查处违法违规生产活动并公开结果。2.依法依规对失信主体开展失信惩戒。3.省工信厅定期将审批情况报工业和信息化部备案。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1.不再要求申请人提供相关人员工作经验证明和无故意犯罪记录证明等材料。2.将审批时限由30个工作日压减至20个工作日。3.制定公布办事指南，推广网上办理。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1.开展“双随机、一公开”监管、重点监管，及时处理投诉举报，依法查处违法违规行为。2.加强信用监管，建立企业信用档案并依法向社会公开信用记录，依法依规对失信主体开展失信惩戒。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爆破作业单位许可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爆破作业单位许可证（非营业）</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公安局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不再要求申请者提供爆破作业业绩证明、技术负责人从业经历证明、从业人员资格证明等材料。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1.开展“双随机、一公开”监管，依法查处违法违规行为。2.利用技术手段开展检查，发现不符合资质条件规定的依法处理。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营业性射击场设立许可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《中华人民共和国枪支管理法》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实行申请、审批全程网上办理。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民用枪支（弹药）制造许可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民用枪支（弹药）制造许可证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《中华人民共和国枪支管理法》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1.实行申请、审批全程网上办理。2.不再要求申请人提供技术鉴定文件。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民用枪支（弹药）配售许可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民用枪支（弹药）配售许可证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《中华人民共和国枪支管理法》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实行申请、审批全程网上办理。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弩的制造、销售、购置、进口、运输许可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1.实行申请、审批全程网上办理。2.不再要求申请人提供营业执照、无违法犯罪记录证明、批准立项文件。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计算机信息系统安全专用产品销售许可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计算机信息系统安全专用产品销售许可证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《中华人民共和国计算机信息系统安全保护条例》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1.不再要求申请人提供营业执照、商用密码产品型号证书等材料。2.将审批时限由15个工作日压减至10个工作日。3.实行申请、审批全程网上办理。4.停止收取产品首次检测费用。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每年组织开展网络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民政部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省民政厅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建设经营性公墓审批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《殡葬管理条例》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省民政厅；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1.加快殡葬信息化建设，推动实现审批全程网上办理。2.</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行政审批部门要将经营性公墓审批结果报省民政厅备案。</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殡葬设施规划，通过规划对殡葬设施进行总量控制。2.开展“双随机、一公开”监管，建立完善殡葬服务企业随机抽查事项清单，增强监管效能。3.强化公墓年检制度，对违规建设经营行为完善处罚机制和措施。4.推进跨部门联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设立免税场所事项审批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财政部会同国务院有关部门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1.网上公布审批程序、办理依据、申请条件、申请材料等信息。2.不再要求申请人提供特许经营费缴纳情况等材料。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1.建立健全部门间监管协调机制，依据职责分工加强联合监管。2.开展定期或不定期检查，发现违法违规行为交由有关部门依法查处。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会计师事务所设立审批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会计师事务所执业证书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《中华人民共和国注册会计师法》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1.实现申请、审批全程网上办理。2.将审批时限由30个工作日压减至15个工作日。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1.开展“双随机、一公开”监管，并根据会计师事务所受到处罚情况、其他部门移交线索、群众举报等实施重点监管。2.定期对会计师事务所符合执业许可情况开展专项检查。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设立民办普通、高级技工学校审批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办学许可证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《中华人民共和国民办教育促进法》《中华人民共和国民办教育促进法实施条例》《国务院对确需保留的行政审批项目设定行政许可的决定》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1.实现申请网上办理。2.不再要求申请人提供在登记注册等环节已经提交过的材料。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1.开展“双随机、一公开”监管。2.通过检查考核或投诉举报件专查等方式，进行有效监管，发现违法违规行为要依法查处并公开结果。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设立民办技师学院审批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办学许可证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《中华人民共和国民办教育促进法》《中华人民共和国民办教育促进法实施条例》《国务院对确需保留的行政审批项目设定行政许可的决定》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省级人民政府</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1.实现申请网上办理。2.不再要求申请人提供在登记注册等环节已经提交过的材料。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1.开展“双随机、一公开”监管。2.通过检查考核或投诉举报件专查等方式，进行有效监管，发现违法违规行为要依法查处并公开结果。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企业年金基金管理机构资格认定、延续认定（国家级）</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企业年金基金管理机构资格证书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1.每年更新发布存量情况，实时更新基金管理机构及资格变动情况。2.拟新增许可企业时，提前2个月在网上公布受理时间、受理条件、办理标准、本次增加数量等内容。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年金基金管理合同和养老金产品备案管理，依法依规对年金基金管理机构的市场行为进行日常监管。3.加强“互联网+监管”，通过跨部门联合监管等方式进行有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劳务派遣经营许可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劳务派遣经营许可证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《中华人民共和国劳动合同法》</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省人力资源社会保障部门；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行政审批局；县（区）人力资源社会保障或行政审批部门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1.加快实现申请、审批全程网上办理。2.不再要求申请人提供营业执照、企业名称预先核准通知书、法定代表人身份证明等材料。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1.开展“双随机、一公开”监管，发现违法违规行为要依法查处。2.加强信用监管，依法向社会公布劳务派遣企业信用状况，依法依规对失信主体开展失信惩戒。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以技能为主的国外职业资格证书及发证机构资格审核和注册</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1.审批权限由人力资源社会保障部下放至省人社厅。2.实现申请、审批全程网上办理。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开展“双随机、一公开”监管，对通过投诉举报等渠道反映问题多的机构实施重点监管，发现违法违规行为要依法查处并公开结果。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地质灾害危险性评估单位甲级资质审批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不再要求申请人提供设立单位批准文件、法定代表人和技术负责人简历、法定代表人任命和聘任文件、技术人员从事地质灾害防治技术工作5年以上证明文件等材料。</w:t>
            </w:r>
          </w:p>
        </w:tc>
        <w:tc>
          <w:tcPr>
            <w:tcW w:w="34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地质灾害治理工程勘查单位甲级资质审批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地质灾害治理工程设计单位甲级资质审批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地质灾害治理工程施工单位甲级资质审批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地质灾害治理工程监理单位甲级资质审批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地质灾害危险性评估单位乙级资质审批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不再要求申请人提供设立单位批准文件、法定代表人和技术负责人简历、法定代表人任命和聘任文件、技术人员从事地质灾害防治技术工作5年以上证明文件等材料。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地质灾害治理工程勘查单位乙级资质审批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地质灾害治理工程设计单位乙级资质审批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地质灾害治理工程施工单位乙级资质审批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地质灾害治理工程监理单位乙级资质审批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城乡规划编制单位甲级资质认定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《中华人民共和国城乡规划法》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1.修改完善城乡规划编制单位资质管理规定。2.实现申请、审批全程网上办理并在网上公布审批程序、受理条件、办理标准。3.将审批时限由20个工作日压减至15个工作日。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1.开展“双随机、一公开”监管，对违法违规行为要依法查处并公开结果。2.对有投诉举报和质量问题的企业实施重点监管。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勘查矿产资源审批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矿产资源勘查许可证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《中华人民共和国矿产资源法》《中华人民共和国矿产资源法实施细则》《矿产资源勘查区块登记管理办法》《探矿权采矿权转让管理办法》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不再要求申请人提供符合国家限制及政策调控申请条件等材料。积极探索采取委托等方式，将省自然资源厅负责的部分探矿权变更、延续、保留、注销登记等事项的审批权限下放至设区的</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级自然资源部门。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1.开展“双随机、一公开”监管，对违法违规探矿的要依法查处并公开结果。2.利用有关信息系统实现矿业权人勘查开采信息公示等，加强对探矿权人行为的监管。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开采矿产资源审批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采矿许可证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《中华人民共和国矿产资源法》《中华人民共和国矿产资源法实施细则》《矿产资源开采登记管理办法》《探矿权采矿权转让管理办法》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自然资源部；省自然资源部门；市规划和自然资源局；县（区）规划和自然资源部门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不再要求申请人提供符合国家限制及政策调控申请条件等材料。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1.开展“双随机、一公开”监管，对违法违规采矿的要依法查处并公开结果。2.利用有关信息系统实现矿业权人勘查开采信息公示等，加强对采矿权人行为的监管。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从事测绘活动的单位甲级资质审批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测绘资质证书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《中华人民共和国测绘法》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取消现行测绘资质10个专业类别下设的55个子项。将除导航电子地图制作以外的其余9个甲级测绘资质审批权限，由自然资源部下放至省自然资源厅。</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从事测绘活动的单位乙级资质审批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测绘资质证书</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《中华人民共和国测绘法》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取消现行测绘资质10个专业类别下设的55个子项。</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民用核材料许可证核准</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《中华人民共和国核材料管制条例》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1.将生态环境部门和其他有关部门对申请材料的审查从串联办理改为并联办理。2.将审批时限由180天压减至150天。</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1.出台核材料管制相关办法，明确监管规则，加强监管。2.将民用核材料使用单位全面纳入核安全例行监督检查范围，发现违法违规行为要依法查处并公开结果。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排污许可</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排污许可证</w:t>
            </w:r>
          </w:p>
        </w:tc>
        <w:tc>
          <w:tcPr>
            <w:tcW w:w="9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《中华人民共和国环境保护法》《中华人民共和国大气污染防治法》《中华人民共和国水污染防治法》《中华人民共和国土壤污染防治法》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省生态环境部门；市生态环境局；县（区）生态环境部门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通过建设项目行业特征表实现有关信息系统的衔接，推动环境影响评价与排污许可之间的信息共享，不再要求企业重复填报有关信息。</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无证排污行为和未按证排污行为。2.畅通投诉举报渠道，对反映问题多的排污单位实施重点监管。3.加强信用监管，将企业环境信用信息通过有关信息共享平台向各部门各地区共享，依法向社会公开信用信息，并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民用核安全设备设计单位许可证核发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民用核安全设备设计许可证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民用核安全设备制造单位许可证核发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民用核安全设备制造许可证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民用核安全设备安装单位许可证核发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民用核安全设备安装许可证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民用核安全设备无损检验单位许可证核发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民用核安全设备无损检验许可证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为境内民用核设施进行核安全设备设计、制造、安装和无损检验活动的境外单位注册登记审批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民用核安全设备活动境外单位注册登记确认书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1.严格执行相关法律法规规定，查处违法违规企业并向社会公开结果。2.依法及时处理举报、信访问题，对投诉举报和反映质量问题较多的企业实施重点监管。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生产放射性同位素（除医疗自用的短半衰期放射性药物外）许可证核发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辐射安全许可证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《中华人民共和国放射性污染防治法》《放射性同位素与射线装置安全和防护条例》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将场所等级属于乙级、丙级的生产放射性同位素单位的审批权限由生态环境部下放至省生态环境厅。</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1.严格执行有关法律法规和标准，开展“双随机、一公开”监管，发现违法违规问题严格依法处罚并公开结果。2.加强对有关生态环境部门人员的培训，提升监管能力。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销售、使用Ⅰ类放射源（医疗使用Ⅰ类放射源除外）和Ⅰ类射线装置单位的辐射安全许可证核发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辐射安全许可证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《中华人民共和国放射性污染防治法》《放射性同位素与射线装置安全和防护条例》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不再要求申请人提供生态环境部门批复的环境影响评价文件，改为生态环境部门之间信息共享获取。</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开展“双随机、一公开”监管，发现违法违规问题要严格依法查处并公开结果。2.省生态环境厅加强与生态环境部信息数据互联互通，方便获取有关信息。3.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医疗使用Ⅰ类放射源，制备正电子发射计算机断层扫描用放射性药物自用，销售、使用Ⅱ、Ⅲ、Ⅳ、Ⅴ类放射源，生产、销售和使用Ⅱ、Ⅲ类射线装置的单位的辐射安全许可证核发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辐射安全许可证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《中华人民共和国放射性污染防治法》《放射性同位素与射线装置安全和防护条例》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销售、使用Ⅳ、Ⅴ类放射源，生产、销售和使用Ⅱ、Ⅲ类射线装置单位的许可证核发由</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行政审批局承担。</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1.严格执行有关法律法规和标准，开展“双随机、一公开”监管，发现违法违规问题要严格依法查处并公开结果。2.加强对有关生态环境部门人员的培训，提升监管能力。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Ⅰ类放射性物品运输容器制造许可证核发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Ⅰ类放射性物品运输容器制造许可证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《放射性物品运输安全管理条例》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放射性污染监测机构资质认定（国家级权限）</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放射性污染监测资质许可证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定期向社会公开放射性污染监测机构存量情况，方便有关企业委托开展业务，接受社会监督。</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1.完善放射性监测机构制度管理体系。2.生态环境部门会同有关部门加强对各类放射性监测机构的监督检查。3.推动企业信息公开，加强社会监督。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设立专门从事放射性固体废物贮存、处置单位许可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放射性固体废物贮存、处置许可证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1.实现申请、审批全程网上办理。2.将放射性固体废物贮存、处置许可与设施的安全许可审查合并进行，不再要求申请人重复提交材料。3.将审批时限由20个工作日压减至18个工作日。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1.严格按照相关的法律法规和标准开展工作，强化日常监督管理。2.开展“双随机、一公开”监管，对存在违规违法行为的企业依法调查处理并公开结果。3.及时处理举报、投诉或信访案件。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危险废物综合经营许可证核发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危险废物经营许可证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《中华人民共和国固体废物污染环境防治法》《危险废物经营许可证管理办法》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行政审批局；县（区）生态环境或行政审批部门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畅通投诉举报渠道，依法及时处理有关投诉举报，并公开结果。3.要求危险废物经营单位定期报告有关经营活动环境污染防治情况，将违规经营情况纳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废弃电器电子产品处理企业资格审批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废弃电器电子产品处理资格证书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《废弃电器电子产品回收处理管理条例》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不再要求申请人提供所在地生态环境部门出具的经营期间守法证明和监督性监测报告及建设项目工程质量、消防和安全验收的证明材料。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1.开展“双随机、一公开”监管，合理确定抽查比例。2.对失信主体强化信用约束，依法查处违规经营等行为并记入信用记录，依法向社会公开。3.发挥行业协会自律作用。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危险化学品进出口环境管理登记证核发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有毒化学品进（出）口环境管理放行通知单</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会同有关部门进一步缩减《中国严格限制的有毒化学品名录》范围，使企业进出口更多种类的危险化学品时不再需要办理进出口环境管理登记证。</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1.开展“双随机、一公开”监管，合理确定抽查比例。2.对失信主体实施重点监管，依法查处违规经营等行为并记入信用记录，依法向社会公开。3.依法及时处理投诉举报。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新化学物质环境管理登记证核发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新化学物质环境管理登记证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调整新化学物质申报登记所需的毒理学、生态毒理学最低数据要求，减轻企业负担。</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1.开展“双随机、一公开”监管。2.对失信主体强化信用约束，实施重点监管，依法查处违规经营行为并记入信用记录。3.加强行业自律和社会监督。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房地产开发企业一级资质核定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《中华人民共和国城市房地产管理法》《城市房地产开发经营管理条例》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1.开展“双随机、一公开”监管，依法查处违法违规行为并公开结果。2.加强信用监管，依法依规对失信主体开展失信惩戒。3.发挥行业协会自律作用。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房地产开发企业二级资质核定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《中华人民共和国城市房地产管理法》《城市房地产开发经营管理条例》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省住房城乡建设部门；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行政审批局；县（区）住房城乡建设或行政审批部门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1.开展“双随机、一公开”监管，依法查处违法违规行为并公开结果。2.加强信用监管，依法依规对失信主体开展失信惩戒。3.发挥行业协会自律作用。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建设工程质量检测机构资质核准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建设工程质量检测机构资质证书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1.实行电子化申报和审批。2.加快推动信息共享，不再要求申请人提供人员身份证明、社保证明、资质资格证书等材料。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1.开展“双随机、一公开”监管，依法查处违法违规行为并公开结果。2.加强信用监管，依法向社会公布建设工程质量检测机构信用状况，依法依规对失信主体开展失信惩戒。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燃气经营许可证核发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燃气经营许可证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《城镇燃气管理条例》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省燃气管理部门；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行政审批局；县（区）燃气管理或行政审批部门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1.实行电子化申报和审批。2.不再要求申请人提供人员身份证明、社保证明、资质资格证书等材料。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1.开展“双随机、一公开”监管，通过信息公示、抽查、抽验等方式，综合运用提醒、约谈、告诫等手段，依法查处违法违规行为并公开结果。2.加强信用监管，依法依规对失信主体开展失信惩戒。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建设工程勘察企业资质认定（综合资质）</w:t>
            </w:r>
          </w:p>
        </w:tc>
        <w:tc>
          <w:tcPr>
            <w:tcW w:w="94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工程勘察资质证书</w:t>
            </w:r>
          </w:p>
        </w:tc>
        <w:tc>
          <w:tcPr>
            <w:tcW w:w="9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建设工程勘察企业资质认定（专业甲级）</w:t>
            </w:r>
          </w:p>
        </w:tc>
        <w:tc>
          <w:tcPr>
            <w:tcW w:w="94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工程勘察资质证书</w:t>
            </w:r>
          </w:p>
        </w:tc>
        <w:tc>
          <w:tcPr>
            <w:tcW w:w="9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1.精简申报材料，实行电子化申报和审批。2.加快推动信息共享，不再要求申请人提供人员身份证明、社保证明、企业资质和注册人员资格证书等材料。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建设工程设计企业资质认定（综合资质，部分行业甲级及部分专业甲级）</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1.精简申报材料，实行电子化申报和审批。2.不再要求申请人提供人员身份证明、社保证明、企业资质和注册人员资格证书等材料。</w:t>
            </w:r>
          </w:p>
          <w:p>
            <w:pPr>
              <w:pStyle w:val="2"/>
              <w:spacing w:line="320" w:lineRule="exact"/>
              <w:rPr>
                <w:rFonts w:hint="eastAsia" w:ascii="仿宋" w:hAnsi="仿宋" w:eastAsia="仿宋" w:cs="仿宋"/>
                <w:color w:val="auto"/>
                <w:sz w:val="18"/>
                <w:szCs w:val="18"/>
              </w:rPr>
            </w:pP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建设工程设计企业资质认定（部分行业甲级、乙级，部分专业甲级、乙级，事务所）</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1.精简申报材料，实行电子化申报和审批。2.加快推动信息共享，不再要求申请人提供人员身份证明、社保证明、企业资质和注册人员资格证书等材料。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施工企业资质认定（综合资质，部分施工总承包甲级、乙级，部分专业承包）</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《中华人民共和国建筑法》《建设工程安全生产管理条例》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工程监理企业资质认定（综合资质，部分专业甲级）</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公路工程专业甲级监理资质认定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1.实现申请、审批全程网上办理并在网上公布认定条件、办理流程、审查要点，公开办理进度。2.不再要求申请人提供营业执照和业绩证明材料。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经营国内船舶管理业务审批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国内船舶管理业务经营许可证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1.实现办理审批“最多跑一次”。2.不再要求申请人提供营业执照等材料。3.将审批时限由20个工作日压减至10个工作日。</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诚信状况差、投诉举报多、受处罚警告多的经营主体提高抽查比例。2.依法及时处理投诉举报。3.加强对管辖范围内船舶管理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外商投资企业经营沿海、江河、湖泊及其他通航水域水路运输审批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省水路运输部门；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交通局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1.实现办理审批“最多跑一次”。2.不再要求申请人提供营业执照，在线获取营业执照等材料。3.将审批时限由20个工作日压减至10个工作日。</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诚信状况差、投诉举报多、受处罚警告多的经营主体提高抽查比例。2.依法及时处理投诉举报。3.加强对管辖范围内水路运输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公路工程专业公路机电工程专项监理资质认定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1.实现申请、审批全程网上办理并在网上公布认定条件、办理流程、审查要点，公开办理进度。2.不再要求申请人提供营业执照和业绩证明材料。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公路工程专业特殊独立大桥专项监理资质认定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1.实现申请、审批全程网上办理并在网上公布认定条件、办理流程、审查要点，公开办理进度。2.不再要求申请人提供营业执照和业绩证明材料。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公路工程专业特殊独立隧道专项监理资质认定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1.实现申请、审批全程网上办理并在网上公布认定条件、办理流程、审查要点，公开办理进度。2.不再要求申请人提供营业执照和业绩证明材料。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省际旅客、危险品货物水路运输许可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诚信状况差、投诉举报多、受处罚警告多的经营主体提高抽查比例。2.依法及时处理投诉举报。3.加强对省内水路运输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设立引航机构审批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1.在网上公布审批条件和办理流程。2.将审批时限由20个工作日压减至15个工作日。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加强信用监管，依法依规建立健全诚信管理制度，依法及时向社会公布引航机构信用状况，对不严格执行引航安全标准规范的引航活动要依法及时处理。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设立验船机构审批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《中华人民共和国船舶和海上设施检验条例》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1.开展“双随机、一公开”监管，发现违法违规行为要依法查处并公开结果。2.加强信用监管，依法向社会公布验船机构信用状况，依法依规对失信主体开展失信惩戒。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国际班轮运输业务经营审批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国际班轮运输经营资格登记证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《中华人民共和国国际海运条例》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1.实现申请、审批全程网上办理，及时完善更新办事指南并在网上公布审批程序、受理条件和办理标准。2.不再要求申请人提供营业执照等材料。3.将审批时限由30个工作日压减至15个工作日。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1.开展“双随机、一公开”监管，发现违法违规行为要依法查处并公开结果。2.依法向社会公开信用记录，对严重失信主体开展失信惩戒。3.发挥行业协会自律作用。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国际客船、散装液体危险品船运输业务经营审批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国际船舶运输经营许可证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《中华人民共和国国际海运条例》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1.开展“双随机、一公开”监管，发现违法违规行为要依法查处并公开结果。2.依法依规对严重失信主体开展失信惩戒。3.发挥行业协会自律作用。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从事大陆与台湾间海上运输业务许可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台湾海峡两岸间水路运输许可证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公布审批程序、受理条件和办理标准，公开办理进度。2.不再要求大陆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1.加强港口、航运、海事部门之间的协作，实施联合监管。2.通过抽查等方式加强对地方港口、航运部门监管工作的监督检查，及时纠正问题。3.加强信用监管，依法依规对严重失信主体开展失信惩戒。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培训机构从事船员、引航员培训业务审批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船员培训许可证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《中华人民共和国船员条例》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取消现场核验环节，在审批过程中不再到培训机构进行现场核验。</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公路养护作业单位资质审批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公路养护作业资质证书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《公路安全保护条例》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1.开展“双随机、一公开”监管，发现违法违规行为要依法查处并公开结果。2.通过“互联网+监管”，加强对企业投标及履约行为的监管。3.加强信用监管，拓展信用评价结果应用范围，依法依规实行失信惩戒。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246</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道路旅客运输经营许可</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行政审批局：县（区）交通运输或行政审批部门</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不再要求申请人提供企业章程，现有营运客车行驶证、车辆技术等级评定结论、客车类型等级评定证明，已聘用或者拟聘用驾驶人员的3年内无重大以上交通责任事故证明等材料。</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1.强化部门间信息共享。2.加强社会监督，向社会公开道路旅客运输企业的运输服务质量承诺，依法及时处理投诉举报。3.加强对道路旅客运输活动的监督检查，发现违法违规行为要依法查处。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247</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危险货物运输经营许可</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不再要求申请人提供营业执照等材料。</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1.强化部门间信息共享，实施跨部门联合监管，强化危险货物道路运输全过程安全管理。2.发挥行业协会自律作用。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放射性物品道路运输经营许可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《中华人民共和国道路运输条例》《放射性物品运输安全管理条例》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1.强化部门间信息共享，实施跨部门联合监管，强化放射性物品道路运输全过程安全管理。2.发挥行业协会自律作用。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国际道路旅客运输许可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1.加强部门间信息共享和联合监管，通过信息化手段对从业人员、运输车辆进行监督管理。2.依托北斗卫星导航系统车载终端，加强对有关车辆的动态监控。3.依法及时处理投诉举报。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出租汽车经营许可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道路运输经营许可证、网络预约出租汽车经营许可证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直辖市交通运输部门或者同级人民政府指定的出租汽车行政主管部门；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行政审批局；县（区）交通运输或行政审批部门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1.开展服务质量信誉考核测评，建立出租汽车经营者信用档案并依法向社会公开信用记录，依法依规对失信主体开展失信惩戒。2.依法及时处理投诉举报。3.发挥行业协会自律作用。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出租汽车车辆运营证核发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道路运输证、网络预约出租汽车运输证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直辖市交通运输部门或者同级人民政府指定的出租汽车行政主管部门；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行政审批局；县（区）交通运输或行政审批部门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对开展出租汽车技术等级评定的地区，不再要求申请人提供技术等级评定相关材料，直接向检测机构获取车辆技术等级评定信息。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1.开展服务质量信誉考核测评，建立出租汽车经营者信用档案并依法向社会公开信用记录，依法依规对失信主体开展失信惩戒。2.依法及时处理投诉举报。3.发挥行业协会自律作用。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从事海员外派业务审批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海洋船舶船员服务机构资质证书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《对外劳务合作管理条例》《中华人民共和国船员条例》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交通运输部直属海事局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1.开展“双随机、一公开”监管，发现违法违规行为要依法查处并公开结果。2.加强信用监管，依法向社会公布有关企业信用记录，依法依规对失信主体开展失信惩戒。3.依法及时处理投诉举报。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水利工程建设监理单位甲级资质认定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水利工程建设监理单位资质等级证书（甲级）</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1.实现申请、审批全程网上办理。2.不再要求申请人提供营业执照复印件、有关人员资格证明等材料。3.直接邮寄或由企业自取证书，实现企业“最多跑一次”。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水利工程建设监理单位乙级资质认定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水利工程建设监理单位资质等级证书（乙级）</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1.实现申请、审批全程网上办理。2.不再要求申请人提供营业执照复印件、有关人员资格证明等材料。3.直接邮寄或由企业自取证书，实现企业“最多跑一次”。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水利工程质量检测单位资质认定（甲级）</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水利工程质量检测单位资质等级证书（甲级）</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1.实现申请、审批全程网上办理。2.不再要求申请人提供营业执照复印件、有关人员资格证明等材料。3.直接邮寄或由企业自取证书，实现企业“最多跑一次”。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依法及时处理投诉举报。3.加强信用监管，依法向社会公布水利工程质量检测单位（甲级）信用状况，依法依规建立行业黑名单制度，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河道（含长江）采砂许可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河道采砂许可证、长江河道采砂许可证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《中华人民共和国水法》《中华人民共和国河道管理条例》《长江河道采砂管理条例》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长江水利委员会；有关流域管理机构；省水利部门；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lang w:val="en-US" w:eastAsia="zh-CN"/>
              </w:rPr>
              <w:t>行政审批局</w:t>
            </w:r>
            <w:r>
              <w:rPr>
                <w:rFonts w:hint="eastAsia" w:ascii="仿宋" w:hAnsi="仿宋" w:eastAsia="仿宋" w:cs="仿宋"/>
                <w:color w:val="auto"/>
                <w:kern w:val="0"/>
                <w:sz w:val="18"/>
                <w:szCs w:val="18"/>
              </w:rPr>
              <w:t>；县（区）水利或行政审批部门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河道采砂规划编制审批，实行年度采量控制，及时向社会公布可采区、可采期、可采量。2.对公益性采砂减少审批环节，对符合相关工程建设项目程序的，不再同时开展河道（含长江）采砂行政许可。3.采取灵活的许可实施方式，各地可结合实际采取招标等公平竞争的方式实施许可。4.鼓励和支持河砂统一开采管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落实河道采砂管理河长、水行政主管部门、现场监管和行政执法四方责任。2.开展“四不两直”暗访，加强对采砂情况的监督检查。3.长江干流实行砂石采运管理单制度，加强采砂现场及运输环节监管。4.运用卫星遥感、卫星导航定位、视频监控、无人机等技术手段进行动态监控。5.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取水许可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取水许可证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《中华人民共和国水法》《取水许可和水资源费征收管理条例》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流域管理机</w:t>
            </w:r>
          </w:p>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构；省水利部门；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行政审批局；县（区）水利或行政审批部门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各类开发区、工业园区、新区和其他有条件的区域，推行水资源论证区域评估，对已实施水资源论证区域评估范围内的建设项目推行取水许可告知承诺制。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取水单位和个人取用水、有关技术单位编制报告中存在违法行为的，要依法查处并向社会公开。2.加强信用监管，将取水单位和个人的相关违法信息纳入社会征信体系，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生鲜乳收购站许可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生鲜乳收购许可证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《乳品质量安全监督管理条例》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1.开展“双随机、一公开”监管，发现违法违规行为要依法查处并公开结果。2.加强对生鲜乳收购站的监管，将其全部纳入监管监测信息系统，实时掌握收购、运营情况。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水产原种场的水产苗种生产许可证核发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农作物种子、食用菌菌种生产经营许可证核发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农作物种子、食用菌菌种生产经营许可证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进出口农作物种子审批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动植物苗种进（出）口审批表</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向社会公布进出口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食用菌菌种进出口审批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动植物苗种进（出）口审批表</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农作物种子生产经营（外商投资企业）许可证核发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1.实现申请、受理网上办理。2.不再要求申请人提供种子检验、加工等设备清单和购置发票复印件。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依法向社会公布外商投资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农作物种子生产经营（进出口）许可证核发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农作物种子生产经营许可证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1.实现申请、受理网上办理。2.不再要求申请人提供种子检验、加工等设备清单和购置发票复印件。</w:t>
            </w:r>
          </w:p>
        </w:tc>
        <w:tc>
          <w:tcPr>
            <w:tcW w:w="3454" w:type="dxa"/>
            <w:tcBorders>
              <w:tl2br w:val="nil"/>
              <w:tr2bl w:val="nil"/>
            </w:tcBorders>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依法向社会公布进出口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农作物种子质量检验机构资格认定</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农作物种子质量检验机构考核证书</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食用菌菌种质量检验机构资格认定</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食用菌菌种质量检验机构考核证书</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转基因农作物种子生产经营许可证核发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转基因农作物种子生产经营许可证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《中华人民共和国种子法》《农业转基因生物安全管理条例》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转基因种畜禽生产经营许可证核发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转基因种畜禽生产经营许可证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1.加强行业监测，将风险隐患较多的企业列入重点监管对象，确保不发生重大风险。2.依法及时处理投诉举报，并将调查处理结果向社会公开。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转基因水产苗种生产经营许可证核发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转基因水产苗种生产经营许可证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1.开展“双随机、一公开”监管，发现违法违规行为要依法查处。2.对风险等级高、投诉举报多的企业实施重点监管。3.依法及时处理举报、投诉问题，处理结果依法向社会公开并记入企业信用记录。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农业转基因生物加工审批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农业转基因生物加工许可证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不再要求申请人提供加工原料的《农业转基因生物安全证书》复印件。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1.开展“双随机、一公开”监管，发现违法违规行为要依法查处并公开结果。2.畅通投诉举报渠道，及时调查处理并将处理结果向社会公开。3.加强行业自律。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highlight w:val="none"/>
              </w:rPr>
              <w:t>271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种畜禽生产经营许可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种畜禽生产经营许可证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《中华人民共和国畜牧法》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蜂种生产经营许可证核发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蜂种生产经营许可证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《中华人民共和国畜牧法》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蚕种生产经营许可证核发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蚕种生产经营许可证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《中华人民共和国畜牧法》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农产品质量安全检测机构资格认定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农产品质量安全检测机构考核合格证书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《中华人民共和国农产品质量安全法》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合理确定抽查比例。2.对精简的材料及其证明事项，在现场评审或监督检查中予以重点核查，发现虚假或不符合条件的机构要依法处理。3.加强监测，针对发现的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农药登记试验单位认定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农药登记试验单位证书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1.实现申请、审批网上办理。2.不再要求申请人同时提供申请材料的纸质文件和电子文档。</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及时处理有关投诉举报，调查处理结果向社会公开。3.加强信用监管，向社会公布农药登记试验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1.实现申请、审批网上办理。2.不再要求申请人同时提供申请材料的纸质文件和电子文档。</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行业监测，畅通投诉举报渠道，将风险隐患、投诉举报较多的企业列入重点监管对象。3.加强信用监管，依法向社会公布农药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农药登记</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1.开展“双随机、一公开”监管，发现违法违规行为要依法查处。2.及时处理有关投诉举报，调查处理结果向社会公开。3.加强信用监管，依法向社会公布有关单位信用状况，依法依规对失信主体开展失信惩戒。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肥料登记（除大量元素水溶肥料、中量元素水溶肥料、微量元素水溶肥料、农用氯化钾镁、农用硫酸钾镁、复混肥料、掺混肥料外）</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《中华人民共和国农业法》《中华人民共和国农产品质量安全法》《中华人民共和国土壤污染防治法》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1.在肥料首次登记和变更登记时，不再要求申请人提供肥料产品登记申请单。2.在续展登记时，不再要求申请人提供肥料产品登记申请单和加盖申请人公章的肥料登记证复印件。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从事饲料、饲料添加剂生产的企业审批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饲料生产许可证、饲料添加剂生产许可证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《饲料和饲料添加剂管理条例》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不再要求申请人提供人员资质证明、营业执照等材料。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生猪定点屠宰厂（场）设置审查</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生猪定点屠宰证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《生猪屠宰管理条例》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县人民政府</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不再要求申请人提供动物防疫条件合格证和符合环境保护要求的污染防治设施清单及相关证明材料。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采集、出售、收购国家二级保护野生植物（农业类）审批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国家重点保护野生植物采集许可证，出售、收购国家二级保护野生植物许可文件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《中华人民共和国野生植物保护条例》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依规对失信主体开展失信惩戒。3.对风险等级较高、信用等级较低的企业实施重点监管。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282</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人工繁育国家重点保护水生野生动物审批</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中华人民共和国水生野生动物人工繁育许可证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《中华人民共和国野生动物保护法》</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1.开展“双随机、一公开”监管，发现违法违规行为要依法查处并公开结果。2.对风险等级较高、信用等级较低的企业实施重点监管。3.依法及时处理投诉举报。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出售、购买、利用国家重点保护水生野生动物及其制品审批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中华人民共和国水生野生动物经营利用许可证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1.开展“双随机、一公开”监管，发现违法违规行为要依法查处并公开结果。2.对风险等级较高、信用等级较低的企业实施重点监管。3.依法及时处理投诉举报。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兽药生产许可证核发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1.实现申请、审批网上办理。2.将审批时限由40个工作日压减至35个工作日。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兽药经营许可证核发（生物制品类）</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1.实现申请、审批网上办理，提高服务便民化水平。2.将审批时限由30个工作日压减至25个工作日。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1.开展“双随机、一公开”监管，对风险等级高、投诉举报多的企业增加抽检数量和频次，实施重点监管。2.强化社会监督，依法及时处理举报、投诉问题，调查处理结果向社会公开。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重要水产苗种进出口审批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动植物苗种进（出）口审批表</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水产苗种进出口审批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水产苗种进出口审批表</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渔业捕捞许可证审批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渔业捕捞许可证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1.实现全国一网通办。2.对能够通过有关信息系统或者部门间信息共享核查的证明材料，不再要求申请人提供。</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1.开展“双随机、一公开”监管，发现违法违规行为要依法查处并及时公布查处结果。2.强化社会监督，依法及时处理投诉举报，调查处理结果向社会公开。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渔业捕捞许可证核发（涉外渔业）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渔业捕捞许可证（涉外渔业）</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1.实现申请、审批全程网上办理。2.对能够通过有关信息系统或者部门间信息共享核查的证明材料，不再要求申请人提供。</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1.开展“双随机、一公开”监管，发现违法违规行为要依法查处并及时公布查处结果。2.强化社会监督，依法及时处理投诉举报，调查处理结果向社会公开。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远洋渔业审批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远洋渔业项目审批通知</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《中华人民共和国渔业法》《中华人民共和国渔业法实施细则》</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不再要求申请人提供营业执照、渔业船舶检验证书、渔业船舶登记证等材料，通过部门间信息共享获取相关信息。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水域滩涂养殖证核发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水域滩涂养殖证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市</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县人民政府</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援外项目实施企业资格认定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资格认定批件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对纳税信用等级为A级的申请企业，不再要求提供税务部门出具的完税证明。</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1.建立援外项目实施企业信用记录，依法依规对失信主体开展失信惩戒。2.开展重点审计，对重点关注企业、重点项目实施企业进行审计。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对外劳务合作经营资格核准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对外劳务合作经营资格证书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《中华人民共和国对外贸易法》《对外劳务合作管理条例》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成品油零售经营资格审批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成品油零售经营批准证书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取消申请企业提交成品油供应渠道法律文件相关要求。</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eastAsia="zh-CN"/>
              </w:rPr>
              <w:t>指定</w:t>
            </w:r>
            <w:r>
              <w:rPr>
                <w:rFonts w:hint="eastAsia" w:ascii="仿宋" w:hAnsi="仿宋" w:eastAsia="仿宋" w:cs="仿宋"/>
                <w:color w:val="auto"/>
                <w:kern w:val="0"/>
                <w:sz w:val="18"/>
                <w:szCs w:val="18"/>
              </w:rPr>
              <w:t>部门严格落实行业监管职责。要求有关企业建立购销和出入库台账制度。开展“双随机、一公开”监管、信用监管，发现违法违规行为要依法处理或者提请有关部门予以查处。2.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eastAsia="zh-CN"/>
              </w:rPr>
              <w:t>登记</w:t>
            </w:r>
            <w:r>
              <w:rPr>
                <w:rFonts w:hint="eastAsia" w:ascii="仿宋" w:hAnsi="仿宋" w:eastAsia="仿宋" w:cs="仿宋"/>
                <w:color w:val="auto"/>
                <w:kern w:val="0"/>
                <w:sz w:val="18"/>
                <w:szCs w:val="18"/>
              </w:rPr>
              <w:t>部门要将新登记经营范围涉及成品油零售的企业信息推送至有关部门。商务部门要将改革前取得许可的成品油零售企业信息推送至有关部门。</w:t>
            </w:r>
            <w:r>
              <w:rPr>
                <w:rFonts w:hint="eastAsia" w:ascii="仿宋" w:hAnsi="仿宋" w:eastAsia="仿宋" w:cs="仿宋"/>
                <w:color w:val="auto"/>
                <w:kern w:val="0"/>
                <w:sz w:val="18"/>
                <w:szCs w:val="18"/>
                <w:lang w:eastAsia="zh-CN"/>
              </w:rPr>
              <w:t>指定</w:t>
            </w:r>
            <w:r>
              <w:rPr>
                <w:rFonts w:hint="eastAsia" w:ascii="仿宋" w:hAnsi="仿宋" w:eastAsia="仿宋" w:cs="仿宋"/>
                <w:color w:val="auto"/>
                <w:kern w:val="0"/>
                <w:sz w:val="18"/>
                <w:szCs w:val="18"/>
              </w:rPr>
              <w:t>部门要将发现的超经营范围经营或者无照经营信息推送至有关部门。有关部门要充分运用共享信息，加强监管执法。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进出口国营贸易经营资格认定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《中华人民共和国对外贸易法》《中华人民共和国货物进出口管理条例》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商务部（部分品种需会同国务院有关部门）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推动压减申请材料，优化审批流程。</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及时公布检查情况，发现问题向企业提出整改要求并跟踪整改结果，发现违法行为依法实施行政处罚，将查处结果纳入企业信用记录。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供港澳活畜禽经营权审批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《中华人民共和国货物进出口管理条例》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1.审批时不再征求海关总署和中国食品土畜进出口商会意见。2.不再要求申请人提供海关总署供港澳活畜禽备案养殖场资格证书。</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1.推进部门间信息共享和协同监管体系建设。2.加强信用监管，将供港澳活畜禽企业经营情况记入信用记录，依法依规实施失信惩戒。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报废机动车回收（拆解）企业资质认定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资质认定书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《报废机动车回收管理办法》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不再将注册资本、场地面积、企业从业人员人数等作为报废机动车回收（拆解）企业资质认定条件。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1.加强部门间信息共享和协同监管。2.市县商务部门会同相关部门开展“双随机、一公开”监管，对投诉举报多的单位实施重点监管。3.发挥行业协会自律作用。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直销企业及其分支机构设立和变更审批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直销经营许可证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《直销管理条例》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1.制定并公开办事指南，在网上公开审批依据、申请条件、申请材料、办理流程和办理结果。2.推进“互联网+政务服务”，推动部门间信息共享应用。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1.探索建立以信用监管为基础的行业监管体制。2.配合有关部门做好对严重违法违规企业的查处。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互联网上网服务营业场所经营单位设立审批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网络文化经营许可证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县（区）文化旅游或行政审批部门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1.取消总量限制和布局要求。2.取消对互联网上网服务营业场所的计算机数量限制。3.不再要求申请人提供资金信用证明等材料。4.将审批时限由20个工作日压减至13个工作日。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歌舞娱乐场所设立审批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县（区）文化旅游或行政审批部门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外商投资娱乐场所设立审批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302</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经营性互联网文化单位设立审批</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网络文化经营许可证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1.实现申请、审批全程网上办理。2.将审批时限由20个工作日压减至13个工作日。3.网上公布审批程序、受理条件、办理标准，公开办理进度。</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设立社会艺术水平考级机构审批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社会艺术水平考级资格证书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1.不再要求申请人提供营业执照、收费项目和标准等材料。2.将专家论证环节由3个月压减至1个月。</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对艺术水平考级行业的监测，针对发现的普遍性问题和突出风险开展专项检查。3.加强信用监管，依法向社会公布艺术水平考级机构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演出经纪机构设立审批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外商投资演出场所经营单位设立审批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港、澳地区投资者在内地投资设立合资、合作、独资经营的演出场所经营单位审批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台湾地区投资者在大陆投资设立合资、合作经营的演出场所经营单位审批</w:t>
            </w:r>
          </w:p>
        </w:tc>
        <w:tc>
          <w:tcPr>
            <w:tcW w:w="94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外商投资演出经纪机构设立审批</w:t>
            </w:r>
          </w:p>
        </w:tc>
        <w:tc>
          <w:tcPr>
            <w:tcW w:w="94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港、澳地区投资者在内地投资设立合资、合作、独资经营的演出经纪机构的审批</w:t>
            </w:r>
          </w:p>
        </w:tc>
        <w:tc>
          <w:tcPr>
            <w:tcW w:w="94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台湾地区投资者在大陆投资设立合资、合作经营的演出经纪机构的审批</w:t>
            </w:r>
          </w:p>
        </w:tc>
        <w:tc>
          <w:tcPr>
            <w:tcW w:w="941"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港、澳服务提供者在内地设立内地方控股合资演出团体审批</w:t>
            </w:r>
          </w:p>
        </w:tc>
        <w:tc>
          <w:tcPr>
            <w:tcW w:w="941"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《营业性演出管理条例》《内地与香港关于建立更紧密经贸关系的安排》《内地与澳门关于建立更紧密经贸关系的安排》</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外商投资旅行社业务许可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1.实现申请、审批全程网上办理。2.网上公布审批程序、受理条件、办理标准，公开办理进度。</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旅行社经营出国旅游业务审批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《中华人民共和国旅游法》《旅行社条例》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1.实现申请、审批全程网上办理。2.网上公布审批程序、受理条件、办理标准，公开办理进度。</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旅行社经营赴港澳旅游业务审批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《中华人民共和国旅游法》《旅行社条例》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1.实现申请、审批全程网上办理。2.网上公布审批程序、受理条件、办理标准，公开办理进度。</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1.开展“双随机、一公开”监管，发现未经许可经营旅行社业务，出租、出借、转让业务经营许可证，未经许可经营出境旅游等违法违规行为要依法查处。2.加强信用监管，依法依规对失信主体开展失信惩戒。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旅行社经营边境游资格审批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《中华人民共和国旅游法》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1.实现申请、审批全程网上办理。2.网上公布审批程序、受理条件、办理标准，公开办理进度。</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未经许可经营边境旅游业务等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饮用水供水单位卫生许可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卫生许可证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《中华人民共和国传染病防治法》</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不再要求申请人提供从业人员健康体检合格证明。</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1.开展“双随机、一公开”监管，发现违法违规行为要依法查处。2.强化部门协同监管，卫生健康部门向供水主管部门通报饮用水供水单位监督检查情况。3.畅通投诉举报渠道，依法及时处理投诉举报。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个人剂量监测、放射防护器材和含放射性产品检测、医疗机构放射性危害评价等技术服务机构认定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放射卫生技术服务机构资质证书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不再要求申请人提供单位简介、质量管理手册和程序文件目录等材料。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设置戒毒医疗机构或者医疗机构从事戒毒治疗业务许可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医疗机构执业许可证（副本备注“戒毒医疗服务”）</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《中华人民共和国禁毒法》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1.对医疗机构开展定期校验，对医疗机构的戒毒治疗活动加强监督，发现问题要及时依法处理。2.加强对戒毒诊疗新技术、新项目的临床管理。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医疗机构开展人类辅助生殖技术许可</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医疗机构开展人类辅助生殖技术许可批件</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《国务院对确需保留的行政审批项目设定行政许可的决定》《计划生育技术服务管理条例》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指导省卫健委每半年1次向社会公布已取得人类辅助生殖技术许可的医疗机构名单，以及本省（区、市）人类辅助生殖技术应用规划落实情况，并在接到新的申请后1个月内向社会公开申请机构信息。</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有关信息系统，及时更新公布人类辅助生殖技术服务机构相关信息。2.建立健全质量控制体系，加强质量安全管理。3.开展“双随机、一公开”监管，发现违法违规行为要依法查处并公开结果。4.加强行业自律和社会监督。5.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母婴保健专项技术服务许可</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母婴保健技术服务执业许可证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《中华人民共和国母婴保健法》《中华人民共和国母婴保健法实施办法》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县行政审批局</w:t>
            </w: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将开展婚前医学检查、产前移植肾破裂母婴保健专项技术服务机构审批权限下放至县级行政审批部门。</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母婴保健专项技术质量控制。2.开展“双随机、一公开”监管，发现违法违规行为要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医疗机构人体器官移植执业资格认定审批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医疗机构执业许可证（人体器官移植诊疗科目登记）</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《人体器官移植条例》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1.实现网上提交申请材料。2.将专家评审时限由90天压减至60天。</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省卫健委审批行为接受国家卫生健康委监管。2.健全以信息化监管为主、随机飞行检查为辅的监管机制，针对薄弱领域和存在的问题进行重点监管。3.会同有关部门完善防范打击组织出卖人体器官违法犯罪数据资源共享机制和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医疗机构（三级医院、三级妇幼保健院、急救中心、急救站、临床检验中心、中外合资合作医疗机构、港澳台独资医疗机构）设置审批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设置医疗机构批准书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省卫生健康部门；市卫健委；县（区）卫生健康或行政审批部门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加快推广电子化审批。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1.对医疗机构开展定期校验，加强对医疗机构执业活动的监管，发现违法违规行为要依法查处并公开结果。2.组织开展医疗机构评审。3.依法及时处理投诉举报。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320" w:lineRule="exact"/>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医疗机构（不含诊所）执业登记</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医疗机构执业许可证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1.取消医疗机构验资证明。2.实现医疗机构电子化注册登记。</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1.对医疗机构开展定期校验，加强对医疗机构执业活动的监管，发现违法违规行为要依法查处并公开结果。2.组织开展医疗机构评审。3.依法及时处理投诉举报。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社会办医疗机构甲类大型医用设备配置许可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甲类大型医用设备配置许可证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1.实现申请、审批全程网上办理并在网上公布审批程序、受理条件、评审标准，公开办理进度。2.不再要求申请人提供医疗机构执业许可证副本复印件。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1.加强医疗机构执业活动监管，发现违法违规行为要依法查处并公开结果。2.加强信用监管，向社会公布配置甲类大型医用设备医疗机构的信用状况。3.依法及时处理投诉举报。4.加强行业自律。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职业卫生技术服务机构乙级资质认可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1.将现有甲级、乙级、丙级资质整合为一级资质，整合后由省卫健委负责审批，执业地域范围扩展至全国。2.取消设区的市级卫生健康部门初审环节。3.取消对注册资金和固定资产的要求。</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血站（含脐带血造血干细胞库）设立及执业审批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脐带血造血干细胞库设置批准书、血站执业许可证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《中华人民共和国献血法》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1.实现网上提交申请材料。2.将审批时限由20个工作日压减至15个工作日。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1.开展“双随机、一公开”监管，发现违法违规行为要依法查处并公开结果。2.利用信息化手段加强监管。3.依法及时处理投诉举报。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单采血浆站设置审批及许可证核发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单采血浆许可证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《血液制品管理条例》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1.实现网上提交申请材料。2.将审批时限由20个工作日压减至15个工作日。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1.开展“双随机、一公开”监管，发现违法违规行为要依法查处并公开结果。2.利用信息化手段加强监管。3.依法及时处理投诉举报。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医疗机构设置人类精子库审批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人类精子库批准证书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国家卫生健康委指导省卫健委每半年1次向社会公布已取得设置人类精子库许可的医疗机构名单，以及本省（区、市）人类精子库应用规划落实情况，并在接到新的设置申请后1个月内向社会公开申请机构信息。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有关信息系统，及时更新公布人类精子库相关信息。2.建立健全质量控制体系，加强质量安全管理。3.开展“双随机、一公开”监管，发现违法违规行为要依法查处并公开结果。4.加强行业自律和社会监督。5.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海洋石油天然气企业安全生产许可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安全生产许可证（非煤矿山）</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1.实现申请、审批全程网上办理。2.不再要求申请人提交海洋石油特种设备合格检测报告并取得安全使用证或安全标志。</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企业及其有关人员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省应急厅（省地方煤矿安监局）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安全生产检测检验机构资质认可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安全生产检测检验机构资质证书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《中华人民共和国安全生产法》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省应急厅（省地方煤矿安监局）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将安全生产检测检验机构取得法定计量认证作为前置条件。2.推行法定代表人承诺、公司承诺管理，对申请材料真实性、固定资产等实行告知承诺。3.依托有关平台，提供统一信息查询服务，便于机构跨区域从业和属地监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和信用监管，加强执法监督，依法依规对失信主体实行失信惩戒。2.加强对安全生产检测检验机构有关信息的共享和公开，接受社会监督。3.发挥行业组织自律作用，完善技术仲裁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省应急厅（省地方煤矿安监局）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安全评价机构资质认可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安全评价机构资质证书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《中华人民共和国安全生产法》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省应急厅（省地方煤矿安监局）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1.加快推动信息共享，不再要求申请人提供安全工程师等人员资格证明材料，实行联网查询。2.推行法定代表人承诺、公司承诺管理，对申请材料真实性、固定资产、办公面积等实行告知承诺。</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1.开展“双随机、一公开”监管和信用监管，加强执法监督，依法依规对失信主体实行失信惩戒。2.加强对安全评价机构有关信息的共享和公开，接受社会监督。3.发挥行业组织自律作用，完善技术仲裁工作机制。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第一类非药品类易制毒化学品生产许可证核发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第一类非药品类易制毒化学品生产许可证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《易制毒化学品管理条例》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1.实现申请、审批全程网上办理。2.将审批时限由60个工作日压减至40个工作日。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1.开展“双随机、一公开”监管，发现违法违规行为要依法严查重处并公开结果。2.加强信用监管，依法向社会公布第一类非药品类易制毒化学品生产企业信用状况，依法依规对失信主体开展失信惩戒。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第一类非药品类易制毒化学品经营许可证核发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第一类非药品类易制毒化学品经营许可证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《易制毒化学品管理条例》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1.开展“双随机、一公开”监管，发现违法违规行为要依法严查重处并公开结果。2.加强信用监管，依法向社会公布第一类非药品类易制毒化学品经营企业信用状况，依法依规对失信主体开展失信惩戒。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危险化学品生产企业安全生产许可证核发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安全生产许可证（危险化学品）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1.实现申请、审批全程网上办理。2.将审批时限由45个工作日压减至30个工作日。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1.开展“双随机、一公开”监管，发现违法违规行为要依法严查重处并公开结果。2.加强信用监管，依法向社会公布危险化学品生产企业信用状况，依法依规对失信主体开展失信惩戒。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市应急局；县（区）应急部门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1.开展“双随机、一公开”监管，发现违法违规行为要依法严查重处并公开结果。2.加强信用监管，依法向社会公布危险化学品经营企业信用状况，依法依规对失信主体开展失信惩戒。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危险化学品安全使用许可证核发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危险化学品安全使用许可证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应急局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1.实现申请、审批全程网上办理。2.将审批时限由45个工作日压减至30个工作日。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1.开展“双随机、一公开”监管，发现违法违规行为要依法严查重处并公开结果。2.加强信用监管，依法向社会公布危险化学品使用企业信用状况，依法依规对失信主体开展失信惩戒。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新建、改建、扩建生产、储存危险化学品（包括使用长输管道输送危险化学品）建设项目安全条件审查</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危险化学品建设项目安全条件审查意见书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应急部；省应急部门；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应急局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1.实现申请、审批全程网上办理。2.将审批时限由45个工作日压减至30个工作日。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338</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经营个人征信业务的征信机构审批</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个人征信业务经营许可证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《征信业管理条例》</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境外征信机构在境内经营征信业务审批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关于境外征信机构在境内经营征信业务批复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《征信业管理条例》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1.实现申请、审批全程网上办理，并将审批信息统一归集至有关数据平台。2.不再要求申请人提供在申请注册环节已经提交的申请材料，压减审批材料数量30%以上。</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银行卡清算机构准入</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银行卡清算业务许可证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《国务院关于实施银行卡清算机构准入管理的决定》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申请人对董事和高级管理人员无犯罪证明、未受行政处罚证明等自愿作出承诺的，不再要求申请人提供有关部门证明材料。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完善持牌机构管理、交易转接合作管理、银行卡清算业务管理等制度，明确监管事项和报告事项，加强对企业的日常监管。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银行间债券市场结算代理人审批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b/>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开展“双随机、一公开”监管，根据不同风险程度、信用水平，合理确定抽查比例，对入</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机构进行合格性评估。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商业银行、信用社代理支库业务审批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代理支库业务资格证书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中国人民银行副省级城市中心支行以上分支机构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1.将审批时限由20个工作日压减至15个工作日。2.不再要求申请人提供经营金融业务许可证复印件。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1.开展“双随机、一公开”监管，将代理支库业务检查纳入综合执法检查，发现违法违规行为要依法查处。2.推广国库会计数据集中系统应用。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国库集中收付代理银行资格认定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准予行政许可决定书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中国人民银行各级机构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1.将许可证件有效期由2年延长至5年。2.将审批时限由20个工作日压减至15个工作日。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开展“双随机、一公开”监管、专项检查等，依法处罚违法行为。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黄金及其制品进出口审批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黄金及黄金制品进出口准许证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中国人民银行总行及人行太原中心支行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实施“互联网+监管”，对接有关信息平台进行有效监管。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进入全国银行间债券市场备案</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备案通知书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开展“双随机、一公开”监管，根据不同风险程度、信用水平，合理确定抽查比例，对入</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机构进行合格性评估。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支付业务许可证核发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支付业务许可证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《中华人民共和国中国人民银行法》《非金融机构支付服务管理办法》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不再要求申请人提供验资证明等材料。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1.开展“双随机、一公开”监管，发现违法违规行为要依法查处并公开结果。2.加强信用监管，建立分类评级机制，根据评级结果采取差异化监管措施。3.依法及时处理投诉举报。4.支持行业协会发挥自律作用。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口岸卫生许可证（涉及食品、饮用水）核发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国境口岸卫生许可证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《中华人民共和国国境卫生检疫法实施细则》</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主管海关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1.严格执行有关法律法规和标准，开展“双随机、一公开”监管，发现违法违规行为要依法查处并公开结果。2.加强信用监管，依法向社会公布企业信用状况，依法依规对失信主体开展失信惩戒。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免税商店设立审批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行政许可决定书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1.对于口岸进、出境免税商店的设立，由拟设地直属海关代为接收申请文件并完成实地检查，将结果反馈海关总署。2.实现申请、审批全程网上办理。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保税物流中心（A型）设立审批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保税物流中心（A型）注册登记证书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保税物流中心（B型）设立审批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保税物流中心（B型）注册登记证书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海关总署会同财政部、税务总局、国家外汇局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每半年1次公布存量保税物流中心（B型）情况。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开展“双随机、一公开”监管、跨部门联合监管等，对经营企业加强监管，发现违法违规行为要依法查处。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出口监管仓库设立审批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出口监管仓库注册登记证书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保税仓库设立审批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保税仓库注册登记证书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海关监管货物仓储审批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经营海关监管作业场所企业注册登记证书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直属海关、隶属海关；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1.实现申请、审批全程网上办理。2.取消许可证有效期，改为长期有效。</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从事进出境检疫处理业务的单位认定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出入境检疫处理单位核准证书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《中华人民共和国进出境动植物检疫法实施条例》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1.严格执行有关法律法规和标准，对检疫处理过程加强监管，对检疫处理效果进行监督评价。2.每年至少组织1次对检疫处理单位、工作人员及其操作情况的监督检查。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出境动植物及其产品、其他检疫物的生产、加工、存放单位注册登记</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出口××生产、加工、存放企业检验检疫注册登记证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《中华人民共和国进出境动植物检疫法实施条例》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发现被境外通报的质量安全问题和违法违规行为要依法查处。3.加强信用监管，依法依规完善黑名单制度，并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进口可用作原料的固体废物国内收货人注册登记</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进口可用作原料的固体废物国内收货人注册登记证书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《中华人民共和国进出口商品检验法实施条例》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通过现场检查、验证、追踪货物环保质量状况等方法加强监督检查，实施风险预警及快速反应管理，依法向社会公布企业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357</w:t>
            </w:r>
          </w:p>
        </w:tc>
        <w:tc>
          <w:tcPr>
            <w:tcW w:w="587"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重要工业产品（除食品相关产品、化肥、危险化学品包装物及容器和电线电缆产品外）生产许可证核发</w:t>
            </w:r>
          </w:p>
        </w:tc>
        <w:tc>
          <w:tcPr>
            <w:tcW w:w="941"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重要工业产品生产许可证</w:t>
            </w:r>
          </w:p>
        </w:tc>
        <w:tc>
          <w:tcPr>
            <w:tcW w:w="954"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《中华人民共和国工业产品生产许可证管理条例》</w:t>
            </w:r>
          </w:p>
        </w:tc>
        <w:tc>
          <w:tcPr>
            <w:tcW w:w="901"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w:t>
            </w:r>
          </w:p>
        </w:tc>
        <w:tc>
          <w:tcPr>
            <w:tcW w:w="627" w:type="dxa"/>
            <w:tcBorders>
              <w:tl2br w:val="nil"/>
              <w:tr2bl w:val="nil"/>
            </w:tcBorders>
            <w:shd w:val="clear" w:color="000000" w:fill="FFFFFF"/>
            <w:vAlign w:val="center"/>
          </w:tcPr>
          <w:p>
            <w:pPr>
              <w:ind w:firstLine="352" w:firstLineChars="200"/>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ind w:firstLine="352" w:firstLineChars="200"/>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ind w:firstLine="352" w:firstLineChars="200"/>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spacing w:line="32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1.实现申请、受理、审批全程网上办理。2.继续优化审批流程，在原审批时限基础上进一步压减30%。</w:t>
            </w:r>
          </w:p>
        </w:tc>
        <w:tc>
          <w:tcPr>
            <w:tcW w:w="3454" w:type="dxa"/>
            <w:tcBorders>
              <w:tl2br w:val="nil"/>
              <w:tr2bl w:val="nil"/>
            </w:tcBorders>
            <w:shd w:val="clear" w:color="000000" w:fill="FFFFFF"/>
            <w:vAlign w:val="center"/>
          </w:tcPr>
          <w:p>
            <w:pPr>
              <w:spacing w:line="32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1.开展“双随机、一公开”监管。2.在审查中发现出具虚假报告的，要依法严肃处理相关检验检测机构和获证企业。3.开展产品质量安全风险</w:t>
            </w:r>
            <w:r>
              <w:rPr>
                <w:rFonts w:hint="eastAsia" w:ascii="仿宋" w:hAnsi="仿宋" w:eastAsia="仿宋" w:cs="仿宋"/>
                <w:color w:val="auto"/>
                <w:kern w:val="0"/>
                <w:sz w:val="18"/>
                <w:szCs w:val="18"/>
                <w:lang w:eastAsia="zh-CN"/>
              </w:rPr>
              <w:t>监</w:t>
            </w:r>
            <w:r>
              <w:rPr>
                <w:rFonts w:hint="eastAsia" w:ascii="仿宋" w:hAnsi="仿宋" w:eastAsia="仿宋" w:cs="仿宋"/>
                <w:color w:val="auto"/>
                <w:kern w:val="0"/>
                <w:sz w:val="18"/>
                <w:szCs w:val="18"/>
              </w:rPr>
              <w:t>测和监督抽查。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设立认证机构（高风险等级）审批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认证机构批准书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《中华人民共和国认证认可条例》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依法依规构建认证领域黑名单制度，并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从事强制性认证以及相关活动的认证机构、实验室指定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《中华人民共和国认证认可条例》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不再要求申请人提供法人登记证书和认证机构批准书等材料。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广播电视视频点播业务（甲种）审批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广播电视视频点播业务许可证（甲种）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将专家评审时限由30个工作日压减至20个工作日。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广播电视视频点播业务（乙种）审批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广播电视视频点播业务许可证（乙种）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1.不再要求申请人提供营业执照、酒店星级证明等材料。2.将审批时限由20个工作日压减至15个工作日。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境外广播电视机构在华设立办事机构审批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国家广播电视总局关于同意在华设立办事处的批复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《国务院对确需保留的行政审批项目设定行政许可的决定》《外国企业常驻代表机构登记管理条例》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办理许可证件延期时，不再要求申请人提供市场监管、公安等部门出具的批准文件。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1.加强日常监管，发现违法违规行为要依法查处并公开结果。2.依法及时处理投诉举报，对投诉举报等渠道反映问题多的机构实施重点监管。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设立电视剧制作单位审批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电视剧制作许可证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通过日常监听监看、受理群众举报等方式对电视剧制作单位的电视剧制作情况进行监管，发现违法违规行为要依法查处并公开结果。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信息网络传播视听节目许可证核发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信息网络传播视听节目许可证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不再要求申请人提供营业执照、广播电视节目制作经营许可证、广播电视播出机构许可证等材料。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将有严重违法违规行为的机构列入黑名单，依法依规对相关信用主体实施信用约束和失信惩戒。5.发挥行业协会自律作用。6.在有效期届满延期换证时，通过部门信息共享或网络等渠道，对从业主体的规范从业信息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卫星电视广播地面接收设施安装服务许可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卫星电视广播地面接收设施安装服务许可证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《卫星电视广播地面接收设施管理规定》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广电总局；省广电局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1.加强政务信息共享共用，不再要求申请人提供营业执照、营业场所证明、主要出资单位证明、验资证明等材料。2.将许可证有效期限由1年延长至2年。</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1.依法及时处理投诉举报。2.制定年度监管计划，采取实地暗访、专项检查等方式对卫星电视广播地面接收设施安装服务机构经营情况进行监管，发现违法违规行为要依法查处并公开结果。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经营广播电视节目传送业务审批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广播电视节目传送业务经营许可证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广电总局；省广电局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监看节目内容、受理群众举报等方式对广播电视节目传送业务进行监管，发现违法违规行为要依法查处并公开结果。2.加强信用监管，依法向社会公布广播电视节目传送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兴奋剂检测机构资质认定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兴奋剂检测机构许可证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《反兴奋剂条例》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1.推广全程网上办理，推进体育领域信息数据共享应用。2.将审批时限由20个工作日压减至15个工作日。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从事射击竞技体育运动单位审批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关于同意××设立射击竞技体育运动单位的批复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《中华人民共和国枪支管理法》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1.推广全程网上办理，推进体育领域信息数据共享应用。2.将审批时限由20个工作日压减至15个工作日。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经营高危险性体育项目许可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经营高危险性体育项目许可证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《全民健身条例》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行政审批局；县（区）体育或行政审批部门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1.推广全程网上办理，推进体育领域信息数据共享应用。2.将审批时限由20个工作日压减至15个工作日。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国家统计局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省统计局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涉外统计调查机构资格认定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中华人民共和国涉外调查许可证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《中华人民共和国统计法》《中华人民共和国统计法实施条例》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国家统计局；省统计局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1.实现申请、审批全程网上办理，网上公布办事指南。2.将审批时限由20个工作日压减至8个工作日。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1.及时公示许可信息。2.及时处理投诉举报，依法查处违规调查行为。3.配合有关部门做好行政审批基础信息共享。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国际发展合作署</w:t>
            </w:r>
          </w:p>
        </w:tc>
        <w:tc>
          <w:tcPr>
            <w:tcW w:w="763"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对外援助项目咨询服务单位资格认定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资格认定批件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国际发展合作署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对纳税信用等级为A级的申请单位，不再要求提供税务部门出具的完税证明。</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1.建立援外项目咨询服务单位信用记录，依法依规对失信主体开展失信惩戒。2.开展重点审计，对重点关注单位、重点项目咨询服务单位进行审计。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出版物零售单位设立、变更审批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县（区）新闻出版部门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从事特定印刷品（商标、票据、保密印刷）印刷经营活动企业（不含外资企业）的设立、变更审批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《印刷业管理条例》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1.推动实现申请、审批全程网上办理。2.将审批时限由60个工作日压减至40个工作日。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从事出版物印刷经营活动企业（不含中外合资、合作企业）的设立、变更审批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《印刷业管理条例》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1.推动实现申请、审批全程网上办理。2.将审批时限由60个工作日压减至40个工作日。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出版单位设立、变更审批（初审）</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《出版管理条例》《音像制品管理条例》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图书出版单位设立、变更、合并、分立、设立分支机构审批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图书出版许可证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《出版管理条例》《音像制品管理条例》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电子出版物出版单位设立、变更、合并、分立、设立分支机构审批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电子出版物出版许可证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《出版管理条例》《音像制品管理条例》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网络出版单位设立、变更、合并、分立、设立分支机构审批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网络出版服务许可证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报纸出版单位设立、变更、合并、分立、设立分支机构审批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报纸出版许可证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不再要求申请人提供单位基本信息登记表。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1.强化报纸样本数据监测、跟踪和评估，加大报纸质量检查力度。2.扩大纸质报纸审读及借助网络手段审读的覆盖面。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期刊出版单位设立、变更、合并、分立、设立分支机构审批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期刊出版许可证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1.不再要求申请人提供单位基本信息登记表。2.期刊出版单位申请变更名称的，不再要求申请人提供其与主办单位之间隶属关系或出资关系的证明材料。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1.开展“双随机、一公开”监管，强化期刊年检和审读，发现违法违规行为要依法查处并公开结果。2.依法及时处理投诉举报。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出版物进口经营单位设立、变更、合并、分立、设立分支机构审批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出版物进口经营许可证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不再要求申请人提供单位基本信息登记表。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音像电子出版物复制单位设立、变更审批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复制经营许可证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出版物批发单位设立、变更审批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中学小学教科书出版资质审批（初审）</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不再要求申请人提供近5年内出版单位出版的与所申请出版资质相关的代表性出版物，改为审批部门向相关部门了解该单位代表性出版物情况。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中学小学教科书出版资质审批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图书出版许可证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不再要求申请人提供近5年内出版单位出版的与所申请出版资质相关的代表性出版物，改为审批部门向相关部门了解该单位代表性出版物情况。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中学小学教科书发行资质审批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不再要求申请人提供关于企业信息管理系统及自有物流配送体系情况的证明材料，改为要求申请单位提供加盖其公章的文字说明，并实地核查其是否具备相应准入条件。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国家网信办</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省网信办</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互联网新闻信息服务许可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互联网新闻信息服务许可证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《国务院对确需保留的行政审批项目设定行政许可的决定》《互联网信息服务管理办法》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国家网信办；省网信办</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日常检查和定期检查相结合的监管制度，依法对互联网新闻信息服务活动实施监督检查。2.畅通投诉举报渠道，依法及时处理投诉举报。3.建立互联网新闻信息服务网络信用记录，依法依规构建失信黑名单制度。4.加强部门间信息共享和协作配合，依法开展联合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国家网信办</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省网信办</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外国机构在中国境内提供金融信息的服务业务审批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外国机构在中国境内提供金融信息许可证、外国机构在中国境内投资设立企业提供金融信息服务许可证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国家网信办</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1.及时掌握用户情况，定期对备案用户的信息进行核查。2.强化境外金融信息服务终端同步审视，发现问题及时依法处理。3.畅通投诉举报渠道，依法及时处理投诉举报。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中国气象局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省气象局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雷电防护装置检测单位资质认定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雷电防护装置检测资质证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《国务院对确需保留的行政审批项目设定行政许可的决定》《气象灾害防御条例》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中国气象局会同国务院电力或通信主管部门；省气象局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1.实现申请、审批全程网上办理。2.不再要求申请人提供营业执照原件和经营场所产权证明原件等材料。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1.开展“双随机、一公开”监管，发现违法违规行为要依法查处并公开结果。2.加强信用监管，依法依规对失信主体开展失信惩戒。3.依法及时处理投诉举报。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中资银行业金融机构及其分支机构设立、变更、终止以及业务范围审批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1.机构设立类：金融许可证2.变更名称、住所：金融许可证（换发）3.其他：批准文件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《中华人民共和国银行业监督管理法》《中华人民共和国商业银行法》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不再要求申请人提供营业执照复印件、中国银保监会出具的金融许可证复印件等材料。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中资银行业金融机构董事和高级管理人员任职资格核准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《中华人民共和国银行业监督管理法》《中华人民共和国商业银行法》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不再要求申请人提供拟任人个人及其主要家庭成员的征信报告等材料，改为申请人作出有关承诺。</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持续对有关人员履职情况进行监管，加大对违法违规经营活动有关人员的处罚力度。2.加强信用监管，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商业银行、政策性银行、金融资产管理公司对外从事股权投资及商业银行综合化经营审批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不再要求申请人提供被投资方股东（大）会同意吸收商业银行投资的决议等材料。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外资银行营业性机构及其分支机构设立、变更、终止以及业务范围审批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1.机构设立类：金融许可证2.变更名称、住所：金融许可证（换发）3.其他：批准文件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《中华人民共和国银行业监督管理法》《中华人民共和国外资银行管理条例》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对于申请筹建外商独资银行分行、中外合资银行分行的，不再要求申请人提供营业执照复印件等材料。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1.加强信息共享，通过有关信息平台获取有关信息。2.通过现场检查、非现场监管等方式，密切关注风险，发现违法违规行为要依法查处。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外资银行董事、高级管理人员、首席代表任职资格核准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《中华人民共和国银行业监督管理法》《中华人民共和国外资银行管理条例》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将非中国银保监会直接监管的外资法人银行董事长、行长任职资格核准由中国银保监会下放至拟任职机构所在地银保监局。</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1.加强系统内监管培训，确保全国监管标准一致。2.通过监管约谈、走访督察等方式，督促有关人员依法履职。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非银行金融机构（分支机构）设立、变更、终止以及业务范围审批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1.机构设立类：金融许可证2.变更名称、住所：金融许可证（换发）3.其他：批准文件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《中华人民共和国银行业监督管理法》《中华人民共和国商业银行法》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不再要求申请人提供营业执照复印件、中国银保监会出具的金融许可证复印件等材料。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非银行金融机构董事和高级管理人员任职资格核准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《中华人民共和国银行业监督管理法》《中华人民共和国商业银行法》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不再要求申请人提供拟任人个人及其配偶的征信报告等材料，改为申请人作出有关承诺。</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持续对有关人员履职情况进行监管，加大对违法违规经营活动有关人员的处罚力度。2.加强信用监管，根据违法违规情形和失信程度，依法依规对有关人员采取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保险公司及其分支机构设立、重大事项变更、终止审批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保险公司法人许可证、经营保险业务许可证、批准文件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在开业验收报告中提供保险机构和高级管理人员管理信息系统客户端程序生成的电子化数据文件等材料。2.将政策性保险公司分支机构开业审批权限由中国银保监会下放至所在地银保监局。3.保险公司因变更注册资本等前置审批事项申请修改公司章程的，无需审批，改为报告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保险公司的董事、监事和高级管理人员任职资格审批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1.不再要求申请人提供拟任人综合鉴定等材料。2.对曾经取得保险公司董事、监事和高级管理人员任职资格的人员，再次申请同类性质任职资格的，不再进行任职资格考试。</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保险资产管理公司及其分支机构设立、重大事项变更、终止审批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保险资产管理公司法人许可证、批准文件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在筹建申请材料中提供筹建负责人的任职资格申请书、身份证明、学历和学位证书复印件等材料。2.不再要求申请人在变更营业场所申请材料中提供新营业场所符合办公条件的情况报告等材料。3.不再要求申请人在变更业务范围申请材料中提供业务范围变更后的可行性报告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1.通过现场检查、非现场监管等方式，密切关注风险，发现违法违规行为要依法查处。2.针对重点领域风险，健全有关制度，建立风险防范长效机制。3.压实机构主体责任，强化行业自律管理。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保险资产管理公司高级管理人员资格核准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保险集团公司设立、合并、分立、变更、解散审批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保险公司法人许可证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保险集团公司因变更注册资本等前置审批事项申请修改公司章程的，无需审批，改为报告制。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1.通过现场检查、非现场监管等方式，密切关注风险，发现违法违规行为要依法查处。2.针对重点领域风险，健全有关制度，建立风险防范长效机制。3.加强与有关部门的信息共享，定期组织交流会议。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保险集团公司高级管理人员资格核准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保险控股公司设立、合并、分立、变更、解散审批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保险公司法人许可证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保险控股公司因变更注册资本等前置审批事项申请修改公司章程的，无需审批，改为报告制。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1.通过现场检查、非现场监管等方式，密切关注风险，发现违法违规行为要依法查处。2.针对重点领域风险，健全有关制度，建立风险防范长效机制。3.加强部门间信息共享，定期组织交流会议。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保险控股公司高级管理人员资格核准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专属自保组织和相互保险组织设立、合并、分立、变更和解散审批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保险公司法人许可证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专属自保组织和相互保险组织因变更注册资本等前置审批事项申请修改公司章程的，无需审批，改为报告制。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专属自保、相互保险等组织高级管理人员资格核准</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保险代理机构设立审批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经营保险代理业务许可证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保险代理机构高级管理人员任职资格核准</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保险经纪机构设立审批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经营保险经纪业务许可证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保险经纪机构高级管理人员任职资格核准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关系社会公众利益的保险险种、依法实行强制保险的险种和新开发的人寿保险险种等的保险条款和保险费率审批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对于使用中国保险行业协会车险示范条款的保险产品，不再要求申请人报送保险条款等材料。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保险公司拓宽保险资金运用形式审批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不再要求申请人在保险公司境外投资申请材料中提供偿付能力报告等材料。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1.加强对资产负债管理的监管和动态监测。2.通过现场检查、非现场监管等方式，密切关注风险，发现违法违规行为要依法查处。3.强化保险公司拓宽保险资金运用形式分类监管。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省地方金融监管局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融资担保公司设立、变更审批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融资担保业务经营许可证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《国务院对确需保留的行政审批项目设定行政许可的决定》《融资担保公司监督管理条例》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省地方金融监管局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将审批时限由30日压减至20日。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1.运用大数据等技术手段实时监测风险，加强现场检查和非现场监管。2.建立与有关部门的监管协调机制和信息共享机制。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省地方金融监管局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设立典当行及分支机构审批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典当经营许可证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省地方金融监管局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将典当经营许可证的有效期限由6年延长至10年。</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1.通过年审、现场检查、非现场监管等方式，加强事中事后监管，发现违法违规行为要依法查处。2.进一步完善监管指标体系，建立分级、分类监管制度，强化市场约束，提高监管透明度。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证券公司设立、变更重大事项审批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《中华人民共和国证券法》《证券公司监督管理条例》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申请保荐业务资格审批流程由申请人筹备、通过现场检查再批准，改为先批准、申请人筹备并通过现场检查再开展业务。2.不再要求申请人提供法律意见书等材料。3.将证券业务许可证、基金业务许可证统一为经营证券期货业务许可证。4.在网上公开服务指南、受理进度、审批结果等。5.推动实现申请、审批全程网上办理。</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基金托管人资格核准</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《中华人民共和国证券投资基金法》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等材料。3.将证券业务许可证、基金业务许可证统一为经营证券期货业务许可证。4.在网上公开服务指南、受理进度、审批结果等。5.推动实现申请、审批全程网上办理。</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公募基金管理公司设立、变更重大事项和公募基金管理人资格审批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《中华人民共和国证券投资基金法》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公募基金管理公司设立、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等材料。3.不再要求申请人在批复阶段提供具有境外投资管理相关经验人员的教育经历、工作经验、从业资格、专业职称等基本情况介绍等材料。4.将证券业务许可证、基金业务许可证统一为经营证券期货业务许可证。5.在网上公开服务指南、受理进度、审批结果等。6.推动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基金服务机构注册</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《中华人民共和国证券投资基金法》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基金销售业务资格审批流程由申请人筹备、通过现场检查再批准，改为先批准、申请人筹备并通过现场检查再开展业务。2.将证券业务许可证、基金业务许可证统一为经营证券期货业务许可证。3.在网上公开服务指南、受理进度、审批结果等。4.推动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申请设立期货交易场所的审批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《期货交易管理条例》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1.推动实现申请、审批全程网上办理。2.每半年1次公布存量情况。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1.要求期货交易场所建立健全相关制度，加强对交易结算活动的风险控制，加大对会员、工作人员的监管力度。2.加强现场检查。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申请设立期货专门结算机构的审批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《期货交易管理条例》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1.推动实现申请、审批全程网上办理。2.每半年1次公布存量情况。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1.要求期货专门结算机构建立健全相关制度，加强对结算相关活动的风险控制和工作人员的监督管理。2.根据市场情况及重点工作安排，加强现场检查。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期货公司设立、合并、分立、停业、解散或者破产，变更业务范围、注册资本、5%以上股权的审批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《期货交易管理条例》《国务院关于第六批取消和调整行政审批项目的决定》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1.推动实现申请、审批全程网上办理。2.在网上公开服务指南、受理进度、审批结果等。3.不再要求申请人提供可通过部门间信息共享获取的企业登记注册等相关材料。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1.开展“双随机、一公开”监管。2.强化对关联交易的日常监管，发现违法违规行为要依法查处。3.强化对公司治理的监管，督促期货公司股东按期报送股权变动等信息。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期货公司境内及境外期货经纪业务、期货投资咨询业务许可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《期货交易管理条例》《国务院关于第六批取消和调整行政审批项目的决定》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1.推动实现申请、审批全程网上办理。2.在网上公开服务指南、受理进度、审批结果等。3.不再要求申请人提供可通过部门间信息共享获取的企业登记注册等相关材料。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1.开展“双随机、一公开”监管。2.加强日常监管，发现违法违规行为要依法查处。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投资咨询机构从事证券服务业审批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1.推动实现申请、审批全程网上办理。2.网上公布服务指南，公开受理进度、反馈意见、审批结果等情况。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1.强化股权变更管理。2.加强对分支机构的合规管控。3.加大对违法违规行为的查处力度。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境外机构投资者资格审批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《中华人民共和国证券投资基金法》《国务院对确需保留的行政审批项目设定行政许可的决定》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降低资格准入条件，取消指标类条件等，仅保留对合规情况和投资经历的要求，取消资产管理规模等准入条件。2.以申请表、问卷等形式细化明确材料要求，不再要求申请人提供投资计划书、审计报告等材料。3.在网上公开服务指南、受理进度、审批结果等。4.推动实现申请、审批全程网上办理。5.将审批时限压减至10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1.建立信息共享和监管协作机制，及时发现和处置跨市场异常交易行为。2.强化穿透式监管要求。3.细化合格投资者和托管人的违规情形，明确监管职责和处罚措施，加大查处力度。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证券交易所、国务院批准的其他全国性证券交易场所的设立、变更和解散审核、证券登记结算机构设立和解散审批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《中华人民共和国证券法》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1.推动实现申请、审批全程网上办理。2.每半年1次公布存量企业情况。</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证券金融公司设立和解散审批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《证券公司监督管理条例》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1.推动实现申请、审批全程网上办理。2.每半年1次公布存量企业情况。</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境外证券经营机构在境内经营证券业务审批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《国务院对确需保留的行政审批项目设定行政许可的决定》《证券公司监督管理条例》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中国证监会及其派出机构</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1.推动实现申请、审批全程网上办理。2.网上公布服务指南，公开受理进度、反馈意见、审批结果等情况。</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国家粮食和储备局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省粮食和储备局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军粮供应站资格、军粮供应委托代理资格认定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军粮供应站资格证书、军粮代供点资格证书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省粮食和储备局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1.不再要求申请人提供事业单位设立批准文件复印件、省粮食和储备局认为需要提交的其他材料。2.将实地核查办理时限由15个工作日压减至10个工作日。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通过“双随机、一公开”监管、重点监管等方式，对制度落实、计划管理、军粮质量、核算手续、经费往来等加强监管。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核材料许可证核发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中华人民共和国核材料许可证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《中华人民共和国核材料管制条例》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31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《武器装备科研生产许可管理条例》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网上公布受理条件、审批程序、办理标准，提供电话查询办理进度渠道。</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依法依规将其列入失信黑名单并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一级、二级国防计量技术机构设置审批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《国防计量监督管理条例》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1.网上公布受理条件、审批程序、办理标准，提供电话查询办理进度渠道。2.取消信息报送、量值比对、学术交流、计量仲裁等18项审查标准。3.将审批时限由35个工作日压减至25个工作日。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军品出口经营权和经营范围审批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《中华人民共和国军品出口管理条例》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网上公布受理条件、审批程序、办理标准，提供电话查询办理进度渠道。</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1.通过“双随机、一公开”监管、跨部门联合监管等方式，依法查处违法行为。2.加强信用监管，依法依规对失信主体开展失信惩戒。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设立烟叶收购站（点）审批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烟草专卖烟叶收购证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县</w:t>
            </w:r>
            <w:r>
              <w:rPr>
                <w:rFonts w:hint="eastAsia" w:ascii="Times New Roman" w:hAnsi="Times New Roman" w:eastAsia="仿宋_GB2312"/>
                <w:color w:val="auto"/>
                <w:kern w:val="0"/>
                <w:sz w:val="18"/>
                <w:szCs w:val="18"/>
              </w:rPr>
              <w:t>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将审批时限由16个工作日压减至8个工作日。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烟草制品生产企业设立、分立、合并、撤销审批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国家烟草专卖局关于准予设立（分立、合并、撤销）</w:t>
            </w:r>
            <w:r>
              <w:rPr>
                <w:rFonts w:hint="eastAsia" w:ascii="仿宋" w:hAnsi="仿宋" w:eastAsia="仿宋" w:cs="仿宋"/>
                <w:color w:val="auto"/>
                <w:kern w:val="0"/>
                <w:sz w:val="18"/>
                <w:szCs w:val="18"/>
                <w:lang w:val="en-US" w:eastAsia="zh-CN"/>
              </w:rPr>
              <w:t>XX</w:t>
            </w:r>
            <w:r>
              <w:rPr>
                <w:rFonts w:ascii="Times New Roman" w:hAnsi="Times New Roman" w:eastAsia="仿宋_GB2312"/>
                <w:color w:val="auto"/>
                <w:kern w:val="0"/>
                <w:sz w:val="18"/>
                <w:szCs w:val="18"/>
              </w:rPr>
              <w:t>烟草制品生产企业的决定</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将审批时限由16个工作日压减至8个工作日。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烟草专卖生产企业许可证核发</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烟草专卖生产企业许可证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将审批时限由15个工作日压减至8个工作日。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1.开展“双随机、一公开”监管，加强对持证主体合规生产经营的监管，发现违法违规行为要依法查处并公开结果。2.取缔无证生产经营主体。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外商投资设立烟草专卖生产企业审批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国家烟草专卖局关于准予设立</w:t>
            </w:r>
            <w:r>
              <w:rPr>
                <w:rFonts w:hint="eastAsia" w:ascii="仿宋" w:hAnsi="仿宋" w:eastAsia="仿宋" w:cs="仿宋"/>
                <w:color w:val="auto"/>
                <w:kern w:val="0"/>
                <w:sz w:val="18"/>
                <w:szCs w:val="18"/>
                <w:lang w:val="en-US" w:eastAsia="zh-CN"/>
              </w:rPr>
              <w:t>XX</w:t>
            </w:r>
            <w:r>
              <w:rPr>
                <w:rFonts w:ascii="Times New Roman" w:hAnsi="Times New Roman" w:eastAsia="仿宋_GB2312"/>
                <w:color w:val="auto"/>
                <w:kern w:val="0"/>
                <w:sz w:val="18"/>
                <w:szCs w:val="18"/>
              </w:rPr>
              <w:t>外商投资烟草专卖生产企业行政许可决定</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将审批时限由16个工作日压减至8个工作日。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烟草制品批发企业设立、分立、合并、撤销审批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国家烟草专卖局关于准予设立（分立、合并、撤销）</w:t>
            </w:r>
            <w:r>
              <w:rPr>
                <w:rFonts w:hint="eastAsia" w:ascii="仿宋" w:hAnsi="仿宋" w:eastAsia="仿宋" w:cs="仿宋"/>
                <w:color w:val="auto"/>
                <w:kern w:val="0"/>
                <w:sz w:val="18"/>
                <w:szCs w:val="18"/>
                <w:lang w:val="en-US" w:eastAsia="zh-CN"/>
              </w:rPr>
              <w:t>XX</w:t>
            </w:r>
            <w:r>
              <w:rPr>
                <w:rFonts w:ascii="Times New Roman" w:hAnsi="Times New Roman" w:eastAsia="仿宋_GB2312"/>
                <w:color w:val="auto"/>
                <w:kern w:val="0"/>
                <w:sz w:val="18"/>
                <w:szCs w:val="18"/>
              </w:rPr>
              <w:t>烟草制品批发企业的决定</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将审批时限由16个工作日压减至8个工作日。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烟草专卖批发企业许可证核发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烟草专卖批发企业许可证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国家烟草局；省烟草专卖局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将审批时限由15个工作日压减至8个工作日。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1.开展“双随机、一公开”监管，加强对持证主体合规经营的监管，发现违法违规行为要依法查处并公开结果。2.取缔无证经营主体。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烟草专卖零售许可证核发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烟草专卖零售许可证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市</w:t>
            </w:r>
            <w:r>
              <w:rPr>
                <w:rFonts w:hint="eastAsia" w:ascii="Times New Roman" w:hAnsi="Times New Roman" w:eastAsia="仿宋_GB2312"/>
                <w:color w:val="auto"/>
                <w:kern w:val="0"/>
                <w:sz w:val="18"/>
                <w:szCs w:val="18"/>
              </w:rPr>
              <w:t>烟草局；县（区）烟草部门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将审批时限由15个工作日压减至8个工作日。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1.开展“双随机、一公开”监管，加强对持证主体合规经营的监管，发现违法违规行为要依法查处并公开结果。2.取缔无证经营主体。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烟草专卖品准运证核发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烟草专卖品准运证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省级以上烟草专卖行政主管部门</w:t>
            </w:r>
            <w:r>
              <w:rPr>
                <w:rFonts w:hint="eastAsia" w:ascii="Times New Roman" w:hAnsi="Times New Roman"/>
                <w:color w:val="auto"/>
                <w:kern w:val="0"/>
                <w:sz w:val="18"/>
                <w:szCs w:val="18"/>
                <w:lang w:eastAsia="zh-CN"/>
              </w:rPr>
              <w:t>，县烟草局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将审批时限由3个工作日压减至2个工作日。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1.开展“双随机、一公开”监管，加强对持证主体合规运输烟草专卖品的监管，发现违法违规行为要依法查处并公开结果。2.对无证运输或超量携带烟草专卖品的行为依法进行查处。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林草种子（进出口）生产经营许可证核发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1.取消省林草局实施的审核，申请人直接向国家林草局提出申请。2.不再要求申请人提供经营场所权属证明、生产用地用途证明等材料。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建立企业信用记录并依法向社会公开，依法依规对失信主体开展失信惩戒。3.依法及时处理投诉举报。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林草种子（林木良种籽粒、穗条等繁殖材料，主要草种杂交种子及其亲本种子、常规原种种子）生产经营许可证核发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不再要求申请人提供经营场所权属证明、生产用地用途证明等材料。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1.开展“双随机、一公开”监管，发现违法违规行为要依法查处并公开结果。2.加强信用监管，建立企业信用记录并依法公开，依法依规对失信单位和个人开展失信惩戒。3.发挥行业协会自律作用。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草种进出口审批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草种进出口审批表</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1.不再要求申请人提供林草种子（进出口）生产经营许可证等材料。2.将草种进出口审批表有效期由3个月延长至6个月。</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1.开展“双随机、一公开”监管，发现违法违规行为要依法查处并公开结果。2.依法及时处理投诉举报。3.加强信用监管，建立企业信用记录并依法向社会公开，依法依规对失信主体开展失信惩戒。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45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普及型国外引种试种苗圃资格认定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普及型国外引种试种苗圃资格证书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不再要求申请人提供林草种子生产经营许可证等材料。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开展“双随机、一公开”监管和专项检查，发现违法违规行为要依法查处并公开结果。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出售、收购国家二级保护野生植物审批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《中华人民共和国野生植物保护条例》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省林草局或者其授权的机构</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不再要求申请人提供身份证明等材料。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加强信用监管，加大监督检查力度，依法依规对失信主体开展失信惩戒。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由国家林草局审批的国家重点保护陆生野生动物人工繁育许可证核发（除已制定人工繁育技术标准的物种外）</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国家重点保护陆生野生动物人工繁育许可证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1.实现申请、审批网上办理，进一步优化审批流程，规范专家评审。2.将审批时限由20个工作日压减至15个工作日。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1.严格执行行业标准和规范，针对不同物种采取差别化、精细化管理方式。2.加强信用监管，依法依规对失信主体开展失信惩戒。3.组织开展行业培训。4.发挥行业协会自律作用。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省级权限内国家重点保护陆生野生动物人工繁育许可证核发（除已制定人工繁育技术标准的物种和列入人工繁育国家重点保护陆生野生动物目录的物种外）</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国家重点保护陆生野生动物人工繁育许可证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1.对申请增加繁育种类的不再要求申请人提供原驯养繁殖许可证和相关批准文件等材料。2.进一步优化审批流程，规范专家评审。</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1.严格执行行业标准和规范，针对不同物种采取差别化、精细化管理方式。2.加强信用监管，依法依规对失信主体开展失信惩戒。3.组织开展行业培训。4.发挥行业协会自律作用。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铁路运输基础设备生产企业审批</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铁路运输基础设备生产企业许可证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《铁路安全管理条例》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不再要求申请人提供产品认证证明等材料。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1.开展“双随机、一公开”监管，发现违法违规行为要依法查处并公开结果。2.加强信用监管，依法向社会公布铁路运输基础设备生产企业信用状况，依法依规对失信主体开展失信惩戒。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铁路机车车辆设计、制造、维修或进口许可</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铁路机车车辆型号合格证、铁路机车车辆制造许可证、铁路机车车辆维修许可证、铁路机车车辆进口许可证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《铁路安全管理条例》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1.不再要求申请人提供营业执照副本等材料。2.按产品型号，将维修许可证有效期分别延长至5年、8年、10年。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1.开展“双随机、一公开”监管，发现违法违规行为要依法查处并公开结果。2.加强信用监管，依法向社会公布铁路机车车辆设计、制造、维修和进口企业信用状况，依法依规对失信主体开展失信惩戒。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铁路运输企业准入许可</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铁路运输许可证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不再要求申请人提供营业执照副本等材料。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1.开展“双随机、一公开”监管，发现违法违规行为要依法查处并公开结果。2.加强信用监管，依法向社会公布铁路运输企业信用状况，依法依规对失信主体开展失信惩戒。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民用航空器（发动机、螺旋桨）生产许可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优化办事流程，通过邮寄（快递）等方式实现申请人“最多跑一次”。</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严格按照相关法律法规和标准加强监管，主管检查员对持证人每年至少进行1次评审，对持证人的质量系统每2年至少进行1次复查，对持证人的供应商每年至少随机抽查2个。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民用航空器零部件制造人批准</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零部件制造人批准书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优化办事流程，通过邮寄（快递）等方式实现申请人“最多跑一次”。</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严格按照相关法律法规和标准加强监管，主管检查员对持证人每年至少进行1次评审，对持证人的质量系统每2年至少进行1次复查，对持证人的供应商每年至少随机抽查2个。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民用航空器维修单位维修许可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维修许可证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1.改进工作差错和不安全事件的监管处理流程，提升监管效率和精准度。2.改进监管理念和作风，不以实行单一惩戒为目标，推动企业合法经营和持续发展。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公共航空运输企业经营许可</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公共航空运输企业经营许可证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1.通过年报制度加强对经营活动的监管。2.通过诚信体系建设，加强主体监管。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中外公共航空运输承运人运行合格证核发</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航空承运人运行合格证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1.优化外国公共航空运输承运人合格审定审批流程。2.对部分项目进行合并或简化，将申请要件由36项压减至20项。</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依托有关系统对监督检查活动进行统一计划管理，对于检查绩效不良的公司适当增加检查频次，对监督检查结果由民航飞行标准监督管理系统记录并视情况采取进一步管控措施。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中外航空运输企业航线（航班运输）经营许可</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航线经营许可证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航空营运人运输危险品资格批准</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危险品航空运输许可证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1.取消审批中的专家评审环节。2.不再要求申请人提供公共航空运输企业经营许可证复印件等材料。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1.推进危险品安全管理体系建设，进一步落实企业安全主体责任。2.依托有关信息系统，完善涉及危险品航空运输的监管事项，加强监督检查力度。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商业非运输运营人、私用大型航空器运营人、航空器代管人运行合格证核发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商业非运输航空运营人运行合格证及私用大型航空器运营人和航空器代管人运行规范</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1.实现网上一次性提交相关材料。2.对部分运行种类（如空中游览、一般商业运行）实现文件审查与现场验证环节合并进行。</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通用航空企业经营许可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通用航空企业经营许可证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除被吊销、撤销、注销外，许可证长期有效。</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1.开展“双随机、一公开”监管，对载客运输类、载人作业类进行重点监管。2.建立通用航空诚信评价体系，对诚信记录较差的企业增加检查频次及强度。3.加强信用监管，依法依规对失信主体开展失信惩戒。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外航驻华常设机构设立审批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外国航空运输企业常驻代表机构批准证书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《中华人民共和国国务院关于管理外国企业常驻代表机构的暂行规定》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委托第三方机构，免费向外航申请人提供全程中英文办理指导。</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1.开展“双随机、一公开”监管、重点监管和非现场监管，及时处理投诉举报。2.对监管中发现的问题及时约谈行政相对人，要求其整改，必要时在民航当局间进行磋商。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民用航空器驾驶员学校审定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民用航空器驾驶员学校合格证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1.实现申请、审批全程网上办理。2.不再要求申请人提供商业非运输航空运营人合格证等材料。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飞行训练中心合格认定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飞行训练中心合格证及运行规范</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1.精简飞行训练中心合格认定的申请要件，优化申请系统模块。2.合并或删减不必要的项目，避免重复提交材料。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民用航空维修技术人员学校合格认定</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维修培训机构合格证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1.改变监管方式，以培训质量为核心，发挥市场评估和学员评估作用。2.加强信用监管，依法依规对失信主体开展失信惩戒。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飞行签派员训练机构审批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飞行签派员训练机构资格证书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1.将训练机构合格证有效期由2年延长至5年。2.对续办训练机构合格证的，取消关于“毕业于该飞行签派员训练机构的学员在参加实践考试中第一次测试合格率达到80%”的要求。</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民用航空油料供应商适航批准</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民用航空油料供应企业适航批准书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1.除必要的现场审核外，实现其他审查网上办理。2.中国民航局委托评审机构开展审查，并由其就办理流程、材料初审等环节向申请人提供免费指导。</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对批准单位每年开展1次年度检查，年初制定年度检查计划，对检查情况和整改情况进行跟踪。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民用航空油料企业安全运营许可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民用机场航空燃油供应安全运营许可证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1.申请人可就近前往民航地区管理局领取许可证件。2.在申请材料符合完整性、真实性、合法性要求的基础上，申请人可“最多跑一次”完成取证工作。</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对航油企业进行不定期检查，对可能产生重大影响的情况及时告知航油企业所在机场的管理机构，发现违规情形要依法查处。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民用航空油料测试单位批准</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民用航空油料检测单位批准函</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1.除必要的现场审核外，实现其他审查网上办理。2.中国民航局委托评审机构开展审查，并由其就办理流程、材料初审等环节向申请人提供免费指导。</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对批准单位每年开展1次年度检查，年初制定年度检查计划，对检查情况和整改情况进行跟踪。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对公众开放的民用机场使用许可证核发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批复文件和民用机场使用许可证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1.实现申请、审批全程网上办理。2.申请人可就近前往民航地区管理局领取许可证件。3.取消许可证5年有效期，改为长期有效。</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每年年初制定行政检查计划，对辖区内机场进行年度适用性检查，并通过机场安全监管系统实现监察电子化及整改问题在线流转，每5年对辖区内机场组织实施1次符合性评价。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国家邮政局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省邮政管理局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经营进出境邮政通信业务审批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经营邮政通信业务批准文件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国家邮政局；省邮政管理局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1.网上公布审批程序、受理条件、查询方式。2.不再要求申请人提供邮政通信业务经营场地证明等材料。3.将审批时限由20个工作日压减至10个工作日。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1.严格执行法律法规的规定，对经营邮政通信业务企业加强监督。2.开展“双随机、一公开”监管，发现违法违规行为要依法查处并公开结果。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国家邮政局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省邮政管理局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快递业务经营许可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快递业务经营许可证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《中华人民共和国邮政法》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国家邮政局；省邮政管理局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1.实现申请、审批全程网上办理并在网上公布审批程序、受理条件、查询方式。2.不再要求申请人提供快递业务经营场地证明等材料。3.将审批时限由45个工作日压减至22个工作日。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1.严格执行法律法规的规定，对经营快递业务的企业加强监督。2.开展“双随机、一公开”监管，发现违法违规行为要依法查处并公开结果。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馆藏文物修复、复制、拓印单位资质认定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可移动文物修复资质证书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《中华人民共和国文物保护法》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不再要求申请人提供有关人员身份证复印件等材料。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1.开展“双随机、一公开”监管。2.健全年度报告和公示制度，加强社会监督。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文物保护工程勘察设计甲级资质审批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文物保护工程勘察设计甲级资质证书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1.实现申请、审批全程网上办理。2.不再要求申请人提供企业章程、主要设备发票等材料。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文物保护工程施工一级资质审批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文物保护工程施工一级资质证书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1.实现申请、审批全程网上办理。2.不再要求申请人提供企业章程、主要设备发票等材料。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文物保护工程监理甲级资质审批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文物保护工程监理甲级资质证书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1.实现申请、审批全程网上办理。2.不再要求申请人提供企业章程、主要设备发票等材料。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国家矿山安全监察局</w:t>
            </w:r>
          </w:p>
        </w:tc>
        <w:tc>
          <w:tcPr>
            <w:tcW w:w="763"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煤矿安全生产许可</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安全生产许可证（煤矿）</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按照分级分类监管监察要求，严格按计划实施监管监察执法。2.严格按照安全生产条件对企业申报材料进行审查，对不具备安全生产条件的，不予颁发安全生产许可证。3.加强信用监管，依法依规将存在违法违规失信行为的煤矿企业纳入黑名单，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国家矿山安全监察局</w:t>
            </w:r>
          </w:p>
        </w:tc>
        <w:tc>
          <w:tcPr>
            <w:tcW w:w="763"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非煤矿矿山企业安全生产许可</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安全生产许可证（非煤矿山）</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1.实现申请、审批全程网上办理。2.不再要求地质勘探单位提供地质勘查资质证书复印件，不再要求从事爆破作业的金属非金属矿山、地质勘查和采掘施工单位提供爆破作业单位许可证复印件。</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国家外汇局山西省分局</w:t>
            </w:r>
          </w:p>
        </w:tc>
        <w:tc>
          <w:tcPr>
            <w:tcW w:w="914" w:type="dxa"/>
            <w:tcBorders>
              <w:tl2br w:val="nil"/>
              <w:tr2bl w:val="nil"/>
            </w:tcBorders>
            <w:shd w:val="clear" w:color="000000" w:fill="FFFFFF"/>
            <w:vAlign w:val="center"/>
          </w:tcPr>
          <w:p>
            <w:pPr>
              <w:widowControl/>
              <w:spacing w:line="26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银行、农村信用社、兑换机构及非金融机构等结汇、售汇业务市场准入、退出审批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批准文件、个人本外币兑换特许业务经营许可证或备案通知书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《中华人民共和国外汇管理条例》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国家外汇局、外汇分局及外汇管理部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实现预审、审批进度和结果网上查询，推动实现全程网上办理。</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1.开展“双随机、一公开”监管，依法查处违规行为，适时公开相关案例。2.依法及时处理投诉举报。3.开展数据统计与监测，掌握外汇业务情况。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479</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国家外汇局山西省分局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保险、证券公司等非银行金融机构外汇业务市场准入、退出审批</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《中华人民共和国外汇管理条例》</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国家外汇局及外汇分支局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实现预审、审批进度和结果网上查询，推动实现全程网上办理。</w:t>
            </w:r>
          </w:p>
        </w:tc>
        <w:tc>
          <w:tcPr>
            <w:tcW w:w="34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1.开展“双随机、一公开”监管，依法查处违规行为，适时公开相关案例。2.依法及时处理投诉举报。3.开展数据统计与监测，掌握外汇业务情况。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480</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药品生产企业许可</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药品生产许可证</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不再要求申请人提供营业执照等材料。</w:t>
            </w:r>
          </w:p>
        </w:tc>
        <w:tc>
          <w:tcPr>
            <w:tcW w:w="34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1.落实“四个最严”要求，严格执行药品法律法规规章和标准。2.加强日常监管，通过检查、检验、监测等手段督促企业持续合规经营，依法查处违法违规行为。3.及时向社会公开许可信息，加强社会监督。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481</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药品批发企业许可</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药品经营许可证</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《中华人民共和国药品管理法》《中华人民共和国药品管理法实施条例》</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取消筹建药品批发企业申请。2.药品批发企业申请药品经营许可证变更企业名称、法定代表人、企业负责人、企业质量负责人实施当日办结。3.实现申请、审批全程网上办理。4.压缩审批材料，不再要求申请人提供营业执照、无违法违规证明等材料。</w:t>
            </w:r>
          </w:p>
        </w:tc>
        <w:tc>
          <w:tcPr>
            <w:tcW w:w="3454" w:type="dxa"/>
            <w:tcBorders>
              <w:tl2br w:val="nil"/>
              <w:tr2bl w:val="nil"/>
            </w:tcBorders>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1.落实“四个最严”要求，制定年度监管计划，突出监管重点，强化风险控制。2.通过日常监管督促企业不断完善、改进质量管理体系，持续合法合规经营。3.对违法违规行为，依法严厉查处并公开曝光。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482</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化妆品生产许可</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化妆品生产许可证</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《化妆品监督管理条例》</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将申请许可提交的材料精简，不再要求申请人提供营业执照复印件、法定代表人身份证复印件等材料。2.创新“互联网＋许可”，全面推行化妆品许可全流程网上办理。3.进一步优化审批服务：缩短许可时限，作出行政许可决定的时限缩短至自受理申请之日起20个工作日内；因特殊原因需要延长时限的，经本行政机关负责人批准，可以延长5个工作日。4.对申请人申请企业名称、法定代表人、质量负责人、生产地址文字性变化（地理位置等不变）或企业住所等登记事项发生变化，而企业生产条件、检验能力、生产技术和工艺等未发生变化的变更、补证等许可事项，实施当日办结。</w:t>
            </w:r>
          </w:p>
        </w:tc>
        <w:tc>
          <w:tcPr>
            <w:tcW w:w="3454" w:type="dxa"/>
            <w:tcBorders>
              <w:tl2br w:val="nil"/>
              <w:tr2bl w:val="nil"/>
            </w:tcBorders>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483</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新药生产和上市许可</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药品注册批件</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1.实现申请、审批全程网上办理。2.将审批时限由20个工作日压减至14个工作日。</w:t>
            </w:r>
          </w:p>
        </w:tc>
        <w:tc>
          <w:tcPr>
            <w:tcW w:w="34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1.及时公开许可信息。2.加强药品上市后的监管，发现问题依法处理。3.强化部门间信息共享应用。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医疗机构配制制剂许可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医疗机构配制制剂许可证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将审批时限由30个工作日压减至25个工作日。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落实“四个最严”要求，严格执行药品法律法规规章和标准。2.加强日常监管，通过检查、检验、监测等手段督促医疗机构配制制剂持续合规，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国产药品再注册审批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药品再注册批件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1.实现申请、审批全程网上办理。2.公布审批程序、受理条件和办理标准，公开办理进度。3.整合药品生产经营许可等审批事项中相关联的现场检查，提高审批效率。</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1.按照程序及时公开许可信息。2.加强药品上市后监管，发现问题依法处理。3.推进部门间信息共享应用。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放射性药品生产企业审批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放射性药品生产企业许可证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《放射性药品管理办法》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国家药监局会同国家国防科工局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将放射性药品生产企业审批权限由国家药监局和国家国防科工局下放至省药监局和省国防科工局。</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证有关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放射性药品经营企业审批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放射性药品经营企业许可证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《放射性药品管理办法》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国家药监局会同国家国防科工局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将放射性药品经营企业审批权限由国家药监局和国家国防科工局下放至省药监局和省国防科工局。</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医疗机构使用放射性药品（三、四类）许可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放射性药品使用许可证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《放射性药品管理办法》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不再要求申请人提供人员资历证明等材料。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生产第一类中的药品类易制毒化学品审批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药品类易制毒化学品生产许可批件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《易制毒化学品管理条例》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不再要求申请人提供药品生产许可证、药品生产质量管理规范（GMP）证书等材料。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经营第一类中的药品类易制毒化学品审批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在药品经营许可证经营范围中标注“药品类易制毒化学品”，括号内标注药品类易制毒化学品名称</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《易制毒化学品管理条例》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麻醉药品和精神药品生产企业审批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麻醉药品和精神药品定点生产批件在药品生产许可证正本标注类别，副本上类别后标注药品名称</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不再要求申请人提供药品生产许可证、药品生产质量管理规范（GMP）证书等材料。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麻醉药品和第一类精神药品批发企业审批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批准文件，在药品经营许可证上注明</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国家药监局；省药监局</w:t>
            </w:r>
          </w:p>
        </w:tc>
        <w:tc>
          <w:tcPr>
            <w:tcW w:w="627"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麻醉药品和精神药品进出口准许证核发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麻醉药品出口准许证、麻醉药品进口准许证、精神药品出口准许证、精神药品进口准许证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《中华人民共和国药品管理法》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627"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不再要求申请人提供药品生产许可证等材料。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药品经营企业从事第二类精神药品批发业务的审批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批准文件，在药品经营许可证经营范围中注明</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第二类精神药品零售业务审批</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批准文件，在药品经营许可证经营范围中注明</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县</w:t>
            </w:r>
            <w:r>
              <w:rPr>
                <w:rFonts w:hint="eastAsia" w:ascii="Times New Roman" w:hAnsi="Times New Roman" w:eastAsia="仿宋_GB2312"/>
                <w:color w:val="auto"/>
                <w:kern w:val="0"/>
                <w:sz w:val="18"/>
                <w:szCs w:val="18"/>
              </w:rPr>
              <w:t>行政审批局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药品批发企业经营蛋白同化制剂、肽类激素审批</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在药品经营许可证上注明</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《反兴奋剂条例》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蛋白同化制剂、肽类激素进口准许证核发</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药品进口准许证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《反兴奋剂条例》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不再要求申请人提供药品生产许可证、药品经营许可证等材料。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第二类、第三类医疗器械生产许可</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医疗器械生产许可证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加大执法检查力度，督促企业严格落实医疗器械生产质量管理规范要求，发现违法违规行为要依法严查重处。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第二类医疗器械产品注册审批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医疗器械注册证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1.将医疗器械注册数据上报情况列入年度考核内容。2.加大执法检查力度，发现违法违规行为要依法严查重处。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第三类医疗器械经营许可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县</w:t>
            </w:r>
            <w:r>
              <w:rPr>
                <w:rFonts w:hint="eastAsia" w:ascii="Times New Roman" w:hAnsi="Times New Roman" w:eastAsia="仿宋_GB2312"/>
                <w:color w:val="auto"/>
                <w:kern w:val="0"/>
                <w:sz w:val="18"/>
                <w:szCs w:val="18"/>
              </w:rPr>
              <w:t>行政审批局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加大执法检查力度，督促企业严格落实医疗器械经营质量管理规范要求，发现违法违规行为要依法严查重处。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药物非临床研究质量管理规范（GLP）认证</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药物GLP认证批件</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1.实现申请、审批全程网上办理。2.不再要求申请人提供药物研究机构备案证明文件等材料。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1.推动落实省药监局药品注册管理的日常监管职责。2.对已通过认证的机构每3年开展定期检查。3.对注册品种检查过程中发现的违法违规行为要依法查处。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制作、复制、维修、销毁国家秘密载体定点单位甲级资质认定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国家秘密载体印制甲级资质证书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1.不再要求申请人提供验资报告、上一年度财务审计报告等材料。2.将资质证书有效期限由3年延长至5年。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制作、复制、维修、销毁国家秘密载体定点单位乙级资质认定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国家秘密载体印制乙级资质证书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1.不再要求申请人提供验资报告、上一年度财务审计报告等材料。2.将资质证书有效期限由3年延长至5年。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涉密信息系统集成单位甲级资质认定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涉密信息系统集成甲级资质证书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1.不再要求申请人提供验资报告、上一年度财务审计报告、电子与智能化工程专业承包资质等材料。2.将资质证书有效期限由3年延长至5年。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涉密信息系统集成单位乙级资质认定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涉密信息系统集成乙级资质证书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1.不再要求申请人提供验资报告、上一年度财务审计报告、电子与智能化工程专业承包资质等材料。2.将资质证书有效期限由3年延长至5年。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武器装备科研生产单位一级保密资格认定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武器装备科研生产单位一级保密资格证书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国家保密局会同国家国防科工局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不再要求申请人提供上一年度财务审计报告等材料。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武器装备科研生产单位二级保密资格认定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武器装备科研生产单位二级保密资格证书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省国家保密局会同省国防科工局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不再要求申请人提供上一年度财务审计报告等材料。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国家密码局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省国家密码局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商用密码产品质量检测机构审批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商用密码产品检测机构资质证书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《商用密码管理条例》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国家密码局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不再要求申请人提供法人资格证明等材料。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对有投诉举报和质量问题的机构实施重点监管。3.加强信用监管，依法向社会公布商用密码产品质量检测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国家电影局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省电影局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电影发行单位设立、变更业务范围或者兼并、合并、分立审批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电影发行经营许可证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《中华人民共和国电影产业促进法》《电影管理条例》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国家电影局；省电影局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能够通过企业信用信息公示系统直接查询的，不再要求申请人提供营业执照等材料。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1.开展“双随机、一公开”监管，发现违法违规行为要依法查处并公开结果。2.依法及时处理投诉举报。3.发挥行业协会自律作用。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国家电影局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省电影局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电影放映单位设立审批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电影放映经营许可证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《中华人民共和国电影产业促进法》《电影管理条例》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县（区）电影主管部门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实行申请材料网上预审。</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1.开展“双随机、一公开”监管，畅通投诉举报渠道。2.发挥行业协会自律作用。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国家电影局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省电影局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外商投资电影院设立许可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电影放映经营许可证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省电影局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取消申请材料中省商务厅批准设立外商投资电影院的文件。</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1.开展“双随机、一公开”监管，畅通投诉举报渠道。2.发挥行业协会自律作用。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国家人防办</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省人防办</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人民防空工程防护设备定点生产企业资格认定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人民防空工程防护设备定点生产安装企业资格认定证书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国家人防办</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1.根据行业发展状况和技术特点，按照必要性和最简化原则，对防护设备实行目录管理。2.将审批时限由20个工作日压减至15个工作日。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513</w:t>
            </w:r>
          </w:p>
        </w:tc>
        <w:tc>
          <w:tcPr>
            <w:tcW w:w="587"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港口（涉及客运和危险货物港口作业的经营项目除外）经营许可</w:t>
            </w:r>
          </w:p>
        </w:tc>
        <w:tc>
          <w:tcPr>
            <w:tcW w:w="941"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港口经营许可证</w:t>
            </w:r>
          </w:p>
        </w:tc>
        <w:tc>
          <w:tcPr>
            <w:tcW w:w="9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《中华人民共和国港口法》</w:t>
            </w:r>
          </w:p>
        </w:tc>
        <w:tc>
          <w:tcPr>
            <w:tcW w:w="901"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省交通厅或所在地港口部门</w:t>
            </w:r>
          </w:p>
        </w:tc>
        <w:tc>
          <w:tcPr>
            <w:tcW w:w="627" w:type="dxa"/>
            <w:tcBorders>
              <w:tl2br w:val="nil"/>
              <w:tr2bl w:val="nil"/>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港口（旅客、危险货物）经营许可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《中华人民共和国港口法》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省交通厅或所在地港口部门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航运公司安全营运与防污染能力符合证明核发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符合证明、船舶安全管理证书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《国务院对确需保留的行政审批项目设定行政许可的决定》《防治船舶污染海洋环境管理条例》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交通运输部直属海事局、分支海事局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从事内地与港澳间客船、散装液体危险品船运输业务许可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交通行政许可决定书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《国务院对确需保留的行政审批项目设定行政许可的决定》《中华人民共和国国际海运条例》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港口设施保安证书核发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港口设施保安符合证书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建设港口设施使用非深水岸线审批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《中华人民共和国港口法》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省、市、县交通运输（港口）部门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建设港口设施使用深水岸线审批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《中华人民共和国港口法》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深海海底区域资源勘探开发许可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深海海底区域资源勘探证书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《中华人民共和国深海海底区域资源勘探开发法》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自然资源部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521</w:t>
            </w:r>
          </w:p>
        </w:tc>
        <w:tc>
          <w:tcPr>
            <w:tcW w:w="587"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烟花爆竹生产企业安全生产许可证核发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烟花爆竹生产企业安全生产许可证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522</w:t>
            </w:r>
          </w:p>
        </w:tc>
        <w:tc>
          <w:tcPr>
            <w:tcW w:w="587"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烟花爆竹经营（批发）许可证核发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烟花爆竹经营（批发）许可证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《烟花爆竹安全管理条例》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设区的</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级</w:t>
            </w:r>
            <w:r>
              <w:rPr>
                <w:rFonts w:hint="eastAsia" w:ascii="Times New Roman" w:hAnsi="Times New Roman" w:eastAsia="仿宋_GB2312"/>
                <w:color w:val="auto"/>
                <w:kern w:val="0"/>
                <w:sz w:val="18"/>
                <w:szCs w:val="18"/>
              </w:rPr>
              <w:t>应急部</w:t>
            </w:r>
            <w:r>
              <w:rPr>
                <w:rFonts w:ascii="Times New Roman" w:hAnsi="Times New Roman" w:eastAsia="仿宋_GB2312"/>
                <w:color w:val="auto"/>
                <w:kern w:val="0"/>
                <w:sz w:val="18"/>
                <w:szCs w:val="18"/>
              </w:rPr>
              <w:t>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523</w:t>
            </w:r>
          </w:p>
        </w:tc>
        <w:tc>
          <w:tcPr>
            <w:tcW w:w="587"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烟花爆竹经营（零售）许可证核发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烟花爆竹经营（零售）许可证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《烟花爆竹安全管理条例》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县级</w:t>
            </w:r>
            <w:r>
              <w:rPr>
                <w:rFonts w:hint="eastAsia" w:ascii="Times New Roman" w:hAnsi="Times New Roman" w:eastAsia="仿宋_GB2312"/>
                <w:color w:val="auto"/>
                <w:kern w:val="0"/>
                <w:sz w:val="18"/>
                <w:szCs w:val="18"/>
              </w:rPr>
              <w:t>应急部</w:t>
            </w:r>
            <w:r>
              <w:rPr>
                <w:rFonts w:ascii="Times New Roman" w:hAnsi="Times New Roman" w:eastAsia="仿宋_GB2312"/>
                <w:color w:val="auto"/>
                <w:kern w:val="0"/>
                <w:sz w:val="18"/>
                <w:szCs w:val="18"/>
              </w:rPr>
              <w:t>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bl>
    <w:p>
      <w:pPr>
        <w:spacing w:line="320" w:lineRule="exact"/>
        <w:rPr>
          <w:color w:val="auto"/>
          <w:sz w:val="44"/>
          <w:szCs w:val="44"/>
        </w:rPr>
      </w:pPr>
    </w:p>
    <w:p>
      <w:pPr>
        <w:spacing w:line="600" w:lineRule="exact"/>
        <w:ind w:left="0" w:hanging="1744" w:hangingChars="400"/>
        <w:jc w:val="center"/>
        <w:rPr>
          <w:rFonts w:ascii="方正小标宋简体" w:hAnsi="华文中宋" w:eastAsia="方正小标宋简体" w:cs="华文中宋"/>
          <w:color w:val="auto"/>
          <w:sz w:val="44"/>
          <w:szCs w:val="44"/>
        </w:rPr>
      </w:pPr>
      <w:r>
        <w:rPr>
          <w:rFonts w:hint="eastAsia" w:ascii="方正小标宋简体" w:hAnsi="华文中宋" w:eastAsia="方正小标宋简体" w:cs="华文中宋"/>
          <w:color w:val="auto"/>
          <w:sz w:val="44"/>
          <w:szCs w:val="44"/>
        </w:rPr>
        <w:t>（省级层面设定事项）</w:t>
      </w:r>
    </w:p>
    <w:p>
      <w:pPr>
        <w:pStyle w:val="2"/>
        <w:spacing w:line="320" w:lineRule="exact"/>
        <w:rPr>
          <w:rFonts w:hint="eastAsia"/>
          <w:color w:val="auto"/>
        </w:rPr>
      </w:pPr>
    </w:p>
    <w:tbl>
      <w:tblPr>
        <w:tblStyle w:val="6"/>
        <w:tblW w:w="13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586"/>
        <w:gridCol w:w="818"/>
        <w:gridCol w:w="900"/>
        <w:gridCol w:w="941"/>
        <w:gridCol w:w="955"/>
        <w:gridCol w:w="914"/>
        <w:gridCol w:w="613"/>
        <w:gridCol w:w="587"/>
        <w:gridCol w:w="545"/>
        <w:gridCol w:w="573"/>
        <w:gridCol w:w="2877"/>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3" w:hRule="atLeast"/>
          <w:tblHeader/>
          <w:jc w:val="center"/>
        </w:trPr>
        <w:tc>
          <w:tcPr>
            <w:tcW w:w="546"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序号</w:t>
            </w:r>
          </w:p>
        </w:tc>
        <w:tc>
          <w:tcPr>
            <w:tcW w:w="5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国家主管部门</w:t>
            </w:r>
          </w:p>
        </w:tc>
        <w:tc>
          <w:tcPr>
            <w:tcW w:w="818"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省级</w:t>
            </w:r>
          </w:p>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主管</w:t>
            </w:r>
          </w:p>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部门</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改革</w:t>
            </w:r>
          </w:p>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事项</w:t>
            </w:r>
          </w:p>
        </w:tc>
        <w:tc>
          <w:tcPr>
            <w:tcW w:w="94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许可证件名称</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设定依据</w:t>
            </w:r>
          </w:p>
        </w:tc>
        <w:tc>
          <w:tcPr>
            <w:tcW w:w="91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审批</w:t>
            </w:r>
          </w:p>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层级和部门</w:t>
            </w:r>
          </w:p>
        </w:tc>
        <w:tc>
          <w:tcPr>
            <w:tcW w:w="2318"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改革方式</w:t>
            </w:r>
          </w:p>
        </w:tc>
        <w:tc>
          <w:tcPr>
            <w:tcW w:w="28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具体改革举措</w:t>
            </w:r>
          </w:p>
        </w:tc>
        <w:tc>
          <w:tcPr>
            <w:tcW w:w="30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加强事中事后监管措施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tblHeader/>
          <w:jc w:val="center"/>
        </w:trPr>
        <w:tc>
          <w:tcPr>
            <w:tcW w:w="546"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b/>
                <w:bCs/>
                <w:color w:val="auto"/>
                <w:kern w:val="0"/>
                <w:sz w:val="18"/>
                <w:szCs w:val="18"/>
              </w:rPr>
            </w:pPr>
          </w:p>
        </w:tc>
        <w:tc>
          <w:tcPr>
            <w:tcW w:w="5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818"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94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9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613"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直接取消审批</w:t>
            </w:r>
          </w:p>
        </w:tc>
        <w:tc>
          <w:tcPr>
            <w:tcW w:w="587"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审批改为备案</w:t>
            </w:r>
          </w:p>
        </w:tc>
        <w:tc>
          <w:tcPr>
            <w:tcW w:w="545"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实行告知承诺</w:t>
            </w:r>
          </w:p>
        </w:tc>
        <w:tc>
          <w:tcPr>
            <w:tcW w:w="573"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优化审批服务</w:t>
            </w:r>
          </w:p>
        </w:tc>
        <w:tc>
          <w:tcPr>
            <w:tcW w:w="2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黑体" w:hAnsi="黑体" w:eastAsia="黑体"/>
                <w:b/>
                <w:bCs/>
                <w:color w:val="auto"/>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11" w:hRule="atLeast"/>
          <w:jc w:val="center"/>
        </w:trPr>
        <w:tc>
          <w:tcPr>
            <w:tcW w:w="546"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586"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818"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省市场监管局</w:t>
            </w:r>
          </w:p>
        </w:tc>
        <w:tc>
          <w:tcPr>
            <w:tcW w:w="9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食品小作坊许可</w:t>
            </w:r>
          </w:p>
        </w:tc>
        <w:tc>
          <w:tcPr>
            <w:tcW w:w="941"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食品小作坊许可</w:t>
            </w:r>
          </w:p>
        </w:tc>
        <w:tc>
          <w:tcPr>
            <w:tcW w:w="95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【地方性法规】《山西省食品小作坊小经营店小摊点管理条例》</w:t>
            </w:r>
          </w:p>
        </w:tc>
        <w:tc>
          <w:tcPr>
            <w:tcW w:w="914"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县（区）市场监管或行政审批部门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87"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54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573"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2877"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待取得山西省人大常委会授权调整适用《山西省食品小作坊小经营店小摊点管理条例》后，由审批改为备案。</w:t>
            </w:r>
          </w:p>
        </w:tc>
        <w:tc>
          <w:tcPr>
            <w:tcW w:w="30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1.严格执行法律法规标准，开展“双随机、一公开”监管，发现违法违规行为要依法查处并公布结果。2.加强信用监管，向社会公布食品生产企业信用状况，对失信主体开展联合惩戒。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2" w:hRule="atLeast"/>
          <w:jc w:val="center"/>
        </w:trPr>
        <w:tc>
          <w:tcPr>
            <w:tcW w:w="546"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p>
        </w:tc>
        <w:tc>
          <w:tcPr>
            <w:tcW w:w="586"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818"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省公安厅</w:t>
            </w:r>
          </w:p>
        </w:tc>
        <w:tc>
          <w:tcPr>
            <w:tcW w:w="9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安全技术防范系统设计、安装、监理、运营审批</w:t>
            </w:r>
          </w:p>
        </w:tc>
        <w:tc>
          <w:tcPr>
            <w:tcW w:w="941"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安全技术防范系统设计、安装、监理、运营审批</w:t>
            </w:r>
          </w:p>
        </w:tc>
        <w:tc>
          <w:tcPr>
            <w:tcW w:w="95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【地方性法规】《山西省安全技术防范条例》</w:t>
            </w:r>
          </w:p>
        </w:tc>
        <w:tc>
          <w:tcPr>
            <w:tcW w:w="914"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省公安厅；</w:t>
            </w:r>
          </w:p>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公安</w:t>
            </w:r>
            <w:r>
              <w:rPr>
                <w:rFonts w:hint="eastAsia" w:ascii="Times New Roman" w:hAnsi="Times New Roman" w:eastAsia="仿宋_GB2312"/>
                <w:color w:val="auto"/>
                <w:kern w:val="0"/>
                <w:sz w:val="18"/>
                <w:szCs w:val="18"/>
              </w:rPr>
              <w:t>局</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587"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573"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2877"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取消该项许可审批。</w:t>
            </w:r>
          </w:p>
        </w:tc>
        <w:tc>
          <w:tcPr>
            <w:tcW w:w="30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全面落实“双随机、一公开”监管、跨部门联合监管和“互联网+监管”。2.强化社会信用监督，建立统一的“黑名单”制度，对失信主体在行业准入环节依法实施限制或禁入。3.发挥社会监督作用，引导社会力量参与市场秩序治理，共同推进联合惩戒等市场禁入措施落到实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8" w:hRule="atLeast"/>
          <w:jc w:val="center"/>
        </w:trPr>
        <w:tc>
          <w:tcPr>
            <w:tcW w:w="546"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586"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818"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省重点保护陆生野生动物人工繁育许可证核发</w:t>
            </w:r>
          </w:p>
        </w:tc>
        <w:tc>
          <w:tcPr>
            <w:tcW w:w="941"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省重点保护陆生野生动物人工繁育许可证核发</w:t>
            </w:r>
          </w:p>
        </w:tc>
        <w:tc>
          <w:tcPr>
            <w:tcW w:w="95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【地方性法规】《山西省实施&lt;中华人民共和国野生动物保护法&gt;办法》</w:t>
            </w:r>
          </w:p>
        </w:tc>
        <w:tc>
          <w:tcPr>
            <w:tcW w:w="914"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市规划和自然资源局；县（区）规划和自然资源或行政审批部门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587"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573"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2877"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待取得山西省人大常委会授权调整适用《山西省实施&lt;中华人民共和国野生动物保护法&gt;办法》后，取消审批。</w:t>
            </w:r>
          </w:p>
          <w:p>
            <w:pPr>
              <w:widowControl/>
              <w:spacing w:line="320" w:lineRule="exact"/>
              <w:textAlignment w:val="center"/>
              <w:rPr>
                <w:rFonts w:ascii="Times New Roman" w:hAnsi="Times New Roman" w:eastAsia="仿宋_GB2312"/>
                <w:color w:val="auto"/>
                <w:kern w:val="0"/>
                <w:sz w:val="18"/>
                <w:szCs w:val="18"/>
              </w:rPr>
            </w:pPr>
          </w:p>
        </w:tc>
        <w:tc>
          <w:tcPr>
            <w:tcW w:w="30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通过“双随机、一公开”监管、重点监管、信用监管等方式对省级重点保护、“三有”陆生野生动物人工繁育机构实施日常管理，发现违法违规行为要依法查处并向社会公开查处结果。2.依法对省级重点保护、“三有”陆生野生动物人工繁育活动进行监管，指导有关人工繁育机构提升业务能力和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2" w:hRule="atLeast"/>
          <w:jc w:val="center"/>
        </w:trPr>
        <w:tc>
          <w:tcPr>
            <w:tcW w:w="546"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p>
        </w:tc>
        <w:tc>
          <w:tcPr>
            <w:tcW w:w="586"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818"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非重点保护陆生野生动物人工繁育许可证核发</w:t>
            </w:r>
          </w:p>
        </w:tc>
        <w:tc>
          <w:tcPr>
            <w:tcW w:w="941"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非重点保护陆生野生动物人工繁育许可证核发</w:t>
            </w:r>
          </w:p>
        </w:tc>
        <w:tc>
          <w:tcPr>
            <w:tcW w:w="95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【地方性法规】《山西省实施</w:t>
            </w:r>
            <w:r>
              <w:rPr>
                <w:rFonts w:hint="eastAsia" w:ascii="Times New Roman" w:hAnsi="Times New Roman"/>
                <w:color w:val="auto"/>
                <w:kern w:val="0"/>
                <w:sz w:val="18"/>
                <w:szCs w:val="18"/>
                <w:lang w:val="en-US" w:eastAsia="zh-CN"/>
              </w:rPr>
              <w:t>&lt;</w:t>
            </w:r>
            <w:r>
              <w:rPr>
                <w:rFonts w:ascii="Times New Roman" w:hAnsi="Times New Roman" w:eastAsia="仿宋_GB2312"/>
                <w:color w:val="auto"/>
                <w:kern w:val="0"/>
                <w:sz w:val="18"/>
                <w:szCs w:val="18"/>
              </w:rPr>
              <w:t>中华人民共和国野生动物保护法</w:t>
            </w:r>
            <w:r>
              <w:rPr>
                <w:rFonts w:hint="eastAsia" w:ascii="Times New Roman" w:hAnsi="Times New Roman"/>
                <w:color w:val="auto"/>
                <w:kern w:val="0"/>
                <w:sz w:val="18"/>
                <w:szCs w:val="18"/>
                <w:lang w:eastAsia="zh-CN"/>
              </w:rPr>
              <w:t>&gt;</w:t>
            </w:r>
            <w:r>
              <w:rPr>
                <w:rFonts w:ascii="Times New Roman" w:hAnsi="Times New Roman" w:eastAsia="仿宋_GB2312"/>
                <w:color w:val="auto"/>
                <w:kern w:val="0"/>
                <w:sz w:val="18"/>
                <w:szCs w:val="18"/>
              </w:rPr>
              <w:t>办法》</w:t>
            </w:r>
          </w:p>
        </w:tc>
        <w:tc>
          <w:tcPr>
            <w:tcW w:w="914"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县（区）规划和自然资源或行政审批部门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587"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573"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2877"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待取得山西省人大常委会授权调整适用《山西省实施&lt;中华人民共和国野生动物保护法&gt;办法》后，取消审批。</w:t>
            </w:r>
          </w:p>
        </w:tc>
        <w:tc>
          <w:tcPr>
            <w:tcW w:w="30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通过“双随机、一公开”监管、重点监管、信用监管等方式对非重点保护野生动物人工繁育机构实施日常管理，发现违法违规行为要依法查处并向社会公开查处结果。2.依法对非重点保护野生动物人工繁育活动进行监管，指导有关人工繁育机构提升业务能力和管理水平。</w:t>
            </w:r>
          </w:p>
        </w:tc>
      </w:tr>
    </w:tbl>
    <w:p>
      <w:pPr>
        <w:pStyle w:val="2"/>
        <w:spacing w:line="320" w:lineRule="exact"/>
        <w:ind w:left="0" w:leftChars="0"/>
        <w:rPr>
          <w:rFonts w:hint="eastAsia"/>
          <w:color w:val="auto"/>
        </w:rPr>
        <w:sectPr>
          <w:footerReference r:id="rId6" w:type="default"/>
          <w:footerReference r:id="rId7" w:type="even"/>
          <w:pgSz w:w="16838" w:h="11906" w:orient="landscape"/>
          <w:pgMar w:top="1588" w:right="2098" w:bottom="1474" w:left="1985" w:header="851" w:footer="1191" w:gutter="0"/>
          <w:pgBorders>
            <w:top w:val="none" w:sz="0" w:space="0"/>
            <w:left w:val="none" w:sz="0" w:space="0"/>
            <w:bottom w:val="none" w:sz="0" w:space="0"/>
            <w:right w:val="none" w:sz="0" w:space="0"/>
          </w:pgBorders>
          <w:pgNumType w:fmt="numberInDash" w:start="2"/>
          <w:cols w:space="720" w:num="1"/>
          <w:docGrid w:type="linesAndChars" w:linePitch="579" w:charSpace="-849"/>
        </w:sectPr>
      </w:pPr>
    </w:p>
    <w:p>
      <w:pPr>
        <w:pStyle w:val="2"/>
        <w:ind w:left="0" w:leftChars="0"/>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tbl>
      <w:tblPr>
        <w:tblStyle w:val="6"/>
        <w:tblpPr w:leftFromText="181" w:rightFromText="181" w:vertAnchor="page" w:horzAnchor="page" w:tblpX="1542" w:tblpY="14177"/>
        <w:tblOverlap w:val="never"/>
        <w:tblW w:w="8963" w:type="dxa"/>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PrEx>
        <w:trPr>
          <w:trHeight w:val="635" w:hRule="atLeast"/>
        </w:trPr>
        <w:tc>
          <w:tcPr>
            <w:tcW w:w="8963" w:type="dxa"/>
            <w:vAlign w:val="top"/>
          </w:tcPr>
          <w:p>
            <w:pPr>
              <w:ind w:firstLine="138" w:firstLineChars="50"/>
              <w:rPr>
                <w:rFonts w:ascii="仿宋_GB2312" w:hAnsi="等线"/>
                <w:color w:val="auto"/>
                <w:sz w:val="28"/>
                <w:szCs w:val="28"/>
              </w:rPr>
            </w:pPr>
            <w:r>
              <w:rPr>
                <w:rFonts w:hint="eastAsia" w:ascii="仿宋_GB2312" w:hAnsi="等线"/>
                <w:color w:val="auto"/>
                <w:sz w:val="28"/>
                <w:szCs w:val="28"/>
                <w:lang w:eastAsia="zh-CN"/>
              </w:rPr>
              <w:t>长子县</w:t>
            </w:r>
            <w:r>
              <w:rPr>
                <w:rFonts w:hint="eastAsia" w:ascii="仿宋_GB2312" w:hAnsi="等线"/>
                <w:color w:val="auto"/>
                <w:sz w:val="28"/>
                <w:szCs w:val="28"/>
              </w:rPr>
              <w:t xml:space="preserve">人民政府办公室 </w:t>
            </w:r>
            <w:r>
              <w:rPr>
                <w:rFonts w:ascii="仿宋_GB2312" w:hAnsi="等线"/>
                <w:color w:val="auto"/>
                <w:sz w:val="28"/>
                <w:szCs w:val="28"/>
              </w:rPr>
              <w:t xml:space="preserve">          </w:t>
            </w:r>
            <w:r>
              <w:rPr>
                <w:rFonts w:hint="eastAsia" w:ascii="仿宋_GB2312" w:hAnsi="等线"/>
                <w:color w:val="auto"/>
                <w:sz w:val="28"/>
                <w:szCs w:val="28"/>
                <w:lang w:val="en-US" w:eastAsia="zh-CN"/>
              </w:rPr>
              <w:t xml:space="preserve">           2022年11月1日</w:t>
            </w:r>
            <w:r>
              <w:rPr>
                <w:rFonts w:hint="eastAsia" w:ascii="仿宋_GB2312" w:hAnsi="等线"/>
                <w:color w:val="auto"/>
                <w:sz w:val="28"/>
                <w:szCs w:val="28"/>
              </w:rPr>
              <w:t>印发</w:t>
            </w:r>
          </w:p>
        </w:tc>
      </w:tr>
    </w:tbl>
    <w:p>
      <w:pPr>
        <w:rPr>
          <w:sz w:val="32"/>
        </w:rPr>
      </w:pPr>
    </w:p>
    <w:p>
      <w:pPr>
        <w:pStyle w:val="2"/>
        <w:tabs>
          <w:tab w:val="left" w:pos="2525"/>
        </w:tabs>
        <w:jc w:val="left"/>
        <w:rPr>
          <w:rFonts w:hint="eastAsia" w:ascii="Calibri" w:hAnsi="Calibri"/>
          <w:color w:val="000000"/>
          <w:szCs w:val="32"/>
        </w:rPr>
      </w:pPr>
      <w:r>
        <w:rPr>
          <w:rFonts w:hint="eastAsia"/>
          <w:szCs w:val="32"/>
          <w:lang w:eastAsia="zh-CN"/>
        </w:rPr>
        <w:tab/>
      </w:r>
    </w:p>
    <w:sectPr>
      <w:headerReference r:id="rId8" w:type="default"/>
      <w:footerReference r:id="rId10" w:type="default"/>
      <w:headerReference r:id="rId9" w:type="even"/>
      <w:footerReference r:id="rId11" w:type="even"/>
      <w:pgSz w:w="11906" w:h="16838"/>
      <w:pgMar w:top="1701" w:right="1417" w:bottom="1984" w:left="1417" w:header="851" w:footer="1191" w:gutter="0"/>
      <w:pgBorders>
        <w:top w:val="none" w:sz="0" w:space="0"/>
        <w:left w:val="none" w:sz="0" w:space="0"/>
        <w:bottom w:val="none" w:sz="0" w:space="0"/>
        <w:right w:val="none" w:sz="0" w:space="0"/>
      </w:pgBorders>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EC0ACC-6086-4B49-8FC9-DBDA5A5F4B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6907926-0F69-495E-A5EE-42C9416C80E3}"/>
  </w:font>
  <w:font w:name="仿宋_GB2312">
    <w:panose1 w:val="02010609030101010101"/>
    <w:charset w:val="86"/>
    <w:family w:val="auto"/>
    <w:pitch w:val="default"/>
    <w:sig w:usb0="00000001" w:usb1="080E0000" w:usb2="00000000" w:usb3="00000000" w:csb0="00040000" w:csb1="00000000"/>
    <w:embedRegular r:id="rId3" w:fontKey="{2353AA03-0152-4C4B-B74A-2B7C8DDF293B}"/>
  </w:font>
  <w:font w:name="Calibri Light">
    <w:altName w:val="Calibri"/>
    <w:panose1 w:val="020F0302020204030204"/>
    <w:charset w:val="00"/>
    <w:family w:val="auto"/>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4" w:fontKey="{0563455A-4888-4506-9639-632A9174C8CA}"/>
  </w:font>
  <w:font w:name="楷体_GB2312">
    <w:altName w:val="楷体"/>
    <w:panose1 w:val="02010609030101010101"/>
    <w:charset w:val="86"/>
    <w:family w:val="auto"/>
    <w:pitch w:val="default"/>
    <w:sig w:usb0="00000000" w:usb1="00000000" w:usb2="00000000" w:usb3="00000000" w:csb0="00040000" w:csb1="00000000"/>
    <w:embedRegular r:id="rId5" w:fontKey="{68720DD4-77CB-473F-A506-76B04DF9A0E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6" w:fontKey="{06A577C4-C84D-473F-A3E9-776FF2E0310A}"/>
  </w:font>
  <w:font w:name="华文中宋">
    <w:altName w:val="宋体"/>
    <w:panose1 w:val="02010600040101010101"/>
    <w:charset w:val="86"/>
    <w:family w:val="auto"/>
    <w:pitch w:val="default"/>
    <w:sig w:usb0="00000000" w:usb1="00000000" w:usb2="00000000" w:usb3="00000000" w:csb0="0004009F" w:csb1="DFD70000"/>
    <w:embedRegular r:id="rId7" w:fontKey="{1E1514D2-F22F-440E-AEA6-05330254C5DF}"/>
  </w:font>
  <w:font w:name="等线">
    <w:altName w:val="微软雅黑"/>
    <w:panose1 w:val="02010600030101010101"/>
    <w:charset w:val="86"/>
    <w:family w:val="auto"/>
    <w:pitch w:val="default"/>
    <w:sig w:usb0="00000000" w:usb1="00000000" w:usb2="00000016" w:usb3="00000000" w:csb0="0004000F" w:csb1="00000000"/>
    <w:embedRegular r:id="rId8" w:fontKey="{4AA83E99-172C-431A-873E-D5E7427E6F2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426"/>
        <w:tab w:val="clear" w:pos="4153"/>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FnAXHSAQAAp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IubsKTEMoMTP//6ef79&#10;9/znB1lWSaDeQ4159x4z4/DRDZg83wNeJt6DDCZ9kRHBOMp7usgrhkh4elStqqrEEMfY7CB+8fjc&#10;B4h3whmSjIYGnF+WlR0/QxxT55RUzbpbpXWeobakR9Tr6v11fnEJIbq2WCSxGLtNVhx2w0Rt59oT&#10;MutxCRpqcecp0Z8sapz2ZTbCbOxm4+CD2nd5oVIr4D8cIraTu0wVRtipME4v85w2La3HUz9nPf5d&#10;m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WcBcdIBAAClAwAADgAAAAAAAAABACAAAAAi&#10;AQAAZHJzL2Uyb0RvYy54bWxQSwUGAAAAAAYABgBZAQAAZgUAAAAA&#10;">
              <v:fill on="f" focussize="0,0"/>
              <v:stroke on="f" weight="1.2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qTA0DTAQAAp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eUy6dN7qDHtyWNiHN67Abdmvge8TLQHGUz6IiGCcVT3dFFXDJHw9KhaVVWJIY6x2UH84vm5&#10;DxAfhDMkGQ0NOL6sKjt+gDimzimpmnX3Sus8Qm1Jj6g31dub/OISQnRtsUhiMXabrDjshonazrUn&#10;ZNbjDjTU4spToh8tSpzWZTbCbOxm4+CD2nd5n1Ir4N8dIraTu0wVRtipMA4v85wWLW3H337Oev65&#10;N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HqTA0DTAQAApAMAAA4AAAAAAAAAAQAgAAAA&#10;IgEAAGRycy9lMm9Eb2MueG1sUEsFBgAAAAAGAAYAWQEAAGcFAAAAAA==&#10;">
              <v:fill on="f" focussize="0,0"/>
              <v:stroke on="f" weight="1.25pt"/>
              <v:imagedata o:title=""/>
              <o:lock v:ext="edit" aspectratio="f"/>
              <v:textbox inset="0mm,0mm,0mm,0mm" style="mso-fit-shape-to-text:t;">
                <w:txbxContent>
                  <w:p>
                    <w:pPr>
                      <w:pStyle w:val="3"/>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50" w:afterLines="50"/>
      <w:rPr>
        <w:rFonts w:hint="eastAsia"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We29vTAQAApQMAAA4AAAAAAAAAAQAgAAAA&#10;IgEAAGRycy9lMm9Eb2MueG1sUEsFBgAAAAAGAAYAWQEAAGcFA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6377"/>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HQQODXTAQAApAMAAA4AAAAAAAAAAQAgAAAA&#10;IgEAAGRycy9lMm9Eb2MueG1sUEsFBgAAAAAGAAYAWQEAAGcFAAAAAA==&#10;">
              <v:fill on="f" focussize="0,0"/>
              <v:stroke on="f" weight="1.2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50" w:afterLines="50"/>
      <w:rPr>
        <w:rFonts w:hint="eastAsia"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gBQnSAQAAp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OHbLDA78/OP7+efv&#10;869vZPk26dN7qDHt0WNiHD64Abdmvge8TLQHGUz6IiGCcVT3dFFXDJHw9KhaVVWJIY6x2UH84um5&#10;DxDvhDMkGQ0NOL6sKjs+QBxT55RUzbpbpXUeobakR9Sr6t1VfnEJIbq2WCSxGLtNVhx2w0Rt59oT&#10;MutxBxpqceUp0fcWJU7rMhthNnazcfBB7bu8T6kV8O8PEdvJXaYKI+xUGIeXeU6Llrbjbz9nPf1c&#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CAFCdIBAACkAwAADgAAAAAAAAABACAAAAAi&#10;AQAAZHJzL2Uyb0RvYy54bWxQSwUGAAAAAAYABgBZAQAAZgUAAAAA&#10;">
              <v:fill on="f" focussize="0,0"/>
              <v:stroke on="f" weight="1.2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21"/>
        <w:tab w:val="right" w:pos="8912"/>
      </w:tabs>
      <w:ind w:left="2520" w:right="280"/>
      <w:jc w:val="lef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paW6dIBAACkAwAADgAAAAAAAAABACAAAAAi&#10;AQAAZHJzL2Uyb0RvYy54bWxQSwUGAAAAAAYABgBZAQAAZgU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仿宋_GB2312" w:cs="Times New Roman"/>
        <w:kern w:val="0"/>
        <w:sz w:val="18"/>
        <w:szCs w:val="18"/>
        <w:lang w:val="zh-CN"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2520" w:right="280"/>
                            <w:jc w:val="right"/>
                          </w:pP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pPr>
                      <w:pStyle w:val="3"/>
                      <w:ind w:left="2520" w:right="280"/>
                      <w:jc w:val="right"/>
                    </w:pPr>
                  </w:p>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3"/>
      <w:wordWrap w:val="0"/>
      <w:ind w:left="2160" w:right="550"/>
      <w:jc w:val="right"/>
      <w:rPr>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ascii="宋体" w:hAnsi="宋体" w:eastAsia="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&#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DkJP9IBAAClAwAADgAAAAAAAAABACAAAAAi&#10;AQAAZHJzL2Uyb0RvYy54bWxQSwUGAAAAAAYABgBZAQAAZgU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rFonts w:ascii="Calibri" w:hAnsi="Calibri" w:eastAsia="仿宋_GB2312" w:cs="Times New Roman"/>
        <w:kern w:val="0"/>
        <w:sz w:val="28"/>
        <w:szCs w:val="18"/>
        <w:lang w:val="zh-CN"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90" w:firstLineChars="50"/>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pPr>
                      <w:pStyle w:val="3"/>
                      <w:ind w:firstLine="90" w:firstLineChars="50"/>
                    </w:pPr>
                  </w:p>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dit="readOnly" w:enforcement="0"/>
  <w:defaultTabStop w:val="420"/>
  <w:evenAndOddHeaders w:val="1"/>
  <w:drawingGridHorizontalSpacing w:val="162"/>
  <w:drawingGridVerticalSpacing w:val="579"/>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NzBjMDcyNGU2YTczM2M5ZWMxMTk3OGY0ODlhYjUifQ=="/>
  </w:docVars>
  <w:rsids>
    <w:rsidRoot w:val="00000000"/>
    <w:rsid w:val="05973338"/>
    <w:rsid w:val="1C6C369E"/>
    <w:rsid w:val="24382656"/>
    <w:rsid w:val="470A5663"/>
    <w:rsid w:val="4D902EEE"/>
    <w:rsid w:val="5E56783C"/>
    <w:rsid w:val="61D7478F"/>
    <w:rsid w:val="65A45331"/>
    <w:rsid w:val="78E352F3"/>
    <w:rsid w:val="7F77096B"/>
    <w:rsid w:val="7FEE19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引文目录1"/>
    <w:basedOn w:val="1"/>
    <w:next w:val="1"/>
    <w:qFormat/>
    <w:uiPriority w:val="0"/>
    <w:pPr>
      <w:ind w:left="420" w:leftChars="200"/>
    </w:pPr>
    <w:rPr>
      <w:rFonts w:eastAsia="宋体"/>
      <w:sz w:val="32"/>
      <w:szCs w:val="32"/>
    </w:rPr>
  </w:style>
  <w:style w:type="paragraph" w:styleId="3">
    <w:name w:val="footer"/>
    <w:basedOn w:val="1"/>
    <w:link w:val="9"/>
    <w:qFormat/>
    <w:uiPriority w:val="0"/>
    <w:pPr>
      <w:tabs>
        <w:tab w:val="center" w:pos="4153"/>
        <w:tab w:val="right" w:pos="8306"/>
      </w:tabs>
      <w:snapToGrid w:val="0"/>
      <w:jc w:val="left"/>
    </w:pPr>
    <w:rPr>
      <w:kern w:val="0"/>
      <w:sz w:val="18"/>
      <w:szCs w:val="18"/>
      <w:lang w:val="zh-CN" w:eastAsia="zh-CN"/>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kern w:val="0"/>
      <w:sz w:val="18"/>
      <w:szCs w:val="18"/>
      <w:lang w:val="zh-CN" w:eastAsia="zh-CN"/>
    </w:rPr>
  </w:style>
  <w:style w:type="paragraph" w:styleId="5">
    <w:name w:val="Title"/>
    <w:basedOn w:val="1"/>
    <w:next w:val="1"/>
    <w:link w:val="10"/>
    <w:qFormat/>
    <w:uiPriority w:val="0"/>
    <w:pPr>
      <w:spacing w:before="240" w:after="60"/>
      <w:jc w:val="center"/>
      <w:outlineLvl w:val="0"/>
    </w:pPr>
    <w:rPr>
      <w:rFonts w:ascii="Calibri Light" w:hAnsi="Calibri Light"/>
      <w:b/>
      <w:bCs/>
      <w:szCs w:val="32"/>
    </w:rPr>
  </w:style>
  <w:style w:type="character" w:customStyle="1" w:styleId="8">
    <w:name w:val="页眉 字符"/>
    <w:link w:val="4"/>
    <w:qFormat/>
    <w:uiPriority w:val="99"/>
    <w:rPr>
      <w:sz w:val="18"/>
      <w:szCs w:val="18"/>
    </w:rPr>
  </w:style>
  <w:style w:type="character" w:customStyle="1" w:styleId="9">
    <w:name w:val="页脚 字符"/>
    <w:link w:val="3"/>
    <w:qFormat/>
    <w:uiPriority w:val="99"/>
    <w:rPr>
      <w:sz w:val="18"/>
      <w:szCs w:val="18"/>
    </w:rPr>
  </w:style>
  <w:style w:type="character" w:customStyle="1" w:styleId="10">
    <w:name w:val="标题 字符"/>
    <w:link w:val="5"/>
    <w:qFormat/>
    <w:uiPriority w:val="10"/>
    <w:rPr>
      <w:rFonts w:ascii="Calibri Light" w:hAnsi="Calibri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202</Pages>
  <Words>118236</Words>
  <Characters>121336</Characters>
  <Lines>917</Lines>
  <Paragraphs>258</Paragraphs>
  <TotalTime>38</TotalTime>
  <ScaleCrop>false</ScaleCrop>
  <LinksUpToDate>false</LinksUpToDate>
  <CharactersWithSpaces>121374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2022-06-30T23:53:00Z</dcterms:created>
  <dc:creator>Administrator</dc:creator>
  <cp:lastModifiedBy>小太阳</cp:lastModifiedBy>
  <cp:lastPrinted>2022-11-02T02:57:00Z</cp:lastPrinted>
  <dcterms:modified xsi:type="dcterms:W3CDTF">2022-11-21T09:17:41Z</dcterms:modified>
  <dc:title>长治市人民政府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2575F80322374CCE92CAC7329AEB3B00</vt:lpwstr>
  </property>
</Properties>
</file>