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长子县2024年国民经济和社会发展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统计公报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长子县统计局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一年来，县委、县政府团结带领全县人民，认真贯彻落实党的二十大和二十届二中、三中全会精神，在省、市委的坚强领导下，锚定“做好山文章、绘好水景图、布好名城局”发展思路不动摇，始终保持工作的连续性和稳定性，踔厉奋发，勇毅笃行，惟实励新，难中求成，推动经济运行总体平稳、稳中有进，社会治理更加有效，民生福祉持续增进，高质量发展迈出坚实步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一、综合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pacing w:val="6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6"/>
          <w:sz w:val="32"/>
          <w:szCs w:val="32"/>
        </w:rPr>
        <w:t>初步核算，全年全县地区生产总值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32"/>
          <w:szCs w:val="32"/>
          <w:lang w:val="en-US" w:eastAsia="zh-CN"/>
        </w:rPr>
        <w:t>2681949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32"/>
          <w:szCs w:val="32"/>
        </w:rPr>
        <w:t>万元，同比增长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32"/>
          <w:szCs w:val="32"/>
          <w:lang w:val="en-US" w:eastAsia="zh-CN"/>
        </w:rPr>
        <w:t>1.1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32"/>
          <w:szCs w:val="32"/>
        </w:rPr>
        <w:t>%。其中，第一产业增加值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32"/>
          <w:szCs w:val="32"/>
          <w:lang w:val="en-US" w:eastAsia="zh-CN"/>
        </w:rPr>
        <w:t>177986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32"/>
          <w:szCs w:val="32"/>
        </w:rPr>
        <w:t>万元，同比增长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32"/>
          <w:szCs w:val="32"/>
          <w:lang w:val="en-US" w:eastAsia="zh-CN"/>
        </w:rPr>
        <w:t>9.7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32"/>
          <w:szCs w:val="32"/>
        </w:rPr>
        <w:t>%；第二产业增加值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32"/>
          <w:szCs w:val="32"/>
          <w:lang w:val="en-US" w:eastAsia="zh-CN"/>
        </w:rPr>
        <w:t>1779641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32"/>
          <w:szCs w:val="32"/>
        </w:rPr>
        <w:t>万元,同比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32"/>
          <w:szCs w:val="32"/>
          <w:lang w:val="en-US" w:eastAsia="zh-CN"/>
        </w:rPr>
        <w:t>下降0.7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32"/>
          <w:szCs w:val="32"/>
        </w:rPr>
        <w:t>%；第三产业增加值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32"/>
          <w:szCs w:val="32"/>
          <w:lang w:val="en-US" w:eastAsia="zh-CN"/>
        </w:rPr>
        <w:t>724322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32"/>
          <w:szCs w:val="32"/>
        </w:rPr>
        <w:t>万元，同比增长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32"/>
          <w:szCs w:val="32"/>
          <w:lang w:val="en-US" w:eastAsia="zh-CN"/>
        </w:rPr>
        <w:t>3.0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32"/>
          <w:szCs w:val="32"/>
        </w:rPr>
        <w:t>%。三次产业占地区生产总值比重由上年的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32"/>
          <w:szCs w:val="32"/>
          <w:lang w:val="en-US" w:eastAsia="zh-CN"/>
        </w:rPr>
        <w:t>5.6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32"/>
          <w:szCs w:val="32"/>
        </w:rPr>
        <w:t>: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32"/>
          <w:szCs w:val="32"/>
          <w:lang w:val="en-US" w:eastAsia="zh-CN"/>
        </w:rPr>
        <w:t>73.6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32"/>
          <w:szCs w:val="32"/>
        </w:rPr>
        <w:t>: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32"/>
          <w:szCs w:val="32"/>
          <w:lang w:val="en-US" w:eastAsia="zh-CN"/>
        </w:rPr>
        <w:t>20.8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32"/>
          <w:szCs w:val="32"/>
        </w:rPr>
        <w:t>调整为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32"/>
          <w:szCs w:val="32"/>
          <w:lang w:val="en-US" w:eastAsia="zh-CN"/>
        </w:rPr>
        <w:t>6.6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32"/>
          <w:szCs w:val="32"/>
        </w:rPr>
        <w:t>: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32"/>
          <w:szCs w:val="32"/>
          <w:lang w:val="en-US" w:eastAsia="zh-CN"/>
        </w:rPr>
        <w:t>66.4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32"/>
          <w:szCs w:val="32"/>
        </w:rPr>
        <w:t>: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32"/>
          <w:szCs w:val="32"/>
          <w:lang w:val="en-US" w:eastAsia="zh-CN"/>
        </w:rPr>
        <w:t>27.0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32"/>
          <w:szCs w:val="32"/>
        </w:rPr>
        <w:t>。</w:t>
      </w:r>
    </w:p>
    <w:p>
      <w:pPr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0"/>
          <w:szCs w:val="30"/>
        </w:rPr>
        <w:t>图一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 w:cs="黑体"/>
          <w:color w:val="auto"/>
          <w:sz w:val="30"/>
          <w:szCs w:val="30"/>
        </w:rPr>
        <w:t>20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>20</w:t>
      </w:r>
      <w:r>
        <w:rPr>
          <w:rFonts w:hint="eastAsia" w:ascii="黑体" w:eastAsia="黑体" w:cs="黑体"/>
          <w:color w:val="auto"/>
          <w:sz w:val="30"/>
          <w:szCs w:val="30"/>
        </w:rPr>
        <w:t>—202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>4</w:t>
      </w:r>
      <w:r>
        <w:rPr>
          <w:rFonts w:hint="eastAsia" w:ascii="黑体" w:eastAsia="黑体" w:cs="黑体"/>
          <w:color w:val="auto"/>
          <w:sz w:val="30"/>
          <w:szCs w:val="30"/>
        </w:rPr>
        <w:t>年地区生产总值及其增长速度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eastAsia="黑体" w:cs="黑体"/>
          <w:color w:val="auto"/>
          <w:sz w:val="30"/>
          <w:szCs w:val="30"/>
          <w:lang w:eastAsia="zh-CN"/>
        </w:rPr>
      </w:pP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drawing>
          <wp:inline distT="0" distB="0" distL="114300" distR="114300">
            <wp:extent cx="4679950" cy="2251075"/>
            <wp:effectExtent l="0" t="0" r="6350" b="15875"/>
            <wp:docPr id="40" name="图片 40" descr="GDP表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GDP表"/>
                    <pic:cNvPicPr>
                      <a:picLocks noChangeAspect="true"/>
                    </pic:cNvPicPr>
                  </pic:nvPicPr>
                  <pic:blipFill>
                    <a:blip r:embed="rId5"/>
                    <a:srcRect t="25749" b="14131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备注：GDP调整为五经普修定数据。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年末全县常住人口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283972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人，比去年末减少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5193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人。性别比（女=100）为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103.30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。城镇人口比重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40.25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%。全年全县出生人口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2412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人，人口出生率为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8.42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‰，死亡率为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12.05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‰，自然增长率为-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3.63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‰。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表1  2024年人口数及其构成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单位：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人、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%</w:t>
      </w:r>
    </w:p>
    <w:tbl>
      <w:tblPr>
        <w:tblStyle w:val="5"/>
        <w:tblW w:w="827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0"/>
        <w:gridCol w:w="2349"/>
        <w:gridCol w:w="220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372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eastAsia="zh-CN"/>
              </w:rPr>
              <w:t>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eastAsia="zh-CN"/>
              </w:rPr>
              <w:t>标</w:t>
            </w:r>
          </w:p>
        </w:tc>
        <w:tc>
          <w:tcPr>
            <w:tcW w:w="2349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eastAsia="zh-CN"/>
              </w:rPr>
              <w:t>绝对值</w:t>
            </w:r>
          </w:p>
        </w:tc>
        <w:tc>
          <w:tcPr>
            <w:tcW w:w="2209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eastAsia="zh-CN"/>
              </w:rPr>
              <w:t>比重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3720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 w:firstLineChars="1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eastAsia="zh-CN"/>
              </w:rPr>
              <w:t>全县常住人口</w:t>
            </w:r>
          </w:p>
        </w:tc>
        <w:tc>
          <w:tcPr>
            <w:tcW w:w="234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  <w:t>283972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eastAsia="zh-CN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  <w:t>：城 镇</w:t>
            </w:r>
          </w:p>
        </w:tc>
        <w:tc>
          <w:tcPr>
            <w:tcW w:w="23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  <w:t>114288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  <w:t>40.25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eastAsia="zh-CN"/>
              </w:rPr>
              <w:t>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23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  <w:t>169684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  <w:t>59.75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eastAsia="zh-CN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eastAsia="zh-CN"/>
              </w:rPr>
              <w:t>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eastAsia="zh-CN"/>
              </w:rPr>
              <w:t>性</w:t>
            </w:r>
          </w:p>
        </w:tc>
        <w:tc>
          <w:tcPr>
            <w:tcW w:w="23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  <w:t>144289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  <w:t>50.81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372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eastAsia="zh-CN"/>
              </w:rPr>
              <w:t>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eastAsia="zh-CN"/>
              </w:rPr>
              <w:t>性</w:t>
            </w:r>
          </w:p>
        </w:tc>
        <w:tc>
          <w:tcPr>
            <w:tcW w:w="234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  <w:t>139683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  <w:t>49.19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全年全县财政总收入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679475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万元。一般公共预算收入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265192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万元。税收收入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184777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万元。其中，国内增值税、企业所得税、个人所得税、资源税和城市维护建设税共计完成税收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147049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万元。公共财政预算支出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462485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万元，同比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增长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0.16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%。其中，教育、卫生健康、社会保障和就业、住房保障、公共交通运输、节能环保、城乡社区事务等民生支出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273226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万元，同比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增长5.69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%，民生支出占全县公共财政预算支出的比重为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59.08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黑体" w:cs="黑体"/>
          <w:color w:val="auto"/>
          <w:sz w:val="30"/>
          <w:szCs w:val="30"/>
        </w:rPr>
      </w:pPr>
      <w:r>
        <w:rPr>
          <w:rFonts w:hint="eastAsia" w:ascii="黑体" w:eastAsia="黑体" w:cs="黑体"/>
          <w:color w:val="auto"/>
          <w:sz w:val="30"/>
          <w:szCs w:val="30"/>
        </w:rPr>
        <w:t>图二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 w:cs="黑体"/>
          <w:color w:val="auto"/>
          <w:sz w:val="30"/>
          <w:szCs w:val="30"/>
        </w:rPr>
        <w:t>20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>20</w:t>
      </w:r>
      <w:r>
        <w:rPr>
          <w:rFonts w:hint="eastAsia" w:ascii="黑体" w:eastAsia="黑体" w:cs="黑体"/>
          <w:color w:val="auto"/>
          <w:sz w:val="30"/>
          <w:szCs w:val="30"/>
        </w:rPr>
        <w:t>—202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>4</w:t>
      </w:r>
      <w:r>
        <w:rPr>
          <w:rFonts w:hint="eastAsia" w:ascii="黑体" w:eastAsia="黑体" w:cs="黑体"/>
          <w:color w:val="auto"/>
          <w:sz w:val="30"/>
          <w:szCs w:val="30"/>
        </w:rPr>
        <w:t>年一般公共预算收入及其增长速度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drawing>
          <wp:inline distT="0" distB="0" distL="114300" distR="114300">
            <wp:extent cx="4679950" cy="2934970"/>
            <wp:effectExtent l="0" t="0" r="6350" b="17780"/>
            <wp:docPr id="10" name="图片 10" descr="一般公共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一般公共"/>
                    <pic:cNvPicPr>
                      <a:picLocks noChangeAspect="true"/>
                    </pic:cNvPicPr>
                  </pic:nvPicPr>
                  <pic:blipFill>
                    <a:blip r:embed="rId6"/>
                    <a:srcRect t="13139" b="8488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全年全县城镇新增就业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4368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二、农业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全县农作物播种面积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44.92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千公顷，粮食种植面积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35.14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千公顷，其中，玉米种植面积32.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千公顷，小麦种植面积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0.91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千公顷。全年经济作物播种面积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9.78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千公顷，其中，蔬菜种植面积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8.05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千公顷。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全年粮食产量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189954.27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吨。其中，夏粮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5117.07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吨，秋粮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184837.19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吨。全年蔬菜产量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436754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吨。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表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2  </w:t>
      </w:r>
      <w:r>
        <w:rPr>
          <w:rFonts w:hint="eastAsia" w:ascii="黑体" w:eastAsia="黑体" w:cs="黑体"/>
          <w:color w:val="auto"/>
          <w:sz w:val="32"/>
          <w:szCs w:val="32"/>
        </w:rPr>
        <w:t>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eastAsia="黑体" w:cs="黑体"/>
          <w:color w:val="auto"/>
          <w:sz w:val="32"/>
          <w:szCs w:val="32"/>
        </w:rPr>
        <w:t>年主要农产品分品种产量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单位：吨</w:t>
      </w:r>
    </w:p>
    <w:tbl>
      <w:tblPr>
        <w:tblStyle w:val="5"/>
        <w:tblW w:w="825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5"/>
        <w:gridCol w:w="408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417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产品名称</w:t>
            </w:r>
          </w:p>
        </w:tc>
        <w:tc>
          <w:tcPr>
            <w:tcW w:w="40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产 量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4175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粮 食</w:t>
            </w:r>
          </w:p>
        </w:tc>
        <w:tc>
          <w:tcPr>
            <w:tcW w:w="4084" w:type="dxa"/>
            <w:tcBorders>
              <w:top w:val="single" w:color="auto" w:sz="6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189954.27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17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 xml:space="preserve">     其中：玉 米</w:t>
            </w:r>
          </w:p>
        </w:tc>
        <w:tc>
          <w:tcPr>
            <w:tcW w:w="408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177061.39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17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eastAsia="zh-CN"/>
              </w:rPr>
              <w:t>麦</w:t>
            </w:r>
          </w:p>
        </w:tc>
        <w:tc>
          <w:tcPr>
            <w:tcW w:w="408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5117.07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17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 xml:space="preserve">           谷 子</w:t>
            </w:r>
          </w:p>
        </w:tc>
        <w:tc>
          <w:tcPr>
            <w:tcW w:w="408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1060.22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17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 xml:space="preserve">           豆 类</w:t>
            </w:r>
          </w:p>
        </w:tc>
        <w:tc>
          <w:tcPr>
            <w:tcW w:w="408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1787.71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17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 xml:space="preserve">           薯 类</w:t>
            </w:r>
          </w:p>
        </w:tc>
        <w:tc>
          <w:tcPr>
            <w:tcW w:w="408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4927.87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17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蔬菜及食用菌</w:t>
            </w:r>
          </w:p>
        </w:tc>
        <w:tc>
          <w:tcPr>
            <w:tcW w:w="408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436754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417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烤 烟</w:t>
            </w:r>
          </w:p>
        </w:tc>
        <w:tc>
          <w:tcPr>
            <w:tcW w:w="4084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669.1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据全面调查，全年生猪存栏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90805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头，出栏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150989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头；牛存栏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4351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头，出栏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2670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头；羊存栏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92841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只，出栏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54642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只；家禽存栏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312.13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万只，出栏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167.69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全年肉类总产量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15288.60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吨。其中，猪牛羊肉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12955.79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吨。全年禽蛋产量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29541.59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全年农用化肥施用量（折纯）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19155.09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吨，地膜使用量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437.10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吨，农用柴油使用量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3160.36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经初步核算，全县农林牧渔总产值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293153.8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万元，增长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10.44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%。其中，农业产值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196185.92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万元，增长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14.03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%；林业产值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12884.74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增长2.84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%；牧业产值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69656.64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万元，增长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4.07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%；渔业产值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1426.5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万元，增长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4.7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%；农林牧渔服务业产值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13000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万元，增长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4.62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年末全县农业机械总动力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199148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千瓦，增长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5.02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%。机械耕地面积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43857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公顷，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增长0.61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%；机械播种面积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36880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公顷，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增长2.57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%；机械收获面积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22780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公顷，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增长0.54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%。全县农机服务收入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7718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增长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0.65%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三、工业和建筑业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年末全县规模以上工业企业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家。全年全县规模以上工业增加值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下降3.2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全年规模以上工业中，煤炭开采和洗选业增加值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增长6.7%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农副食品加工业增加值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增长5.2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%，非金属矿物制品业增加值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增长2.6%，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电力、热力生产和供应业增加值增长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1.1%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燃气生产和供应业增加值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下降2.3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金属制品、机械和设备修理业增加值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下降34.2%，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通用设备制造业增加值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下降1.7%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专用设备制造业增加值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下降0.6%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，金属制品业增加值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下降5.6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 w:cs="仿宋_GB2312"/>
          <w:color w:val="auto"/>
          <w:sz w:val="24"/>
          <w:szCs w:val="24"/>
        </w:rPr>
      </w:pPr>
      <w:r>
        <w:rPr>
          <w:rFonts w:hint="eastAsia" w:ascii="黑体" w:eastAsia="黑体" w:cs="黑体"/>
          <w:color w:val="auto"/>
          <w:sz w:val="32"/>
          <w:szCs w:val="32"/>
        </w:rPr>
        <w:t>表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3  </w:t>
      </w:r>
      <w:r>
        <w:rPr>
          <w:rFonts w:hint="eastAsia" w:ascii="黑体" w:eastAsia="黑体" w:cs="黑体"/>
          <w:color w:val="auto"/>
          <w:sz w:val="32"/>
          <w:szCs w:val="32"/>
        </w:rPr>
        <w:t>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eastAsia="黑体" w:cs="黑体"/>
          <w:color w:val="auto"/>
          <w:sz w:val="32"/>
          <w:szCs w:val="32"/>
        </w:rPr>
        <w:t>年规模以上工业增加值增长速度</w:t>
      </w:r>
    </w:p>
    <w:tbl>
      <w:tblPr>
        <w:tblStyle w:val="5"/>
        <w:tblpPr w:leftFromText="181" w:rightFromText="181" w:vertAnchor="text" w:horzAnchor="page" w:tblpXSpec="center" w:tblpY="1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5"/>
        <w:gridCol w:w="2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36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pStyle w:val="7"/>
              <w:tabs>
                <w:tab w:val="left" w:pos="719"/>
              </w:tabs>
              <w:spacing w:before="120"/>
              <w:ind w:left="7"/>
              <w:rPr>
                <w:rFonts w:hint="eastAsia" w:asci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eastAsia="宋体" w:cs="宋体"/>
                <w:color w:val="auto"/>
                <w:w w:val="104"/>
                <w:sz w:val="30"/>
                <w:szCs w:val="30"/>
              </w:rPr>
              <w:t>指</w:t>
            </w:r>
            <w:r>
              <w:rPr>
                <w:rFonts w:hint="eastAsia" w:ascii="宋体" w:eastAsia="宋体" w:cs="宋体"/>
                <w:color w:val="auto"/>
                <w:w w:val="104"/>
                <w:sz w:val="30"/>
                <w:szCs w:val="30"/>
              </w:rPr>
              <w:tab/>
            </w:r>
            <w:r>
              <w:rPr>
                <w:rFonts w:hint="eastAsia" w:ascii="宋体" w:eastAsia="宋体" w:cs="宋体"/>
                <w:color w:val="auto"/>
                <w:w w:val="104"/>
                <w:sz w:val="30"/>
                <w:szCs w:val="30"/>
              </w:rPr>
              <w:t>标</w:t>
            </w:r>
          </w:p>
        </w:tc>
        <w:tc>
          <w:tcPr>
            <w:tcW w:w="229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nil"/>
            </w:tcBorders>
            <w:noWrap/>
            <w:vAlign w:val="top"/>
          </w:tcPr>
          <w:p>
            <w:pPr>
              <w:pStyle w:val="7"/>
              <w:spacing w:before="120"/>
              <w:ind w:left="66"/>
              <w:jc w:val="center"/>
              <w:rPr>
                <w:rFonts w:hint="eastAsia" w:ascii="宋体" w:eastAsia="宋体" w:cs="宋体"/>
                <w:color w:val="auto"/>
                <w:w w:val="100"/>
                <w:sz w:val="30"/>
                <w:szCs w:val="30"/>
              </w:rPr>
            </w:pPr>
            <w:r>
              <w:rPr>
                <w:rFonts w:hint="eastAsia" w:ascii="宋体" w:eastAsia="宋体" w:cs="宋体"/>
                <w:color w:val="auto"/>
                <w:spacing w:val="-13"/>
                <w:w w:val="100"/>
                <w:sz w:val="30"/>
                <w:szCs w:val="30"/>
              </w:rPr>
              <w:t>比上年增长</w:t>
            </w:r>
            <w:r>
              <w:rPr>
                <w:rFonts w:hint="eastAsia" w:ascii="宋体" w:eastAsia="宋体" w:cs="宋体"/>
                <w:color w:val="auto"/>
                <w:spacing w:val="-21"/>
                <w:w w:val="100"/>
                <w:sz w:val="30"/>
                <w:szCs w:val="30"/>
              </w:rPr>
              <w:t>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8" w:hRule="atLeast"/>
          <w:jc w:val="center"/>
        </w:trPr>
        <w:tc>
          <w:tcPr>
            <w:tcW w:w="5365" w:type="dxa"/>
            <w:tcBorders>
              <w:top w:val="single" w:color="000000" w:sz="6" w:space="0"/>
              <w:left w:val="nil"/>
              <w:bottom w:val="single" w:color="auto" w:sz="12" w:space="0"/>
              <w:right w:val="single" w:color="000000" w:sz="4" w:space="0"/>
            </w:tcBorders>
            <w:noWrap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2431"/>
              <w:jc w:val="left"/>
              <w:textAlignment w:val="auto"/>
              <w:rPr>
                <w:rFonts w:hint="eastAsia" w:ascii="宋体" w:eastAsia="宋体" w:cs="宋体"/>
                <w:color w:val="auto"/>
                <w:w w:val="104"/>
                <w:sz w:val="30"/>
                <w:szCs w:val="30"/>
              </w:rPr>
            </w:pPr>
            <w:r>
              <w:rPr>
                <w:rFonts w:hint="eastAsia" w:ascii="宋体" w:eastAsia="宋体" w:cs="宋体"/>
                <w:color w:val="auto"/>
                <w:w w:val="104"/>
                <w:sz w:val="30"/>
                <w:szCs w:val="30"/>
              </w:rPr>
              <w:t>规模以上工业总计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12" w:firstLineChars="100"/>
              <w:jc w:val="left"/>
              <w:textAlignment w:val="auto"/>
              <w:rPr>
                <w:rFonts w:hint="eastAsia" w:asci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eastAsia="宋体" w:cs="宋体"/>
                <w:color w:val="auto"/>
                <w:w w:val="104"/>
                <w:sz w:val="30"/>
                <w:szCs w:val="30"/>
              </w:rPr>
              <w:t>在总计中</w:t>
            </w:r>
            <w:r>
              <w:rPr>
                <w:rFonts w:hint="eastAsia" w:ascii="宋体" w:eastAsia="宋体" w:cs="宋体"/>
                <w:color w:val="auto"/>
                <w:spacing w:val="-17"/>
                <w:sz w:val="30"/>
                <w:szCs w:val="30"/>
              </w:rPr>
              <w:t>：</w:t>
            </w:r>
            <w:r>
              <w:rPr>
                <w:rFonts w:hint="eastAsia" w:cs="宋体"/>
                <w:color w:val="auto"/>
                <w:sz w:val="30"/>
                <w:szCs w:val="30"/>
                <w:lang w:eastAsia="zh-CN"/>
              </w:rPr>
              <w:t>轻</w:t>
            </w:r>
            <w:r>
              <w:rPr>
                <w:rFonts w:hint="eastAsia" w:ascii="宋体" w:eastAsia="宋体" w:cs="宋体"/>
                <w:color w:val="auto"/>
                <w:sz w:val="30"/>
                <w:szCs w:val="30"/>
              </w:rPr>
              <w:t>工业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800" w:firstLineChars="600"/>
              <w:jc w:val="left"/>
              <w:textAlignment w:val="auto"/>
              <w:rPr>
                <w:rFonts w:hint="eastAsia" w:asci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eastAsia="宋体" w:cs="宋体"/>
                <w:color w:val="auto"/>
                <w:sz w:val="30"/>
                <w:szCs w:val="30"/>
              </w:rPr>
              <w:t>重工业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12" w:firstLineChars="100"/>
              <w:jc w:val="left"/>
              <w:textAlignment w:val="auto"/>
              <w:rPr>
                <w:rFonts w:hint="eastAsia" w:asci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eastAsia="宋体" w:cs="宋体"/>
                <w:color w:val="auto"/>
                <w:w w:val="104"/>
                <w:sz w:val="30"/>
                <w:szCs w:val="30"/>
              </w:rPr>
              <w:t>在总计中：国有及国有控股企业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12" w:firstLineChars="100"/>
              <w:jc w:val="left"/>
              <w:textAlignment w:val="auto"/>
              <w:rPr>
                <w:rFonts w:hint="eastAsia" w:asci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eastAsia="宋体" w:cs="宋体"/>
                <w:color w:val="auto"/>
                <w:w w:val="104"/>
                <w:sz w:val="30"/>
                <w:szCs w:val="30"/>
              </w:rPr>
              <w:t>在总计中：煤炭开采和洗选业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363"/>
              <w:jc w:val="left"/>
              <w:textAlignment w:val="auto"/>
              <w:rPr>
                <w:rFonts w:hint="eastAsia" w:asci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eastAsia="宋体" w:cs="宋体"/>
                <w:color w:val="auto"/>
                <w:w w:val="104"/>
                <w:sz w:val="30"/>
                <w:szCs w:val="30"/>
              </w:rPr>
              <w:t>农副食品加工业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363"/>
              <w:jc w:val="left"/>
              <w:textAlignment w:val="auto"/>
              <w:rPr>
                <w:rFonts w:hint="eastAsia" w:ascii="宋体" w:eastAsia="宋体" w:cs="宋体"/>
                <w:color w:val="auto"/>
                <w:w w:val="104"/>
                <w:sz w:val="30"/>
                <w:szCs w:val="30"/>
              </w:rPr>
            </w:pPr>
            <w:r>
              <w:rPr>
                <w:rFonts w:hint="eastAsia" w:ascii="宋体" w:eastAsia="宋体" w:cs="宋体"/>
                <w:color w:val="auto"/>
                <w:w w:val="104"/>
                <w:sz w:val="30"/>
                <w:szCs w:val="30"/>
              </w:rPr>
              <w:t>非金属矿物制品业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363"/>
              <w:jc w:val="left"/>
              <w:textAlignment w:val="auto"/>
              <w:rPr>
                <w:rFonts w:hint="eastAsia" w:asci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eastAsia="宋体" w:cs="宋体"/>
                <w:color w:val="auto"/>
                <w:w w:val="104"/>
                <w:sz w:val="30"/>
                <w:szCs w:val="30"/>
              </w:rPr>
              <w:t>化学原料及化学制品制造业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363"/>
              <w:jc w:val="left"/>
              <w:textAlignment w:val="auto"/>
              <w:rPr>
                <w:rFonts w:hint="eastAsia" w:ascii="宋体" w:eastAsia="宋体" w:cs="宋体"/>
                <w:color w:val="auto"/>
                <w:w w:val="104"/>
                <w:sz w:val="30"/>
                <w:szCs w:val="30"/>
              </w:rPr>
            </w:pPr>
            <w:r>
              <w:rPr>
                <w:rFonts w:hint="eastAsia" w:ascii="宋体" w:eastAsia="宋体" w:cs="宋体"/>
                <w:color w:val="auto"/>
                <w:w w:val="104"/>
                <w:sz w:val="30"/>
                <w:szCs w:val="30"/>
              </w:rPr>
              <w:t>电力、热力生产和供应业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372"/>
              <w:jc w:val="left"/>
              <w:textAlignment w:val="auto"/>
              <w:rPr>
                <w:rFonts w:hint="eastAsia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cs="宋体"/>
                <w:color w:val="auto"/>
                <w:sz w:val="30"/>
                <w:szCs w:val="30"/>
                <w:lang w:eastAsia="zh-CN"/>
              </w:rPr>
              <w:t>燃气生产和供应业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372"/>
              <w:jc w:val="left"/>
              <w:textAlignment w:val="auto"/>
              <w:rPr>
                <w:rFonts w:hint="eastAsia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cs="宋体"/>
                <w:color w:val="auto"/>
                <w:sz w:val="30"/>
                <w:szCs w:val="30"/>
                <w:lang w:eastAsia="zh-CN"/>
              </w:rPr>
              <w:t>金属制品、机械和设备修理业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372"/>
              <w:jc w:val="left"/>
              <w:textAlignment w:val="auto"/>
              <w:rPr>
                <w:rFonts w:hint="eastAsia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cs="宋体"/>
                <w:color w:val="auto"/>
                <w:sz w:val="30"/>
                <w:szCs w:val="30"/>
                <w:lang w:eastAsia="zh-CN"/>
              </w:rPr>
              <w:t>通用设备制造业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372"/>
              <w:jc w:val="left"/>
              <w:textAlignment w:val="auto"/>
              <w:rPr>
                <w:rFonts w:hint="eastAsia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cs="宋体"/>
                <w:color w:val="auto"/>
                <w:sz w:val="30"/>
                <w:szCs w:val="30"/>
                <w:lang w:eastAsia="zh-CN"/>
              </w:rPr>
              <w:t>专用设备制造业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372"/>
              <w:jc w:val="left"/>
              <w:textAlignment w:val="auto"/>
              <w:rPr>
                <w:rFonts w:hint="eastAsia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cs="宋体"/>
                <w:color w:val="auto"/>
                <w:sz w:val="30"/>
                <w:szCs w:val="30"/>
                <w:lang w:eastAsia="zh-CN"/>
              </w:rPr>
              <w:t>金属制品业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363"/>
              <w:jc w:val="left"/>
              <w:textAlignment w:val="auto"/>
              <w:rPr>
                <w:rFonts w:hint="eastAsia" w:ascii="宋体" w:eastAsia="宋体" w:cs="宋体"/>
                <w:color w:val="auto"/>
                <w:w w:val="104"/>
                <w:sz w:val="30"/>
                <w:szCs w:val="30"/>
                <w:lang w:eastAsia="zh-CN"/>
              </w:rPr>
            </w:pPr>
            <w:r>
              <w:rPr>
                <w:rFonts w:hint="eastAsia" w:cs="宋体"/>
                <w:color w:val="auto"/>
                <w:sz w:val="30"/>
                <w:szCs w:val="30"/>
                <w:lang w:eastAsia="zh-CN"/>
              </w:rPr>
              <w:t>其他制造业</w:t>
            </w:r>
          </w:p>
        </w:tc>
        <w:tc>
          <w:tcPr>
            <w:tcW w:w="2294" w:type="dxa"/>
            <w:tcBorders>
              <w:top w:val="single" w:color="000000" w:sz="6" w:space="0"/>
              <w:left w:val="single" w:color="000000" w:sz="4" w:space="0"/>
              <w:bottom w:val="single" w:color="auto" w:sz="12" w:space="0"/>
              <w:right w:val="nil"/>
            </w:tcBorders>
            <w:noWrap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cs="宋体"/>
                <w:color w:val="auto"/>
                <w:spacing w:val="-1"/>
                <w:sz w:val="30"/>
                <w:szCs w:val="30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30"/>
                <w:szCs w:val="30"/>
                <w:lang w:val="en-US" w:eastAsia="zh-CN"/>
              </w:rPr>
              <w:t>-3.2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cs="宋体"/>
                <w:color w:val="auto"/>
                <w:spacing w:val="-1"/>
                <w:sz w:val="30"/>
                <w:szCs w:val="30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30"/>
                <w:szCs w:val="30"/>
                <w:lang w:val="en-US" w:eastAsia="zh-CN"/>
              </w:rPr>
              <w:t>5.16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default" w:cs="宋体"/>
                <w:color w:val="auto"/>
                <w:spacing w:val="-1"/>
                <w:sz w:val="30"/>
                <w:szCs w:val="30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30"/>
                <w:szCs w:val="30"/>
                <w:lang w:val="en-US" w:eastAsia="zh-CN"/>
              </w:rPr>
              <w:t>-3.17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default" w:cs="宋体"/>
                <w:color w:val="auto"/>
                <w:spacing w:val="-1"/>
                <w:sz w:val="30"/>
                <w:szCs w:val="30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30"/>
                <w:szCs w:val="30"/>
                <w:lang w:val="en-US" w:eastAsia="zh-CN"/>
              </w:rPr>
              <w:t>4.53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cs="宋体"/>
                <w:color w:val="auto"/>
                <w:spacing w:val="-1"/>
                <w:sz w:val="30"/>
                <w:szCs w:val="30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30"/>
                <w:szCs w:val="30"/>
                <w:lang w:val="en-US" w:eastAsia="zh-CN"/>
              </w:rPr>
              <w:t>6.7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cs="宋体"/>
                <w:color w:val="auto"/>
                <w:spacing w:val="-1"/>
                <w:sz w:val="30"/>
                <w:szCs w:val="30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30"/>
                <w:szCs w:val="30"/>
                <w:lang w:val="en-US" w:eastAsia="zh-CN"/>
              </w:rPr>
              <w:t>5.2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cs="宋体"/>
                <w:color w:val="auto"/>
                <w:spacing w:val="-1"/>
                <w:sz w:val="30"/>
                <w:szCs w:val="30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30"/>
                <w:szCs w:val="30"/>
                <w:lang w:val="en-US" w:eastAsia="zh-CN"/>
              </w:rPr>
              <w:t>2.6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cs="宋体"/>
                <w:color w:val="auto"/>
                <w:spacing w:val="-1"/>
                <w:sz w:val="30"/>
                <w:szCs w:val="30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30"/>
                <w:szCs w:val="30"/>
                <w:lang w:val="en-US" w:eastAsia="zh-CN"/>
              </w:rPr>
              <w:t>-34.1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cs="宋体"/>
                <w:color w:val="auto"/>
                <w:spacing w:val="-1"/>
                <w:sz w:val="30"/>
                <w:szCs w:val="30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30"/>
                <w:szCs w:val="30"/>
                <w:lang w:val="en-US" w:eastAsia="zh-CN"/>
              </w:rPr>
              <w:t>1.1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cs="宋体"/>
                <w:color w:val="auto"/>
                <w:spacing w:val="-1"/>
                <w:sz w:val="30"/>
                <w:szCs w:val="30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30"/>
                <w:szCs w:val="30"/>
                <w:lang w:val="en-US" w:eastAsia="zh-CN"/>
              </w:rPr>
              <w:t>-2.3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cs="宋体"/>
                <w:color w:val="auto"/>
                <w:spacing w:val="-1"/>
                <w:sz w:val="30"/>
                <w:szCs w:val="30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30"/>
                <w:szCs w:val="30"/>
                <w:lang w:val="en-US" w:eastAsia="zh-CN"/>
              </w:rPr>
              <w:t>-34.2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cs="宋体"/>
                <w:color w:val="auto"/>
                <w:spacing w:val="-1"/>
                <w:sz w:val="30"/>
                <w:szCs w:val="30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30"/>
                <w:szCs w:val="30"/>
                <w:lang w:val="en-US" w:eastAsia="zh-CN"/>
              </w:rPr>
              <w:t>-1.7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cs="宋体"/>
                <w:color w:val="auto"/>
                <w:spacing w:val="-1"/>
                <w:sz w:val="30"/>
                <w:szCs w:val="30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30"/>
                <w:szCs w:val="30"/>
                <w:lang w:val="en-US" w:eastAsia="zh-CN"/>
              </w:rPr>
              <w:t>0.6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cs="宋体"/>
                <w:color w:val="auto"/>
                <w:spacing w:val="-1"/>
                <w:sz w:val="30"/>
                <w:szCs w:val="30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30"/>
                <w:szCs w:val="30"/>
                <w:lang w:val="en-US" w:eastAsia="zh-CN"/>
              </w:rPr>
              <w:t>-5.6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default" w:cs="宋体"/>
                <w:color w:val="auto"/>
                <w:spacing w:val="-1"/>
                <w:sz w:val="30"/>
                <w:szCs w:val="30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30"/>
                <w:szCs w:val="3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全年规模以上工业企业利润总额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29.64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亿元。分经济类型看，国有控股企业利润总额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24.95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亿元。分门类看，采矿业利润总额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26.98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亿元；制造业利润总额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0.15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亿元；电力、热力、燃气及水生产和供应业利润总额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2.5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亿元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同比增长85.35%。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规上工业原煤产量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3177.03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万吨，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下降3.1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%；洗煤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1782.71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万吨，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增长11.7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表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4  </w:t>
      </w:r>
      <w:r>
        <w:rPr>
          <w:rFonts w:hint="eastAsia" w:ascii="黑体" w:eastAsia="黑体" w:cs="黑体"/>
          <w:color w:val="auto"/>
          <w:sz w:val="32"/>
          <w:szCs w:val="32"/>
        </w:rPr>
        <w:t>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eastAsia="黑体" w:cs="黑体"/>
          <w:color w:val="auto"/>
          <w:sz w:val="32"/>
          <w:szCs w:val="32"/>
        </w:rPr>
        <w:t>年规模以上工业主要产品产量及其增长速度</w:t>
      </w:r>
    </w:p>
    <w:tbl>
      <w:tblPr>
        <w:tblStyle w:val="5"/>
        <w:tblW w:w="825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7"/>
        <w:gridCol w:w="1564"/>
        <w:gridCol w:w="1701"/>
        <w:gridCol w:w="243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55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指   标</w:t>
            </w:r>
          </w:p>
        </w:tc>
        <w:tc>
          <w:tcPr>
            <w:tcW w:w="15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单 位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eastAsia="zh-CN"/>
              </w:rPr>
              <w:t>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eastAsia="zh-CN"/>
              </w:rPr>
              <w:t>量</w:t>
            </w:r>
          </w:p>
        </w:tc>
        <w:tc>
          <w:tcPr>
            <w:tcW w:w="24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比上年增长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255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原  煤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万 吨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3177.03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-3.1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557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洗  煤</w:t>
            </w:r>
          </w:p>
        </w:tc>
        <w:tc>
          <w:tcPr>
            <w:tcW w:w="1564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万 吨</w:t>
            </w:r>
          </w:p>
        </w:tc>
        <w:tc>
          <w:tcPr>
            <w:tcW w:w="1701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1782.71</w:t>
            </w:r>
          </w:p>
        </w:tc>
        <w:tc>
          <w:tcPr>
            <w:tcW w:w="2436" w:type="dxa"/>
            <w:tcBorders>
              <w:top w:val="nil"/>
              <w:left w:val="single" w:color="auto" w:sz="6" w:space="0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11.7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全年全县建筑业实现增加值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15359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同比增长9.2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%。有总承包和专业承包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资质的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建筑业企业实现利润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188.7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四、固定资产投资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全年固定资产投资完成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814280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增长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14.4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%。其中，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民间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投资完成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356575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下降3.6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黑体" w:cs="黑体"/>
          <w:color w:val="auto"/>
          <w:sz w:val="30"/>
          <w:szCs w:val="30"/>
        </w:rPr>
      </w:pPr>
      <w:r>
        <w:rPr>
          <w:rFonts w:hint="eastAsia" w:ascii="黑体" w:eastAsia="黑体" w:cs="黑体"/>
          <w:color w:val="auto"/>
          <w:sz w:val="30"/>
          <w:szCs w:val="30"/>
        </w:rPr>
        <w:t>图三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 w:cs="黑体"/>
          <w:color w:val="auto"/>
          <w:sz w:val="30"/>
          <w:szCs w:val="30"/>
        </w:rPr>
        <w:t>20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>20</w:t>
      </w:r>
      <w:r>
        <w:rPr>
          <w:rFonts w:hint="eastAsia" w:ascii="黑体" w:eastAsia="黑体" w:cs="黑体"/>
          <w:color w:val="auto"/>
          <w:sz w:val="30"/>
          <w:szCs w:val="30"/>
        </w:rPr>
        <w:t>—202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>4</w:t>
      </w:r>
      <w:r>
        <w:rPr>
          <w:rFonts w:hint="eastAsia" w:ascii="黑体" w:eastAsia="黑体" w:cs="黑体"/>
          <w:color w:val="auto"/>
          <w:sz w:val="30"/>
          <w:szCs w:val="30"/>
        </w:rPr>
        <w:t>年固定资产投资及其增长速度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eastAsia="黑体" w:cs="黑体"/>
          <w:color w:val="auto"/>
          <w:sz w:val="24"/>
          <w:szCs w:val="24"/>
          <w:lang w:eastAsia="zh-CN"/>
        </w:rPr>
      </w:pPr>
      <w:r>
        <w:rPr>
          <w:rFonts w:hint="eastAsia" w:ascii="黑体" w:eastAsia="黑体" w:cs="黑体"/>
          <w:color w:val="auto"/>
          <w:sz w:val="24"/>
          <w:szCs w:val="24"/>
          <w:lang w:eastAsia="zh-CN"/>
        </w:rPr>
        <w:drawing>
          <wp:inline distT="0" distB="0" distL="114300" distR="114300">
            <wp:extent cx="4679950" cy="2723515"/>
            <wp:effectExtent l="0" t="0" r="6350" b="635"/>
            <wp:docPr id="15" name="图片 15" descr="固定资产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固定资产"/>
                    <pic:cNvPicPr>
                      <a:picLocks noChangeAspect="true"/>
                    </pic:cNvPicPr>
                  </pic:nvPicPr>
                  <pic:blipFill>
                    <a:blip r:embed="rId7"/>
                    <a:srcRect t="27271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分产业看，第一产业投资完成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77290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万元，占计划总投资的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8.5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%；第二产业投资完成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387553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万元，占计划总投资的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47.6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%；第三产业投资完成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349437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万元，占计划总投资的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42.9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全年全县在建固定资产投资项目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283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个。其中，5亿元以上项目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个。本年完成项目投资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666717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增长21.2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全年房地产完成投资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147563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下降8.7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五、能源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全年规模以上工业企业能源消费量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95.87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万吨标准煤，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下降1.54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%；工业增加值能耗速度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增长1.7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%；工业生产电力消费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129947.51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万千瓦时，增长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1.64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六、贸易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全年全县社会消费品零售总额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347867.2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增长4.2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%。其中，城镇消费品零售额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162445.9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增长4.4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%；乡村消费品零售额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185421.3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增长4.1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黑体" w:cs="黑体"/>
          <w:color w:val="auto"/>
          <w:sz w:val="30"/>
          <w:szCs w:val="30"/>
        </w:rPr>
      </w:pPr>
      <w:r>
        <w:rPr>
          <w:rFonts w:hint="eastAsia" w:ascii="黑体" w:eastAsia="黑体" w:cs="黑体"/>
          <w:color w:val="auto"/>
          <w:sz w:val="30"/>
          <w:szCs w:val="30"/>
        </w:rPr>
        <w:t>图四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 w:cs="黑体"/>
          <w:color w:val="auto"/>
          <w:sz w:val="30"/>
          <w:szCs w:val="30"/>
        </w:rPr>
        <w:t>20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>20</w:t>
      </w:r>
      <w:r>
        <w:rPr>
          <w:rFonts w:hint="eastAsia" w:ascii="黑体" w:eastAsia="黑体" w:cs="黑体"/>
          <w:color w:val="auto"/>
          <w:sz w:val="30"/>
          <w:szCs w:val="30"/>
        </w:rPr>
        <w:t>—202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>4</w:t>
      </w:r>
      <w:r>
        <w:rPr>
          <w:rFonts w:hint="eastAsia" w:ascii="黑体" w:eastAsia="黑体" w:cs="黑体"/>
          <w:color w:val="auto"/>
          <w:sz w:val="30"/>
          <w:szCs w:val="30"/>
        </w:rPr>
        <w:t>年社会消费品零售总额及其增长速度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drawing>
          <wp:inline distT="0" distB="0" distL="114300" distR="114300">
            <wp:extent cx="4679950" cy="2543810"/>
            <wp:effectExtent l="0" t="0" r="6350" b="8890"/>
            <wp:docPr id="47" name="图片 47" descr="社会消费品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社会消费品"/>
                    <pic:cNvPicPr>
                      <a:picLocks noChangeAspect="true"/>
                    </pic:cNvPicPr>
                  </pic:nvPicPr>
                  <pic:blipFill>
                    <a:blip r:embed="rId8"/>
                    <a:srcRect t="27138" b="4916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楷体_GB2312" w:eastAsia="楷体_GB2312" w:cs="楷体_GB2312"/>
          <w:color w:val="auto"/>
          <w:sz w:val="24"/>
          <w:szCs w:val="24"/>
          <w:lang w:eastAsia="zh-CN"/>
        </w:rPr>
        <w:t>备注</w:t>
      </w:r>
      <w:r>
        <w:rPr>
          <w:rFonts w:hint="eastAsia" w:ascii="楷体_GB2312" w:eastAsia="楷体_GB2312" w:cs="楷体_GB2312"/>
          <w:color w:val="auto"/>
          <w:sz w:val="24"/>
          <w:szCs w:val="24"/>
          <w:lang w:val="en-US" w:eastAsia="zh-CN"/>
        </w:rPr>
        <w:t>:2020年增速为调整后速度。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表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5  </w:t>
      </w:r>
      <w:r>
        <w:rPr>
          <w:rFonts w:hint="eastAsia" w:ascii="黑体" w:eastAsia="黑体" w:cs="黑体"/>
          <w:color w:val="auto"/>
          <w:sz w:val="32"/>
          <w:szCs w:val="32"/>
        </w:rPr>
        <w:t>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eastAsia="黑体" w:cs="黑体"/>
          <w:color w:val="auto"/>
          <w:sz w:val="32"/>
          <w:szCs w:val="32"/>
        </w:rPr>
        <w:t>年社会消费品零售总额及其增长速度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单位：万元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%</w:t>
      </w:r>
    </w:p>
    <w:tbl>
      <w:tblPr>
        <w:tblStyle w:val="5"/>
        <w:tblpPr w:leftFromText="181" w:rightFromText="181" w:vertAnchor="text" w:horzAnchor="page" w:tblpXSpec="center" w:tblpY="1"/>
        <w:tblOverlap w:val="never"/>
        <w:tblW w:w="82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7"/>
        <w:gridCol w:w="1987"/>
        <w:gridCol w:w="2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4217" w:type="dxa"/>
            <w:tcBorders>
              <w:top w:val="single" w:color="auto" w:sz="12" w:space="0"/>
              <w:left w:val="nil"/>
              <w:bottom w:val="single" w:color="000000" w:sz="2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指       标</w:t>
            </w:r>
          </w:p>
        </w:tc>
        <w:tc>
          <w:tcPr>
            <w:tcW w:w="1987" w:type="dxa"/>
            <w:tcBorders>
              <w:top w:val="single" w:color="auto" w:sz="1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绝对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eastAsia="zh-CN"/>
              </w:rPr>
              <w:t>值</w:t>
            </w:r>
          </w:p>
        </w:tc>
        <w:tc>
          <w:tcPr>
            <w:tcW w:w="2054" w:type="dxa"/>
            <w:tcBorders>
              <w:top w:val="single" w:color="auto" w:sz="12" w:space="0"/>
              <w:left w:val="single" w:color="auto" w:sz="4" w:space="0"/>
              <w:bottom w:val="single" w:color="000000" w:sz="2" w:space="0"/>
              <w:right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比上年增长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4217" w:type="dxa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社会消费品零售总额</w:t>
            </w:r>
          </w:p>
        </w:tc>
        <w:tc>
          <w:tcPr>
            <w:tcW w:w="1987" w:type="dxa"/>
            <w:tcBorders>
              <w:top w:val="single" w:color="000000" w:sz="2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347867.2</w:t>
            </w:r>
          </w:p>
        </w:tc>
        <w:tc>
          <w:tcPr>
            <w:tcW w:w="2054" w:type="dxa"/>
            <w:tcBorders>
              <w:top w:val="single" w:color="000000" w:sz="2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421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64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eastAsia="zh-CN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：城 镇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162445.9</w:t>
            </w:r>
          </w:p>
        </w:tc>
        <w:tc>
          <w:tcPr>
            <w:tcW w:w="205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421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 xml:space="preserve">    乡 村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185421.3</w:t>
            </w:r>
          </w:p>
        </w:tc>
        <w:tc>
          <w:tcPr>
            <w:tcW w:w="205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421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64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eastAsia="zh-CN"/>
              </w:rPr>
              <w:t>其中：限额以上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42674.3</w:t>
            </w:r>
          </w:p>
        </w:tc>
        <w:tc>
          <w:tcPr>
            <w:tcW w:w="205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14.9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421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eastAsia="zh-CN"/>
              </w:rPr>
              <w:t>限额以下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305192.9</w:t>
            </w:r>
          </w:p>
        </w:tc>
        <w:tc>
          <w:tcPr>
            <w:tcW w:w="2054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2.7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全年全县批发业完成销售额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1072335.3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增长0.2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%；零售业完成销售额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234909.4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万元，增长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7.3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%；住宿业完成营业额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4414.8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万元，增长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6.5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%；餐饮业完成营业额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52154.6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万元，增长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8.6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七、交通、邮电和旅游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年末全县公路线路通车里程达到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958.1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公里。其中，省级公路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93.1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公里，县乡级公路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453.7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全年全县完成邮电业务收入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19510.7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万元，增长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0.72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%。其中，邮政业务收入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2797.7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增长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4.35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%；电信业务收入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16713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万元，增长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0.14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%。年末全县互联网用户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116678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户，增长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13.38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全县共有名胜风景区和文物保护单位24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个。接待国内外游客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39.7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万人次；实现旅游收入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162.2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八、金融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年末全县金融机构各项存款余额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2583533.45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万元，增长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8.98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%。各项贷款余额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1538234.31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万元，增长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13.49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表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6  </w:t>
      </w:r>
      <w:r>
        <w:rPr>
          <w:rFonts w:hint="eastAsia" w:ascii="黑体" w:eastAsia="黑体" w:cs="黑体"/>
          <w:color w:val="auto"/>
          <w:sz w:val="32"/>
          <w:szCs w:val="32"/>
        </w:rPr>
        <w:t>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eastAsia="黑体" w:cs="黑体"/>
          <w:color w:val="auto"/>
          <w:sz w:val="32"/>
          <w:szCs w:val="32"/>
        </w:rPr>
        <w:t>年年末金融机构存贷款及其增长速度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单位：万元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%</w:t>
      </w:r>
    </w:p>
    <w:tbl>
      <w:tblPr>
        <w:tblStyle w:val="5"/>
        <w:tblW w:w="84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4"/>
        <w:gridCol w:w="2788"/>
        <w:gridCol w:w="2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8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指       标</w:t>
            </w:r>
          </w:p>
        </w:tc>
        <w:tc>
          <w:tcPr>
            <w:tcW w:w="27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eastAsia="zh-CN"/>
              </w:rPr>
              <w:t>绝对值</w:t>
            </w:r>
          </w:p>
        </w:tc>
        <w:tc>
          <w:tcPr>
            <w:tcW w:w="21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比上年增长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84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各项存款余额</w:t>
            </w:r>
          </w:p>
        </w:tc>
        <w:tc>
          <w:tcPr>
            <w:tcW w:w="278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2583533.45</w:t>
            </w: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84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各项贷款余额</w:t>
            </w:r>
          </w:p>
        </w:tc>
        <w:tc>
          <w:tcPr>
            <w:tcW w:w="278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1538234.31</w:t>
            </w:r>
          </w:p>
        </w:tc>
        <w:tc>
          <w:tcPr>
            <w:tcW w:w="2146" w:type="dxa"/>
            <w:tcBorders>
              <w:top w:val="nil"/>
              <w:left w:val="single" w:color="auto" w:sz="6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13.49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九、教育和科学技术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年末全县各级各类学校共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所。其中，高级中学3所，初级中学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所，职业中学1所，教师进修学校1所，九年一贯制学校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所，特殊教育学校1所，小学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所。全县在校学生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37520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人，教职工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3632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人。202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年高考二本达线人数1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107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auto"/>
          <w:sz w:val="32"/>
          <w:szCs w:val="32"/>
        </w:rPr>
        <w:t>表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7  </w:t>
      </w:r>
      <w:r>
        <w:rPr>
          <w:rFonts w:hint="eastAsia" w:ascii="黑体" w:eastAsia="黑体" w:cs="黑体"/>
          <w:color w:val="auto"/>
          <w:sz w:val="32"/>
          <w:szCs w:val="32"/>
        </w:rPr>
        <w:t>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eastAsia="黑体" w:cs="黑体"/>
          <w:color w:val="auto"/>
          <w:sz w:val="32"/>
          <w:szCs w:val="32"/>
        </w:rPr>
        <w:t>年各类教育发展情况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40" w:firstLineChars="2200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单位：人</w:t>
      </w:r>
    </w:p>
    <w:tbl>
      <w:tblPr>
        <w:tblStyle w:val="5"/>
        <w:tblW w:w="8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1756"/>
        <w:gridCol w:w="2063"/>
        <w:gridCol w:w="2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0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指  标</w:t>
            </w:r>
          </w:p>
        </w:tc>
        <w:tc>
          <w:tcPr>
            <w:tcW w:w="1756" w:type="dxa"/>
            <w:tcBorders>
              <w:top w:val="single" w:color="auto" w:sz="1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生</w:t>
            </w:r>
          </w:p>
        </w:tc>
        <w:tc>
          <w:tcPr>
            <w:tcW w:w="2063" w:type="dxa"/>
            <w:tcBorders>
              <w:top w:val="single" w:color="auto" w:sz="1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在校生</w:t>
            </w:r>
          </w:p>
        </w:tc>
        <w:tc>
          <w:tcPr>
            <w:tcW w:w="2219" w:type="dxa"/>
            <w:tcBorders>
              <w:top w:val="single" w:color="auto" w:sz="12" w:space="0"/>
              <w:left w:val="single" w:color="auto" w:sz="2" w:space="0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0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职业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eastAsia="zh-CN"/>
              </w:rPr>
              <w:t>高中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 xml:space="preserve"> 113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959</w:t>
            </w: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普通高中</w:t>
            </w:r>
          </w:p>
        </w:tc>
        <w:tc>
          <w:tcPr>
            <w:tcW w:w="1756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2308</w:t>
            </w:r>
          </w:p>
        </w:tc>
        <w:tc>
          <w:tcPr>
            <w:tcW w:w="2063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5128</w:t>
            </w:r>
          </w:p>
        </w:tc>
        <w:tc>
          <w:tcPr>
            <w:tcW w:w="2219" w:type="dxa"/>
            <w:tcBorders>
              <w:top w:val="nil"/>
              <w:left w:val="single" w:color="auto" w:sz="6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1892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初  中</w:t>
            </w:r>
          </w:p>
        </w:tc>
        <w:tc>
          <w:tcPr>
            <w:tcW w:w="1756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3059</w:t>
            </w:r>
          </w:p>
        </w:tc>
        <w:tc>
          <w:tcPr>
            <w:tcW w:w="2063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9247</w:t>
            </w:r>
          </w:p>
        </w:tc>
        <w:tc>
          <w:tcPr>
            <w:tcW w:w="2219" w:type="dxa"/>
            <w:tcBorders>
              <w:top w:val="nil"/>
              <w:left w:val="single" w:color="auto" w:sz="6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3184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800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小  学</w:t>
            </w:r>
          </w:p>
        </w:tc>
        <w:tc>
          <w:tcPr>
            <w:tcW w:w="1756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2222</w:t>
            </w:r>
          </w:p>
        </w:tc>
        <w:tc>
          <w:tcPr>
            <w:tcW w:w="2063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15752</w:t>
            </w:r>
          </w:p>
        </w:tc>
        <w:tc>
          <w:tcPr>
            <w:tcW w:w="2219" w:type="dxa"/>
            <w:tcBorders>
              <w:top w:val="nil"/>
              <w:left w:val="single" w:color="auto" w:sz="6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3267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    十、文化、卫生和体育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年末全县共有艺术表演团体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47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个，文化馆1个，公共图书馆1个，公共图书馆藏书量2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5.5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万册，档案馆1个，农村书屋实现行政村全覆盖。全县广播电视台1座，年末全县接收数字信号用户达到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14168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户，电视综合人口覆盖率8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年末全县共有医疗卫生机构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459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个。其中，医院、卫生院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个，采供血机构1个，妇幼保健机构1个，疾病预防控制中心（防疫站）1个。病床位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1646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张，其中，医院、卫生院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1236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张。卫生技术人员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2100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人。其中，执业医师和执业助理医师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772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人，注册护士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718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人，药剂人员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人。乡镇卫生院1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个，床位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456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张，卫生技术人员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413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全县成立乡镇体育工作站1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个，各类体育协会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个，基层健身辅导站31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个，各级社会体育指导员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1237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人。全年共参加市级以上活动比赛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次，获得各类奖项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十一、人民生活和社会保障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全年城镇居民人均可支配收入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42326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元，同比增长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3.8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%；农村居民人均可支配收入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23425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元，同比增长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5.8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黑体" w:cs="黑体"/>
          <w:color w:val="auto"/>
          <w:sz w:val="30"/>
          <w:szCs w:val="30"/>
        </w:rPr>
      </w:pPr>
      <w:r>
        <w:rPr>
          <w:rFonts w:hint="eastAsia" w:ascii="黑体" w:eastAsia="黑体" w:cs="黑体"/>
          <w:color w:val="auto"/>
          <w:sz w:val="30"/>
          <w:szCs w:val="30"/>
        </w:rPr>
        <w:t>图五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 w:cs="黑体"/>
          <w:color w:val="auto"/>
          <w:sz w:val="30"/>
          <w:szCs w:val="30"/>
        </w:rPr>
        <w:t>20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>20</w:t>
      </w:r>
      <w:r>
        <w:rPr>
          <w:rFonts w:hint="eastAsia" w:ascii="黑体" w:eastAsia="黑体" w:cs="黑体"/>
          <w:color w:val="auto"/>
          <w:sz w:val="30"/>
          <w:szCs w:val="30"/>
        </w:rPr>
        <w:t>—202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>4</w:t>
      </w:r>
      <w:r>
        <w:rPr>
          <w:rFonts w:hint="eastAsia" w:ascii="黑体" w:eastAsia="黑体" w:cs="黑体"/>
          <w:color w:val="auto"/>
          <w:sz w:val="30"/>
          <w:szCs w:val="30"/>
        </w:rPr>
        <w:t>年城镇居民人均可支配收入及其增长速度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drawing>
          <wp:inline distT="0" distB="0" distL="114300" distR="114300">
            <wp:extent cx="4679950" cy="2781300"/>
            <wp:effectExtent l="0" t="0" r="6350" b="0"/>
            <wp:docPr id="20" name="图片 20" descr="城镇居民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城镇居民"/>
                    <pic:cNvPicPr>
                      <a:picLocks noChangeAspect="true"/>
                    </pic:cNvPicPr>
                  </pic:nvPicPr>
                  <pic:blipFill>
                    <a:blip r:embed="rId9"/>
                    <a:srcRect t="25728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黑体" w:cs="黑体"/>
          <w:color w:val="auto"/>
          <w:sz w:val="30"/>
          <w:szCs w:val="30"/>
        </w:rPr>
      </w:pPr>
      <w:r>
        <w:rPr>
          <w:rFonts w:hint="eastAsia" w:ascii="黑体" w:eastAsia="黑体" w:cs="黑体"/>
          <w:color w:val="auto"/>
          <w:sz w:val="30"/>
          <w:szCs w:val="30"/>
        </w:rPr>
        <w:t>图六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 w:cs="黑体"/>
          <w:color w:val="auto"/>
          <w:sz w:val="30"/>
          <w:szCs w:val="30"/>
        </w:rPr>
        <w:t>20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>20</w:t>
      </w:r>
      <w:r>
        <w:rPr>
          <w:rFonts w:hint="eastAsia" w:ascii="黑体" w:eastAsia="黑体" w:cs="黑体"/>
          <w:color w:val="auto"/>
          <w:sz w:val="30"/>
          <w:szCs w:val="30"/>
        </w:rPr>
        <w:t>—202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>4</w:t>
      </w:r>
      <w:r>
        <w:rPr>
          <w:rFonts w:hint="eastAsia" w:ascii="黑体" w:eastAsia="黑体" w:cs="黑体"/>
          <w:color w:val="auto"/>
          <w:sz w:val="30"/>
          <w:szCs w:val="30"/>
        </w:rPr>
        <w:t>年农村居民人均可支配收入及其增长速度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drawing>
          <wp:inline distT="0" distB="0" distL="114300" distR="114300">
            <wp:extent cx="4679950" cy="2508885"/>
            <wp:effectExtent l="0" t="0" r="6350" b="5715"/>
            <wp:docPr id="26" name="图片 26" descr="农村居民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农村居民"/>
                    <pic:cNvPicPr>
                      <a:picLocks noChangeAspect="true"/>
                    </pic:cNvPicPr>
                  </pic:nvPicPr>
                  <pic:blipFill>
                    <a:blip r:embed="rId10"/>
                    <a:srcRect t="33003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FF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年末全县城镇职工基本保险参保人数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42115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城乡居民基本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保险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参保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人数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196481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企业基本养老保险参保人数25001人，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机关事业单位基本养老保险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参保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人数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不含离退休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6686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人。年末全县城镇职工基本医疗保险参保人数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33656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人，城乡居民基本医疗保险参保人数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276273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人。参加失业保险3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3156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人。参加工伤保险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52489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全年全县纳入城镇最低生活保障的居民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427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人，发放城镇低保资金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338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万元；纳入农村最低生活保障的居民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6988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人，发放农村低保资金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4896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十二、县城建设、资源、环境和安全生产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年末全县城市建成区面积941万平方米。年末建成区绿化覆盖面积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409.3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万平方米，建成区绿化覆盖率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43.49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%，人均公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园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绿地面积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14.15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平方米。年末实有县城免费公交车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辆，出租汽车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143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辆。县区有公园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座，总面积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119.7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全年供水总量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512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万吨，人均日生活用水量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162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升。全年液化气供气总量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690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吨，天然气供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气总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6592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万立方米。县城集中供热面积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806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万平方米。其中，住宅供热面积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603.6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万平方米。县城污水处理能力40000吨/日，全年污水处理量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724.8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万吨。生活垃圾年处理量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5.4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万吨，无害化处理率达到100%。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年末全县耕地保有量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699295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亩，森林面积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16429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公顷，森林覆盖率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15.9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%。本年度检查验收合格造林面积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400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公顷。全年植树量1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万株，其中，义务植树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78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年末全县大中型水库蓄水总量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1588.2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万立方米，全年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sz w:val="32"/>
          <w:szCs w:val="32"/>
        </w:rPr>
        <w:t>总用水量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sz w:val="32"/>
          <w:szCs w:val="32"/>
          <w:lang w:val="en-US" w:eastAsia="zh-CN"/>
        </w:rPr>
        <w:t>675.1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sz w:val="32"/>
          <w:szCs w:val="32"/>
        </w:rPr>
        <w:t>万立方米，其中，生活用水量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sz w:val="32"/>
          <w:szCs w:val="32"/>
          <w:lang w:val="en-US" w:eastAsia="zh-CN"/>
        </w:rPr>
        <w:t>629.1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sz w:val="32"/>
          <w:szCs w:val="32"/>
        </w:rPr>
        <w:t>万立方米。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全县环境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空气质量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综合指数3.74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空气质量优良天数279天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全县亿元GDP生产安全事故死亡率为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0.018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。煤炭百万吨死亡率为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0.15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。全年发生火灾事故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137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起，直接损失金额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209.4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万元。全年共发生道路交通事故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5653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起，造成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人死亡、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370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人受伤，直接财产损失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28.9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公报注释：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eastAsia="楷体_GB2312" w:cs="楷体_GB2312"/>
          <w:color w:val="auto"/>
          <w:sz w:val="32"/>
          <w:szCs w:val="32"/>
        </w:rPr>
        <w:t>1.本公报部分数据为初步统计数据。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eastAsia="楷体_GB2312" w:cs="楷体_GB2312"/>
          <w:color w:val="auto"/>
          <w:sz w:val="32"/>
          <w:szCs w:val="32"/>
        </w:rPr>
        <w:t>2.地区生产总值、各产业增加值绝对</w:t>
      </w:r>
      <w:r>
        <w:rPr>
          <w:rFonts w:hint="eastAsia" w:ascii="楷体_GB2312" w:eastAsia="楷体_GB2312" w:cs="楷体_GB2312"/>
          <w:color w:val="auto"/>
          <w:sz w:val="32"/>
          <w:szCs w:val="32"/>
          <w:lang w:eastAsia="zh-CN"/>
        </w:rPr>
        <w:t>值</w:t>
      </w:r>
      <w:r>
        <w:rPr>
          <w:rFonts w:hint="eastAsia" w:ascii="楷体_GB2312" w:eastAsia="楷体_GB2312" w:cs="楷体_GB2312"/>
          <w:color w:val="auto"/>
          <w:sz w:val="32"/>
          <w:szCs w:val="32"/>
        </w:rPr>
        <w:t>按现价计算，增长速度按不变价计算。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eastAsia="楷体_GB2312" w:cs="楷体_GB2312"/>
          <w:color w:val="auto"/>
          <w:sz w:val="32"/>
          <w:szCs w:val="32"/>
        </w:rPr>
        <w:t>3.所有增长或下降速度均为同上年相比较。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eastAsia="楷体_GB2312" w:cs="楷体_GB2312"/>
          <w:color w:val="auto"/>
          <w:sz w:val="32"/>
          <w:szCs w:val="32"/>
        </w:rPr>
        <w:t>4.部分数据因四舍五入的原因，存在与分项合计不等的情况。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  <w:r>
        <w:rPr>
          <w:rFonts w:hint="eastAsia" w:ascii="楷体_GB2312" w:eastAsia="楷体_GB2312" w:cs="楷体_GB2312"/>
          <w:color w:val="auto"/>
          <w:sz w:val="32"/>
          <w:szCs w:val="32"/>
        </w:rPr>
        <w:t>5.规模以上工业企业统计标准为年主营业务收入2000万元及以上；固定资产投资统计起点为项目计划总投资500万元；限额以上批发零售住宿餐饮企业是指年主营业务收入在2000万元及以上的批发企业和年主营业务收入在500万元及以上的零售企业，以及年营业额在200万元及以上的住宿餐饮企业</w:t>
      </w:r>
      <w:r>
        <w:rPr>
          <w:rFonts w:hint="eastAsia" w:ascii="楷体_GB2312" w:eastAsia="楷体_GB2312" w:cs="楷体_GB2312"/>
          <w:color w:val="auto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1134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F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2603F"/>
    <w:rsid w:val="663933C4"/>
    <w:rsid w:val="67963C60"/>
    <w:rsid w:val="7542603F"/>
    <w:rsid w:val="F7F9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0"/>
    <w:pPr>
      <w:jc w:val="center"/>
    </w:pPr>
    <w:rPr>
      <w:rFonts w:ascii="宋体" w:eastAsia="宋体" w:cs="宋体"/>
      <w:lang w:val="lv-LV" w:eastAsia="lv-LV" w:bidi="lv-LV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3874</Words>
  <Characters>5117</Characters>
  <Lines>0</Lines>
  <Paragraphs>0</Paragraphs>
  <TotalTime>56</TotalTime>
  <ScaleCrop>false</ScaleCrop>
  <LinksUpToDate>false</LinksUpToDate>
  <CharactersWithSpaces>5335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2025-05-09T10:38:00Z</dcterms:created>
  <dc:creator>马宇翔</dc:creator>
  <cp:lastModifiedBy>user</cp:lastModifiedBy>
  <dcterms:modified xsi:type="dcterms:W3CDTF">2025-06-12T18:12:26Z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3BE19A90B9134546AD5E93F8D1996378_11</vt:lpwstr>
  </property>
  <property fmtid="{D5CDD505-2E9C-101B-9397-08002B2CF9AE}" pid="4" name="KSOTemplateDocerSaveRecord">
    <vt:lpwstr>eyJoZGlkIjoiMGU1NGY1MTJkYmY3MjZiYTQ1MWM5ODVjOWRkYjY2OTgiLCJ1c2VySWQiOiI1Mjg0NDQ1NzUifQ==</vt:lpwstr>
  </property>
</Properties>
</file>