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0" w:firstLineChars="0"/>
        <w:jc w:val="center"/>
        <w:rPr>
          <w:rFonts w:hint="eastAsia" w:ascii="宋体" w:hAnsi="宋体" w:cs="宋体"/>
          <w:b/>
          <w:color w:val="000000" w:themeColor="text1"/>
          <w:sz w:val="50"/>
          <w:szCs w:val="50"/>
          <w14:textFill>
            <w14:solidFill>
              <w14:schemeClr w14:val="tx1"/>
            </w14:solidFill>
          </w14:textFill>
        </w:rPr>
      </w:pPr>
    </w:p>
    <w:p>
      <w:pPr>
        <w:snapToGrid w:val="0"/>
        <w:ind w:firstLine="0" w:firstLineChars="0"/>
        <w:jc w:val="center"/>
        <w:rPr>
          <w:rFonts w:ascii="宋体" w:hAnsi="宋体" w:cs="宋体"/>
          <w:b/>
          <w:color w:val="000000" w:themeColor="text1"/>
          <w:sz w:val="50"/>
          <w:szCs w:val="50"/>
          <w14:textFill>
            <w14:solidFill>
              <w14:schemeClr w14:val="tx1"/>
            </w14:solidFill>
          </w14:textFill>
        </w:rPr>
      </w:pPr>
      <w:r>
        <w:rPr>
          <w:rFonts w:hint="eastAsia" w:ascii="宋体" w:hAnsi="宋体" w:cs="宋体"/>
          <w:b/>
          <w:color w:val="000000" w:themeColor="text1"/>
          <w:sz w:val="50"/>
          <w:szCs w:val="50"/>
          <w:lang w:val="en-US" w:eastAsia="zh-CN"/>
          <w14:textFill>
            <w14:solidFill>
              <w14:schemeClr w14:val="tx1"/>
            </w14:solidFill>
          </w14:textFill>
        </w:rPr>
        <w:t>长子县丹朱镇联校教学设备购置</w:t>
      </w:r>
      <w:r>
        <w:rPr>
          <w:rFonts w:ascii="宋体" w:hAnsi="宋体" w:cs="宋体"/>
          <w:b/>
          <w:color w:val="000000" w:themeColor="text1"/>
          <w:sz w:val="50"/>
          <w:szCs w:val="50"/>
          <w14:textFill>
            <w14:solidFill>
              <w14:schemeClr w14:val="tx1"/>
            </w14:solidFill>
          </w14:textFill>
        </w:rPr>
        <w:t>项目</w:t>
      </w:r>
    </w:p>
    <w:p>
      <w:pPr>
        <w:pStyle w:val="17"/>
        <w:adjustRightInd w:val="0"/>
        <w:snapToGrid w:val="0"/>
        <w:spacing w:line="360" w:lineRule="auto"/>
        <w:ind w:firstLine="1695" w:firstLineChars="500"/>
        <w:jc w:val="left"/>
        <w:rPr>
          <w:rFonts w:hint="eastAsia" w:ascii="宋体" w:hAnsi="宋体" w:cs="宋体"/>
          <w:b/>
          <w:color w:val="000000" w:themeColor="text1"/>
          <w:spacing w:val="19"/>
          <w:sz w:val="30"/>
          <w:szCs w:val="30"/>
          <w14:textFill>
            <w14:solidFill>
              <w14:schemeClr w14:val="tx1"/>
            </w14:solidFill>
          </w14:textFill>
        </w:rPr>
      </w:pPr>
    </w:p>
    <w:p>
      <w:pPr>
        <w:pStyle w:val="17"/>
        <w:adjustRightInd w:val="0"/>
        <w:snapToGrid w:val="0"/>
        <w:spacing w:line="360" w:lineRule="auto"/>
        <w:ind w:firstLine="1695" w:firstLineChars="500"/>
        <w:jc w:val="left"/>
        <w:rPr>
          <w:rFonts w:ascii="宋体" w:hAnsi="宋体" w:cs="宋体"/>
          <w:b/>
          <w:color w:val="000000" w:themeColor="text1"/>
          <w:sz w:val="56"/>
          <w14:textFill>
            <w14:solidFill>
              <w14:schemeClr w14:val="tx1"/>
            </w14:solidFill>
          </w14:textFill>
        </w:rPr>
      </w:pPr>
      <w:r>
        <w:rPr>
          <w:rFonts w:hint="eastAsia" w:ascii="宋体" w:hAnsi="宋体" w:cs="宋体"/>
          <w:b/>
          <w:color w:val="000000" w:themeColor="text1"/>
          <w:spacing w:val="19"/>
          <w:sz w:val="30"/>
          <w:szCs w:val="30"/>
          <w14:textFill>
            <w14:solidFill>
              <w14:schemeClr w14:val="tx1"/>
            </w14:solidFill>
          </w14:textFill>
        </w:rPr>
        <w:t>项目编号：1404282022ACS00148</w:t>
      </w:r>
    </w:p>
    <w:p>
      <w:pPr>
        <w:pStyle w:val="17"/>
        <w:spacing w:before="14"/>
        <w:ind w:firstLine="0" w:firstLineChars="0"/>
        <w:jc w:val="center"/>
        <w:rPr>
          <w:rFonts w:ascii="宋体" w:hAnsi="宋体" w:cs="宋体"/>
          <w:b/>
          <w:color w:val="000000" w:themeColor="text1"/>
          <w:sz w:val="58"/>
          <w14:textFill>
            <w14:solidFill>
              <w14:schemeClr w14:val="tx1"/>
            </w14:solidFill>
          </w14:textFill>
        </w:rPr>
      </w:pPr>
    </w:p>
    <w:p>
      <w:pPr>
        <w:pStyle w:val="17"/>
        <w:spacing w:before="14"/>
        <w:ind w:firstLine="1165"/>
        <w:rPr>
          <w:rFonts w:ascii="宋体" w:hAnsi="宋体" w:cs="宋体"/>
          <w:b/>
          <w:color w:val="000000" w:themeColor="text1"/>
          <w:sz w:val="58"/>
          <w14:textFill>
            <w14:solidFill>
              <w14:schemeClr w14:val="tx1"/>
            </w14:solidFill>
          </w14:textFill>
        </w:rPr>
      </w:pPr>
    </w:p>
    <w:p>
      <w:pPr>
        <w:ind w:firstLine="0" w:firstLineChars="0"/>
        <w:jc w:val="center"/>
        <w:rPr>
          <w:rFonts w:ascii="宋体" w:hAnsi="宋体" w:cs="宋体"/>
          <w:b/>
          <w:color w:val="000000" w:themeColor="text1"/>
          <w:sz w:val="70"/>
          <w:szCs w:val="70"/>
          <w14:textFill>
            <w14:solidFill>
              <w14:schemeClr w14:val="tx1"/>
            </w14:solidFill>
          </w14:textFill>
        </w:rPr>
      </w:pPr>
      <w:r>
        <w:rPr>
          <w:rFonts w:hint="eastAsia" w:ascii="宋体" w:hAnsi="宋体" w:cs="宋体"/>
          <w:b/>
          <w:color w:val="000000" w:themeColor="text1"/>
          <w:sz w:val="70"/>
          <w:szCs w:val="70"/>
          <w14:textFill>
            <w14:solidFill>
              <w14:schemeClr w14:val="tx1"/>
            </w14:solidFill>
          </w14:textFill>
        </w:rPr>
        <w:t>竞争性磋商文件</w:t>
      </w:r>
    </w:p>
    <w:p>
      <w:pPr>
        <w:spacing w:before="509"/>
        <w:ind w:firstLine="2035" w:firstLineChars="600"/>
        <w:jc w:val="both"/>
        <w:rPr>
          <w:rFonts w:ascii="宋体" w:hAnsi="宋体" w:cs="宋体"/>
          <w:b/>
          <w:color w:val="000000" w:themeColor="text1"/>
          <w:spacing w:val="19"/>
          <w:sz w:val="30"/>
          <w:szCs w:val="30"/>
          <w14:textFill>
            <w14:solidFill>
              <w14:schemeClr w14:val="tx1"/>
            </w14:solidFill>
          </w14:textFill>
        </w:rPr>
      </w:pPr>
    </w:p>
    <w:p>
      <w:pPr>
        <w:spacing w:before="509"/>
        <w:ind w:firstLine="0" w:firstLineChars="0"/>
        <w:jc w:val="center"/>
        <w:rPr>
          <w:rFonts w:ascii="宋体" w:hAnsi="宋体" w:cs="宋体"/>
          <w:b/>
          <w:color w:val="000000" w:themeColor="text1"/>
          <w:sz w:val="28"/>
          <w:highlight w:val="yellow"/>
          <w14:textFill>
            <w14:solidFill>
              <w14:schemeClr w14:val="tx1"/>
            </w14:solidFill>
          </w14:textFill>
        </w:rPr>
      </w:pPr>
    </w:p>
    <w:p>
      <w:pPr>
        <w:pStyle w:val="17"/>
        <w:ind w:firstLine="482"/>
        <w:rPr>
          <w:rFonts w:ascii="宋体" w:hAnsi="宋体" w:cs="宋体"/>
          <w:b/>
          <w:color w:val="000000" w:themeColor="text1"/>
          <w14:textFill>
            <w14:solidFill>
              <w14:schemeClr w14:val="tx1"/>
            </w14:solidFill>
          </w14:textFill>
        </w:rPr>
      </w:pPr>
    </w:p>
    <w:p>
      <w:pPr>
        <w:pStyle w:val="17"/>
        <w:ind w:firstLine="482"/>
        <w:rPr>
          <w:rFonts w:ascii="宋体" w:hAnsi="宋体" w:cs="宋体"/>
          <w:b/>
          <w:color w:val="000000" w:themeColor="text1"/>
          <w14:textFill>
            <w14:solidFill>
              <w14:schemeClr w14:val="tx1"/>
            </w14:solidFill>
          </w14:textFill>
        </w:rPr>
      </w:pPr>
    </w:p>
    <w:p>
      <w:pPr>
        <w:pStyle w:val="17"/>
        <w:ind w:firstLine="482"/>
        <w:rPr>
          <w:rFonts w:ascii="宋体" w:hAnsi="宋体" w:cs="宋体"/>
          <w:b/>
          <w:color w:val="000000" w:themeColor="text1"/>
          <w14:textFill>
            <w14:solidFill>
              <w14:schemeClr w14:val="tx1"/>
            </w14:solidFill>
          </w14:textFill>
        </w:rPr>
      </w:pPr>
    </w:p>
    <w:p>
      <w:pPr>
        <w:pStyle w:val="17"/>
        <w:spacing w:before="8"/>
        <w:ind w:firstLine="0" w:firstLineChars="0"/>
        <w:rPr>
          <w:rFonts w:ascii="宋体" w:hAnsi="宋体" w:cs="宋体"/>
          <w:b/>
          <w:color w:val="000000" w:themeColor="text1"/>
          <w:sz w:val="41"/>
          <w14:textFill>
            <w14:solidFill>
              <w14:schemeClr w14:val="tx1"/>
            </w14:solidFill>
          </w14:textFill>
        </w:rPr>
      </w:pPr>
    </w:p>
    <w:p>
      <w:pPr>
        <w:pStyle w:val="17"/>
        <w:spacing w:before="8"/>
        <w:ind w:firstLine="823"/>
        <w:rPr>
          <w:rFonts w:ascii="宋体" w:hAnsi="宋体" w:cs="宋体"/>
          <w:b/>
          <w:color w:val="000000" w:themeColor="text1"/>
          <w:sz w:val="41"/>
          <w14:textFill>
            <w14:solidFill>
              <w14:schemeClr w14:val="tx1"/>
            </w14:solidFill>
          </w14:textFill>
        </w:rPr>
      </w:pPr>
    </w:p>
    <w:p>
      <w:pPr>
        <w:ind w:firstLine="1445" w:firstLineChars="450"/>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采 购 人：</w:t>
      </w:r>
      <w:r>
        <w:rPr>
          <w:rFonts w:hint="eastAsia"/>
          <w:b/>
          <w:bCs/>
          <w:color w:val="000000" w:themeColor="text1"/>
          <w:sz w:val="32"/>
          <w:szCs w:val="32"/>
          <w:lang w:eastAsia="zh-CN"/>
          <w14:textFill>
            <w14:solidFill>
              <w14:schemeClr w14:val="tx1"/>
            </w14:solidFill>
          </w14:textFill>
        </w:rPr>
        <w:t>长子县丹朱镇联校</w:t>
      </w:r>
      <w:r>
        <w:rPr>
          <w:rFonts w:hint="eastAsia"/>
          <w:b/>
          <w:bCs/>
          <w:color w:val="000000" w:themeColor="text1"/>
          <w:sz w:val="32"/>
          <w:szCs w:val="32"/>
          <w14:textFill>
            <w14:solidFill>
              <w14:schemeClr w14:val="tx1"/>
            </w14:solidFill>
          </w14:textFill>
        </w:rPr>
        <w:t xml:space="preserve"> </w:t>
      </w:r>
    </w:p>
    <w:p>
      <w:pPr>
        <w:ind w:firstLine="1445" w:firstLineChars="450"/>
        <w:rPr>
          <w:rFonts w:hint="eastAsia" w:eastAsia="宋体"/>
          <w:b/>
          <w:bCs/>
          <w:color w:val="000000" w:themeColor="text1"/>
          <w:sz w:val="32"/>
          <w:szCs w:val="32"/>
          <w:lang w:eastAsia="zh-CN"/>
          <w14:textFill>
            <w14:solidFill>
              <w14:schemeClr w14:val="tx1"/>
            </w14:solidFill>
          </w14:textFill>
        </w:rPr>
      </w:pPr>
      <w:r>
        <w:rPr>
          <w:rFonts w:hint="eastAsia"/>
          <w:b/>
          <w:bCs/>
          <w:color w:val="000000" w:themeColor="text1"/>
          <w:sz w:val="32"/>
          <w:szCs w:val="32"/>
          <w14:textFill>
            <w14:solidFill>
              <w14:schemeClr w14:val="tx1"/>
            </w14:solidFill>
          </w14:textFill>
        </w:rPr>
        <w:t>代理机构：</w:t>
      </w:r>
      <w:r>
        <w:rPr>
          <w:rFonts w:hint="eastAsia"/>
          <w:b/>
          <w:bCs/>
          <w:color w:val="000000" w:themeColor="text1"/>
          <w:sz w:val="32"/>
          <w:szCs w:val="32"/>
          <w:lang w:eastAsia="zh-CN"/>
          <w14:textFill>
            <w14:solidFill>
              <w14:schemeClr w14:val="tx1"/>
            </w14:solidFill>
          </w14:textFill>
        </w:rPr>
        <w:t>山西昌源工程项目管理有限公司</w:t>
      </w:r>
    </w:p>
    <w:p>
      <w:pPr>
        <w:ind w:firstLine="1445" w:firstLineChars="450"/>
        <w:rPr>
          <w:b/>
          <w:bCs/>
          <w:color w:val="000000" w:themeColor="text1"/>
          <w:sz w:val="32"/>
          <w:szCs w:val="32"/>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type w:val="continuous"/>
          <w:pgSz w:w="11910" w:h="16840"/>
          <w:pgMar w:top="1440" w:right="1304" w:bottom="1440" w:left="1304" w:header="720" w:footer="720" w:gutter="0"/>
          <w:cols w:space="720" w:num="1"/>
        </w:sectPr>
      </w:pPr>
      <w:r>
        <w:rPr>
          <w:rFonts w:hint="eastAsia"/>
          <w:b/>
          <w:bCs/>
          <w:color w:val="000000" w:themeColor="text1"/>
          <w:sz w:val="32"/>
          <w:szCs w:val="32"/>
          <w14:textFill>
            <w14:solidFill>
              <w14:schemeClr w14:val="tx1"/>
            </w14:solidFill>
          </w14:textFill>
        </w:rPr>
        <w:t>日    期：二〇二二年</w:t>
      </w:r>
      <w:r>
        <w:rPr>
          <w:rFonts w:hint="eastAsia"/>
          <w:b/>
          <w:bCs/>
          <w:color w:val="000000" w:themeColor="text1"/>
          <w:sz w:val="32"/>
          <w:szCs w:val="32"/>
          <w:lang w:val="en-US" w:eastAsia="zh-CN"/>
          <w14:textFill>
            <w14:solidFill>
              <w14:schemeClr w14:val="tx1"/>
            </w14:solidFill>
          </w14:textFill>
        </w:rPr>
        <w:t>七</w:t>
      </w:r>
      <w:r>
        <w:rPr>
          <w:rFonts w:hint="eastAsia"/>
          <w:b/>
          <w:bCs/>
          <w:color w:val="000000" w:themeColor="text1"/>
          <w:sz w:val="32"/>
          <w:szCs w:val="32"/>
          <w14:textFill>
            <w14:solidFill>
              <w14:schemeClr w14:val="tx1"/>
            </w14:solidFill>
          </w14:textFill>
        </w:rPr>
        <w:t>月</w:t>
      </w:r>
    </w:p>
    <w:p>
      <w:pPr>
        <w:overflowPunct w:val="0"/>
        <w:topLinePunct/>
        <w:autoSpaceDN w:val="0"/>
        <w:adjustRightInd w:val="0"/>
        <w:snapToGrid w:val="0"/>
        <w:ind w:firstLine="0" w:firstLineChars="0"/>
        <w:jc w:val="both"/>
        <w:rPr>
          <w:rFonts w:ascii="宋体" w:hAnsi="宋体" w:cs="宋体"/>
          <w:b/>
          <w:snapToGrid w:val="0"/>
          <w:color w:val="000000" w:themeColor="text1"/>
          <w:kern w:val="0"/>
          <w:sz w:val="36"/>
          <w:szCs w:val="28"/>
          <w14:textFill>
            <w14:solidFill>
              <w14:schemeClr w14:val="tx1"/>
            </w14:solidFill>
          </w14:textFill>
        </w:rPr>
      </w:pPr>
    </w:p>
    <w:p>
      <w:pPr>
        <w:overflowPunct w:val="0"/>
        <w:topLinePunct/>
        <w:autoSpaceDN w:val="0"/>
        <w:adjustRightInd w:val="0"/>
        <w:snapToGrid w:val="0"/>
        <w:ind w:firstLine="602"/>
        <w:jc w:val="center"/>
        <w:rPr>
          <w:rFonts w:ascii="宋体" w:hAnsi="宋体" w:cs="宋体"/>
          <w:b/>
          <w:snapToGrid w:val="0"/>
          <w:color w:val="000000" w:themeColor="text1"/>
          <w:kern w:val="0"/>
          <w:sz w:val="30"/>
          <w:szCs w:val="30"/>
          <w14:textFill>
            <w14:solidFill>
              <w14:schemeClr w14:val="tx1"/>
            </w14:solidFill>
          </w14:textFill>
        </w:rPr>
      </w:pPr>
      <w:r>
        <w:rPr>
          <w:rFonts w:hint="eastAsia" w:ascii="宋体" w:hAnsi="宋体" w:cs="宋体"/>
          <w:b/>
          <w:snapToGrid w:val="0"/>
          <w:color w:val="000000" w:themeColor="text1"/>
          <w:kern w:val="0"/>
          <w:sz w:val="30"/>
          <w:szCs w:val="30"/>
          <w14:textFill>
            <w14:solidFill>
              <w14:schemeClr w14:val="tx1"/>
            </w14:solidFill>
          </w14:textFill>
        </w:rPr>
        <w:t>目  录</w:t>
      </w:r>
    </w:p>
    <w:sdt>
      <w:sdtPr>
        <w:rPr>
          <w:rFonts w:hint="eastAsia" w:ascii="宋体" w:hAnsi="宋体" w:cs="宋体"/>
          <w:color w:val="000000" w:themeColor="text1"/>
          <w:sz w:val="21"/>
          <w14:textFill>
            <w14:solidFill>
              <w14:schemeClr w14:val="tx1"/>
            </w14:solidFill>
          </w14:textFill>
        </w:rPr>
        <w:id w:val="147464923"/>
        <w:docPartObj>
          <w:docPartGallery w:val="Table of Contents"/>
          <w:docPartUnique/>
        </w:docPartObj>
      </w:sdtPr>
      <w:sdtEndPr>
        <w:rPr>
          <w:rFonts w:hint="eastAsia" w:ascii="宋体" w:hAnsi="宋体" w:cs="宋体"/>
          <w:color w:val="000000" w:themeColor="text1"/>
          <w:sz w:val="21"/>
          <w14:textFill>
            <w14:solidFill>
              <w14:schemeClr w14:val="tx1"/>
            </w14:solidFill>
          </w14:textFill>
        </w:rPr>
      </w:sdtEndPr>
      <w:sdtContent>
        <w:p>
          <w:pPr>
            <w:spacing w:line="240" w:lineRule="auto"/>
            <w:ind w:firstLine="0" w:firstLineChars="0"/>
            <w:jc w:val="center"/>
            <w:rPr>
              <w:rFonts w:ascii="宋体" w:hAnsi="宋体" w:cs="宋体"/>
              <w:color w:val="000000" w:themeColor="text1"/>
              <w14:textFill>
                <w14:solidFill>
                  <w14:schemeClr w14:val="tx1"/>
                </w14:solidFill>
              </w14:textFill>
            </w:rPr>
          </w:pPr>
        </w:p>
        <w:p>
          <w:pPr>
            <w:pStyle w:val="32"/>
            <w:tabs>
              <w:tab w:val="right" w:leader="dot" w:pos="8310"/>
            </w:tabs>
            <w:spacing w:line="480" w:lineRule="auto"/>
            <w:ind w:firstLine="240" w:firstLineChars="1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TOC \o "1-1" \h \u </w:instrText>
          </w:r>
          <w:r>
            <w:rPr>
              <w:rFonts w:hint="eastAsia" w:ascii="宋体" w:hAnsi="宋体" w:cs="宋体"/>
              <w:color w:val="000000" w:themeColor="text1"/>
              <w14:textFill>
                <w14:solidFill>
                  <w14:schemeClr w14:val="tx1"/>
                </w14:solidFill>
              </w14:textFill>
            </w:rPr>
            <w:fldChar w:fldCharType="separate"/>
          </w:r>
          <w:r>
            <w:fldChar w:fldCharType="begin"/>
          </w:r>
          <w:r>
            <w:instrText xml:space="preserve"> HYPERLINK \l "_Toc18209" </w:instrText>
          </w:r>
          <w:r>
            <w:fldChar w:fldCharType="separate"/>
          </w:r>
          <w:r>
            <w:rPr>
              <w:rFonts w:hint="eastAsia" w:ascii="宋体" w:hAnsi="宋体" w:cs="宋体"/>
              <w:snapToGrid w:val="0"/>
              <w:color w:val="000000" w:themeColor="text1"/>
              <w:sz w:val="28"/>
              <w:szCs w:val="28"/>
              <w14:textFill>
                <w14:solidFill>
                  <w14:schemeClr w14:val="tx1"/>
                </w14:solidFill>
              </w14:textFill>
            </w:rPr>
            <w:t>第一部分  磋商公告</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_Toc18209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pPr>
            <w:pStyle w:val="32"/>
            <w:tabs>
              <w:tab w:val="right" w:leader="dot" w:pos="8310"/>
            </w:tabs>
            <w:spacing w:line="480" w:lineRule="auto"/>
            <w:ind w:firstLine="240" w:firstLineChars="100"/>
            <w:rPr>
              <w:rFonts w:ascii="宋体" w:hAnsi="宋体" w:cs="宋体"/>
              <w:color w:val="000000" w:themeColor="text1"/>
              <w:sz w:val="28"/>
              <w:szCs w:val="28"/>
              <w14:textFill>
                <w14:solidFill>
                  <w14:schemeClr w14:val="tx1"/>
                </w14:solidFill>
              </w14:textFill>
            </w:rPr>
          </w:pPr>
          <w:r>
            <w:fldChar w:fldCharType="begin"/>
          </w:r>
          <w:r>
            <w:instrText xml:space="preserve"> HYPERLINK \l "_Toc6498" </w:instrText>
          </w:r>
          <w:r>
            <w:fldChar w:fldCharType="separate"/>
          </w:r>
          <w:r>
            <w:rPr>
              <w:rFonts w:hint="eastAsia" w:ascii="宋体" w:hAnsi="宋体" w:cs="宋体"/>
              <w:color w:val="000000" w:themeColor="text1"/>
              <w:sz w:val="28"/>
              <w:szCs w:val="28"/>
              <w14:textFill>
                <w14:solidFill>
                  <w14:schemeClr w14:val="tx1"/>
                </w14:solidFill>
              </w14:textFill>
            </w:rPr>
            <w:t>第二部分  供应商须知</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fldChar w:fldCharType="end"/>
          </w:r>
        </w:p>
        <w:p>
          <w:pPr>
            <w:pStyle w:val="32"/>
            <w:tabs>
              <w:tab w:val="right" w:leader="dot" w:pos="8310"/>
            </w:tabs>
            <w:spacing w:line="480" w:lineRule="auto"/>
            <w:ind w:firstLine="240" w:firstLineChars="100"/>
            <w:rPr>
              <w:rFonts w:ascii="宋体" w:hAnsi="宋体" w:cs="宋体"/>
              <w:color w:val="000000" w:themeColor="text1"/>
              <w:sz w:val="28"/>
              <w:szCs w:val="28"/>
              <w14:textFill>
                <w14:solidFill>
                  <w14:schemeClr w14:val="tx1"/>
                </w14:solidFill>
              </w14:textFill>
            </w:rPr>
          </w:pPr>
          <w:r>
            <w:fldChar w:fldCharType="begin"/>
          </w:r>
          <w:r>
            <w:instrText xml:space="preserve"> HYPERLINK \l "_Toc4383" </w:instrText>
          </w:r>
          <w:r>
            <w:fldChar w:fldCharType="separate"/>
          </w:r>
          <w:r>
            <w:rPr>
              <w:rFonts w:hint="eastAsia" w:ascii="宋体" w:hAnsi="宋体" w:cs="宋体"/>
              <w:color w:val="000000" w:themeColor="text1"/>
              <w:sz w:val="28"/>
              <w:szCs w:val="28"/>
              <w14:textFill>
                <w14:solidFill>
                  <w14:schemeClr w14:val="tx1"/>
                </w14:solidFill>
              </w14:textFill>
            </w:rPr>
            <w:t>第三部分  评标标准和评标方法</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_Toc4383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23</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pPr>
            <w:pStyle w:val="32"/>
            <w:tabs>
              <w:tab w:val="right" w:leader="dot" w:pos="8310"/>
            </w:tabs>
            <w:spacing w:line="480" w:lineRule="auto"/>
            <w:ind w:firstLine="240" w:firstLineChars="100"/>
            <w:rPr>
              <w:rFonts w:ascii="宋体" w:hAnsi="宋体" w:cs="宋体"/>
              <w:color w:val="000000" w:themeColor="text1"/>
              <w:sz w:val="28"/>
              <w:szCs w:val="28"/>
              <w14:textFill>
                <w14:solidFill>
                  <w14:schemeClr w14:val="tx1"/>
                </w14:solidFill>
              </w14:textFill>
            </w:rPr>
          </w:pPr>
          <w:r>
            <w:fldChar w:fldCharType="begin"/>
          </w:r>
          <w:r>
            <w:instrText xml:space="preserve"> HYPERLINK \l "_Toc24154" </w:instrText>
          </w:r>
          <w:r>
            <w:fldChar w:fldCharType="separate"/>
          </w:r>
          <w:r>
            <w:rPr>
              <w:rFonts w:hint="eastAsia" w:ascii="宋体" w:hAnsi="宋体" w:cs="宋体"/>
              <w:snapToGrid w:val="0"/>
              <w:color w:val="000000" w:themeColor="text1"/>
              <w:kern w:val="0"/>
              <w:sz w:val="28"/>
              <w:szCs w:val="36"/>
              <w14:textFill>
                <w14:solidFill>
                  <w14:schemeClr w14:val="tx1"/>
                </w14:solidFill>
              </w14:textFill>
            </w:rPr>
            <w:t>第四部分  商务、技术要求</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_Toc24154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27</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pPr>
            <w:pStyle w:val="32"/>
            <w:tabs>
              <w:tab w:val="right" w:leader="dot" w:pos="8310"/>
            </w:tabs>
            <w:spacing w:line="480" w:lineRule="auto"/>
            <w:ind w:firstLine="240" w:firstLineChars="100"/>
            <w:rPr>
              <w:rFonts w:ascii="宋体" w:hAnsi="宋体" w:cs="宋体"/>
              <w:color w:val="000000" w:themeColor="text1"/>
              <w:sz w:val="28"/>
              <w:szCs w:val="28"/>
              <w14:textFill>
                <w14:solidFill>
                  <w14:schemeClr w14:val="tx1"/>
                </w14:solidFill>
              </w14:textFill>
            </w:rPr>
          </w:pPr>
          <w:r>
            <w:fldChar w:fldCharType="begin"/>
          </w:r>
          <w:r>
            <w:instrText xml:space="preserve"> HYPERLINK \l "_Toc6530" </w:instrText>
          </w:r>
          <w:r>
            <w:fldChar w:fldCharType="separate"/>
          </w:r>
          <w:r>
            <w:rPr>
              <w:rFonts w:hint="eastAsia" w:ascii="宋体" w:hAnsi="宋体" w:cs="宋体"/>
              <w:color w:val="000000" w:themeColor="text1"/>
              <w:sz w:val="28"/>
              <w:szCs w:val="28"/>
              <w14:textFill>
                <w14:solidFill>
                  <w14:schemeClr w14:val="tx1"/>
                </w14:solidFill>
              </w14:textFill>
            </w:rPr>
            <w:t>第五部分  合同原则</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t>0</w:t>
          </w:r>
        </w:p>
        <w:p>
          <w:pPr>
            <w:pStyle w:val="32"/>
            <w:tabs>
              <w:tab w:val="right" w:leader="dot" w:pos="8310"/>
            </w:tabs>
            <w:spacing w:line="480" w:lineRule="auto"/>
            <w:ind w:firstLine="240" w:firstLineChars="100"/>
            <w:rPr>
              <w:rFonts w:ascii="宋体" w:hAnsi="宋体" w:cs="宋体"/>
              <w:color w:val="000000" w:themeColor="text1"/>
              <w:sz w:val="28"/>
              <w:szCs w:val="28"/>
              <w14:textFill>
                <w14:solidFill>
                  <w14:schemeClr w14:val="tx1"/>
                </w14:solidFill>
              </w14:textFill>
            </w:rPr>
          </w:pPr>
          <w:r>
            <w:fldChar w:fldCharType="begin"/>
          </w:r>
          <w:r>
            <w:instrText xml:space="preserve"> HYPERLINK \l "_Toc32497" </w:instrText>
          </w:r>
          <w:r>
            <w:fldChar w:fldCharType="separate"/>
          </w:r>
          <w:r>
            <w:rPr>
              <w:rFonts w:hint="eastAsia" w:ascii="宋体" w:hAnsi="宋体" w:cs="宋体"/>
              <w:color w:val="000000" w:themeColor="text1"/>
              <w:sz w:val="28"/>
              <w:szCs w:val="28"/>
              <w14:textFill>
                <w14:solidFill>
                  <w14:schemeClr w14:val="tx1"/>
                </w14:solidFill>
              </w14:textFill>
            </w:rPr>
            <w:t>第六部分  响应文件格式</w:t>
          </w:r>
          <w:r>
            <w:rPr>
              <w:rFonts w:hint="eastAsia" w:ascii="宋体" w:hAnsi="宋体" w:cs="宋体"/>
              <w:color w:val="000000" w:themeColor="text1"/>
              <w:sz w:val="28"/>
              <w:szCs w:val="28"/>
              <w14:textFill>
                <w14:solidFill>
                  <w14:schemeClr w14:val="tx1"/>
                </w14:solidFill>
              </w14:textFill>
            </w:rPr>
            <w:tab/>
          </w: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PAGEREF _Toc32497 </w:instrText>
          </w:r>
          <w:r>
            <w:rPr>
              <w:rFonts w:hint="eastAsia" w:ascii="宋体" w:hAnsi="宋体" w:cs="宋体"/>
              <w:color w:val="000000" w:themeColor="text1"/>
              <w:sz w:val="28"/>
              <w:szCs w:val="28"/>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43</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fldChar w:fldCharType="end"/>
          </w:r>
        </w:p>
        <w:p>
          <w:pPr>
            <w:pStyle w:val="32"/>
            <w:tabs>
              <w:tab w:val="right" w:leader="dot" w:pos="8310"/>
            </w:tabs>
            <w:ind w:firstLine="480"/>
            <w:rPr>
              <w:rFonts w:ascii="宋体" w:hAnsi="宋体" w:cs="宋体"/>
              <w:color w:val="000000" w:themeColor="text1"/>
              <w14:textFill>
                <w14:solidFill>
                  <w14:schemeClr w14:val="tx1"/>
                </w14:solidFill>
              </w14:textFill>
            </w:rPr>
          </w:pPr>
        </w:p>
        <w:p>
          <w:pPr>
            <w:ind w:firstLine="480"/>
            <w:rPr>
              <w:color w:val="000000" w:themeColor="text1"/>
              <w14:textFill>
                <w14:solidFill>
                  <w14:schemeClr w14:val="tx1"/>
                </w14:solidFill>
              </w14:textFill>
            </w:rPr>
            <w:sectPr>
              <w:headerReference r:id="rId11" w:type="default"/>
              <w:footerReference r:id="rId12" w:type="default"/>
              <w:pgSz w:w="11850" w:h="16783"/>
              <w:pgMar w:top="1440" w:right="1800" w:bottom="1440" w:left="1800" w:header="850" w:footer="1417" w:gutter="0"/>
              <w:pgNumType w:start="1"/>
              <w:cols w:space="720" w:num="1"/>
            </w:sectPr>
          </w:pPr>
          <w:r>
            <w:rPr>
              <w:rFonts w:hint="eastAsia" w:ascii="宋体" w:hAnsi="宋体" w:cs="宋体"/>
              <w:color w:val="000000" w:themeColor="text1"/>
              <w14:textFill>
                <w14:solidFill>
                  <w14:schemeClr w14:val="tx1"/>
                </w14:solidFill>
              </w14:textFill>
            </w:rPr>
            <w:fldChar w:fldCharType="end"/>
          </w:r>
        </w:p>
      </w:sdtContent>
    </w:sdt>
    <w:p>
      <w:pPr>
        <w:pStyle w:val="3"/>
        <w:tabs>
          <w:tab w:val="left" w:pos="2639"/>
        </w:tabs>
        <w:spacing w:before="15" w:line="240" w:lineRule="auto"/>
        <w:jc w:val="both"/>
        <w:rPr>
          <w:rFonts w:cs="宋体"/>
          <w:b/>
          <w:snapToGrid w:val="0"/>
          <w:color w:val="000000" w:themeColor="text1"/>
          <w:sz w:val="28"/>
          <w:szCs w:val="28"/>
          <w14:textFill>
            <w14:solidFill>
              <w14:schemeClr w14:val="tx1"/>
            </w14:solidFill>
          </w14:textFill>
        </w:rPr>
      </w:pPr>
      <w:bookmarkStart w:id="0" w:name="_Toc278543496"/>
      <w:bookmarkStart w:id="1" w:name="_Toc18209"/>
    </w:p>
    <w:p>
      <w:pPr>
        <w:pStyle w:val="3"/>
        <w:rPr>
          <w:rFonts w:cs="宋体"/>
          <w:b/>
          <w:bCs/>
          <w:color w:val="000000" w:themeColor="text1"/>
          <w:sz w:val="28"/>
          <w:szCs w:val="28"/>
          <w14:textFill>
            <w14:solidFill>
              <w14:schemeClr w14:val="tx1"/>
            </w14:solidFill>
          </w14:textFill>
        </w:rPr>
      </w:pPr>
      <w:r>
        <w:rPr>
          <w:rFonts w:hint="eastAsia" w:cs="宋体"/>
          <w:b/>
          <w:bCs/>
          <w:color w:val="000000" w:themeColor="text1"/>
          <w:sz w:val="28"/>
          <w:szCs w:val="28"/>
          <w14:textFill>
            <w14:solidFill>
              <w14:schemeClr w14:val="tx1"/>
            </w14:solidFill>
          </w14:textFill>
        </w:rPr>
        <w:t>第一部分 磋商</w:t>
      </w:r>
      <w:bookmarkEnd w:id="0"/>
      <w:r>
        <w:rPr>
          <w:rFonts w:hint="eastAsia" w:cs="宋体"/>
          <w:b/>
          <w:bCs/>
          <w:color w:val="000000" w:themeColor="text1"/>
          <w:sz w:val="28"/>
          <w:szCs w:val="28"/>
          <w14:textFill>
            <w14:solidFill>
              <w14:schemeClr w14:val="tx1"/>
            </w14:solidFill>
          </w14:textFill>
        </w:rPr>
        <w:t>公告</w:t>
      </w:r>
      <w:bookmarkEnd w:id="1"/>
    </w:p>
    <w:p>
      <w:pPr>
        <w:keepNext/>
        <w:keepLines/>
        <w:pBdr>
          <w:top w:val="single" w:color="auto" w:sz="4" w:space="1"/>
          <w:left w:val="single" w:color="auto" w:sz="4" w:space="4"/>
          <w:bottom w:val="single" w:color="auto" w:sz="4" w:space="1"/>
          <w:right w:val="single" w:color="auto" w:sz="4" w:space="4"/>
        </w:pBdr>
        <w:autoSpaceDE w:val="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项目概况</w:t>
      </w:r>
    </w:p>
    <w:p>
      <w:pPr>
        <w:keepNext/>
        <w:keepLines/>
        <w:pBdr>
          <w:top w:val="single" w:color="auto" w:sz="4" w:space="1"/>
          <w:left w:val="single" w:color="auto" w:sz="4" w:space="4"/>
          <w:bottom w:val="single" w:color="auto" w:sz="4" w:space="1"/>
          <w:right w:val="single" w:color="auto" w:sz="4" w:space="4"/>
        </w:pBdr>
        <w:autoSpaceDE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长子县丹朱镇联校教学设备购置项目</w:t>
      </w:r>
      <w:r>
        <w:rPr>
          <w:rFonts w:hint="eastAsia" w:ascii="宋体" w:hAnsi="宋体" w:cs="宋体"/>
          <w:color w:val="000000" w:themeColor="text1"/>
          <w14:textFill>
            <w14:solidFill>
              <w14:schemeClr w14:val="tx1"/>
            </w14:solidFill>
          </w14:textFill>
        </w:rPr>
        <w:t>的潜在供应商应在山西省政府采购网</w:t>
      </w:r>
      <w:r>
        <w:rPr>
          <w:rFonts w:hint="eastAsia" w:ascii="宋体" w:hAnsi="宋体" w:cs="宋体"/>
          <w:color w:val="000000" w:themeColor="text1"/>
          <w:spacing w:val="0"/>
          <w:sz w:val="24"/>
          <w14:textFill>
            <w14:solidFill>
              <w14:schemeClr w14:val="tx1"/>
            </w14:solidFill>
          </w14:textFill>
        </w:rPr>
        <w:t>（</w:t>
      </w:r>
      <w:r>
        <w:rPr>
          <w:color w:val="000000" w:themeColor="text1"/>
          <w:spacing w:val="0"/>
          <w:sz w:val="24"/>
          <w14:textFill>
            <w14:solidFill>
              <w14:schemeClr w14:val="tx1"/>
            </w14:solidFill>
          </w14:textFill>
        </w:rPr>
        <w:t>http://www.ccgp-shanxi.gov.cn/home.html</w:t>
      </w:r>
      <w:r>
        <w:rPr>
          <w:rFonts w:hint="eastAsia" w:ascii="宋体" w:hAnsi="宋体" w:cs="宋体"/>
          <w:color w:val="000000" w:themeColor="text1"/>
          <w:spacing w:val="0"/>
          <w:sz w:val="24"/>
          <w14:textFill>
            <w14:solidFill>
              <w14:schemeClr w14:val="tx1"/>
            </w14:solidFill>
          </w14:textFill>
        </w:rPr>
        <w:t>）</w:t>
      </w:r>
      <w:r>
        <w:rPr>
          <w:rFonts w:hint="eastAsia" w:ascii="宋体" w:hAnsi="宋体" w:cs="宋体"/>
          <w:color w:val="000000" w:themeColor="text1"/>
          <w14:textFill>
            <w14:solidFill>
              <w14:schemeClr w14:val="tx1"/>
            </w14:solidFill>
          </w14:textFill>
        </w:rPr>
        <w:t>获取采购文件，并于2022年0</w:t>
      </w:r>
      <w:r>
        <w:rPr>
          <w:rFonts w:hint="eastAsia" w:ascii="宋体" w:hAnsi="宋体" w:cs="宋体"/>
          <w:color w:val="000000" w:themeColor="text1"/>
          <w:lang w:val="en-US" w:eastAsia="zh-CN"/>
          <w14:textFill>
            <w14:solidFill>
              <w14:schemeClr w14:val="tx1"/>
            </w14:solidFill>
          </w14:textFill>
        </w:rPr>
        <w:t>8</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09</w:t>
      </w:r>
      <w:r>
        <w:rPr>
          <w:rFonts w:hint="eastAsia" w:ascii="宋体" w:hAnsi="宋体" w:cs="宋体"/>
          <w:color w:val="000000" w:themeColor="text1"/>
          <w14:textFill>
            <w14:solidFill>
              <w14:schemeClr w14:val="tx1"/>
            </w14:solidFill>
          </w14:textFill>
        </w:rPr>
        <w:t>日1</w:t>
      </w:r>
      <w:r>
        <w:rPr>
          <w:rFonts w:hint="eastAsia" w:ascii="宋体" w:hAnsi="宋体" w:cs="宋体"/>
          <w:color w:val="000000" w:themeColor="text1"/>
          <w:lang w:val="en-US" w:eastAsia="zh-CN"/>
          <w14:textFill>
            <w14:solidFill>
              <w14:schemeClr w14:val="tx1"/>
            </w14:solidFill>
          </w14:textFill>
        </w:rPr>
        <w:t>5</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0（北京时间）前提交响应文件。</w:t>
      </w:r>
    </w:p>
    <w:p>
      <w:pPr>
        <w:pStyle w:val="4"/>
        <w:tabs>
          <w:tab w:val="left" w:pos="567"/>
        </w:tabs>
        <w:autoSpaceDE w:val="0"/>
        <w:ind w:left="567" w:hanging="567" w:firstLineChars="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一、项目基本情况</w:t>
      </w:r>
    </w:p>
    <w:p>
      <w:pPr>
        <w:keepNext/>
        <w:keepLines/>
        <w:autoSpaceDE w:val="0"/>
        <w:ind w:firstLine="480"/>
        <w:rPr>
          <w:rFonts w:hint="eastAsia" w:ascii="宋体" w:hAnsi="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r>
        <w:rPr>
          <w:rFonts w:hint="eastAsia" w:ascii="宋体" w:hAnsi="宋体" w:cs="宋体"/>
          <w:color w:val="000000" w:themeColor="text1"/>
          <w:lang w:eastAsia="zh-CN"/>
          <w14:textFill>
            <w14:solidFill>
              <w14:schemeClr w14:val="tx1"/>
            </w14:solidFill>
          </w14:textFill>
        </w:rPr>
        <w:t>1404282022ACS00148</w:t>
      </w:r>
    </w:p>
    <w:p>
      <w:pPr>
        <w:keepNext/>
        <w:keepLines/>
        <w:autoSpaceDE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r>
        <w:rPr>
          <w:rFonts w:hint="eastAsia" w:ascii="宋体" w:hAnsi="宋体" w:cs="宋体"/>
          <w:color w:val="000000" w:themeColor="text1"/>
          <w:lang w:eastAsia="zh-CN"/>
          <w14:textFill>
            <w14:solidFill>
              <w14:schemeClr w14:val="tx1"/>
            </w14:solidFill>
          </w14:textFill>
        </w:rPr>
        <w:t>长子县丹朱镇联校教学设备购置项目</w:t>
      </w:r>
    </w:p>
    <w:p>
      <w:pPr>
        <w:keepNext/>
        <w:keepLines/>
        <w:autoSpaceDE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采购方式：竞争性磋商</w:t>
      </w:r>
    </w:p>
    <w:p>
      <w:pPr>
        <w:keepNext/>
        <w:keepLines/>
        <w:autoSpaceDE w:val="0"/>
        <w:ind w:firstLine="48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预算金额（元）：</w:t>
      </w:r>
      <w:r>
        <w:rPr>
          <w:rFonts w:hint="eastAsia" w:ascii="宋体" w:hAnsi="宋体" w:cs="宋体"/>
          <w:color w:val="000000" w:themeColor="text1"/>
          <w:lang w:val="en-US" w:eastAsia="zh-CN"/>
          <w14:textFill>
            <w14:solidFill>
              <w14:schemeClr w14:val="tx1"/>
            </w14:solidFill>
          </w14:textFill>
        </w:rPr>
        <w:t>724</w:t>
      </w:r>
      <w:r>
        <w:rPr>
          <w:rFonts w:hint="eastAsia" w:ascii="宋体" w:hAnsi="宋体" w:cs="宋体"/>
          <w:color w:val="000000" w:themeColor="text1"/>
          <w14:textFill>
            <w14:solidFill>
              <w14:schemeClr w14:val="tx1"/>
            </w14:solidFill>
          </w14:textFill>
        </w:rPr>
        <w:t>000</w:t>
      </w:r>
      <w:r>
        <w:rPr>
          <w:rFonts w:hint="eastAsia" w:ascii="宋体" w:hAnsi="宋体" w:cs="宋体"/>
          <w:color w:val="000000" w:themeColor="text1"/>
          <w:lang w:val="en-US" w:eastAsia="zh-CN"/>
          <w14:textFill>
            <w14:solidFill>
              <w14:schemeClr w14:val="tx1"/>
            </w14:solidFill>
          </w14:textFill>
        </w:rPr>
        <w:t>.00</w:t>
      </w:r>
    </w:p>
    <w:p>
      <w:pPr>
        <w:keepNext/>
        <w:keepLines/>
        <w:autoSpaceDE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采购需求：本次采购共一包，采购内容：</w:t>
      </w:r>
      <w:r>
        <w:rPr>
          <w:rFonts w:hint="eastAsia" w:ascii="宋体" w:hAnsi="宋体" w:cs="宋体"/>
          <w:color w:val="000000" w:themeColor="text1"/>
          <w:lang w:val="en-US" w:eastAsia="zh-CN"/>
          <w14:textFill>
            <w14:solidFill>
              <w14:schemeClr w14:val="tx1"/>
            </w14:solidFill>
          </w14:textFill>
        </w:rPr>
        <w:t>购置教学设备1批</w:t>
      </w:r>
      <w:r>
        <w:rPr>
          <w:rFonts w:hint="eastAsia" w:ascii="宋体" w:hAnsi="宋体" w:cs="宋体"/>
          <w:color w:val="000000" w:themeColor="text1"/>
          <w14:textFill>
            <w14:solidFill>
              <w14:schemeClr w14:val="tx1"/>
            </w14:solidFill>
          </w14:textFill>
        </w:rPr>
        <w:t>；具体采购服务范围及所应达到的具体要求，以磋商文件中商务、技术要求的相应规定为准。</w:t>
      </w:r>
    </w:p>
    <w:p>
      <w:pPr>
        <w:keepNext/>
        <w:keepLines/>
        <w:autoSpaceDE w:val="0"/>
        <w:ind w:firstLine="480"/>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合同履行期限（供货期）：</w:t>
      </w:r>
      <w:r>
        <w:rPr>
          <w:rFonts w:hint="eastAsia" w:ascii="宋体" w:hAnsi="宋体" w:cs="宋体"/>
          <w:color w:val="000000" w:themeColor="text1"/>
          <w:lang w:val="en-US" w:eastAsia="zh-CN"/>
          <w14:textFill>
            <w14:solidFill>
              <w14:schemeClr w14:val="tx1"/>
            </w14:solidFill>
          </w14:textFill>
        </w:rPr>
        <w:t>签订合同之日起10日历天</w:t>
      </w:r>
    </w:p>
    <w:p>
      <w:pPr>
        <w:keepNext/>
        <w:keepLines/>
        <w:autoSpaceDE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本项目不接受联合体报价。</w:t>
      </w:r>
    </w:p>
    <w:p>
      <w:pPr>
        <w:pStyle w:val="4"/>
        <w:tabs>
          <w:tab w:val="left" w:pos="567"/>
        </w:tabs>
        <w:autoSpaceDE w:val="0"/>
        <w:ind w:left="567" w:hanging="567" w:firstLineChars="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二、申请人的资格要求：</w:t>
      </w:r>
    </w:p>
    <w:p>
      <w:pPr>
        <w:keepNext/>
        <w:keepLines/>
        <w:autoSpaceDE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1.满足《中华人民共和国政府采购法》第二十二条规定；</w:t>
      </w:r>
    </w:p>
    <w:p>
      <w:pPr>
        <w:keepNext/>
        <w:keepLines/>
        <w:autoSpaceDE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2.落实政府采购政策需满足的资格要求：</w:t>
      </w:r>
      <w:r>
        <w:rPr>
          <w:rFonts w:hint="eastAsia" w:ascii="宋体" w:hAnsi="宋体" w:cs="宋体"/>
        </w:rPr>
        <w:t>供应商为中小企业/小微企业</w:t>
      </w:r>
      <w:r>
        <w:rPr>
          <w:rFonts w:hint="eastAsia" w:ascii="宋体" w:hAnsi="宋体" w:cs="宋体"/>
          <w:color w:val="000000" w:themeColor="text1"/>
          <w14:textFill>
            <w14:solidFill>
              <w14:schemeClr w14:val="tx1"/>
            </w14:solidFill>
          </w14:textFill>
        </w:rPr>
        <w:t>；</w:t>
      </w:r>
    </w:p>
    <w:p>
      <w:pPr>
        <w:keepNext/>
        <w:keepLines/>
        <w:autoSpaceDE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3.本项目的特定资格要求：无；</w:t>
      </w:r>
    </w:p>
    <w:p>
      <w:pPr>
        <w:keepNext/>
        <w:keepLines/>
        <w:autoSpaceDE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4.单位负责人为同一人或者存在直接控股、管理关系的不同供应商，不得参加同一合同项下的政府采购活动。</w:t>
      </w:r>
    </w:p>
    <w:p>
      <w:pPr>
        <w:pStyle w:val="4"/>
        <w:tabs>
          <w:tab w:val="left" w:pos="567"/>
        </w:tabs>
        <w:autoSpaceDE w:val="0"/>
        <w:ind w:firstLine="0" w:firstLineChars="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三、获取采购文件</w:t>
      </w:r>
    </w:p>
    <w:p>
      <w:pPr>
        <w:keepNext/>
        <w:keepLines/>
        <w:autoSpaceDE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1.时间：2022年0</w:t>
      </w:r>
      <w:r>
        <w:rPr>
          <w:rFonts w:hint="eastAsia" w:ascii="宋体" w:hAnsi="宋体" w:cs="宋体"/>
          <w:color w:val="000000" w:themeColor="text1"/>
          <w:lang w:val="en-US" w:eastAsia="zh-CN"/>
          <w14:textFill>
            <w14:solidFill>
              <w14:schemeClr w14:val="tx1"/>
            </w14:solidFill>
          </w14:textFill>
        </w:rPr>
        <w:t>7</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27</w:t>
      </w:r>
      <w:r>
        <w:rPr>
          <w:rFonts w:hint="eastAsia" w:ascii="宋体" w:hAnsi="宋体" w:cs="宋体"/>
          <w:color w:val="000000" w:themeColor="text1"/>
          <w14:textFill>
            <w14:solidFill>
              <w14:schemeClr w14:val="tx1"/>
            </w14:solidFill>
          </w14:textFill>
        </w:rPr>
        <w:t>日00：00至2022年</w:t>
      </w:r>
      <w:r>
        <w:rPr>
          <w:rFonts w:hint="eastAsia" w:ascii="宋体" w:hAnsi="宋体" w:cs="宋体"/>
          <w:color w:val="000000" w:themeColor="text1"/>
          <w:lang w:val="en-US" w:eastAsia="zh-CN"/>
          <w14:textFill>
            <w14:solidFill>
              <w14:schemeClr w14:val="tx1"/>
            </w14:solidFill>
          </w14:textFill>
        </w:rPr>
        <w:t>08</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03</w:t>
      </w:r>
      <w:r>
        <w:rPr>
          <w:rFonts w:hint="eastAsia" w:ascii="宋体" w:hAnsi="宋体" w:cs="宋体"/>
          <w:color w:val="000000" w:themeColor="text1"/>
          <w14:textFill>
            <w14:solidFill>
              <w14:schemeClr w14:val="tx1"/>
            </w14:solidFill>
          </w14:textFill>
        </w:rPr>
        <w:t>日</w:t>
      </w:r>
      <w:r>
        <w:rPr>
          <w:rFonts w:hint="eastAsia" w:ascii="宋体" w:hAnsi="宋体" w:cs="宋体"/>
          <w:color w:val="000000" w:themeColor="text1"/>
          <w:lang w:val="en-US" w:eastAsia="zh-CN"/>
          <w14:textFill>
            <w14:solidFill>
              <w14:schemeClr w14:val="tx1"/>
            </w14:solidFill>
          </w14:textFill>
        </w:rPr>
        <w:t>00</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00</w:t>
      </w:r>
      <w:r>
        <w:rPr>
          <w:rFonts w:hint="eastAsia" w:ascii="宋体" w:hAnsi="宋体" w:cs="宋体"/>
          <w:color w:val="000000" w:themeColor="text1"/>
          <w14:textFill>
            <w14:solidFill>
              <w14:schemeClr w14:val="tx1"/>
            </w14:solidFill>
          </w14:textFill>
        </w:rPr>
        <w:t>（北京时间，法定节假日除外 ）</w:t>
      </w:r>
    </w:p>
    <w:p>
      <w:pPr>
        <w:keepNext/>
        <w:keepLines/>
        <w:autoSpaceDE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2.地点：山西省政府采购网</w:t>
      </w:r>
    </w:p>
    <w:p>
      <w:pPr>
        <w:keepNext/>
        <w:keepLines/>
        <w:autoSpaceDE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3.方式：只允许线上获取</w:t>
      </w:r>
    </w:p>
    <w:p>
      <w:pPr>
        <w:keepNext/>
        <w:keepLines/>
        <w:autoSpaceDE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4.售价（元）：0</w:t>
      </w:r>
    </w:p>
    <w:p>
      <w:pPr>
        <w:pStyle w:val="4"/>
        <w:tabs>
          <w:tab w:val="left" w:pos="567"/>
          <w:tab w:val="left" w:pos="6114"/>
        </w:tabs>
        <w:autoSpaceDE w:val="0"/>
        <w:ind w:firstLine="0" w:firstLineChars="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四、响应文件提交</w:t>
      </w:r>
      <w:r>
        <w:rPr>
          <w:rFonts w:hint="eastAsia" w:cs="宋体"/>
          <w:color w:val="000000" w:themeColor="text1"/>
          <w14:textFill>
            <w14:solidFill>
              <w14:schemeClr w14:val="tx1"/>
            </w14:solidFill>
          </w14:textFill>
        </w:rPr>
        <w:tab/>
      </w:r>
    </w:p>
    <w:p>
      <w:pPr>
        <w:keepNext/>
        <w:keepLines/>
        <w:autoSpaceDE w:val="0"/>
        <w:ind w:firstLine="480"/>
        <w:rPr>
          <w:rFonts w:ascii="宋体" w:hAnsi="宋体" w:cs="宋体"/>
          <w:color w:val="000000" w:themeColor="text1"/>
          <w14:textFill>
            <w14:solidFill>
              <w14:schemeClr w14:val="tx1"/>
            </w14:solidFill>
          </w14:textFill>
        </w:rPr>
      </w:pPr>
      <w:bookmarkStart w:id="2" w:name="_Toc19855_WPSOffice_Level3"/>
      <w:r>
        <w:rPr>
          <w:rFonts w:hint="eastAsia" w:ascii="宋体" w:hAnsi="宋体" w:cs="宋体"/>
          <w:color w:val="000000" w:themeColor="text1"/>
          <w14:textFill>
            <w14:solidFill>
              <w14:schemeClr w14:val="tx1"/>
            </w14:solidFill>
          </w14:textFill>
        </w:rPr>
        <w:t>1.时间：2022年0</w:t>
      </w:r>
      <w:r>
        <w:rPr>
          <w:rFonts w:hint="eastAsia" w:ascii="宋体" w:hAnsi="宋体" w:cs="宋体"/>
          <w:color w:val="000000" w:themeColor="text1"/>
          <w:lang w:val="en-US" w:eastAsia="zh-CN"/>
          <w14:textFill>
            <w14:solidFill>
              <w14:schemeClr w14:val="tx1"/>
            </w14:solidFill>
          </w14:textFill>
        </w:rPr>
        <w:t>8</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09</w:t>
      </w:r>
      <w:r>
        <w:rPr>
          <w:rFonts w:hint="eastAsia" w:ascii="宋体" w:hAnsi="宋体" w:cs="宋体"/>
          <w:color w:val="000000" w:themeColor="text1"/>
          <w14:textFill>
            <w14:solidFill>
              <w14:schemeClr w14:val="tx1"/>
            </w14:solidFill>
          </w14:textFill>
        </w:rPr>
        <w:t>日</w:t>
      </w:r>
      <w:r>
        <w:rPr>
          <w:rFonts w:hint="eastAsia" w:ascii="宋体" w:hAnsi="宋体" w:cs="宋体"/>
          <w:color w:val="000000" w:themeColor="text1"/>
          <w:lang w:val="en-US" w:eastAsia="zh-CN"/>
          <w14:textFill>
            <w14:solidFill>
              <w14:schemeClr w14:val="tx1"/>
            </w14:solidFill>
          </w14:textFill>
        </w:rPr>
        <w:t>15</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0（北京时间）</w:t>
      </w:r>
      <w:bookmarkEnd w:id="2"/>
    </w:p>
    <w:p>
      <w:pPr>
        <w:keepNext/>
        <w:keepLines/>
        <w:autoSpaceDE w:val="0"/>
        <w:ind w:firstLine="480"/>
        <w:rPr>
          <w:rFonts w:cs="宋体"/>
          <w:color w:val="000000" w:themeColor="text1"/>
          <w14:textFill>
            <w14:solidFill>
              <w14:schemeClr w14:val="tx1"/>
            </w14:solidFill>
          </w14:textFill>
        </w:rPr>
      </w:pPr>
      <w:bookmarkStart w:id="3" w:name="_Toc11215_WPSOffice_Level3"/>
      <w:r>
        <w:rPr>
          <w:rFonts w:hint="eastAsia" w:ascii="宋体" w:hAnsi="宋体" w:cs="宋体"/>
          <w:color w:val="000000" w:themeColor="text1"/>
          <w14:textFill>
            <w14:solidFill>
              <w14:schemeClr w14:val="tx1"/>
            </w14:solidFill>
          </w14:textFill>
        </w:rPr>
        <w:t>2.地点：</w:t>
      </w:r>
      <w:bookmarkEnd w:id="3"/>
      <w:r>
        <w:rPr>
          <w:rFonts w:hint="eastAsia" w:ascii="宋体" w:hAnsi="宋体" w:cs="宋体"/>
          <w:color w:val="000000" w:themeColor="text1"/>
          <w14:textFill>
            <w14:solidFill>
              <w14:schemeClr w14:val="tx1"/>
            </w14:solidFill>
          </w14:textFill>
        </w:rPr>
        <w:t>山西省政府采购网</w:t>
      </w:r>
    </w:p>
    <w:p>
      <w:pPr>
        <w:pStyle w:val="4"/>
        <w:tabs>
          <w:tab w:val="left" w:pos="567"/>
        </w:tabs>
        <w:autoSpaceDE w:val="0"/>
        <w:ind w:firstLine="0" w:firstLineChars="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五、响应文件开启</w:t>
      </w:r>
    </w:p>
    <w:p>
      <w:pPr>
        <w:keepNext/>
        <w:autoSpaceDE w:val="0"/>
        <w:ind w:firstLine="48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1.时间：2022年0</w:t>
      </w:r>
      <w:r>
        <w:rPr>
          <w:rFonts w:hint="eastAsia" w:ascii="宋体" w:hAnsi="宋体" w:cs="宋体"/>
          <w:color w:val="000000" w:themeColor="text1"/>
          <w:lang w:val="en-US" w:eastAsia="zh-CN"/>
          <w14:textFill>
            <w14:solidFill>
              <w14:schemeClr w14:val="tx1"/>
            </w14:solidFill>
          </w14:textFill>
        </w:rPr>
        <w:t>8</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val="en-US" w:eastAsia="zh-CN"/>
          <w14:textFill>
            <w14:solidFill>
              <w14:schemeClr w14:val="tx1"/>
            </w14:solidFill>
          </w14:textFill>
        </w:rPr>
        <w:t>09</w:t>
      </w:r>
      <w:r>
        <w:rPr>
          <w:rFonts w:hint="eastAsia" w:ascii="宋体" w:hAnsi="宋体" w:cs="宋体"/>
          <w:color w:val="000000" w:themeColor="text1"/>
          <w14:textFill>
            <w14:solidFill>
              <w14:schemeClr w14:val="tx1"/>
            </w14:solidFill>
          </w14:textFill>
        </w:rPr>
        <w:t>日</w:t>
      </w:r>
      <w:r>
        <w:rPr>
          <w:rFonts w:hint="eastAsia" w:ascii="宋体" w:hAnsi="宋体" w:cs="宋体"/>
          <w:color w:val="000000" w:themeColor="text1"/>
          <w:lang w:val="en-US" w:eastAsia="zh-CN"/>
          <w14:textFill>
            <w14:solidFill>
              <w14:schemeClr w14:val="tx1"/>
            </w14:solidFill>
          </w14:textFill>
        </w:rPr>
        <w:t>15</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0（北京时间）</w:t>
      </w:r>
    </w:p>
    <w:p>
      <w:pPr>
        <w:keepNext/>
        <w:keepLines/>
        <w:autoSpaceDE w:val="0"/>
        <w:ind w:firstLine="480"/>
        <w:rPr>
          <w:rFonts w:hint="default" w:ascii="宋体" w:hAnsi="宋体" w:cs="宋体"/>
          <w:color w:val="000000" w:themeColor="text1"/>
          <w:lang w:val="en-US"/>
          <w14:textFill>
            <w14:solidFill>
              <w14:schemeClr w14:val="tx1"/>
            </w14:solidFill>
          </w14:textFill>
        </w:rPr>
      </w:pPr>
      <w:r>
        <w:rPr>
          <w:rFonts w:hint="eastAsia" w:ascii="宋体" w:hAnsi="宋体" w:cs="宋体"/>
          <w:color w:val="000000" w:themeColor="text1"/>
          <w14:textFill>
            <w14:solidFill>
              <w14:schemeClr w14:val="tx1"/>
            </w14:solidFill>
          </w14:textFill>
        </w:rPr>
        <w:t>2.地点：长治市潞州区英雄南路锦绣司马小区112号商铺二楼</w:t>
      </w:r>
    </w:p>
    <w:p>
      <w:pPr>
        <w:pStyle w:val="4"/>
        <w:tabs>
          <w:tab w:val="left" w:pos="567"/>
        </w:tabs>
        <w:autoSpaceDE w:val="0"/>
        <w:ind w:firstLine="0" w:firstLineChars="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六、公告期限</w:t>
      </w:r>
    </w:p>
    <w:p>
      <w:pPr>
        <w:ind w:firstLine="480"/>
        <w:rPr>
          <w:rFonts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自本公告发布之日起5个工作日。</w:t>
      </w:r>
    </w:p>
    <w:p>
      <w:pPr>
        <w:pStyle w:val="4"/>
        <w:tabs>
          <w:tab w:val="left" w:pos="567"/>
        </w:tabs>
        <w:autoSpaceDE w:val="0"/>
        <w:ind w:firstLine="0" w:firstLineChars="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七、其他补充事宜</w:t>
      </w:r>
    </w:p>
    <w:p>
      <w:pPr>
        <w:keepNext/>
        <w:autoSpaceDE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针对本项目的质疑需一次性提出，多次提出将不予受理。</w:t>
      </w:r>
    </w:p>
    <w:p>
      <w:pPr>
        <w:pStyle w:val="4"/>
        <w:tabs>
          <w:tab w:val="left" w:pos="567"/>
        </w:tabs>
        <w:autoSpaceDE w:val="0"/>
        <w:ind w:firstLine="0" w:firstLineChars="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八、凡对本次采购提出询问，请按以下方式联系。</w:t>
      </w:r>
    </w:p>
    <w:p>
      <w:pPr>
        <w:ind w:firstLine="480"/>
        <w:rPr>
          <w:rFonts w:ascii="宋体" w:hAnsi="宋体" w:cs="宋体"/>
          <w:color w:val="000000"/>
        </w:rPr>
      </w:pPr>
      <w:r>
        <w:rPr>
          <w:rFonts w:hint="eastAsia" w:ascii="宋体" w:hAnsi="宋体" w:cs="宋体"/>
        </w:rPr>
        <w:t>1.采购人信息</w:t>
      </w:r>
    </w:p>
    <w:p>
      <w:pPr>
        <w:ind w:firstLine="480"/>
        <w:rPr>
          <w:rFonts w:hint="eastAsia" w:ascii="宋体" w:hAnsi="宋体" w:eastAsia="宋体" w:cs="宋体"/>
          <w:lang w:eastAsia="zh-CN"/>
        </w:rPr>
      </w:pPr>
      <w:r>
        <w:rPr>
          <w:rFonts w:hint="eastAsia" w:ascii="宋体" w:hAnsi="宋体" w:cs="宋体"/>
        </w:rPr>
        <w:t>名    称：</w:t>
      </w:r>
      <w:r>
        <w:rPr>
          <w:rFonts w:hint="eastAsia" w:ascii="宋体" w:hAnsi="宋体" w:cs="宋体"/>
          <w:lang w:eastAsia="zh-CN"/>
        </w:rPr>
        <w:t>长子县丹朱镇联校</w:t>
      </w:r>
    </w:p>
    <w:p>
      <w:pPr>
        <w:ind w:firstLine="480"/>
        <w:rPr>
          <w:rFonts w:ascii="宋体" w:hAnsi="宋体" w:cs="宋体"/>
        </w:rPr>
      </w:pPr>
      <w:r>
        <w:rPr>
          <w:rFonts w:hint="eastAsia" w:ascii="宋体" w:hAnsi="宋体" w:cs="宋体"/>
        </w:rPr>
        <w:t>地    址：长子县东大街永康小区</w:t>
      </w:r>
    </w:p>
    <w:p>
      <w:pPr>
        <w:ind w:firstLine="480"/>
        <w:rPr>
          <w:rFonts w:hint="eastAsia" w:ascii="宋体" w:hAnsi="宋体" w:cs="宋体"/>
        </w:rPr>
      </w:pPr>
      <w:r>
        <w:rPr>
          <w:rFonts w:hint="eastAsia" w:ascii="宋体" w:hAnsi="宋体" w:cs="宋体"/>
        </w:rPr>
        <w:t>联系方式：0355-8322355</w:t>
      </w:r>
    </w:p>
    <w:p>
      <w:pPr>
        <w:ind w:firstLine="480"/>
        <w:rPr>
          <w:rFonts w:ascii="宋体" w:hAnsi="宋体" w:cs="宋体"/>
        </w:rPr>
      </w:pPr>
      <w:r>
        <w:rPr>
          <w:rFonts w:ascii="宋体" w:hAnsi="宋体" w:cs="宋体"/>
        </w:rPr>
        <w:t>2.采购代理机构信息</w:t>
      </w:r>
    </w:p>
    <w:p>
      <w:pPr>
        <w:ind w:firstLine="480"/>
        <w:rPr>
          <w:rFonts w:hint="eastAsia" w:ascii="宋体" w:hAnsi="宋体" w:eastAsia="宋体" w:cs="宋体"/>
          <w:lang w:eastAsia="zh-CN"/>
        </w:rPr>
      </w:pPr>
      <w:r>
        <w:rPr>
          <w:rFonts w:ascii="宋体" w:hAnsi="宋体" w:cs="宋体"/>
        </w:rPr>
        <w:t>名    称：</w:t>
      </w:r>
      <w:r>
        <w:rPr>
          <w:rFonts w:hint="eastAsia" w:ascii="宋体" w:hAnsi="宋体" w:cs="宋体"/>
          <w:lang w:eastAsia="zh-CN"/>
        </w:rPr>
        <w:t>山西昌源工程项目管理有限公司</w:t>
      </w:r>
    </w:p>
    <w:p>
      <w:pPr>
        <w:ind w:firstLine="480"/>
        <w:rPr>
          <w:rFonts w:ascii="宋体" w:hAnsi="宋体" w:cs="宋体"/>
        </w:rPr>
      </w:pPr>
      <w:r>
        <w:rPr>
          <w:rFonts w:ascii="宋体" w:hAnsi="宋体" w:cs="宋体"/>
        </w:rPr>
        <w:t>地　　址：</w:t>
      </w:r>
      <w:r>
        <w:rPr>
          <w:rFonts w:hint="eastAsia" w:ascii="宋体" w:hAnsi="宋体" w:cs="宋体"/>
          <w:color w:val="000000" w:themeColor="text1"/>
          <w14:textFill>
            <w14:solidFill>
              <w14:schemeClr w14:val="tx1"/>
            </w14:solidFill>
          </w14:textFill>
        </w:rPr>
        <w:t>长治市潞州区英雄南路锦绣司马小区112号商铺二楼</w:t>
      </w:r>
    </w:p>
    <w:p>
      <w:pPr>
        <w:ind w:firstLine="480"/>
        <w:rPr>
          <w:rFonts w:hint="default" w:ascii="宋体" w:hAnsi="宋体" w:cs="宋体"/>
          <w:lang w:val="en-US"/>
        </w:rPr>
      </w:pPr>
      <w:r>
        <w:rPr>
          <w:rFonts w:ascii="宋体" w:hAnsi="宋体" w:cs="宋体"/>
        </w:rPr>
        <w:t>联系方式：</w:t>
      </w:r>
      <w:r>
        <w:rPr>
          <w:rFonts w:hint="eastAsia" w:ascii="宋体" w:hAnsi="宋体" w:cs="宋体"/>
          <w:color w:val="auto"/>
          <w:lang w:val="en-US" w:eastAsia="zh-CN"/>
        </w:rPr>
        <w:t>0355-3508890</w:t>
      </w:r>
    </w:p>
    <w:p>
      <w:pPr>
        <w:ind w:firstLine="480"/>
        <w:rPr>
          <w:rFonts w:ascii="宋体" w:hAnsi="宋体" w:cs="宋体"/>
        </w:rPr>
      </w:pPr>
      <w:r>
        <w:rPr>
          <w:rFonts w:ascii="宋体" w:hAnsi="宋体" w:cs="宋体"/>
        </w:rPr>
        <w:t>3.项目联系方式</w:t>
      </w:r>
    </w:p>
    <w:p>
      <w:pPr>
        <w:ind w:firstLine="480"/>
        <w:rPr>
          <w:rFonts w:hint="eastAsia" w:ascii="宋体" w:hAnsi="宋体" w:eastAsia="宋体" w:cs="宋体"/>
          <w:lang w:val="en-US" w:eastAsia="zh-CN"/>
        </w:rPr>
      </w:pPr>
      <w:r>
        <w:rPr>
          <w:rFonts w:ascii="宋体" w:hAnsi="宋体" w:cs="宋体"/>
        </w:rPr>
        <w:t>项目联系人：</w:t>
      </w:r>
      <w:r>
        <w:rPr>
          <w:rFonts w:hint="eastAsia" w:ascii="宋体" w:hAnsi="宋体" w:cs="宋体"/>
          <w:lang w:val="en-US" w:eastAsia="zh-CN"/>
        </w:rPr>
        <w:t>王女士</w:t>
      </w:r>
    </w:p>
    <w:p>
      <w:pPr>
        <w:ind w:firstLine="480"/>
        <w:rPr>
          <w:rFonts w:ascii="宋体" w:hAnsi="宋体" w:cs="宋体"/>
        </w:rPr>
      </w:pPr>
      <w:r>
        <w:rPr>
          <w:rFonts w:ascii="宋体" w:hAnsi="宋体" w:cs="宋体"/>
        </w:rPr>
        <w:t xml:space="preserve">电　　 </w:t>
      </w:r>
      <w:r>
        <w:rPr>
          <w:rFonts w:hint="eastAsia" w:ascii="宋体" w:hAnsi="宋体" w:cs="宋体"/>
        </w:rPr>
        <w:t xml:space="preserve"> </w:t>
      </w:r>
      <w:r>
        <w:rPr>
          <w:rFonts w:ascii="宋体" w:hAnsi="宋体" w:cs="宋体"/>
        </w:rPr>
        <w:t>话：</w:t>
      </w:r>
      <w:r>
        <w:rPr>
          <w:rFonts w:hint="eastAsia" w:ascii="宋体" w:hAnsi="宋体" w:cs="宋体"/>
          <w:color w:val="auto"/>
          <w:lang w:val="en-US" w:eastAsia="zh-CN"/>
        </w:rPr>
        <w:t>0355-3508890</w:t>
      </w:r>
    </w:p>
    <w:p>
      <w:pPr>
        <w:pStyle w:val="13"/>
        <w:ind w:left="0" w:leftChars="0" w:firstLine="0" w:firstLineChars="0"/>
        <w:rPr>
          <w:rFonts w:hint="default"/>
          <w:color w:val="000000" w:themeColor="text1"/>
          <w14:textFill>
            <w14:solidFill>
              <w14:schemeClr w14:val="tx1"/>
            </w14:solidFill>
          </w14:textFill>
        </w:rPr>
        <w:sectPr>
          <w:footerReference r:id="rId13" w:type="default"/>
          <w:pgSz w:w="11850" w:h="16783"/>
          <w:pgMar w:top="1440" w:right="1800" w:bottom="1440" w:left="1800" w:header="850" w:footer="1417" w:gutter="0"/>
          <w:cols w:space="720" w:num="1"/>
        </w:sectPr>
      </w:pPr>
    </w:p>
    <w:p>
      <w:pPr>
        <w:ind w:firstLine="480"/>
      </w:pPr>
    </w:p>
    <w:p>
      <w:pPr>
        <w:pStyle w:val="3"/>
        <w:numPr>
          <w:ilvl w:val="0"/>
          <w:numId w:val="3"/>
        </w:numPr>
        <w:rPr>
          <w:rFonts w:cs="宋体"/>
          <w:b/>
          <w:bCs/>
          <w:color w:val="000000" w:themeColor="text1"/>
          <w:sz w:val="28"/>
          <w:szCs w:val="28"/>
          <w14:textFill>
            <w14:solidFill>
              <w14:schemeClr w14:val="tx1"/>
            </w14:solidFill>
          </w14:textFill>
        </w:rPr>
      </w:pPr>
      <w:bookmarkStart w:id="4" w:name="_Toc278543497"/>
      <w:r>
        <w:rPr>
          <w:rFonts w:hint="eastAsia" w:cs="宋体"/>
          <w:b/>
          <w:bCs/>
          <w:color w:val="000000" w:themeColor="text1"/>
          <w:sz w:val="28"/>
          <w:szCs w:val="28"/>
          <w14:textFill>
            <w14:solidFill>
              <w14:schemeClr w14:val="tx1"/>
            </w14:solidFill>
          </w14:textFill>
        </w:rPr>
        <w:t xml:space="preserve"> </w:t>
      </w:r>
      <w:bookmarkStart w:id="5" w:name="_Toc6498"/>
      <w:r>
        <w:rPr>
          <w:rFonts w:hint="eastAsia" w:cs="宋体"/>
          <w:b/>
          <w:bCs/>
          <w:color w:val="000000" w:themeColor="text1"/>
          <w:sz w:val="28"/>
          <w:szCs w:val="28"/>
          <w14:textFill>
            <w14:solidFill>
              <w14:schemeClr w14:val="tx1"/>
            </w14:solidFill>
          </w14:textFill>
        </w:rPr>
        <w:t>供应商须知</w:t>
      </w:r>
      <w:bookmarkEnd w:id="4"/>
      <w:bookmarkEnd w:id="5"/>
    </w:p>
    <w:p>
      <w:pPr>
        <w:pStyle w:val="17"/>
        <w:ind w:firstLine="240" w:firstLineChars="10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供应商须知前附表</w:t>
      </w:r>
    </w:p>
    <w:tbl>
      <w:tblPr>
        <w:tblStyle w:val="44"/>
        <w:tblW w:w="9586" w:type="dxa"/>
        <w:jc w:val="center"/>
        <w:tblLayout w:type="fixed"/>
        <w:tblCellMar>
          <w:top w:w="0" w:type="dxa"/>
          <w:left w:w="108" w:type="dxa"/>
          <w:bottom w:w="0" w:type="dxa"/>
          <w:right w:w="108" w:type="dxa"/>
        </w:tblCellMar>
      </w:tblPr>
      <w:tblGrid>
        <w:gridCol w:w="2970"/>
        <w:gridCol w:w="6616"/>
      </w:tblGrid>
      <w:tr>
        <w:tblPrEx>
          <w:tblCellMar>
            <w:top w:w="0" w:type="dxa"/>
            <w:left w:w="108" w:type="dxa"/>
            <w:bottom w:w="0" w:type="dxa"/>
            <w:right w:w="108" w:type="dxa"/>
          </w:tblCellMar>
        </w:tblPrEx>
        <w:trPr>
          <w:trHeight w:val="692"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bCs/>
                <w:color w:val="000000" w:themeColor="text1"/>
                <w:kern w:val="0"/>
                <w14:textFill>
                  <w14:solidFill>
                    <w14:schemeClr w14:val="tx1"/>
                  </w14:solidFill>
                </w14:textFill>
              </w:rPr>
            </w:pPr>
            <w:r>
              <w:rPr>
                <w:rFonts w:hint="eastAsia" w:ascii="宋体" w:hAnsi="宋体" w:cs="宋体"/>
                <w:b/>
                <w:color w:val="000000" w:themeColor="text1"/>
                <w14:textFill>
                  <w14:solidFill>
                    <w14:schemeClr w14:val="tx1"/>
                  </w14:solidFill>
                </w14:textFill>
              </w:rPr>
              <w:t>条  款  名  称</w:t>
            </w:r>
          </w:p>
        </w:tc>
        <w:tc>
          <w:tcPr>
            <w:tcW w:w="661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b/>
                <w:bCs/>
                <w:color w:val="000000" w:themeColor="text1"/>
                <w:kern w:val="0"/>
                <w14:textFill>
                  <w14:solidFill>
                    <w14:schemeClr w14:val="tx1"/>
                  </w14:solidFill>
                </w14:textFill>
              </w:rPr>
            </w:pPr>
            <w:r>
              <w:rPr>
                <w:rFonts w:hint="eastAsia" w:ascii="宋体" w:hAnsi="宋体" w:cs="宋体"/>
                <w:b/>
                <w:color w:val="000000" w:themeColor="text1"/>
                <w14:textFill>
                  <w14:solidFill>
                    <w14:schemeClr w14:val="tx1"/>
                  </w14:solidFill>
                </w14:textFill>
              </w:rPr>
              <w:t>编  列  内  容</w:t>
            </w:r>
          </w:p>
        </w:tc>
      </w:tr>
      <w:tr>
        <w:tblPrEx>
          <w:tblCellMar>
            <w:top w:w="0" w:type="dxa"/>
            <w:left w:w="108" w:type="dxa"/>
            <w:bottom w:w="0" w:type="dxa"/>
            <w:right w:w="108" w:type="dxa"/>
          </w:tblCellMar>
        </w:tblPrEx>
        <w:trPr>
          <w:trHeight w:val="394"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采购人</w:t>
            </w:r>
          </w:p>
        </w:tc>
        <w:tc>
          <w:tcPr>
            <w:tcW w:w="6616"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ind w:firstLine="0" w:firstLineChars="0"/>
              <w:rPr>
                <w:rFonts w:hint="eastAsia" w:eastAsia="宋体" w:cs="宋体"/>
                <w:color w:val="000000" w:themeColor="text1"/>
                <w:szCs w:val="24"/>
                <w:lang w:eastAsia="zh-CN"/>
                <w14:textFill>
                  <w14:solidFill>
                    <w14:schemeClr w14:val="tx1"/>
                  </w14:solidFill>
                </w14:textFill>
              </w:rPr>
            </w:pPr>
            <w:r>
              <w:rPr>
                <w:rFonts w:hint="eastAsia" w:cs="宋体"/>
                <w:color w:val="000000" w:themeColor="text1"/>
                <w:szCs w:val="24"/>
                <w:lang w:eastAsia="zh-CN"/>
                <w14:textFill>
                  <w14:solidFill>
                    <w14:schemeClr w14:val="tx1"/>
                  </w14:solidFill>
                </w14:textFill>
              </w:rPr>
              <w:t>长子县丹朱镇联校</w:t>
            </w:r>
          </w:p>
        </w:tc>
      </w:tr>
      <w:tr>
        <w:tblPrEx>
          <w:tblCellMar>
            <w:top w:w="0" w:type="dxa"/>
            <w:left w:w="108" w:type="dxa"/>
            <w:bottom w:w="0" w:type="dxa"/>
            <w:right w:w="108" w:type="dxa"/>
          </w:tblCellMar>
        </w:tblPrEx>
        <w:trPr>
          <w:trHeight w:val="584"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采购代理机构</w:t>
            </w:r>
          </w:p>
        </w:tc>
        <w:tc>
          <w:tcPr>
            <w:tcW w:w="661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000000" w:themeColor="text1"/>
                <w:kern w:val="0"/>
                <w:lang w:eastAsia="zh-CN"/>
                <w14:textFill>
                  <w14:solidFill>
                    <w14:schemeClr w14:val="tx1"/>
                  </w14:solidFill>
                </w14:textFill>
              </w:rPr>
            </w:pPr>
            <w:r>
              <w:rPr>
                <w:rFonts w:hint="eastAsia" w:ascii="宋体" w:hAnsi="宋体" w:cs="宋体"/>
                <w:color w:val="000000" w:themeColor="text1"/>
                <w:kern w:val="0"/>
                <w:lang w:eastAsia="zh-CN"/>
                <w14:textFill>
                  <w14:solidFill>
                    <w14:schemeClr w14:val="tx1"/>
                  </w14:solidFill>
                </w14:textFill>
              </w:rPr>
              <w:t>山西昌源工程项目管理有限公司</w:t>
            </w:r>
          </w:p>
        </w:tc>
      </w:tr>
      <w:tr>
        <w:tblPrEx>
          <w:tblCellMar>
            <w:top w:w="0" w:type="dxa"/>
            <w:left w:w="108" w:type="dxa"/>
            <w:bottom w:w="0" w:type="dxa"/>
            <w:right w:w="108" w:type="dxa"/>
          </w:tblCellMar>
        </w:tblPrEx>
        <w:trPr>
          <w:trHeight w:val="584"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项目名称</w:t>
            </w:r>
          </w:p>
        </w:tc>
        <w:tc>
          <w:tcPr>
            <w:tcW w:w="661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eastAsia="zh-CN"/>
                <w14:textFill>
                  <w14:solidFill>
                    <w14:schemeClr w14:val="tx1"/>
                  </w14:solidFill>
                </w14:textFill>
              </w:rPr>
              <w:t>长子县丹朱镇联校教学设备购置项目</w:t>
            </w:r>
          </w:p>
        </w:tc>
      </w:tr>
      <w:tr>
        <w:tblPrEx>
          <w:tblCellMar>
            <w:top w:w="0" w:type="dxa"/>
            <w:left w:w="108" w:type="dxa"/>
            <w:bottom w:w="0" w:type="dxa"/>
            <w:right w:w="108" w:type="dxa"/>
          </w:tblCellMar>
        </w:tblPrEx>
        <w:trPr>
          <w:trHeight w:val="584"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项目编号</w:t>
            </w:r>
          </w:p>
        </w:tc>
        <w:tc>
          <w:tcPr>
            <w:tcW w:w="661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1404282022ACS00148</w:t>
            </w:r>
          </w:p>
        </w:tc>
      </w:tr>
      <w:tr>
        <w:tblPrEx>
          <w:tblCellMar>
            <w:top w:w="0" w:type="dxa"/>
            <w:left w:w="108" w:type="dxa"/>
            <w:bottom w:w="0" w:type="dxa"/>
            <w:right w:w="108" w:type="dxa"/>
          </w:tblCellMar>
        </w:tblPrEx>
        <w:trPr>
          <w:trHeight w:val="584"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供货地点</w:t>
            </w:r>
          </w:p>
        </w:tc>
        <w:tc>
          <w:tcPr>
            <w:tcW w:w="661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采购人指定地点</w:t>
            </w:r>
          </w:p>
        </w:tc>
      </w:tr>
      <w:tr>
        <w:tblPrEx>
          <w:tblCellMar>
            <w:top w:w="0" w:type="dxa"/>
            <w:left w:w="108" w:type="dxa"/>
            <w:bottom w:w="0" w:type="dxa"/>
            <w:right w:w="108" w:type="dxa"/>
          </w:tblCellMar>
        </w:tblPrEx>
        <w:trPr>
          <w:trHeight w:val="584"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资金来源</w:t>
            </w:r>
          </w:p>
        </w:tc>
        <w:tc>
          <w:tcPr>
            <w:tcW w:w="661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财政资金</w:t>
            </w:r>
          </w:p>
        </w:tc>
      </w:tr>
      <w:tr>
        <w:tblPrEx>
          <w:tblCellMar>
            <w:top w:w="0" w:type="dxa"/>
            <w:left w:w="108" w:type="dxa"/>
            <w:bottom w:w="0" w:type="dxa"/>
            <w:right w:w="108" w:type="dxa"/>
          </w:tblCellMar>
        </w:tblPrEx>
        <w:trPr>
          <w:trHeight w:val="584"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项目预算</w:t>
            </w:r>
          </w:p>
        </w:tc>
        <w:tc>
          <w:tcPr>
            <w:tcW w:w="661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724000</w:t>
            </w:r>
            <w:r>
              <w:rPr>
                <w:rFonts w:hint="eastAsia" w:ascii="宋体" w:hAnsi="宋体" w:cs="宋体"/>
                <w:color w:val="000000" w:themeColor="text1"/>
                <w:kern w:val="0"/>
                <w14:textFill>
                  <w14:solidFill>
                    <w14:schemeClr w14:val="tx1"/>
                  </w14:solidFill>
                </w14:textFill>
              </w:rPr>
              <w:t>.00元</w:t>
            </w:r>
          </w:p>
        </w:tc>
      </w:tr>
      <w:tr>
        <w:tblPrEx>
          <w:tblCellMar>
            <w:top w:w="0" w:type="dxa"/>
            <w:left w:w="108" w:type="dxa"/>
            <w:bottom w:w="0" w:type="dxa"/>
            <w:right w:w="108" w:type="dxa"/>
          </w:tblCellMar>
        </w:tblPrEx>
        <w:trPr>
          <w:trHeight w:val="584"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资金落实情况</w:t>
            </w:r>
          </w:p>
        </w:tc>
        <w:tc>
          <w:tcPr>
            <w:tcW w:w="661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已落实</w:t>
            </w:r>
          </w:p>
        </w:tc>
      </w:tr>
      <w:tr>
        <w:tblPrEx>
          <w:tblCellMar>
            <w:top w:w="0" w:type="dxa"/>
            <w:left w:w="108" w:type="dxa"/>
            <w:bottom w:w="0" w:type="dxa"/>
            <w:right w:w="108" w:type="dxa"/>
          </w:tblCellMar>
        </w:tblPrEx>
        <w:trPr>
          <w:trHeight w:val="584"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项目内容</w:t>
            </w:r>
          </w:p>
        </w:tc>
        <w:tc>
          <w:tcPr>
            <w:tcW w:w="661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详见正文采购内容及技术要求</w:t>
            </w:r>
          </w:p>
        </w:tc>
      </w:tr>
      <w:tr>
        <w:tblPrEx>
          <w:tblCellMar>
            <w:top w:w="0" w:type="dxa"/>
            <w:left w:w="108" w:type="dxa"/>
            <w:bottom w:w="0" w:type="dxa"/>
            <w:right w:w="108" w:type="dxa"/>
          </w:tblCellMar>
        </w:tblPrEx>
        <w:trPr>
          <w:trHeight w:val="584"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供货期</w:t>
            </w:r>
          </w:p>
        </w:tc>
        <w:tc>
          <w:tcPr>
            <w:tcW w:w="661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签订合同之日起10日历天</w:t>
            </w:r>
          </w:p>
        </w:tc>
      </w:tr>
      <w:tr>
        <w:tblPrEx>
          <w:tblCellMar>
            <w:top w:w="0" w:type="dxa"/>
            <w:left w:w="108" w:type="dxa"/>
            <w:bottom w:w="0" w:type="dxa"/>
            <w:right w:w="108" w:type="dxa"/>
          </w:tblCellMar>
        </w:tblPrEx>
        <w:trPr>
          <w:trHeight w:val="584"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质保期</w:t>
            </w:r>
          </w:p>
        </w:tc>
        <w:tc>
          <w:tcPr>
            <w:tcW w:w="661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三年</w:t>
            </w:r>
          </w:p>
        </w:tc>
      </w:tr>
      <w:tr>
        <w:tblPrEx>
          <w:tblCellMar>
            <w:top w:w="0" w:type="dxa"/>
            <w:left w:w="108" w:type="dxa"/>
            <w:bottom w:w="0" w:type="dxa"/>
            <w:right w:w="108" w:type="dxa"/>
          </w:tblCellMar>
        </w:tblPrEx>
        <w:trPr>
          <w:trHeight w:val="558"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default" w:ascii="宋体" w:hAnsi="宋体" w:eastAsia="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质保要求</w:t>
            </w:r>
          </w:p>
        </w:tc>
        <w:tc>
          <w:tcPr>
            <w:tcW w:w="661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严格按照国家、行业、地方有关标准规范要求执行。</w:t>
            </w:r>
          </w:p>
        </w:tc>
      </w:tr>
      <w:tr>
        <w:tblPrEx>
          <w:tblCellMar>
            <w:top w:w="0" w:type="dxa"/>
            <w:left w:w="108" w:type="dxa"/>
            <w:bottom w:w="0" w:type="dxa"/>
            <w:right w:w="108" w:type="dxa"/>
          </w:tblCellMar>
        </w:tblPrEx>
        <w:trPr>
          <w:trHeight w:val="558"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kern w:val="0"/>
              </w:rPr>
            </w:pPr>
            <w:r>
              <w:rPr>
                <w:rFonts w:hint="eastAsia" w:ascii="宋体" w:hAnsi="宋体" w:cs="宋体"/>
                <w:color w:val="auto"/>
                <w:kern w:val="0"/>
              </w:rPr>
              <w:t>付款方式</w:t>
            </w:r>
          </w:p>
        </w:tc>
        <w:tc>
          <w:tcPr>
            <w:tcW w:w="661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kern w:val="0"/>
              </w:rPr>
            </w:pPr>
            <w:r>
              <w:rPr>
                <w:rFonts w:hint="eastAsia" w:ascii="宋体" w:hAnsi="宋体" w:cs="宋体"/>
                <w:color w:val="auto"/>
                <w:kern w:val="0"/>
                <w:lang w:val="en-US" w:eastAsia="zh-CN"/>
              </w:rPr>
              <w:t>具体付款方式签订合同时约定</w:t>
            </w:r>
            <w:r>
              <w:rPr>
                <w:rFonts w:hint="eastAsia" w:ascii="宋体" w:hAnsi="宋体" w:cs="宋体"/>
                <w:color w:val="auto"/>
                <w:kern w:val="0"/>
              </w:rPr>
              <w:t>。</w:t>
            </w:r>
          </w:p>
        </w:tc>
      </w:tr>
      <w:tr>
        <w:tblPrEx>
          <w:tblCellMar>
            <w:top w:w="0" w:type="dxa"/>
            <w:left w:w="108" w:type="dxa"/>
            <w:bottom w:w="0" w:type="dxa"/>
            <w:right w:w="108" w:type="dxa"/>
          </w:tblCellMar>
        </w:tblPrEx>
        <w:trPr>
          <w:trHeight w:val="1475"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供应商资质条件</w:t>
            </w:r>
          </w:p>
        </w:tc>
        <w:tc>
          <w:tcPr>
            <w:tcW w:w="6616" w:type="dxa"/>
            <w:tcBorders>
              <w:top w:val="single" w:color="auto" w:sz="4" w:space="0"/>
              <w:left w:val="single" w:color="auto" w:sz="4" w:space="0"/>
              <w:bottom w:val="single" w:color="auto" w:sz="4" w:space="0"/>
              <w:right w:val="single" w:color="auto" w:sz="4" w:space="0"/>
            </w:tcBorders>
            <w:vAlign w:val="center"/>
          </w:tcPr>
          <w:p>
            <w:pPr>
              <w:pStyle w:val="39"/>
              <w:spacing w:before="0" w:beforeAutospacing="0" w:after="0" w:afterAutospacing="0"/>
              <w:ind w:firstLine="0" w:firstLineChars="0"/>
              <w:rPr>
                <w:rFonts w:hint="default" w:cs="宋体"/>
                <w:color w:val="000000" w:themeColor="text1"/>
                <w:szCs w:val="24"/>
                <w14:textFill>
                  <w14:solidFill>
                    <w14:schemeClr w14:val="tx1"/>
                  </w14:solidFill>
                </w14:textFill>
              </w:rPr>
            </w:pPr>
            <w:r>
              <w:rPr>
                <w:rFonts w:cs="宋体"/>
                <w:color w:val="000000" w:themeColor="text1"/>
                <w:szCs w:val="24"/>
                <w14:textFill>
                  <w14:solidFill>
                    <w14:schemeClr w14:val="tx1"/>
                  </w14:solidFill>
                </w14:textFill>
              </w:rPr>
              <w:t>1.满足《中华人民共和国政府采购法》第二十二条规定：</w:t>
            </w:r>
          </w:p>
          <w:p>
            <w:pPr>
              <w:pStyle w:val="39"/>
              <w:spacing w:before="0" w:beforeAutospacing="0" w:after="0" w:afterAutospacing="0"/>
              <w:ind w:firstLine="0" w:firstLineChars="0"/>
              <w:rPr>
                <w:rFonts w:hint="default" w:cs="宋体"/>
                <w:color w:val="000000" w:themeColor="text1"/>
                <w:szCs w:val="24"/>
                <w14:textFill>
                  <w14:solidFill>
                    <w14:schemeClr w14:val="tx1"/>
                  </w14:solidFill>
                </w14:textFill>
              </w:rPr>
            </w:pPr>
            <w:r>
              <w:rPr>
                <w:rFonts w:cs="宋体"/>
                <w:color w:val="000000" w:themeColor="text1"/>
                <w:szCs w:val="24"/>
                <w14:textFill>
                  <w14:solidFill>
                    <w14:schemeClr w14:val="tx1"/>
                  </w14:solidFill>
                </w14:textFill>
              </w:rPr>
              <w:t>2.落实政府采购政策需满足的资格要求：</w:t>
            </w:r>
            <w:r>
              <w:rPr>
                <w:rFonts w:hint="eastAsia" w:ascii="宋体" w:hAnsi="宋体" w:cs="宋体"/>
              </w:rPr>
              <w:t>供应商为中小企业/小微企业</w:t>
            </w:r>
            <w:r>
              <w:rPr>
                <w:rFonts w:cs="宋体"/>
                <w:color w:val="000000" w:themeColor="text1"/>
                <w:szCs w:val="24"/>
                <w14:textFill>
                  <w14:solidFill>
                    <w14:schemeClr w14:val="tx1"/>
                  </w14:solidFill>
                </w14:textFill>
              </w:rPr>
              <w:t>；</w:t>
            </w:r>
          </w:p>
          <w:p>
            <w:pPr>
              <w:pStyle w:val="39"/>
              <w:spacing w:before="0" w:beforeAutospacing="0" w:after="0" w:afterAutospacing="0"/>
              <w:ind w:firstLine="0" w:firstLineChars="0"/>
              <w:rPr>
                <w:rFonts w:hint="default" w:cs="宋体"/>
                <w:color w:val="000000" w:themeColor="text1"/>
                <w:szCs w:val="24"/>
                <w14:textFill>
                  <w14:solidFill>
                    <w14:schemeClr w14:val="tx1"/>
                  </w14:solidFill>
                </w14:textFill>
              </w:rPr>
            </w:pPr>
            <w:r>
              <w:rPr>
                <w:rFonts w:cs="宋体"/>
                <w:color w:val="000000" w:themeColor="text1"/>
                <w:szCs w:val="24"/>
                <w14:textFill>
                  <w14:solidFill>
                    <w14:schemeClr w14:val="tx1"/>
                  </w14:solidFill>
                </w14:textFill>
              </w:rPr>
              <w:t>3.本项目的特定资格要求：无；</w:t>
            </w:r>
          </w:p>
          <w:p>
            <w:pPr>
              <w:pStyle w:val="39"/>
              <w:spacing w:before="0" w:beforeAutospacing="0" w:after="0" w:afterAutospacing="0"/>
              <w:ind w:firstLine="0" w:firstLineChars="0"/>
              <w:rPr>
                <w:rFonts w:hint="default" w:cs="宋体"/>
                <w:color w:val="000000" w:themeColor="text1"/>
                <w:szCs w:val="24"/>
                <w14:textFill>
                  <w14:solidFill>
                    <w14:schemeClr w14:val="tx1"/>
                  </w14:solidFill>
                </w14:textFill>
              </w:rPr>
            </w:pPr>
            <w:r>
              <w:rPr>
                <w:rFonts w:cs="宋体"/>
                <w:color w:val="000000" w:themeColor="text1"/>
                <w:szCs w:val="24"/>
                <w14:textFill>
                  <w14:solidFill>
                    <w14:schemeClr w14:val="tx1"/>
                  </w14:solidFill>
                </w14:textFill>
              </w:rPr>
              <w:t>4.</w:t>
            </w:r>
            <w:r>
              <w:rPr>
                <w:rFonts w:cs="宋体"/>
                <w:color w:val="000000" w:themeColor="text1"/>
                <w14:textFill>
                  <w14:solidFill>
                    <w14:schemeClr w14:val="tx1"/>
                  </w14:solidFill>
                </w14:textFill>
              </w:rPr>
              <w:t>单位负责人为同一人或者存在直接控股、管理关系的不同供应商，不得参加同一合同项下的政府采购活动。</w:t>
            </w:r>
          </w:p>
        </w:tc>
      </w:tr>
      <w:tr>
        <w:tblPrEx>
          <w:tblCellMar>
            <w:top w:w="0" w:type="dxa"/>
            <w:left w:w="108" w:type="dxa"/>
            <w:bottom w:w="0" w:type="dxa"/>
            <w:right w:w="108" w:type="dxa"/>
          </w:tblCellMar>
        </w:tblPrEx>
        <w:trPr>
          <w:trHeight w:val="1127"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是否接受联合体报价</w:t>
            </w:r>
          </w:p>
        </w:tc>
        <w:tc>
          <w:tcPr>
            <w:tcW w:w="661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eq \o\ac(</w:instrText>
            </w:r>
            <w:r>
              <w:rPr>
                <w:rFonts w:hint="eastAsia" w:ascii="宋体" w:hAnsi="宋体" w:cs="宋体"/>
                <w:color w:val="000000" w:themeColor="text1"/>
                <w:position w:val="-4"/>
                <w:sz w:val="36"/>
                <w14:textFill>
                  <w14:solidFill>
                    <w14:schemeClr w14:val="tx1"/>
                  </w14:solidFill>
                </w14:textFill>
              </w:rPr>
              <w:instrText xml:space="preserve">□</w:instrText>
            </w:r>
            <w:r>
              <w:rPr>
                <w:rFonts w:hint="eastAsia" w:ascii="宋体" w:hAnsi="宋体" w:cs="宋体"/>
                <w:color w:val="000000" w:themeColor="text1"/>
                <w14:textFill>
                  <w14:solidFill>
                    <w14:schemeClr w14:val="tx1"/>
                  </w14:solidFill>
                </w14:textFill>
              </w:rPr>
              <w:instrText xml:space="preserve">,√)</w:instrText>
            </w:r>
            <w:r>
              <w:rPr>
                <w:rFonts w:hint="eastAsia" w:ascii="宋体" w:hAnsi="宋体" w:cs="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t xml:space="preserve">不接受  </w:t>
            </w:r>
          </w:p>
          <w:p>
            <w:pPr>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□接受  </w:t>
            </w:r>
          </w:p>
        </w:tc>
      </w:tr>
      <w:tr>
        <w:tblPrEx>
          <w:tblCellMar>
            <w:top w:w="0" w:type="dxa"/>
            <w:left w:w="108" w:type="dxa"/>
            <w:bottom w:w="0" w:type="dxa"/>
            <w:right w:w="108" w:type="dxa"/>
          </w:tblCellMar>
        </w:tblPrEx>
        <w:trPr>
          <w:trHeight w:val="549"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踏勘现场</w:t>
            </w:r>
          </w:p>
        </w:tc>
        <w:tc>
          <w:tcPr>
            <w:tcW w:w="661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不组织</w:t>
            </w:r>
          </w:p>
        </w:tc>
      </w:tr>
      <w:tr>
        <w:tblPrEx>
          <w:tblCellMar>
            <w:top w:w="0" w:type="dxa"/>
            <w:left w:w="108" w:type="dxa"/>
            <w:bottom w:w="0" w:type="dxa"/>
            <w:right w:w="108" w:type="dxa"/>
          </w:tblCellMar>
        </w:tblPrEx>
        <w:trPr>
          <w:trHeight w:val="581"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响应有效期</w:t>
            </w:r>
          </w:p>
        </w:tc>
        <w:tc>
          <w:tcPr>
            <w:tcW w:w="661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为90日历天（从报价截止之日算起）</w:t>
            </w:r>
          </w:p>
        </w:tc>
      </w:tr>
      <w:tr>
        <w:tblPrEx>
          <w:tblCellMar>
            <w:top w:w="0" w:type="dxa"/>
            <w:left w:w="108" w:type="dxa"/>
            <w:bottom w:w="0" w:type="dxa"/>
            <w:right w:w="108" w:type="dxa"/>
          </w:tblCellMar>
        </w:tblPrEx>
        <w:trPr>
          <w:trHeight w:val="581"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供应商提出问题的截止时间</w:t>
            </w:r>
          </w:p>
        </w:tc>
        <w:tc>
          <w:tcPr>
            <w:tcW w:w="6616" w:type="dxa"/>
            <w:tcBorders>
              <w:top w:val="single" w:color="auto" w:sz="4" w:space="0"/>
              <w:left w:val="single" w:color="auto" w:sz="4" w:space="0"/>
              <w:bottom w:val="single" w:color="auto" w:sz="4" w:space="0"/>
              <w:right w:val="single" w:color="auto" w:sz="4" w:space="0"/>
            </w:tcBorders>
            <w:vAlign w:val="center"/>
          </w:tcPr>
          <w:p>
            <w:pPr>
              <w:spacing w:line="320" w:lineRule="exact"/>
              <w:ind w:right="113"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响应文件递交截止之日5 天前</w:t>
            </w:r>
          </w:p>
        </w:tc>
      </w:tr>
      <w:tr>
        <w:tblPrEx>
          <w:tblCellMar>
            <w:top w:w="0" w:type="dxa"/>
            <w:left w:w="108" w:type="dxa"/>
            <w:bottom w:w="0" w:type="dxa"/>
            <w:right w:w="108" w:type="dxa"/>
          </w:tblCellMar>
        </w:tblPrEx>
        <w:trPr>
          <w:trHeight w:val="581"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采购人书面澄清的时间</w:t>
            </w:r>
          </w:p>
        </w:tc>
        <w:tc>
          <w:tcPr>
            <w:tcW w:w="6616" w:type="dxa"/>
            <w:tcBorders>
              <w:top w:val="single" w:color="auto" w:sz="4" w:space="0"/>
              <w:left w:val="single" w:color="auto" w:sz="4" w:space="0"/>
              <w:bottom w:val="single" w:color="auto" w:sz="4" w:space="0"/>
              <w:right w:val="single" w:color="auto" w:sz="4" w:space="0"/>
            </w:tcBorders>
            <w:vAlign w:val="center"/>
          </w:tcPr>
          <w:p>
            <w:pPr>
              <w:spacing w:line="320" w:lineRule="exact"/>
              <w:ind w:right="113"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响应文件递交截止之日5 天前</w:t>
            </w:r>
          </w:p>
        </w:tc>
      </w:tr>
      <w:tr>
        <w:tblPrEx>
          <w:tblCellMar>
            <w:top w:w="0" w:type="dxa"/>
            <w:left w:w="108" w:type="dxa"/>
            <w:bottom w:w="0" w:type="dxa"/>
            <w:right w:w="108" w:type="dxa"/>
          </w:tblCellMar>
        </w:tblPrEx>
        <w:trPr>
          <w:trHeight w:val="581"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构成磋商文件的其他材料</w:t>
            </w:r>
          </w:p>
        </w:tc>
        <w:tc>
          <w:tcPr>
            <w:tcW w:w="6616" w:type="dxa"/>
            <w:tcBorders>
              <w:top w:val="single" w:color="auto" w:sz="4" w:space="0"/>
              <w:left w:val="single" w:color="auto" w:sz="4" w:space="0"/>
              <w:bottom w:val="single" w:color="auto" w:sz="4" w:space="0"/>
              <w:right w:val="single" w:color="auto" w:sz="4" w:space="0"/>
            </w:tcBorders>
            <w:vAlign w:val="center"/>
          </w:tcPr>
          <w:p>
            <w:pPr>
              <w:spacing w:line="320" w:lineRule="exact"/>
              <w:ind w:right="113"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无</w:t>
            </w:r>
          </w:p>
        </w:tc>
      </w:tr>
      <w:tr>
        <w:tblPrEx>
          <w:tblCellMar>
            <w:top w:w="0" w:type="dxa"/>
            <w:left w:w="108" w:type="dxa"/>
            <w:bottom w:w="0" w:type="dxa"/>
            <w:right w:w="108" w:type="dxa"/>
          </w:tblCellMar>
        </w:tblPrEx>
        <w:trPr>
          <w:trHeight w:val="581"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供应商要求澄清磋商文件的截止时间</w:t>
            </w:r>
          </w:p>
        </w:tc>
        <w:tc>
          <w:tcPr>
            <w:tcW w:w="6616" w:type="dxa"/>
            <w:tcBorders>
              <w:top w:val="single" w:color="auto" w:sz="4" w:space="0"/>
              <w:left w:val="single" w:color="auto" w:sz="4" w:space="0"/>
              <w:bottom w:val="single" w:color="auto" w:sz="4" w:space="0"/>
              <w:right w:val="single" w:color="auto" w:sz="4" w:space="0"/>
            </w:tcBorders>
            <w:vAlign w:val="center"/>
          </w:tcPr>
          <w:p>
            <w:pPr>
              <w:spacing w:line="288" w:lineRule="auto"/>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响应文件递交截止之日3天前</w:t>
            </w:r>
          </w:p>
        </w:tc>
      </w:tr>
      <w:tr>
        <w:tblPrEx>
          <w:tblCellMar>
            <w:top w:w="0" w:type="dxa"/>
            <w:left w:w="108" w:type="dxa"/>
            <w:bottom w:w="0" w:type="dxa"/>
            <w:right w:w="108" w:type="dxa"/>
          </w:tblCellMar>
        </w:tblPrEx>
        <w:trPr>
          <w:trHeight w:val="126"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响应文件递交</w:t>
            </w:r>
          </w:p>
          <w:p>
            <w:pPr>
              <w:autoSpaceDE w:val="0"/>
              <w:autoSpaceDN w:val="0"/>
              <w:adjustRightInd w:val="0"/>
              <w:snapToGrid w:val="0"/>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截止时间</w:t>
            </w:r>
          </w:p>
        </w:tc>
        <w:tc>
          <w:tcPr>
            <w:tcW w:w="66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2022年0</w:t>
            </w:r>
            <w:r>
              <w:rPr>
                <w:rFonts w:hint="eastAsia" w:ascii="宋体" w:hAnsi="宋体" w:cs="宋体"/>
                <w:color w:val="000000" w:themeColor="text1"/>
                <w:kern w:val="0"/>
                <w:lang w:val="en-US" w:eastAsia="zh-CN"/>
                <w14:textFill>
                  <w14:solidFill>
                    <w14:schemeClr w14:val="tx1"/>
                  </w14:solidFill>
                </w14:textFill>
              </w:rPr>
              <w:t>8</w:t>
            </w:r>
            <w:r>
              <w:rPr>
                <w:rFonts w:hint="eastAsia" w:ascii="宋体" w:hAnsi="宋体" w:cs="宋体"/>
                <w:color w:val="000000" w:themeColor="text1"/>
                <w:kern w:val="0"/>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09</w:t>
            </w:r>
            <w:r>
              <w:rPr>
                <w:rFonts w:hint="eastAsia" w:ascii="宋体" w:hAnsi="宋体" w:cs="宋体"/>
                <w:color w:val="000000" w:themeColor="text1"/>
                <w:kern w:val="0"/>
                <w14:textFill>
                  <w14:solidFill>
                    <w14:schemeClr w14:val="tx1"/>
                  </w14:solidFill>
                </w14:textFill>
              </w:rPr>
              <w:t>日</w:t>
            </w:r>
            <w:r>
              <w:rPr>
                <w:rFonts w:hint="eastAsia" w:ascii="宋体" w:hAnsi="宋体" w:cs="宋体"/>
                <w:color w:val="000000" w:themeColor="text1"/>
                <w:kern w:val="0"/>
                <w:lang w:val="en-US" w:eastAsia="zh-CN"/>
                <w14:textFill>
                  <w14:solidFill>
                    <w14:schemeClr w14:val="tx1"/>
                  </w14:solidFill>
                </w14:textFill>
              </w:rPr>
              <w:t>15</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en-US" w:eastAsia="zh-CN"/>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0（北京时间）</w:t>
            </w:r>
          </w:p>
        </w:tc>
      </w:tr>
      <w:tr>
        <w:tblPrEx>
          <w:tblCellMar>
            <w:top w:w="0" w:type="dxa"/>
            <w:left w:w="108" w:type="dxa"/>
            <w:bottom w:w="0" w:type="dxa"/>
            <w:right w:w="108" w:type="dxa"/>
          </w:tblCellMar>
        </w:tblPrEx>
        <w:trPr>
          <w:trHeight w:val="126"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供应商确认收到磋商文件澄清的时间</w:t>
            </w:r>
          </w:p>
        </w:tc>
        <w:tc>
          <w:tcPr>
            <w:tcW w:w="661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在收到相应澄清文件后24小时内</w:t>
            </w:r>
          </w:p>
        </w:tc>
      </w:tr>
      <w:tr>
        <w:tblPrEx>
          <w:tblCellMar>
            <w:top w:w="0" w:type="dxa"/>
            <w:left w:w="108" w:type="dxa"/>
            <w:bottom w:w="0" w:type="dxa"/>
            <w:right w:w="108" w:type="dxa"/>
          </w:tblCellMar>
        </w:tblPrEx>
        <w:trPr>
          <w:trHeight w:val="126"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供应商确认收到磋商文件修改的时间</w:t>
            </w:r>
          </w:p>
        </w:tc>
        <w:tc>
          <w:tcPr>
            <w:tcW w:w="661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在收到相应修改文件后24小时内</w:t>
            </w:r>
          </w:p>
        </w:tc>
      </w:tr>
      <w:tr>
        <w:tblPrEx>
          <w:tblCellMar>
            <w:top w:w="0" w:type="dxa"/>
            <w:left w:w="108" w:type="dxa"/>
            <w:bottom w:w="0" w:type="dxa"/>
            <w:right w:w="108" w:type="dxa"/>
          </w:tblCellMar>
        </w:tblPrEx>
        <w:trPr>
          <w:trHeight w:val="126"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磋商时间和地点</w:t>
            </w:r>
          </w:p>
        </w:tc>
        <w:tc>
          <w:tcPr>
            <w:tcW w:w="661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磋商时间：</w:t>
            </w:r>
            <w:r>
              <w:rPr>
                <w:rFonts w:hint="eastAsia" w:ascii="宋体" w:hAnsi="宋体" w:cs="宋体"/>
                <w:color w:val="000000" w:themeColor="text1"/>
                <w:kern w:val="0"/>
                <w14:textFill>
                  <w14:solidFill>
                    <w14:schemeClr w14:val="tx1"/>
                  </w14:solidFill>
                </w14:textFill>
              </w:rPr>
              <w:t>2022年0</w:t>
            </w:r>
            <w:r>
              <w:rPr>
                <w:rFonts w:hint="eastAsia" w:ascii="宋体" w:hAnsi="宋体" w:cs="宋体"/>
                <w:color w:val="000000" w:themeColor="text1"/>
                <w:kern w:val="0"/>
                <w:lang w:val="en-US" w:eastAsia="zh-CN"/>
                <w14:textFill>
                  <w14:solidFill>
                    <w14:schemeClr w14:val="tx1"/>
                  </w14:solidFill>
                </w14:textFill>
              </w:rPr>
              <w:t>8</w:t>
            </w:r>
            <w:r>
              <w:rPr>
                <w:rFonts w:hint="eastAsia" w:ascii="宋体" w:hAnsi="宋体" w:cs="宋体"/>
                <w:color w:val="000000" w:themeColor="text1"/>
                <w:kern w:val="0"/>
                <w14:textFill>
                  <w14:solidFill>
                    <w14:schemeClr w14:val="tx1"/>
                  </w14:solidFill>
                </w14:textFill>
              </w:rPr>
              <w:t>月</w:t>
            </w:r>
            <w:r>
              <w:rPr>
                <w:rFonts w:hint="eastAsia" w:ascii="宋体" w:hAnsi="宋体" w:cs="宋体"/>
                <w:color w:val="000000" w:themeColor="text1"/>
                <w:kern w:val="0"/>
                <w:lang w:val="en-US" w:eastAsia="zh-CN"/>
                <w14:textFill>
                  <w14:solidFill>
                    <w14:schemeClr w14:val="tx1"/>
                  </w14:solidFill>
                </w14:textFill>
              </w:rPr>
              <w:t>09</w:t>
            </w:r>
            <w:r>
              <w:rPr>
                <w:rFonts w:hint="eastAsia" w:ascii="宋体" w:hAnsi="宋体" w:cs="宋体"/>
                <w:color w:val="000000" w:themeColor="text1"/>
                <w:kern w:val="0"/>
                <w14:textFill>
                  <w14:solidFill>
                    <w14:schemeClr w14:val="tx1"/>
                  </w14:solidFill>
                </w14:textFill>
              </w:rPr>
              <w:t>日</w:t>
            </w:r>
            <w:r>
              <w:rPr>
                <w:rFonts w:hint="eastAsia" w:ascii="宋体" w:hAnsi="宋体" w:cs="宋体"/>
                <w:color w:val="000000" w:themeColor="text1"/>
                <w:kern w:val="0"/>
                <w:lang w:val="en-US" w:eastAsia="zh-CN"/>
                <w14:textFill>
                  <w14:solidFill>
                    <w14:schemeClr w14:val="tx1"/>
                  </w14:solidFill>
                </w14:textFill>
              </w:rPr>
              <w:t>15</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en-US" w:eastAsia="zh-CN"/>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0（北京时间）</w:t>
            </w:r>
          </w:p>
          <w:p>
            <w:pPr>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bCs/>
                <w:color w:val="000000" w:themeColor="text1"/>
                <w14:textFill>
                  <w14:solidFill>
                    <w14:schemeClr w14:val="tx1"/>
                  </w14:solidFill>
                </w14:textFill>
              </w:rPr>
              <w:t>磋商地点：长治市潞州区英雄南路锦绣司马小区112号商铺二楼</w:t>
            </w:r>
          </w:p>
        </w:tc>
      </w:tr>
      <w:tr>
        <w:tblPrEx>
          <w:tblCellMar>
            <w:top w:w="0" w:type="dxa"/>
            <w:left w:w="108" w:type="dxa"/>
            <w:bottom w:w="0" w:type="dxa"/>
            <w:right w:w="108" w:type="dxa"/>
          </w:tblCellMar>
        </w:tblPrEx>
        <w:trPr>
          <w:trHeight w:val="1420"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响应文件递交地点</w:t>
            </w:r>
          </w:p>
        </w:tc>
        <w:tc>
          <w:tcPr>
            <w:tcW w:w="66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登录山西省政府采购网（http∶//www.ccgp-shanxi.gov.cn/home.html）在线提交加密后的电子报价文件</w:t>
            </w:r>
          </w:p>
        </w:tc>
      </w:tr>
      <w:tr>
        <w:tblPrEx>
          <w:tblCellMar>
            <w:top w:w="0" w:type="dxa"/>
            <w:left w:w="108" w:type="dxa"/>
            <w:bottom w:w="0" w:type="dxa"/>
            <w:right w:w="108" w:type="dxa"/>
          </w:tblCellMar>
        </w:tblPrEx>
        <w:trPr>
          <w:trHeight w:val="126"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磋商</w:t>
            </w:r>
            <w:r>
              <w:rPr>
                <w:rFonts w:hint="eastAsia" w:ascii="宋体" w:hAnsi="宋体" w:cs="宋体"/>
                <w:color w:val="000000" w:themeColor="text1"/>
                <w14:textFill>
                  <w14:solidFill>
                    <w14:schemeClr w14:val="tx1"/>
                  </w14:solidFill>
                </w14:textFill>
              </w:rPr>
              <w:t>小组的组建</w:t>
            </w:r>
          </w:p>
        </w:tc>
        <w:tc>
          <w:tcPr>
            <w:tcW w:w="66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磋商小组构成：3名评审专家组成； 其中经济类专家1名，技术类专家2名；评委确定方式：</w:t>
            </w:r>
            <w:r>
              <w:rPr>
                <w:rFonts w:hint="eastAsia" w:ascii="宋体" w:hAnsi="宋体" w:cs="宋体"/>
                <w:color w:val="000000" w:themeColor="text1"/>
                <w14:textFill>
                  <w14:solidFill>
                    <w14:schemeClr w14:val="tx1"/>
                  </w14:solidFill>
                </w14:textFill>
              </w:rPr>
              <w:t>山西政府采购网专家库管理系统随机抽取确定。</w:t>
            </w:r>
          </w:p>
        </w:tc>
      </w:tr>
      <w:tr>
        <w:tblPrEx>
          <w:tblCellMar>
            <w:top w:w="0" w:type="dxa"/>
            <w:left w:w="108" w:type="dxa"/>
            <w:bottom w:w="0" w:type="dxa"/>
            <w:right w:w="108" w:type="dxa"/>
          </w:tblCellMar>
        </w:tblPrEx>
        <w:trPr>
          <w:trHeight w:val="1193" w:hRule="atLeast"/>
          <w:jc w:val="center"/>
        </w:trPr>
        <w:tc>
          <w:tcPr>
            <w:tcW w:w="2970" w:type="dxa"/>
            <w:tcBorders>
              <w:top w:val="single" w:color="auto" w:sz="4" w:space="0"/>
              <w:left w:val="single" w:color="auto" w:sz="4" w:space="0"/>
              <w:bottom w:val="single" w:color="auto" w:sz="4" w:space="0"/>
              <w:right w:val="single" w:color="auto" w:sz="4" w:space="0"/>
            </w:tcBorders>
          </w:tcPr>
          <w:p>
            <w:pPr>
              <w:adjustRightInd w:val="0"/>
              <w:snapToGrid w:val="0"/>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是否授权磋商小组直接确定成交供应商</w:t>
            </w:r>
          </w:p>
        </w:tc>
        <w:tc>
          <w:tcPr>
            <w:tcW w:w="661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w:char="00FE"/>
            </w:r>
            <w:r>
              <w:rPr>
                <w:rFonts w:hint="eastAsia" w:ascii="宋体" w:hAnsi="宋体" w:cs="宋体"/>
                <w:color w:val="000000" w:themeColor="text1"/>
                <w:kern w:val="0"/>
                <w14:textFill>
                  <w14:solidFill>
                    <w14:schemeClr w14:val="tx1"/>
                  </w14:solidFill>
                </w14:textFill>
              </w:rPr>
              <w:t>是</w:t>
            </w:r>
          </w:p>
          <w:p>
            <w:pPr>
              <w:adjustRightInd w:val="0"/>
              <w:snapToGrid w:val="0"/>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w:char="00A8"/>
            </w:r>
            <w:r>
              <w:rPr>
                <w:rFonts w:hint="eastAsia" w:ascii="宋体" w:hAnsi="宋体" w:cs="宋体"/>
                <w:color w:val="000000" w:themeColor="text1"/>
                <w:kern w:val="0"/>
                <w14:textFill>
                  <w14:solidFill>
                    <w14:schemeClr w14:val="tx1"/>
                  </w14:solidFill>
                </w14:textFill>
              </w:rPr>
              <w:t>否，推荐成交候选人：</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名</w:t>
            </w:r>
          </w:p>
        </w:tc>
      </w:tr>
      <w:tr>
        <w:tblPrEx>
          <w:tblCellMar>
            <w:top w:w="0" w:type="dxa"/>
            <w:left w:w="108" w:type="dxa"/>
            <w:bottom w:w="0" w:type="dxa"/>
            <w:right w:w="108" w:type="dxa"/>
          </w:tblCellMar>
        </w:tblPrEx>
        <w:trPr>
          <w:trHeight w:val="551"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是否退磋商文件</w:t>
            </w:r>
          </w:p>
        </w:tc>
        <w:tc>
          <w:tcPr>
            <w:tcW w:w="6616" w:type="dxa"/>
            <w:tcBorders>
              <w:top w:val="single" w:color="auto" w:sz="4" w:space="0"/>
              <w:left w:val="single" w:color="auto" w:sz="4" w:space="0"/>
              <w:bottom w:val="single" w:color="auto" w:sz="4" w:space="0"/>
              <w:right w:val="single" w:color="auto" w:sz="4" w:space="0"/>
            </w:tcBorders>
            <w:vAlign w:val="center"/>
          </w:tcPr>
          <w:p>
            <w:pPr>
              <w:pStyle w:val="16"/>
              <w:topLinePunct/>
              <w:spacing w:line="360" w:lineRule="auto"/>
              <w:ind w:firstLine="0" w:firstLineChars="0"/>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 xml:space="preserve">是    </w:t>
            </w:r>
            <w:r>
              <w:rPr>
                <w:rFonts w:ascii="宋体" w:hAnsi="宋体" w:eastAsia="宋体" w:cs="宋体"/>
                <w:color w:val="000000" w:themeColor="text1"/>
                <w:sz w:val="24"/>
                <w:szCs w:val="24"/>
                <w14:textFill>
                  <w14:solidFill>
                    <w14:schemeClr w14:val="tx1"/>
                  </w14:solidFill>
                </w14:textFill>
              </w:rPr>
              <w:sym w:font="Wingdings" w:char="00FE"/>
            </w:r>
            <w:r>
              <w:rPr>
                <w:rFonts w:ascii="宋体" w:hAnsi="宋体" w:eastAsia="宋体" w:cs="宋体"/>
                <w:color w:val="000000" w:themeColor="text1"/>
                <w:sz w:val="24"/>
                <w:szCs w:val="24"/>
                <w14:textFill>
                  <w14:solidFill>
                    <w14:schemeClr w14:val="tx1"/>
                  </w14:solidFill>
                </w14:textFill>
              </w:rPr>
              <w:t>否</w:t>
            </w:r>
          </w:p>
        </w:tc>
      </w:tr>
      <w:tr>
        <w:tblPrEx>
          <w:tblCellMar>
            <w:top w:w="0" w:type="dxa"/>
            <w:left w:w="108" w:type="dxa"/>
            <w:bottom w:w="0" w:type="dxa"/>
            <w:right w:w="108" w:type="dxa"/>
          </w:tblCellMar>
        </w:tblPrEx>
        <w:trPr>
          <w:trHeight w:val="584"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磋商文件份数</w:t>
            </w:r>
          </w:p>
        </w:tc>
        <w:tc>
          <w:tcPr>
            <w:tcW w:w="6616" w:type="dxa"/>
            <w:tcBorders>
              <w:top w:val="single" w:color="auto" w:sz="4" w:space="0"/>
              <w:left w:val="single" w:color="auto" w:sz="4" w:space="0"/>
              <w:bottom w:val="single" w:color="auto" w:sz="4" w:space="0"/>
              <w:right w:val="single" w:color="auto" w:sz="4" w:space="0"/>
            </w:tcBorders>
            <w:vAlign w:val="center"/>
          </w:tcPr>
          <w:p>
            <w:pPr>
              <w:snapToGrid w:val="0"/>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中标后，如采购人要求中标人对其纸质响应文件数量进行补充，中标人需满足采购人要求。中标人补充的响应文件内容须与投标时递交的响应文件保持一致。 </w:t>
            </w:r>
          </w:p>
        </w:tc>
      </w:tr>
      <w:tr>
        <w:tblPrEx>
          <w:tblCellMar>
            <w:top w:w="0" w:type="dxa"/>
            <w:left w:w="108" w:type="dxa"/>
            <w:bottom w:w="0" w:type="dxa"/>
            <w:right w:w="108" w:type="dxa"/>
          </w:tblCellMar>
        </w:tblPrEx>
        <w:trPr>
          <w:trHeight w:val="997"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履约保证金</w:t>
            </w:r>
          </w:p>
          <w:p>
            <w:pPr>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(如采购人需要)</w:t>
            </w:r>
          </w:p>
        </w:tc>
        <w:tc>
          <w:tcPr>
            <w:tcW w:w="661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履约保证金形式：/</w:t>
            </w:r>
          </w:p>
          <w:p>
            <w:pPr>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履约保证金金额：/</w:t>
            </w:r>
          </w:p>
        </w:tc>
      </w:tr>
      <w:tr>
        <w:tblPrEx>
          <w:tblCellMar>
            <w:top w:w="0" w:type="dxa"/>
            <w:left w:w="108" w:type="dxa"/>
            <w:bottom w:w="0" w:type="dxa"/>
            <w:right w:w="108" w:type="dxa"/>
          </w:tblCellMar>
        </w:tblPrEx>
        <w:trPr>
          <w:trHeight w:val="982"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报价</w:t>
            </w:r>
          </w:p>
        </w:tc>
        <w:tc>
          <w:tcPr>
            <w:tcW w:w="661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报价以总价报价</w:t>
            </w:r>
          </w:p>
          <w:p>
            <w:pPr>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 xml:space="preserve">预算上限（超过招标预算总价视为废标）: </w:t>
            </w:r>
            <w:r>
              <w:rPr>
                <w:rFonts w:hint="eastAsia" w:ascii="宋体" w:hAnsi="宋体" w:cs="宋体"/>
                <w:b/>
                <w:bCs/>
                <w:color w:val="000000" w:themeColor="text1"/>
                <w:kern w:val="0"/>
                <w:lang w:val="en-US" w:eastAsia="zh-CN"/>
                <w14:textFill>
                  <w14:solidFill>
                    <w14:schemeClr w14:val="tx1"/>
                  </w14:solidFill>
                </w14:textFill>
              </w:rPr>
              <w:t>724000</w:t>
            </w:r>
            <w:r>
              <w:rPr>
                <w:rFonts w:hint="eastAsia" w:ascii="宋体" w:hAnsi="宋体" w:cs="宋体"/>
                <w:b/>
                <w:bCs/>
                <w:color w:val="000000" w:themeColor="text1"/>
                <w:kern w:val="0"/>
                <w14:textFill>
                  <w14:solidFill>
                    <w14:schemeClr w14:val="tx1"/>
                  </w14:solidFill>
                </w14:textFill>
              </w:rPr>
              <w:t>元</w:t>
            </w:r>
          </w:p>
        </w:tc>
      </w:tr>
      <w:tr>
        <w:tblPrEx>
          <w:tblCellMar>
            <w:top w:w="0" w:type="dxa"/>
            <w:left w:w="108" w:type="dxa"/>
            <w:bottom w:w="0" w:type="dxa"/>
            <w:right w:w="108" w:type="dxa"/>
          </w:tblCellMar>
        </w:tblPrEx>
        <w:trPr>
          <w:trHeight w:val="982"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磋商保证金金额及</w:t>
            </w:r>
          </w:p>
          <w:p>
            <w:pPr>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交纳要求</w:t>
            </w:r>
          </w:p>
        </w:tc>
        <w:tc>
          <w:tcPr>
            <w:tcW w:w="661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磋商保证金的形式：</w:t>
            </w:r>
          </w:p>
          <w:p>
            <w:pPr>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采用支票、汇票、本票或者金融机构、担保机构出具的保函等非现金形式交纳磋商保证金。</w:t>
            </w:r>
          </w:p>
          <w:p>
            <w:pPr>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递交方式：通过本单位基本银行账户递交</w:t>
            </w:r>
          </w:p>
          <w:p>
            <w:pPr>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响应文件中需附汇票存根或银行转账通知等扫描件及其基本账户转出的证明（基本开户许可证）的扫描件。</w:t>
            </w:r>
          </w:p>
          <w:p>
            <w:pPr>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磋商保证金的退还方式及时间：</w:t>
            </w:r>
          </w:p>
          <w:p>
            <w:pPr>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按递交方式退还，未成交供应商的保证金在成交通知书发出后5个工作日内无息退还，成交供应商的保证金在合同签订后5个工作日内无息退还。 </w:t>
            </w:r>
          </w:p>
          <w:p>
            <w:pPr>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磋商保证金金额：</w:t>
            </w:r>
          </w:p>
          <w:p>
            <w:pPr>
              <w:ind w:firstLine="0" w:firstLineChars="0"/>
              <w:rPr>
                <w:rFonts w:ascii="宋体" w:hAnsi="宋体" w:cs="宋体"/>
                <w:b/>
                <w:bCs/>
                <w:color w:val="000000" w:themeColor="text1"/>
                <w:kern w:val="0"/>
                <w14:textFill>
                  <w14:solidFill>
                    <w14:schemeClr w14:val="tx1"/>
                  </w14:solidFill>
                </w14:textFill>
              </w:rPr>
            </w:pPr>
            <w:r>
              <w:rPr>
                <w:rFonts w:ascii="Arial" w:hAnsi="Arial" w:cs="Arial"/>
                <w:b/>
                <w:bCs/>
                <w:color w:val="000000" w:themeColor="text1"/>
                <w:kern w:val="0"/>
                <w14:textFill>
                  <w14:solidFill>
                    <w14:schemeClr w14:val="tx1"/>
                  </w14:solidFill>
                </w14:textFill>
              </w:rPr>
              <w:t>¥</w:t>
            </w:r>
            <w:r>
              <w:rPr>
                <w:rFonts w:hint="eastAsia" w:ascii="宋体" w:hAnsi="宋体" w:cs="宋体"/>
                <w:b/>
                <w:bCs/>
                <w:color w:val="000000" w:themeColor="text1"/>
                <w:kern w:val="0"/>
                <w14:textFill>
                  <w14:solidFill>
                    <w14:schemeClr w14:val="tx1"/>
                  </w14:solidFill>
                </w14:textFill>
              </w:rPr>
              <w:t>：</w:t>
            </w:r>
            <w:r>
              <w:rPr>
                <w:rFonts w:hint="eastAsia" w:ascii="宋体" w:hAnsi="宋体" w:cs="宋体"/>
                <w:b/>
                <w:bCs/>
                <w:color w:val="000000" w:themeColor="text1"/>
                <w:kern w:val="0"/>
                <w:u w:val="single"/>
                <w:lang w:val="en-US" w:eastAsia="zh-CN"/>
                <w14:textFill>
                  <w14:solidFill>
                    <w14:schemeClr w14:val="tx1"/>
                  </w14:solidFill>
                </w14:textFill>
              </w:rPr>
              <w:t>14</w:t>
            </w:r>
            <w:r>
              <w:rPr>
                <w:rFonts w:hint="eastAsia" w:ascii="宋体" w:hAnsi="宋体" w:cs="宋体"/>
                <w:b/>
                <w:bCs/>
                <w:color w:val="000000" w:themeColor="text1"/>
                <w:kern w:val="0"/>
                <w:u w:val="single"/>
                <w14:textFill>
                  <w14:solidFill>
                    <w14:schemeClr w14:val="tx1"/>
                  </w14:solidFill>
                </w14:textFill>
              </w:rPr>
              <w:t>000.00</w:t>
            </w:r>
            <w:r>
              <w:rPr>
                <w:rFonts w:hint="eastAsia" w:ascii="宋体" w:hAnsi="宋体" w:cs="宋体"/>
                <w:b/>
                <w:bCs/>
                <w:color w:val="000000" w:themeColor="text1"/>
                <w:kern w:val="0"/>
                <w14:textFill>
                  <w14:solidFill>
                    <w14:schemeClr w14:val="tx1"/>
                  </w14:solidFill>
                </w14:textFill>
              </w:rPr>
              <w:t>元（人民币</w:t>
            </w:r>
            <w:r>
              <w:rPr>
                <w:rFonts w:hint="eastAsia" w:ascii="宋体" w:hAnsi="宋体" w:cs="宋体"/>
                <w:b/>
                <w:bCs/>
                <w:color w:val="000000" w:themeColor="text1"/>
                <w:kern w:val="0"/>
                <w:lang w:val="en-US" w:eastAsia="zh-CN"/>
                <w14:textFill>
                  <w14:solidFill>
                    <w14:schemeClr w14:val="tx1"/>
                  </w14:solidFill>
                </w14:textFill>
              </w:rPr>
              <w:t>壹万肆仟</w:t>
            </w:r>
            <w:r>
              <w:rPr>
                <w:rFonts w:hint="eastAsia" w:ascii="宋体" w:hAnsi="宋体" w:cs="宋体"/>
                <w:b/>
                <w:bCs/>
                <w:color w:val="000000" w:themeColor="text1"/>
                <w:kern w:val="0"/>
                <w14:textFill>
                  <w14:solidFill>
                    <w14:schemeClr w14:val="tx1"/>
                  </w14:solidFill>
                </w14:textFill>
              </w:rPr>
              <w:t>元整）</w:t>
            </w:r>
          </w:p>
          <w:p>
            <w:pPr>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开户名称：</w:t>
            </w:r>
            <w:r>
              <w:rPr>
                <w:rFonts w:hint="eastAsia" w:ascii="宋体" w:hAnsi="宋体" w:cs="宋体"/>
                <w:color w:val="000000" w:themeColor="text1"/>
                <w:kern w:val="0"/>
                <w:lang w:eastAsia="zh-CN"/>
                <w14:textFill>
                  <w14:solidFill>
                    <w14:schemeClr w14:val="tx1"/>
                  </w14:solidFill>
                </w14:textFill>
              </w:rPr>
              <w:t>山西昌源工程项目管理有限公司</w:t>
            </w:r>
            <w:r>
              <w:rPr>
                <w:rFonts w:hint="eastAsia" w:ascii="宋体" w:hAnsi="宋体" w:cs="宋体"/>
                <w:color w:val="000000" w:themeColor="text1"/>
                <w:kern w:val="0"/>
                <w14:textFill>
                  <w14:solidFill>
                    <w14:schemeClr w14:val="tx1"/>
                  </w14:solidFill>
                </w14:textFill>
              </w:rPr>
              <w:t xml:space="preserve">  </w:t>
            </w:r>
          </w:p>
          <w:p>
            <w:pPr>
              <w:ind w:firstLine="0" w:firstLineChars="0"/>
              <w:rPr>
                <w:rFonts w:hint="default" w:ascii="宋体" w:hAnsi="宋体" w:eastAsia="宋体" w:cs="宋体"/>
                <w:color w:val="auto"/>
                <w:lang w:val="en-US" w:eastAsia="zh-CN"/>
              </w:rPr>
            </w:pPr>
            <w:r>
              <w:rPr>
                <w:rFonts w:hint="eastAsia" w:ascii="宋体" w:hAnsi="宋体" w:cs="宋体"/>
                <w:color w:val="auto"/>
              </w:rPr>
              <w:t>开户银行：中国工商银行股份有限公司长治五马支行</w:t>
            </w:r>
          </w:p>
          <w:p>
            <w:pPr>
              <w:ind w:firstLine="0" w:firstLineChars="0"/>
            </w:pPr>
            <w:r>
              <w:rPr>
                <w:rFonts w:hint="eastAsia" w:ascii="宋体" w:hAnsi="宋体" w:cs="宋体"/>
                <w:color w:val="auto"/>
              </w:rPr>
              <w:t>开户行账号：0505 0097 0920 0038 515</w:t>
            </w:r>
          </w:p>
          <w:p>
            <w:pPr>
              <w:ind w:firstLine="0" w:firstLineChars="0"/>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注：须注明“（项目名称）保证金”（可简写）</w:t>
            </w:r>
          </w:p>
        </w:tc>
      </w:tr>
      <w:tr>
        <w:tblPrEx>
          <w:tblCellMar>
            <w:top w:w="0" w:type="dxa"/>
            <w:left w:w="108" w:type="dxa"/>
            <w:bottom w:w="0" w:type="dxa"/>
            <w:right w:w="108" w:type="dxa"/>
          </w:tblCellMar>
        </w:tblPrEx>
        <w:trPr>
          <w:trHeight w:val="51"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电子报价文件的解密</w:t>
            </w:r>
          </w:p>
        </w:tc>
        <w:tc>
          <w:tcPr>
            <w:tcW w:w="6616" w:type="dxa"/>
            <w:tcBorders>
              <w:top w:val="single" w:color="auto" w:sz="4" w:space="0"/>
              <w:left w:val="single" w:color="auto" w:sz="4" w:space="0"/>
              <w:bottom w:val="single" w:color="auto" w:sz="4" w:space="0"/>
              <w:right w:val="single" w:color="auto" w:sz="4" w:space="0"/>
            </w:tcBorders>
            <w:vAlign w:val="center"/>
          </w:tcPr>
          <w:p>
            <w:pPr>
              <w:autoSpaceDE w:val="0"/>
              <w:autoSpaceDN w:val="0"/>
              <w:ind w:firstLine="0" w:firstLineChars="0"/>
              <w:rPr>
                <w:rFonts w:hint="eastAsia"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供应商应当</w:t>
            </w:r>
            <w:r>
              <w:rPr>
                <w:rFonts w:hint="eastAsia" w:ascii="宋体" w:hAnsi="宋体" w:cs="宋体"/>
                <w:b/>
                <w:bCs/>
                <w:color w:val="000000" w:themeColor="text1"/>
                <w:lang w:val="en-US" w:eastAsia="zh-CN"/>
                <w14:textFill>
                  <w14:solidFill>
                    <w14:schemeClr w14:val="tx1"/>
                  </w14:solidFill>
                </w14:textFill>
              </w:rPr>
              <w:t>到现场</w:t>
            </w:r>
            <w:r>
              <w:rPr>
                <w:rFonts w:hint="eastAsia" w:ascii="宋体" w:hAnsi="宋体" w:cs="宋体"/>
                <w:b/>
                <w:bCs/>
                <w:color w:val="000000" w:themeColor="text1"/>
                <w14:textFill>
                  <w14:solidFill>
                    <w14:schemeClr w14:val="tx1"/>
                  </w14:solidFill>
                </w14:textFill>
              </w:rPr>
              <w:t>在规定时间内完成电子</w:t>
            </w:r>
            <w:r>
              <w:rPr>
                <w:rFonts w:hint="eastAsia" w:ascii="宋体" w:hAnsi="宋体" w:cs="宋体"/>
                <w:b/>
                <w:bCs/>
                <w:color w:val="000000" w:themeColor="text1"/>
                <w:lang w:val="en-US" w:eastAsia="zh-CN"/>
                <w14:textFill>
                  <w14:solidFill>
                    <w14:schemeClr w14:val="tx1"/>
                  </w14:solidFill>
                </w14:textFill>
              </w:rPr>
              <w:t>响应</w:t>
            </w:r>
            <w:r>
              <w:rPr>
                <w:rFonts w:hint="eastAsia" w:ascii="宋体" w:hAnsi="宋体" w:cs="宋体"/>
                <w:b/>
                <w:bCs/>
                <w:color w:val="000000" w:themeColor="text1"/>
                <w14:textFill>
                  <w14:solidFill>
                    <w14:schemeClr w14:val="tx1"/>
                  </w14:solidFill>
                </w14:textFill>
              </w:rPr>
              <w:t>文件的解密</w:t>
            </w:r>
            <w:r>
              <w:rPr>
                <w:rFonts w:hint="eastAsia" w:ascii="宋体" w:hAnsi="宋体" w:cs="宋体"/>
                <w:color w:val="000000" w:themeColor="text1"/>
                <w14:textFill>
                  <w14:solidFill>
                    <w14:schemeClr w14:val="tx1"/>
                  </w14:solidFill>
                </w14:textFill>
              </w:rPr>
              <w:t>。</w:t>
            </w:r>
          </w:p>
          <w:p>
            <w:pPr>
              <w:autoSpaceDE w:val="0"/>
              <w:autoSpaceDN w:val="0"/>
              <w:ind w:firstLine="0" w:firstLineChars="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因供应商原因造成电子响应文件未解密的，视为撤销其响应文件。</w:t>
            </w:r>
          </w:p>
        </w:tc>
      </w:tr>
      <w:tr>
        <w:tblPrEx>
          <w:tblCellMar>
            <w:top w:w="0" w:type="dxa"/>
            <w:left w:w="108" w:type="dxa"/>
            <w:bottom w:w="0" w:type="dxa"/>
            <w:right w:w="108" w:type="dxa"/>
          </w:tblCellMar>
        </w:tblPrEx>
        <w:trPr>
          <w:trHeight w:val="51"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bCs/>
                <w:color w:val="000000" w:themeColor="text1"/>
                <w14:textFill>
                  <w14:solidFill>
                    <w14:schemeClr w14:val="tx1"/>
                  </w14:solidFill>
                </w14:textFill>
              </w:rPr>
              <w:t>电子报价需注意下列事项</w:t>
            </w:r>
          </w:p>
        </w:tc>
        <w:tc>
          <w:tcPr>
            <w:tcW w:w="661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1、供应商在响应文件中附报价一览表。</w:t>
            </w:r>
          </w:p>
          <w:p>
            <w:pPr>
              <w:ind w:firstLine="0" w:firstLineChars="0"/>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2、电子响应文件需按磋商文件要求加盖电子签章/签字。</w:t>
            </w:r>
          </w:p>
          <w:p>
            <w:pPr>
              <w:ind w:firstLine="0" w:firstLineChars="0"/>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3、制作响应文件时请确保电脑环境安全，避免出现电脑病毒等异常文件，打开或关闭word文档时没有错误提示，上传响应文件时，请确保网络环境稳定，上传过程中请勿更换电脑重新上传或多电脑同时上传同一文件。</w:t>
            </w:r>
          </w:p>
          <w:p>
            <w:pPr>
              <w:ind w:firstLine="0" w:firstLineChars="0"/>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4、详细内容参考《山西政府采购政采云电子平台电子化操作规范》。</w:t>
            </w:r>
          </w:p>
          <w:p>
            <w:pPr>
              <w:ind w:firstLine="0" w:firstLineChars="0"/>
              <w:rPr>
                <w:rFonts w:ascii="宋体" w:hAnsi="宋体" w:cs="宋体"/>
                <w:b/>
                <w:color w:val="000000" w:themeColor="text1"/>
                <w:kern w:val="0"/>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5、</w:t>
            </w:r>
            <w:r>
              <w:rPr>
                <w:rFonts w:hint="eastAsia" w:ascii="宋体" w:hAnsi="宋体" w:cs="宋体"/>
                <w:bCs/>
                <w:color w:val="000000" w:themeColor="text1"/>
                <w:kern w:val="0"/>
                <w14:textFill>
                  <w14:solidFill>
                    <w14:schemeClr w14:val="tx1"/>
                  </w14:solidFill>
                </w14:textFill>
              </w:rPr>
              <w:t>开标当天供应商应提前准备好电脑，按环境配置要求进行电脑配置。</w:t>
            </w:r>
          </w:p>
          <w:p>
            <w:pPr>
              <w:ind w:firstLine="0" w:firstLineChars="0"/>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6、如遇问题请及时联系工作人员。</w:t>
            </w:r>
          </w:p>
          <w:p>
            <w:pPr>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 xml:space="preserve">平台技术支持电话：400-881-7190 </w:t>
            </w:r>
          </w:p>
        </w:tc>
      </w:tr>
      <w:tr>
        <w:tblPrEx>
          <w:tblCellMar>
            <w:top w:w="0" w:type="dxa"/>
            <w:left w:w="108" w:type="dxa"/>
            <w:bottom w:w="0" w:type="dxa"/>
            <w:right w:w="108" w:type="dxa"/>
          </w:tblCellMar>
        </w:tblPrEx>
        <w:trPr>
          <w:trHeight w:val="51" w:hRule="atLeast"/>
          <w:jc w:val="center"/>
        </w:trPr>
        <w:tc>
          <w:tcPr>
            <w:tcW w:w="29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bCs/>
                <w:color w:val="000000" w:themeColor="text1"/>
                <w14:textFill>
                  <w14:solidFill>
                    <w14:schemeClr w14:val="tx1"/>
                  </w14:solidFill>
                </w14:textFill>
              </w:rPr>
              <w:t>关于编写电子报价文件的补充说明</w:t>
            </w:r>
          </w:p>
        </w:tc>
        <w:tc>
          <w:tcPr>
            <w:tcW w:w="661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1.电子竞争性磋商文件与《响应文件编写工具》下载网址：政采云平台</w:t>
            </w:r>
          </w:p>
          <w:p>
            <w:pPr>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2.请供应商认真阅读竞争性磋商文件、山西政府采购政采云电子平台中心发布的《山西政府采购政采云电子平台电子化操作规范》及山西政府采购政采云电子平台中心网站发布的相关信息，如遇问题需及时向系统支持部门提出</w:t>
            </w:r>
          </w:p>
        </w:tc>
      </w:tr>
    </w:tbl>
    <w:p>
      <w:pPr>
        <w:tabs>
          <w:tab w:val="left" w:pos="286"/>
        </w:tabs>
        <w:kinsoku w:val="0"/>
        <w:overflowPunct w:val="0"/>
        <w:autoSpaceDE w:val="0"/>
        <w:autoSpaceDN w:val="0"/>
        <w:adjustRightInd w:val="0"/>
        <w:snapToGrid w:val="0"/>
        <w:ind w:firstLine="480"/>
        <w:rPr>
          <w:rFonts w:ascii="宋体" w:hAnsi="宋体" w:cs="宋体"/>
          <w:b/>
          <w:bCs/>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ab/>
      </w:r>
    </w:p>
    <w:p>
      <w:pPr>
        <w:ind w:firstLine="480"/>
        <w:rPr>
          <w:rFonts w:ascii="宋体" w:hAnsi="宋体" w:cs="宋体"/>
          <w:color w:val="000000" w:themeColor="text1"/>
          <w14:textFill>
            <w14:solidFill>
              <w14:schemeClr w14:val="tx1"/>
            </w14:solidFill>
          </w14:textFill>
        </w:rPr>
      </w:pPr>
      <w:bookmarkStart w:id="93" w:name="_GoBack"/>
      <w:r>
        <w:rPr>
          <w:rFonts w:hint="eastAsia" w:ascii="宋体" w:hAnsi="宋体" w:cs="宋体"/>
          <w:color w:val="000000" w:themeColor="text1"/>
          <w14:textFill>
            <w14:solidFill>
              <w14:schemeClr w14:val="tx1"/>
            </w14:solidFill>
          </w14:textFill>
        </w:rPr>
        <w:br w:type="page"/>
      </w:r>
    </w:p>
    <w:bookmarkEnd w:id="93"/>
    <w:p>
      <w:pPr>
        <w:pStyle w:val="4"/>
        <w:ind w:firstLine="482"/>
        <w:rPr>
          <w:rFonts w:cs="宋体"/>
          <w:color w:val="000000" w:themeColor="text1"/>
          <w:szCs w:val="24"/>
          <w14:textFill>
            <w14:solidFill>
              <w14:schemeClr w14:val="tx1"/>
            </w14:solidFill>
          </w14:textFill>
        </w:rPr>
      </w:pPr>
      <w:bookmarkStart w:id="6" w:name="_Toc175644016"/>
      <w:bookmarkStart w:id="7" w:name="_Toc86202581"/>
      <w:r>
        <w:rPr>
          <w:rFonts w:hint="eastAsia" w:cs="宋体"/>
          <w:color w:val="000000" w:themeColor="text1"/>
          <w:szCs w:val="24"/>
          <w14:textFill>
            <w14:solidFill>
              <w14:schemeClr w14:val="tx1"/>
            </w14:solidFill>
          </w14:textFill>
        </w:rPr>
        <w:t>一、总则</w:t>
      </w:r>
      <w:bookmarkEnd w:id="6"/>
    </w:p>
    <w:p>
      <w:pPr>
        <w:keepNext/>
        <w:tabs>
          <w:tab w:val="left" w:pos="737"/>
        </w:tabs>
        <w:overflowPunct w:val="0"/>
        <w:topLinePunct/>
        <w:autoSpaceDN w:val="0"/>
        <w:adjustRightInd w:val="0"/>
        <w:snapToGrid w:val="0"/>
        <w:ind w:firstLine="482"/>
        <w:rPr>
          <w:rFonts w:ascii="宋体" w:hAns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14:textFill>
            <w14:solidFill>
              <w14:schemeClr w14:val="tx1"/>
            </w14:solidFill>
          </w14:textFill>
        </w:rPr>
        <w:t>1.适用范围</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1.1本磋商文件适用于本次采购活动的全过程。</w:t>
      </w:r>
    </w:p>
    <w:p>
      <w:pPr>
        <w:keepNext/>
        <w:tabs>
          <w:tab w:val="left" w:pos="0"/>
        </w:tabs>
        <w:overflowPunct w:val="0"/>
        <w:topLinePunct/>
        <w:autoSpaceDN w:val="0"/>
        <w:adjustRightInd w:val="0"/>
        <w:snapToGrid w:val="0"/>
        <w:ind w:firstLine="482"/>
        <w:rPr>
          <w:rFonts w:ascii="宋体" w:hAns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14:textFill>
            <w14:solidFill>
              <w14:schemeClr w14:val="tx1"/>
            </w14:solidFill>
          </w14:textFill>
        </w:rPr>
        <w:t>2.定义</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2.1“货物”指本磋商文件中所述所有货物。按照财政部《政府采购进口产品管理办法》（财库[2007]119号）有关规定，本磋商文件涉及的所有采购内容除特别标注为“进口产品”外，均必须采购国产产品。进口产品特指“通过中国海关报关验放进入中国境内且产自关境外的产品”。</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2.2“服务”指本磋商文件所述供应商应该履行的承诺和义务。</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2.3“采购人”系指本次竞争性磋商活动的采购单位。</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“采购代理机构”系指接受采购人委托，代理采购项目的经财政部门认定资格的其他采购代理机构。</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2.4 “供应商”系指通过报名并向采购单位提交响应文件。</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2.5“竞争性磋商文件”系指采购单位或采购代理机构向供应商发出的采购文件。</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2.6“响应文件”系指供应商向采购人提交的响应文件。</w:t>
      </w:r>
    </w:p>
    <w:p>
      <w:pPr>
        <w:keepNext/>
        <w:tabs>
          <w:tab w:val="left" w:pos="0"/>
        </w:tabs>
        <w:overflowPunct w:val="0"/>
        <w:topLinePunct/>
        <w:autoSpaceDN w:val="0"/>
        <w:adjustRightInd w:val="0"/>
        <w:snapToGrid w:val="0"/>
        <w:ind w:firstLine="482"/>
        <w:rPr>
          <w:rFonts w:ascii="宋体" w:hAns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14:textFill>
            <w14:solidFill>
              <w14:schemeClr w14:val="tx1"/>
            </w14:solidFill>
          </w14:textFill>
        </w:rPr>
        <w:t>3.合格供应商的条件</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3.1具有本项目服务能力，符合并承诺履行本磋商文件各项规定的国内供应商均可参加磋商。</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3.2供应商必须是已在中国境内依法登记注册的供应商，并且其所持有的由相关行政管理部门所核发的有效的营业执照或事业单位法人证书上载明的营业期限剩余时间应当不少于本次采购的相关合同基本义务履行所需期限，或已经提供相关证明材料能够证明具有履约能力。否则，采购人及磋商小组有权拒绝其报价。</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3.3供应商应遵守有关的国家法律、法规和条例，具备《中华人民共和国政府采购法》《中华人民共和国政府采购法实施条例》和本磋商文件中规定的条件：</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（1）满足《中华人民共和国政府采购法》第二十二条规定；</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（2）落实政府采购政策需满足的资格要求：</w:t>
      </w:r>
      <w:r>
        <w:rPr>
          <w:rFonts w:hint="eastAsia" w:ascii="宋体" w:hAnsi="宋体" w:cs="宋体"/>
        </w:rPr>
        <w:t>供应商为中小企业/小微企业</w:t>
      </w:r>
      <w:r>
        <w:rPr>
          <w:rFonts w:hint="eastAsia" w:ascii="宋体" w:hAnsi="宋体" w:cs="宋体"/>
          <w:snapToGrid w:val="0"/>
          <w:color w:val="000000" w:themeColor="text1"/>
          <w:kern w:val="0"/>
          <w14:textFill>
            <w14:solidFill>
              <w14:schemeClr w14:val="tx1"/>
            </w14:solidFill>
          </w14:textFill>
        </w:rPr>
        <w:t>；</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（3）本项目的特定资格要求：无。</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3.4如供应商代表不是法定代表人，须持有《法定代表人授权委托书》(按磋商文件提供的格式填写)。</w:t>
      </w:r>
    </w:p>
    <w:p>
      <w:pPr>
        <w:keepNext/>
        <w:tabs>
          <w:tab w:val="left" w:pos="0"/>
        </w:tabs>
        <w:overflowPunct w:val="0"/>
        <w:topLinePunct/>
        <w:autoSpaceDN w:val="0"/>
        <w:adjustRightInd w:val="0"/>
        <w:snapToGrid w:val="0"/>
        <w:ind w:firstLine="482"/>
        <w:rPr>
          <w:rFonts w:ascii="宋体" w:hAns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14:textFill>
            <w14:solidFill>
              <w14:schemeClr w14:val="tx1"/>
            </w14:solidFill>
          </w14:textFill>
        </w:rPr>
        <w:t>4.磋商费用</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4.1供应商应承担所有与准备和参加磋商有关的费用，采购代理机构（或采购人）在任何情况下均无义务和责任承担这些费用。</w:t>
      </w:r>
    </w:p>
    <w:p>
      <w:pPr>
        <w:pStyle w:val="4"/>
        <w:ind w:firstLine="482"/>
        <w:rPr>
          <w:rFonts w:cs="宋体"/>
          <w:color w:val="000000" w:themeColor="text1"/>
          <w:szCs w:val="24"/>
          <w14:textFill>
            <w14:solidFill>
              <w14:schemeClr w14:val="tx1"/>
            </w14:solidFill>
          </w14:textFill>
        </w:rPr>
      </w:pPr>
      <w:bookmarkStart w:id="8" w:name="_Toc175644017"/>
      <w:r>
        <w:rPr>
          <w:rFonts w:hint="eastAsia" w:cs="宋体"/>
          <w:color w:val="000000" w:themeColor="text1"/>
          <w:szCs w:val="24"/>
          <w14:textFill>
            <w14:solidFill>
              <w14:schemeClr w14:val="tx1"/>
            </w14:solidFill>
          </w14:textFill>
        </w:rPr>
        <w:t>二、磋商文件</w:t>
      </w:r>
      <w:bookmarkEnd w:id="8"/>
    </w:p>
    <w:p>
      <w:pPr>
        <w:keepNext/>
        <w:tabs>
          <w:tab w:val="left" w:pos="0"/>
        </w:tabs>
        <w:overflowPunct w:val="0"/>
        <w:topLinePunct/>
        <w:autoSpaceDN w:val="0"/>
        <w:adjustRightInd w:val="0"/>
        <w:snapToGrid w:val="0"/>
        <w:ind w:firstLine="482"/>
        <w:rPr>
          <w:rFonts w:ascii="宋体" w:hAns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14:textFill>
            <w14:solidFill>
              <w14:schemeClr w14:val="tx1"/>
            </w14:solidFill>
          </w14:textFill>
        </w:rPr>
        <w:t>5.磋商文件的构成</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5.1磋商文件由下列六部分内容组成：</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第一部分 磋商公告；</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第二部分 供应商须知；</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第三部分 评标标准和评分方法；</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第四部分 商务、技术要求；</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第五部分 合同原则；</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第六部分 响应文件格式。</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5.2供应商应认真阅读磋商文件中所有的条款、事项、格式和技术规范、参数及要求等。供应商没有按照磋商文件要求提交全部资料，或者没有对磋商文件在各方面都做出实质性磋商响应是供应商的风险，有可能导致其报价被拒绝或被认定为无效报价或被确定为报价无效。</w:t>
      </w:r>
    </w:p>
    <w:p>
      <w:pPr>
        <w:keepNext/>
        <w:tabs>
          <w:tab w:val="left" w:pos="0"/>
        </w:tabs>
        <w:overflowPunct w:val="0"/>
        <w:topLinePunct/>
        <w:autoSpaceDN w:val="0"/>
        <w:adjustRightInd w:val="0"/>
        <w:snapToGrid w:val="0"/>
        <w:ind w:firstLine="482"/>
        <w:rPr>
          <w:rFonts w:ascii="宋体" w:hAns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14:textFill>
            <w14:solidFill>
              <w14:schemeClr w14:val="tx1"/>
            </w14:solidFill>
          </w14:textFill>
        </w:rPr>
        <w:t>6.磋商文件的澄清和修改</w:t>
      </w:r>
    </w:p>
    <w:p>
      <w:pPr>
        <w:keepNext/>
        <w:tabs>
          <w:tab w:val="left" w:pos="567"/>
        </w:tabs>
        <w:overflowPunct w:val="0"/>
        <w:topLinePunct/>
        <w:autoSpaceDN w:val="0"/>
        <w:adjustRightInd w:val="0"/>
        <w:snapToGrid w:val="0"/>
        <w:ind w:firstLine="480"/>
        <w:rPr>
          <w:rFonts w:ascii="宋体" w:hAnsi="宋体" w:cs="宋体"/>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6.1</w:t>
      </w:r>
      <w:r>
        <w:rPr>
          <w:rFonts w:hint="eastAsia" w:ascii="宋体" w:hAnsi="宋体" w:cs="宋体"/>
          <w:color w:val="000000" w:themeColor="text1"/>
          <w:kern w:val="0"/>
          <w14:textFill>
            <w14:solidFill>
              <w14:schemeClr w14:val="tx1"/>
            </w14:solidFill>
          </w14:textFill>
        </w:rPr>
        <w:t>提交首次响应文件截止之日前，</w:t>
      </w:r>
      <w:r>
        <w:rPr>
          <w:rFonts w:hint="eastAsia" w:ascii="宋体" w:hAnsi="宋体" w:cs="宋体"/>
          <w:snapToGrid w:val="0"/>
          <w:color w:val="000000" w:themeColor="text1"/>
          <w:kern w:val="0"/>
          <w14:textFill>
            <w14:solidFill>
              <w14:schemeClr w14:val="tx1"/>
            </w14:solidFill>
          </w14:textFill>
        </w:rPr>
        <w:t>采购代理机构（或采购人)</w:t>
      </w:r>
      <w:r>
        <w:rPr>
          <w:rFonts w:hint="eastAsia" w:ascii="宋体" w:hAnsi="宋体" w:cs="宋体"/>
          <w:color w:val="000000" w:themeColor="text1"/>
          <w:kern w:val="0"/>
          <w14:textFill>
            <w14:solidFill>
              <w14:schemeClr w14:val="tx1"/>
            </w14:solidFill>
          </w14:textFill>
        </w:rPr>
        <w:t>可以对已发出的磋商文件进行必要的澄清或者修改，澄清或者修改的内容作为磋商文件的组成部分。澄清或者修改的内容可能影响响应文件编制的，</w:t>
      </w:r>
      <w:r>
        <w:rPr>
          <w:rFonts w:hint="eastAsia" w:ascii="宋体" w:hAnsi="宋体" w:cs="宋体"/>
          <w:snapToGrid w:val="0"/>
          <w:color w:val="000000" w:themeColor="text1"/>
          <w:kern w:val="0"/>
          <w14:textFill>
            <w14:solidFill>
              <w14:schemeClr w14:val="tx1"/>
            </w14:solidFill>
          </w14:textFill>
        </w:rPr>
        <w:t>采购代理机构（或采购人)</w:t>
      </w:r>
      <w:r>
        <w:rPr>
          <w:rFonts w:hint="eastAsia" w:ascii="宋体" w:hAnsi="宋体" w:cs="宋体"/>
          <w:color w:val="000000" w:themeColor="text1"/>
          <w:kern w:val="0"/>
          <w14:textFill>
            <w14:solidFill>
              <w14:schemeClr w14:val="tx1"/>
            </w14:solidFill>
          </w14:textFill>
        </w:rPr>
        <w:t>应当在提交首次响应文件截止时间至少5日前，以书面形式通知所有获取磋商文件的供应商；不足5日的，</w:t>
      </w:r>
      <w:r>
        <w:rPr>
          <w:rFonts w:hint="eastAsia" w:ascii="宋体" w:hAnsi="宋体" w:cs="宋体"/>
          <w:snapToGrid w:val="0"/>
          <w:color w:val="000000" w:themeColor="text1"/>
          <w:kern w:val="0"/>
          <w14:textFill>
            <w14:solidFill>
              <w14:schemeClr w14:val="tx1"/>
            </w14:solidFill>
          </w14:textFill>
        </w:rPr>
        <w:t>采购代理机构（或采购人)</w:t>
      </w:r>
      <w:r>
        <w:rPr>
          <w:rFonts w:hint="eastAsia" w:ascii="宋体" w:hAnsi="宋体" w:cs="宋体"/>
          <w:color w:val="000000" w:themeColor="text1"/>
          <w:kern w:val="0"/>
          <w14:textFill>
            <w14:solidFill>
              <w14:schemeClr w14:val="tx1"/>
            </w14:solidFill>
          </w14:textFill>
        </w:rPr>
        <w:t>应当顺延提交首次响应文件截止时间。</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6.2采购代理机构（或采购人)将视情况确定是否有必要安排所有已登记备案并领取了磋商文件的潜在供应商踏勘现场，而无论采购代理机构（或采购人)是否安排踏勘现场，供应商均应当将相关的因素作为磋商所应当考虑或依据的因素。</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6.3采购代理机构（或采购人)将视情况确定是否有必要召开标前会。如果召开标前会，采购代理机构（或采购人)将向所有已登记备案并领取了磋商文件的潜在供应商发出通知。</w:t>
      </w:r>
    </w:p>
    <w:p>
      <w:pPr>
        <w:pStyle w:val="4"/>
        <w:ind w:firstLine="482"/>
        <w:rPr>
          <w:rFonts w:cs="宋体"/>
          <w:color w:val="000000" w:themeColor="text1"/>
          <w:szCs w:val="24"/>
          <w14:textFill>
            <w14:solidFill>
              <w14:schemeClr w14:val="tx1"/>
            </w14:solidFill>
          </w14:textFill>
        </w:rPr>
      </w:pPr>
      <w:bookmarkStart w:id="9" w:name="_Toc175644018"/>
      <w:r>
        <w:rPr>
          <w:rFonts w:hint="eastAsia" w:cs="宋体"/>
          <w:color w:val="000000" w:themeColor="text1"/>
          <w:szCs w:val="24"/>
          <w14:textFill>
            <w14:solidFill>
              <w14:schemeClr w14:val="tx1"/>
            </w14:solidFill>
          </w14:textFill>
        </w:rPr>
        <w:t>三、响应文件</w:t>
      </w:r>
      <w:bookmarkEnd w:id="9"/>
    </w:p>
    <w:p>
      <w:pPr>
        <w:keepNext/>
        <w:tabs>
          <w:tab w:val="left" w:pos="0"/>
        </w:tabs>
        <w:overflowPunct w:val="0"/>
        <w:topLinePunct/>
        <w:autoSpaceDN w:val="0"/>
        <w:adjustRightInd w:val="0"/>
        <w:snapToGrid w:val="0"/>
        <w:ind w:firstLine="482"/>
        <w:rPr>
          <w:rFonts w:ascii="宋体" w:hAns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14:textFill>
            <w14:solidFill>
              <w14:schemeClr w14:val="tx1"/>
            </w14:solidFill>
          </w14:textFill>
        </w:rPr>
        <w:t>7.响应文件的语言和计量单位</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7.1供应商提交的响应文件（包括技术文件和资料、图纸中的说明）以及供应商与采购代理机构（或采购人)就有关磋商的所有来往函电均应使用中文简体字。</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7.2响应文件所使用的计量单位，应使用国家法定计量单位。</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7.3原版为外文的证书类文件，以及由外国人做出的本人签名、外国公司的名称或外国印章等可以是外文，但应当提供中文翻译文件并加盖供应商电子签章。必要时磋商小组可以要求供应商提供附有公证书的中文翻译文件或者与原版文件签章相一致的中文翻译文件。</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原版为外文的证书类、证明类文件，与供应商名称或其它实际情况不符的，供应商应当提供相关证明文件。</w:t>
      </w:r>
    </w:p>
    <w:p>
      <w:pPr>
        <w:keepNext/>
        <w:tabs>
          <w:tab w:val="left" w:pos="0"/>
        </w:tabs>
        <w:overflowPunct w:val="0"/>
        <w:topLinePunct/>
        <w:autoSpaceDN w:val="0"/>
        <w:adjustRightInd w:val="0"/>
        <w:snapToGrid w:val="0"/>
        <w:ind w:firstLine="482"/>
        <w:rPr>
          <w:rFonts w:ascii="宋体" w:hAns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14:textFill>
            <w14:solidFill>
              <w14:schemeClr w14:val="tx1"/>
            </w14:solidFill>
          </w14:textFill>
        </w:rPr>
        <w:t>8.响应文件的组成及相关要求</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8.1响应文件分为商务部分和技术部分。</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本次磋商，供应商应按本磋商文件要求提交商务、技术部分内容和需要供应商自行编写的其他文件，</w:t>
      </w:r>
      <w:r>
        <w:rPr>
          <w:rFonts w:hint="eastAsia" w:ascii="宋体" w:hAnsi="宋体" w:cs="宋体"/>
          <w:bCs/>
          <w:snapToGrid w:val="0"/>
          <w:color w:val="000000" w:themeColor="text1"/>
          <w:kern w:val="0"/>
          <w14:textFill>
            <w14:solidFill>
              <w14:schemeClr w14:val="tx1"/>
            </w14:solidFill>
          </w14:textFill>
        </w:rPr>
        <w:t>其中加*项目若有缺失或无效，将导致响应文件被拒绝（具体填写要求及格式详见</w:t>
      </w:r>
      <w:r>
        <w:rPr>
          <w:rFonts w:hint="eastAsia" w:ascii="宋体" w:hAnsi="宋体" w:cs="宋体"/>
          <w:snapToGrid w:val="0"/>
          <w:color w:val="000000" w:themeColor="text1"/>
          <w:kern w:val="0"/>
          <w14:textFill>
            <w14:solidFill>
              <w14:schemeClr w14:val="tx1"/>
            </w14:solidFill>
          </w14:textFill>
        </w:rPr>
        <w:t>磋商文件第六部分）。</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8.2响应文件要求内容及编排顺序</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（1）商务部分：</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*磋商函(见‘响应文件格式’)；</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*法定代表人身份证明书(见‘响应文件格式’)；</w:t>
      </w:r>
    </w:p>
    <w:p>
      <w:pPr>
        <w:pStyle w:val="79"/>
        <w:keepNext/>
        <w:snapToGrid w:val="0"/>
        <w:spacing w:line="360" w:lineRule="auto"/>
        <w:ind w:firstLine="480" w:firstLineChars="200"/>
        <w:jc w:val="both"/>
        <w:rPr>
          <w:rFonts w:hint="default" w:ascii="宋体" w:hAnsi="宋体" w:cs="宋体"/>
          <w:color w:val="000000" w:themeColor="text1"/>
          <w:szCs w:val="22"/>
          <w14:textFill>
            <w14:solidFill>
              <w14:schemeClr w14:val="tx1"/>
            </w14:solidFill>
          </w14:textFill>
        </w:rPr>
      </w:pPr>
      <w:r>
        <w:rPr>
          <w:rFonts w:ascii="宋体" w:hAnsi="宋体" w:cs="宋体"/>
          <w:snapToGrid w:val="0"/>
          <w:color w:val="000000" w:themeColor="text1"/>
          <w14:textFill>
            <w14:solidFill>
              <w14:schemeClr w14:val="tx1"/>
            </w14:solidFill>
          </w14:textFill>
        </w:rPr>
        <w:t>*</w:t>
      </w:r>
      <w:r>
        <w:rPr>
          <w:rFonts w:ascii="宋体" w:hAnsi="宋体" w:cs="宋体"/>
          <w:color w:val="000000" w:themeColor="text1"/>
          <w:szCs w:val="22"/>
          <w14:textFill>
            <w14:solidFill>
              <w14:schemeClr w14:val="tx1"/>
            </w14:solidFill>
          </w14:textFill>
        </w:rPr>
        <w:t>法定代表人授权委托书(见‘响应文件格式’)；</w:t>
      </w:r>
    </w:p>
    <w:p>
      <w:pPr>
        <w:pStyle w:val="79"/>
        <w:keepNext/>
        <w:snapToGrid w:val="0"/>
        <w:spacing w:line="360" w:lineRule="auto"/>
        <w:ind w:firstLine="480" w:firstLineChars="200"/>
        <w:jc w:val="both"/>
        <w:rPr>
          <w:rFonts w:hint="default" w:ascii="宋体" w:hAnsi="宋体" w:cs="宋体"/>
          <w:color w:val="000000" w:themeColor="text1"/>
          <w:szCs w:val="22"/>
          <w14:textFill>
            <w14:solidFill>
              <w14:schemeClr w14:val="tx1"/>
            </w14:solidFill>
          </w14:textFill>
        </w:rPr>
      </w:pPr>
      <w:r>
        <w:rPr>
          <w:rFonts w:ascii="宋体" w:hAnsi="宋体" w:cs="宋体"/>
          <w:color w:val="000000" w:themeColor="text1"/>
          <w:szCs w:val="22"/>
          <w14:textFill>
            <w14:solidFill>
              <w14:schemeClr w14:val="tx1"/>
            </w14:solidFill>
          </w14:textFill>
        </w:rPr>
        <w:t>*有效的营业执照副本（扫描件须加盖供应商电子公章）；</w:t>
      </w:r>
    </w:p>
    <w:p>
      <w:pPr>
        <w:pStyle w:val="79"/>
        <w:keepNext/>
        <w:snapToGrid w:val="0"/>
        <w:spacing w:line="360" w:lineRule="auto"/>
        <w:ind w:firstLine="480" w:firstLineChars="200"/>
        <w:jc w:val="both"/>
        <w:rPr>
          <w:rFonts w:hint="default" w:ascii="宋体" w:hAnsi="宋体" w:cs="宋体"/>
          <w:color w:val="000000" w:themeColor="text1"/>
          <w:szCs w:val="22"/>
          <w14:textFill>
            <w14:solidFill>
              <w14:schemeClr w14:val="tx1"/>
            </w14:solidFill>
          </w14:textFill>
        </w:rPr>
      </w:pPr>
      <w:r>
        <w:rPr>
          <w:rFonts w:ascii="宋体" w:hAnsi="宋体" w:cs="宋体"/>
          <w:color w:val="000000" w:themeColor="text1"/>
          <w:szCs w:val="22"/>
          <w14:textFill>
            <w14:solidFill>
              <w14:schemeClr w14:val="tx1"/>
            </w14:solidFill>
          </w14:textFill>
        </w:rPr>
        <w:t>*基本开户许可证或基本存款账户信息（扫描件须加盖供应商电子公章）；</w:t>
      </w:r>
    </w:p>
    <w:p>
      <w:pPr>
        <w:pStyle w:val="79"/>
        <w:keepNext/>
        <w:snapToGrid w:val="0"/>
        <w:spacing w:line="360" w:lineRule="auto"/>
        <w:ind w:firstLine="480" w:firstLineChars="200"/>
        <w:jc w:val="both"/>
        <w:rPr>
          <w:rFonts w:ascii="宋体" w:hAnsi="宋体" w:cs="宋体"/>
          <w:color w:val="000000" w:themeColor="text1"/>
          <w:szCs w:val="22"/>
          <w14:textFill>
            <w14:solidFill>
              <w14:schemeClr w14:val="tx1"/>
            </w14:solidFill>
          </w14:textFill>
        </w:rPr>
      </w:pPr>
      <w:r>
        <w:rPr>
          <w:rFonts w:ascii="宋体" w:hAnsi="宋体" w:cs="宋体"/>
          <w:color w:val="000000" w:themeColor="text1"/>
          <w:szCs w:val="22"/>
          <w14:textFill>
            <w14:solidFill>
              <w14:schemeClr w14:val="tx1"/>
            </w14:solidFill>
          </w14:textFill>
        </w:rPr>
        <w:t>*磋商保证金交纳凭证(见‘响应文件格式’)；</w:t>
      </w:r>
    </w:p>
    <w:p>
      <w:pPr>
        <w:pStyle w:val="79"/>
        <w:keepNext/>
        <w:snapToGrid w:val="0"/>
        <w:spacing w:line="360" w:lineRule="auto"/>
        <w:ind w:firstLine="480" w:firstLineChars="200"/>
        <w:jc w:val="both"/>
        <w:rPr>
          <w:rFonts w:ascii="宋体" w:hAnsi="宋体" w:cs="宋体"/>
          <w:color w:val="000000" w:themeColor="text1"/>
          <w:szCs w:val="22"/>
          <w14:textFill>
            <w14:solidFill>
              <w14:schemeClr w14:val="tx1"/>
            </w14:solidFill>
          </w14:textFill>
        </w:rPr>
      </w:pPr>
      <w:r>
        <w:rPr>
          <w:rFonts w:hint="default" w:ascii="宋体" w:hAnsi="宋体" w:cs="宋体"/>
          <w:color w:val="000000" w:themeColor="text1"/>
          <w:szCs w:val="22"/>
          <w14:textFill>
            <w14:solidFill>
              <w14:schemeClr w14:val="tx1"/>
            </w14:solidFill>
          </w14:textFill>
        </w:rPr>
        <w:t>*</w:t>
      </w:r>
      <w:r>
        <w:rPr>
          <w:rFonts w:hint="default" w:ascii="宋体" w:hAnsi="宋体" w:cs="宋体"/>
          <w:szCs w:val="22"/>
        </w:rPr>
        <w:t>长治市政府采购供应商信用承诺函</w:t>
      </w:r>
      <w:r>
        <w:rPr>
          <w:rFonts w:ascii="宋体" w:hAnsi="宋体" w:cs="宋体"/>
          <w:szCs w:val="22"/>
        </w:rPr>
        <w:t>(见‘响应文件格式’)</w:t>
      </w:r>
      <w:r>
        <w:rPr>
          <w:rFonts w:ascii="宋体" w:hAnsi="宋体" w:cs="宋体"/>
          <w:color w:val="000000" w:themeColor="text1"/>
          <w:szCs w:val="22"/>
          <w14:textFill>
            <w14:solidFill>
              <w14:schemeClr w14:val="tx1"/>
            </w14:solidFill>
          </w14:textFill>
        </w:rPr>
        <w:t>；</w:t>
      </w:r>
    </w:p>
    <w:p>
      <w:pPr>
        <w:pStyle w:val="79"/>
        <w:keepNext/>
        <w:snapToGrid w:val="0"/>
        <w:spacing w:line="360" w:lineRule="auto"/>
        <w:ind w:firstLine="480" w:firstLineChars="200"/>
        <w:jc w:val="both"/>
        <w:rPr>
          <w:rFonts w:hint="default" w:ascii="宋体" w:hAnsi="宋体" w:cs="宋体"/>
          <w:szCs w:val="22"/>
        </w:rPr>
      </w:pPr>
      <w:r>
        <w:rPr>
          <w:rFonts w:hint="default" w:ascii="Calibri" w:hAnsi="Calibri" w:cs="Calibri"/>
          <w:szCs w:val="22"/>
        </w:rPr>
        <w:t>①</w:t>
      </w:r>
      <w:r>
        <w:rPr>
          <w:rFonts w:ascii="宋体" w:hAnsi="宋体" w:cs="宋体"/>
          <w:szCs w:val="22"/>
        </w:rPr>
        <w:t>具有审计资格的第三方出具的2021年度完整审计报告（扫描件须加盖供应商电子公章）；</w:t>
      </w:r>
    </w:p>
    <w:p>
      <w:pPr>
        <w:keepNext/>
        <w:overflowPunct w:val="0"/>
        <w:topLinePunct/>
        <w:autoSpaceDN w:val="0"/>
        <w:adjustRightInd w:val="0"/>
        <w:snapToGrid w:val="0"/>
        <w:ind w:firstLine="480"/>
        <w:rPr>
          <w:rFonts w:ascii="宋体" w:hAnsi="宋体" w:cs="宋体"/>
          <w:snapToGrid w:val="0"/>
          <w:kern w:val="0"/>
        </w:rPr>
      </w:pPr>
      <w:r>
        <w:rPr>
          <w:rFonts w:hint="default" w:ascii="Calibri" w:hAnsi="Calibri" w:cs="Calibri"/>
          <w:snapToGrid w:val="0"/>
          <w:kern w:val="0"/>
        </w:rPr>
        <w:t>②</w:t>
      </w:r>
      <w:r>
        <w:rPr>
          <w:rFonts w:hint="eastAsia" w:ascii="宋体" w:hAnsi="宋体" w:cs="宋体"/>
          <w:snapToGrid w:val="0"/>
          <w:kern w:val="0"/>
        </w:rPr>
        <w:t>磋商截止日期近半年内任意一次</w:t>
      </w:r>
      <w:r>
        <w:rPr>
          <w:rFonts w:hint="eastAsia" w:ascii="宋体" w:hAnsi="宋体" w:cs="宋体"/>
          <w:b/>
          <w:bCs/>
          <w:snapToGrid w:val="0"/>
          <w:kern w:val="0"/>
        </w:rPr>
        <w:t>完税凭证</w:t>
      </w:r>
      <w:r>
        <w:rPr>
          <w:rFonts w:hint="eastAsia" w:ascii="宋体" w:hAnsi="宋体" w:cs="宋体"/>
          <w:snapToGrid w:val="0"/>
          <w:kern w:val="0"/>
        </w:rPr>
        <w:t>（增值税或企业所得税）</w:t>
      </w:r>
      <w:r>
        <w:rPr>
          <w:rFonts w:hint="eastAsia" w:ascii="宋体" w:hAnsi="宋体" w:cs="宋体"/>
          <w:kern w:val="0"/>
        </w:rPr>
        <w:t>或零纳税申报表</w:t>
      </w:r>
      <w:r>
        <w:rPr>
          <w:rFonts w:hint="eastAsia" w:ascii="宋体" w:hAnsi="宋体" w:cs="宋体"/>
          <w:snapToGrid w:val="0"/>
          <w:kern w:val="0"/>
        </w:rPr>
        <w:t>（扫描件须加盖供应商</w:t>
      </w:r>
      <w:r>
        <w:rPr>
          <w:rFonts w:hint="eastAsia" w:ascii="宋体" w:hAnsi="宋体" w:cs="宋体"/>
          <w:szCs w:val="22"/>
        </w:rPr>
        <w:t>电子公章</w:t>
      </w:r>
      <w:r>
        <w:rPr>
          <w:rFonts w:hint="eastAsia" w:ascii="宋体" w:hAnsi="宋体" w:cs="宋体"/>
          <w:snapToGrid w:val="0"/>
          <w:kern w:val="0"/>
        </w:rPr>
        <w:t>）；</w:t>
      </w:r>
    </w:p>
    <w:p>
      <w:pPr>
        <w:keepNext/>
        <w:overflowPunct w:val="0"/>
        <w:topLinePunct/>
        <w:autoSpaceDN w:val="0"/>
        <w:adjustRightInd w:val="0"/>
        <w:snapToGrid w:val="0"/>
        <w:ind w:firstLine="480"/>
        <w:rPr>
          <w:rFonts w:hint="eastAsia" w:ascii="宋体" w:hAnsi="宋体" w:cs="宋体"/>
          <w:snapToGrid w:val="0"/>
          <w:kern w:val="0"/>
        </w:rPr>
      </w:pPr>
      <w:r>
        <w:rPr>
          <w:rFonts w:hint="default" w:ascii="Calibri" w:hAnsi="Calibri" w:cs="Calibri"/>
          <w:snapToGrid w:val="0"/>
          <w:kern w:val="0"/>
        </w:rPr>
        <w:t>③</w:t>
      </w:r>
      <w:r>
        <w:rPr>
          <w:rFonts w:hint="eastAsia" w:ascii="宋体" w:hAnsi="宋体" w:cs="宋体"/>
          <w:snapToGrid w:val="0"/>
          <w:kern w:val="0"/>
        </w:rPr>
        <w:t>磋商截止日期前最近一次社保缴纳凭证（扫描件须加盖供应商</w:t>
      </w:r>
      <w:r>
        <w:rPr>
          <w:rFonts w:hint="eastAsia" w:ascii="宋体" w:hAnsi="宋体" w:cs="宋体"/>
          <w:szCs w:val="22"/>
        </w:rPr>
        <w:t>电子公章</w:t>
      </w:r>
      <w:r>
        <w:rPr>
          <w:rFonts w:hint="eastAsia" w:ascii="宋体" w:hAnsi="宋体" w:cs="宋体"/>
          <w:snapToGrid w:val="0"/>
          <w:kern w:val="0"/>
        </w:rPr>
        <w:t>）；</w:t>
      </w:r>
    </w:p>
    <w:p>
      <w:pPr>
        <w:pStyle w:val="3"/>
        <w:jc w:val="left"/>
        <w:rPr>
          <w:rFonts w:hint="default" w:ascii="宋体" w:hAnsi="宋体" w:cs="宋体"/>
          <w:color w:val="000000" w:themeColor="text1"/>
          <w:szCs w:val="22"/>
          <w14:textFill>
            <w14:solidFill>
              <w14:schemeClr w14:val="tx1"/>
            </w14:solidFill>
          </w14:textFill>
        </w:rPr>
      </w:pPr>
      <w:r>
        <w:rPr>
          <w:rFonts w:hint="eastAsia" w:cs="宋体"/>
          <w:b/>
          <w:bCs/>
          <w:snapToGrid w:val="0"/>
          <w:kern w:val="0"/>
          <w:sz w:val="24"/>
          <w:szCs w:val="24"/>
          <w:lang w:val="en-US" w:eastAsia="zh-CN"/>
        </w:rPr>
        <w:t>注：供应商在响应时，按照规定提供《长治市政府采购供应商信用承诺函》，无需再提交以上</w:t>
      </w:r>
      <w:r>
        <w:rPr>
          <w:rFonts w:hint="default" w:ascii="Calibri" w:hAnsi="Calibri" w:cs="Calibri"/>
          <w:b/>
          <w:bCs/>
          <w:snapToGrid w:val="0"/>
          <w:kern w:val="0"/>
          <w:sz w:val="24"/>
          <w:szCs w:val="24"/>
          <w:lang w:val="en-US" w:eastAsia="zh-CN"/>
        </w:rPr>
        <w:t>①②③</w:t>
      </w:r>
      <w:r>
        <w:rPr>
          <w:rFonts w:hint="eastAsia" w:cs="宋体"/>
          <w:b/>
          <w:bCs/>
          <w:snapToGrid w:val="0"/>
          <w:kern w:val="0"/>
          <w:sz w:val="24"/>
          <w:szCs w:val="24"/>
          <w:lang w:val="en-US" w:eastAsia="zh-CN"/>
        </w:rPr>
        <w:t>项要求得证明材料；采购人有权在签订合同前要求成交供应商提供相关证明材料以核实成交供应商承诺事项的真实性。</w:t>
      </w:r>
    </w:p>
    <w:p>
      <w:pPr>
        <w:pStyle w:val="79"/>
        <w:keepNext/>
        <w:snapToGrid w:val="0"/>
        <w:spacing w:line="360" w:lineRule="auto"/>
        <w:ind w:firstLine="480" w:firstLineChars="200"/>
        <w:jc w:val="both"/>
        <w:rPr>
          <w:rFonts w:ascii="宋体" w:hAnsi="宋体" w:cs="宋体"/>
          <w:color w:val="000000" w:themeColor="text1"/>
          <w:szCs w:val="22"/>
          <w14:textFill>
            <w14:solidFill>
              <w14:schemeClr w14:val="tx1"/>
            </w14:solidFill>
          </w14:textFill>
        </w:rPr>
      </w:pPr>
      <w:r>
        <w:rPr>
          <w:rFonts w:hint="default" w:ascii="宋体" w:hAnsi="宋体" w:cs="宋体"/>
          <w:color w:val="000000" w:themeColor="text1"/>
          <w:szCs w:val="22"/>
          <w14:textFill>
            <w14:solidFill>
              <w14:schemeClr w14:val="tx1"/>
            </w14:solidFill>
          </w14:textFill>
        </w:rPr>
        <w:t>*</w:t>
      </w:r>
      <w:r>
        <w:rPr>
          <w:rFonts w:ascii="宋体" w:hAnsi="宋体" w:cs="Arial"/>
          <w:snapToGrid w:val="0"/>
          <w:color w:val="000000" w:themeColor="text1"/>
          <w14:textFill>
            <w14:solidFill>
              <w14:schemeClr w14:val="tx1"/>
            </w14:solidFill>
          </w14:textFill>
        </w:rPr>
        <w:t>供应商</w:t>
      </w:r>
      <w:r>
        <w:rPr>
          <w:rFonts w:hint="eastAsia" w:ascii="宋体" w:hAnsi="宋体" w:cs="宋体"/>
          <w:color w:val="000000" w:themeColor="text1"/>
          <w:szCs w:val="22"/>
          <w:lang w:eastAsia="zh-CN"/>
          <w14:textFill>
            <w14:solidFill>
              <w14:schemeClr w14:val="tx1"/>
            </w14:solidFill>
          </w14:textFill>
        </w:rPr>
        <w:t>具备履行合同能力的承诺</w:t>
      </w:r>
      <w:r>
        <w:rPr>
          <w:rFonts w:ascii="宋体" w:hAnsi="宋体" w:cs="宋体"/>
          <w:szCs w:val="22"/>
        </w:rPr>
        <w:t>(见‘响应文件格式’)</w:t>
      </w:r>
      <w:r>
        <w:rPr>
          <w:rFonts w:ascii="宋体" w:hAnsi="宋体" w:cs="宋体"/>
          <w:color w:val="000000" w:themeColor="text1"/>
          <w:szCs w:val="22"/>
          <w14:textFill>
            <w14:solidFill>
              <w14:schemeClr w14:val="tx1"/>
            </w14:solidFill>
          </w14:textFill>
        </w:rPr>
        <w:t>；</w:t>
      </w:r>
    </w:p>
    <w:p>
      <w:pPr>
        <w:pStyle w:val="79"/>
        <w:keepNext/>
        <w:snapToGrid w:val="0"/>
        <w:spacing w:line="360" w:lineRule="auto"/>
        <w:ind w:firstLine="480" w:firstLineChars="200"/>
        <w:jc w:val="both"/>
        <w:rPr>
          <w:rFonts w:ascii="宋体" w:hAnsi="宋体" w:cs="宋体"/>
          <w:color w:val="000000" w:themeColor="text1"/>
          <w:szCs w:val="22"/>
          <w14:textFill>
            <w14:solidFill>
              <w14:schemeClr w14:val="tx1"/>
            </w14:solidFill>
          </w14:textFill>
        </w:rPr>
      </w:pPr>
      <w:r>
        <w:rPr>
          <w:rFonts w:hint="default" w:ascii="宋体" w:hAnsi="宋体" w:cs="宋体"/>
          <w:color w:val="000000" w:themeColor="text1"/>
          <w:szCs w:val="22"/>
          <w14:textFill>
            <w14:solidFill>
              <w14:schemeClr w14:val="tx1"/>
            </w14:solidFill>
          </w14:textFill>
        </w:rPr>
        <w:t>*</w:t>
      </w:r>
      <w:r>
        <w:rPr>
          <w:rFonts w:hint="default" w:ascii="宋体" w:hAnsi="宋体" w:cs="宋体"/>
          <w:color w:val="000000" w:themeColor="text1"/>
          <w:szCs w:val="22"/>
          <w:lang w:eastAsia="zh-CN"/>
          <w14:textFill>
            <w14:solidFill>
              <w14:schemeClr w14:val="tx1"/>
            </w14:solidFill>
          </w14:textFill>
        </w:rPr>
        <w:t>信用记录</w:t>
      </w:r>
      <w:r>
        <w:rPr>
          <w:rFonts w:ascii="宋体" w:hAnsi="宋体" w:cs="宋体"/>
          <w:szCs w:val="22"/>
        </w:rPr>
        <w:t>(见‘响应文件格式’)</w:t>
      </w:r>
      <w:r>
        <w:rPr>
          <w:rFonts w:ascii="宋体" w:hAnsi="宋体" w:cs="宋体"/>
          <w:color w:val="000000" w:themeColor="text1"/>
          <w:szCs w:val="22"/>
          <w14:textFill>
            <w14:solidFill>
              <w14:schemeClr w14:val="tx1"/>
            </w14:solidFill>
          </w14:textFill>
        </w:rPr>
        <w:t>；</w:t>
      </w:r>
    </w:p>
    <w:p>
      <w:pPr>
        <w:pStyle w:val="79"/>
        <w:keepNext/>
        <w:snapToGrid w:val="0"/>
        <w:spacing w:line="360" w:lineRule="auto"/>
        <w:ind w:firstLine="480" w:firstLineChars="200"/>
        <w:jc w:val="both"/>
        <w:rPr>
          <w:rFonts w:hint="default" w:ascii="宋体" w:hAnsi="宋体" w:cs="宋体"/>
          <w:color w:val="000000" w:themeColor="text1"/>
          <w:szCs w:val="22"/>
          <w14:textFill>
            <w14:solidFill>
              <w14:schemeClr w14:val="tx1"/>
            </w14:solidFill>
          </w14:textFill>
        </w:rPr>
      </w:pPr>
      <w:r>
        <w:rPr>
          <w:rFonts w:hint="default" w:ascii="宋体" w:hAnsi="宋体" w:cs="宋体"/>
          <w:color w:val="000000" w:themeColor="text1"/>
          <w:szCs w:val="22"/>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中小企业声明函</w:t>
      </w:r>
      <w:r>
        <w:rPr>
          <w:rFonts w:ascii="宋体" w:hAnsi="宋体" w:cs="宋体"/>
          <w:szCs w:val="22"/>
        </w:rPr>
        <w:t>(见‘响应文件格式’)</w:t>
      </w:r>
      <w:r>
        <w:rPr>
          <w:rFonts w:ascii="宋体" w:hAnsi="宋体" w:cs="宋体"/>
          <w:color w:val="000000" w:themeColor="text1"/>
          <w:szCs w:val="22"/>
          <w14:textFill>
            <w14:solidFill>
              <w14:schemeClr w14:val="tx1"/>
            </w14:solidFill>
          </w14:textFill>
        </w:rPr>
        <w:t>；</w:t>
      </w:r>
    </w:p>
    <w:p>
      <w:pPr>
        <w:pStyle w:val="79"/>
        <w:keepNext/>
        <w:snapToGrid w:val="0"/>
        <w:spacing w:line="360" w:lineRule="auto"/>
        <w:ind w:firstLine="600" w:firstLineChars="250"/>
        <w:jc w:val="both"/>
        <w:rPr>
          <w:rFonts w:hint="default" w:ascii="宋体" w:hAnsi="宋体" w:cs="宋体"/>
          <w:color w:val="000000" w:themeColor="text1"/>
          <w:szCs w:val="22"/>
          <w14:textFill>
            <w14:solidFill>
              <w14:schemeClr w14:val="tx1"/>
            </w14:solidFill>
          </w14:textFill>
        </w:rPr>
      </w:pPr>
      <w:r>
        <w:rPr>
          <w:rFonts w:ascii="宋体" w:hAnsi="宋体" w:cs="Arial"/>
          <w:snapToGrid w:val="0"/>
          <w:color w:val="000000" w:themeColor="text1"/>
          <w14:textFill>
            <w14:solidFill>
              <w14:schemeClr w14:val="tx1"/>
            </w14:solidFill>
          </w14:textFill>
        </w:rPr>
        <w:t>供应商企业简况（格式自拟）</w:t>
      </w:r>
      <w:r>
        <w:rPr>
          <w:rFonts w:ascii="宋体" w:hAnsi="宋体"/>
          <w:color w:val="000000" w:themeColor="text1"/>
          <w14:textFill>
            <w14:solidFill>
              <w14:schemeClr w14:val="tx1"/>
            </w14:solidFill>
          </w14:textFill>
        </w:rPr>
        <w:t>（</w:t>
      </w:r>
      <w:r>
        <w:rPr>
          <w:rFonts w:ascii="宋体" w:hAnsi="宋体" w:cs="Arial"/>
          <w:snapToGrid w:val="0"/>
          <w:color w:val="000000" w:themeColor="text1"/>
          <w14:textFill>
            <w14:solidFill>
              <w14:schemeClr w14:val="tx1"/>
            </w14:solidFill>
          </w14:textFill>
        </w:rPr>
        <w:t>须加盖供应商</w:t>
      </w:r>
      <w:r>
        <w:rPr>
          <w:rFonts w:ascii="宋体" w:hAnsi="宋体" w:cs="宋体"/>
          <w:color w:val="000000" w:themeColor="text1"/>
          <w:szCs w:val="22"/>
          <w14:textFill>
            <w14:solidFill>
              <w14:schemeClr w14:val="tx1"/>
            </w14:solidFill>
          </w14:textFill>
        </w:rPr>
        <w:t>电子公章</w:t>
      </w:r>
      <w:r>
        <w:rPr>
          <w:rFonts w:ascii="宋体" w:hAnsi="宋体"/>
          <w:color w:val="000000" w:themeColor="text1"/>
          <w14:textFill>
            <w14:solidFill>
              <w14:schemeClr w14:val="tx1"/>
            </w14:solidFill>
          </w14:textFill>
        </w:rPr>
        <w:t>）</w:t>
      </w:r>
      <w:r>
        <w:rPr>
          <w:rFonts w:ascii="宋体" w:hAnsi="宋体" w:cs="Arial"/>
          <w:snapToGrid w:val="0"/>
          <w:color w:val="000000" w:themeColor="text1"/>
          <w14:textFill>
            <w14:solidFill>
              <w14:schemeClr w14:val="tx1"/>
            </w14:solidFill>
          </w14:textFill>
        </w:rPr>
        <w:t>；</w:t>
      </w:r>
    </w:p>
    <w:p>
      <w:pPr>
        <w:keepNext/>
        <w:overflowPunct w:val="0"/>
        <w:topLinePunct/>
        <w:autoSpaceDN w:val="0"/>
        <w:adjustRightInd w:val="0"/>
        <w:snapToGrid w:val="0"/>
        <w:ind w:firstLine="600" w:firstLineChars="250"/>
        <w:rPr>
          <w:rFonts w:ascii="宋体" w:hAnsi="宋体" w:cs="宋体"/>
          <w:snapToGrid w:val="0"/>
          <w:color w:val="000000" w:themeColor="text1"/>
          <w:kern w:val="0"/>
          <w14:textFill>
            <w14:solidFill>
              <w14:schemeClr w14:val="tx1"/>
            </w14:solidFill>
          </w14:textFill>
        </w:rPr>
      </w:pPr>
      <w:r>
        <w:rPr>
          <w:rFonts w:hint="eastAsia" w:ascii="宋体" w:hAnsi="宋体" w:cs="Arial"/>
          <w:snapToGrid w:val="0"/>
          <w:color w:val="000000" w:themeColor="text1"/>
          <w:kern w:val="0"/>
          <w14:textFill>
            <w14:solidFill>
              <w14:schemeClr w14:val="tx1"/>
            </w14:solidFill>
          </w14:textFill>
        </w:rPr>
        <w:t>供应商需要提供的其他商务材料（包括评分标准里要求提供的材料）</w:t>
      </w:r>
      <w:r>
        <w:rPr>
          <w:rFonts w:hint="eastAsia" w:ascii="宋体" w:hAnsi="宋体"/>
          <w:color w:val="000000" w:themeColor="text1"/>
          <w:kern w:val="0"/>
          <w14:textFill>
            <w14:solidFill>
              <w14:schemeClr w14:val="tx1"/>
            </w14:solidFill>
          </w14:textFill>
        </w:rPr>
        <w:t>（</w:t>
      </w:r>
      <w:r>
        <w:rPr>
          <w:rFonts w:hint="eastAsia" w:ascii="宋体" w:hAnsi="宋体" w:cs="Arial"/>
          <w:snapToGrid w:val="0"/>
          <w:color w:val="000000" w:themeColor="text1"/>
          <w:kern w:val="0"/>
          <w14:textFill>
            <w14:solidFill>
              <w14:schemeClr w14:val="tx1"/>
            </w14:solidFill>
          </w14:textFill>
        </w:rPr>
        <w:t>须加盖供应商</w:t>
      </w:r>
      <w:r>
        <w:rPr>
          <w:rFonts w:hint="eastAsia" w:ascii="宋体" w:hAnsi="宋体" w:cs="宋体"/>
          <w:color w:val="000000" w:themeColor="text1"/>
          <w:szCs w:val="22"/>
          <w14:textFill>
            <w14:solidFill>
              <w14:schemeClr w14:val="tx1"/>
            </w14:solidFill>
          </w14:textFill>
        </w:rPr>
        <w:t>电子公章</w:t>
      </w:r>
      <w:r>
        <w:rPr>
          <w:rFonts w:hint="eastAsia" w:ascii="宋体" w:hAnsi="宋体"/>
          <w:color w:val="000000" w:themeColor="text1"/>
          <w:kern w:val="0"/>
          <w14:textFill>
            <w14:solidFill>
              <w14:schemeClr w14:val="tx1"/>
            </w14:solidFill>
          </w14:textFill>
        </w:rPr>
        <w:t>）</w:t>
      </w:r>
      <w:r>
        <w:rPr>
          <w:rFonts w:hint="eastAsia" w:ascii="宋体" w:hAnsi="宋体" w:cs="宋体"/>
          <w:snapToGrid w:val="0"/>
          <w:color w:val="000000" w:themeColor="text1"/>
          <w:kern w:val="0"/>
          <w14:textFill>
            <w14:solidFill>
              <w14:schemeClr w14:val="tx1"/>
            </w14:solidFill>
          </w14:textFill>
        </w:rPr>
        <w:t>。</w:t>
      </w:r>
    </w:p>
    <w:p>
      <w:pPr>
        <w:keepNext/>
        <w:overflowPunct w:val="0"/>
        <w:topLinePunct/>
        <w:autoSpaceDN w:val="0"/>
        <w:adjustRightInd w:val="0"/>
        <w:snapToGrid w:val="0"/>
        <w:ind w:firstLine="482"/>
        <w:rPr>
          <w:rFonts w:ascii="宋体" w:hAnsi="宋体" w:cs="宋体"/>
          <w:b/>
          <w:bCs/>
          <w:snapToGrid w:val="0"/>
          <w:color w:val="000000" w:themeColor="text1"/>
          <w:kern w:val="0"/>
          <w14:textFill>
            <w14:solidFill>
              <w14:schemeClr w14:val="tx1"/>
            </w14:solidFill>
          </w14:textFill>
        </w:rPr>
      </w:pPr>
      <w:r>
        <w:rPr>
          <w:rFonts w:hint="eastAsia" w:ascii="宋体" w:hAnsi="宋体" w:cs="宋体"/>
          <w:b/>
          <w:bCs/>
          <w:snapToGrid w:val="0"/>
          <w:color w:val="000000" w:themeColor="text1"/>
          <w:kern w:val="0"/>
          <w14:textFill>
            <w14:solidFill>
              <w14:schemeClr w14:val="tx1"/>
            </w14:solidFill>
          </w14:textFill>
        </w:rPr>
        <w:t>（2）技术部分：</w:t>
      </w:r>
    </w:p>
    <w:p>
      <w:pPr>
        <w:keepNext/>
        <w:overflowPunct w:val="0"/>
        <w:topLinePunct/>
        <w:autoSpaceDN w:val="0"/>
        <w:adjustRightInd w:val="0"/>
        <w:snapToGrid w:val="0"/>
        <w:ind w:firstLine="470" w:firstLineChars="196"/>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*报价一览表（见‘响应文件格式’）；</w:t>
      </w:r>
    </w:p>
    <w:p>
      <w:pPr>
        <w:keepNext/>
        <w:overflowPunct w:val="0"/>
        <w:topLinePunct/>
        <w:autoSpaceDN w:val="0"/>
        <w:adjustRightInd w:val="0"/>
        <w:snapToGrid w:val="0"/>
        <w:ind w:firstLine="470" w:firstLineChars="196"/>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报价货物技术偏离表</w:t>
      </w:r>
      <w:r>
        <w:rPr>
          <w:rFonts w:hint="eastAsia" w:ascii="宋体" w:hAnsi="宋体" w:cs="宋体"/>
          <w:bCs/>
          <w:color w:val="000000" w:themeColor="text1"/>
          <w14:textFill>
            <w14:solidFill>
              <w14:schemeClr w14:val="tx1"/>
            </w14:solidFill>
          </w14:textFill>
        </w:rPr>
        <w:t>（见‘响应文件格式’）；</w:t>
      </w:r>
    </w:p>
    <w:p>
      <w:pPr>
        <w:keepNext/>
        <w:overflowPunct w:val="0"/>
        <w:topLinePunct/>
        <w:autoSpaceDN w:val="0"/>
        <w:adjustRightInd w:val="0"/>
        <w:snapToGrid w:val="0"/>
        <w:ind w:firstLine="470" w:firstLineChars="196"/>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售后服务承诺及服务方案</w:t>
      </w:r>
      <w:r>
        <w:rPr>
          <w:rFonts w:hint="eastAsia" w:ascii="宋体" w:hAnsi="宋体" w:cs="宋体"/>
          <w:bCs/>
          <w:color w:val="000000" w:themeColor="text1"/>
          <w14:textFill>
            <w14:solidFill>
              <w14:schemeClr w14:val="tx1"/>
            </w14:solidFill>
          </w14:textFill>
        </w:rPr>
        <w:t>（须加盖供应商</w:t>
      </w:r>
      <w:r>
        <w:rPr>
          <w:rFonts w:hint="eastAsia" w:ascii="宋体" w:hAnsi="宋体" w:cs="宋体"/>
          <w:color w:val="000000" w:themeColor="text1"/>
          <w:szCs w:val="22"/>
          <w14:textFill>
            <w14:solidFill>
              <w14:schemeClr w14:val="tx1"/>
            </w14:solidFill>
          </w14:textFill>
        </w:rPr>
        <w:t>电子公章</w:t>
      </w:r>
      <w:r>
        <w:rPr>
          <w:rFonts w:hint="eastAsia" w:ascii="宋体" w:hAnsi="宋体" w:cs="宋体"/>
          <w:bCs/>
          <w:color w:val="000000" w:themeColor="text1"/>
          <w14:textFill>
            <w14:solidFill>
              <w14:schemeClr w14:val="tx1"/>
            </w14:solidFill>
          </w14:textFill>
        </w:rPr>
        <w:t>）；</w:t>
      </w:r>
    </w:p>
    <w:p>
      <w:pPr>
        <w:keepNext/>
        <w:overflowPunct w:val="0"/>
        <w:topLinePunct/>
        <w:autoSpaceDN w:val="0"/>
        <w:adjustRightInd w:val="0"/>
        <w:snapToGrid w:val="0"/>
        <w:ind w:firstLine="470" w:firstLineChars="196"/>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供应商认为需要提供的其他技术材料（包括评分标准里要求提供的材料）</w:t>
      </w:r>
      <w:r>
        <w:rPr>
          <w:rFonts w:hint="eastAsia" w:ascii="宋体" w:hAnsi="宋体"/>
          <w:color w:val="000000" w:themeColor="text1"/>
          <w:kern w:val="0"/>
          <w14:textFill>
            <w14:solidFill>
              <w14:schemeClr w14:val="tx1"/>
            </w14:solidFill>
          </w14:textFill>
        </w:rPr>
        <w:t>（</w:t>
      </w:r>
      <w:r>
        <w:rPr>
          <w:rFonts w:hint="eastAsia" w:ascii="宋体" w:hAnsi="宋体" w:cs="Arial"/>
          <w:snapToGrid w:val="0"/>
          <w:color w:val="000000" w:themeColor="text1"/>
          <w:kern w:val="0"/>
          <w14:textFill>
            <w14:solidFill>
              <w14:schemeClr w14:val="tx1"/>
            </w14:solidFill>
          </w14:textFill>
        </w:rPr>
        <w:t>须加盖供应商</w:t>
      </w:r>
      <w:r>
        <w:rPr>
          <w:rFonts w:hint="eastAsia" w:ascii="宋体" w:hAnsi="宋体" w:cs="宋体"/>
          <w:color w:val="000000" w:themeColor="text1"/>
          <w:szCs w:val="22"/>
          <w14:textFill>
            <w14:solidFill>
              <w14:schemeClr w14:val="tx1"/>
            </w14:solidFill>
          </w14:textFill>
        </w:rPr>
        <w:t>电子公章</w:t>
      </w:r>
      <w:r>
        <w:rPr>
          <w:rFonts w:hint="eastAsia" w:ascii="宋体" w:hAnsi="宋体"/>
          <w:color w:val="000000" w:themeColor="text1"/>
          <w:kern w:val="0"/>
          <w14:textFill>
            <w14:solidFill>
              <w14:schemeClr w14:val="tx1"/>
            </w14:solidFill>
          </w14:textFill>
        </w:rPr>
        <w:t>）</w:t>
      </w:r>
      <w:r>
        <w:rPr>
          <w:rFonts w:hint="eastAsia" w:ascii="宋体" w:hAnsi="宋体" w:cs="宋体"/>
          <w:bCs/>
          <w:color w:val="000000" w:themeColor="text1"/>
          <w14:textFill>
            <w14:solidFill>
              <w14:schemeClr w14:val="tx1"/>
            </w14:solidFill>
          </w14:textFill>
        </w:rPr>
        <w:t>。</w:t>
      </w:r>
    </w:p>
    <w:p>
      <w:pPr>
        <w:keepNext/>
        <w:overflowPunct w:val="0"/>
        <w:topLinePunct/>
        <w:autoSpaceDN w:val="0"/>
        <w:adjustRightInd w:val="0"/>
        <w:snapToGrid w:val="0"/>
        <w:ind w:firstLine="472" w:firstLineChars="196"/>
        <w:rPr>
          <w:rFonts w:ascii="宋体" w:hAnsi="宋体" w:cs="宋体"/>
          <w:snapToGrid w:val="0"/>
          <w:color w:val="000000" w:themeColor="text1"/>
          <w:kern w:val="0"/>
          <w14:textFill>
            <w14:solidFill>
              <w14:schemeClr w14:val="tx1"/>
            </w14:solidFill>
          </w14:textFill>
        </w:rPr>
      </w:pPr>
      <w:r>
        <w:rPr>
          <w:rFonts w:hint="eastAsia" w:ascii="宋体" w:hAnsi="宋体" w:cs="宋体"/>
          <w:b/>
          <w:color w:val="000000" w:themeColor="text1"/>
          <w14:textFill>
            <w14:solidFill>
              <w14:schemeClr w14:val="tx1"/>
            </w14:solidFill>
          </w14:textFill>
        </w:rPr>
        <w:t>（3）政府采购政策性要求部分：</w:t>
      </w:r>
    </w:p>
    <w:p>
      <w:pPr>
        <w:kinsoku w:val="0"/>
        <w:overflowPunct w:val="0"/>
        <w:autoSpaceDE w:val="0"/>
        <w:autoSpaceDN w:val="0"/>
        <w:adjustRightInd w:val="0"/>
        <w:snapToGrid w:val="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节能产品明细表（如适用）（见“响应文件格式”）</w:t>
      </w:r>
    </w:p>
    <w:p>
      <w:pPr>
        <w:kinsoku w:val="0"/>
        <w:overflowPunct w:val="0"/>
        <w:autoSpaceDE w:val="0"/>
        <w:autoSpaceDN w:val="0"/>
        <w:adjustRightInd w:val="0"/>
        <w:snapToGrid w:val="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环境标志产品明细表（如适用）（见“响应文件格式”）</w:t>
      </w:r>
    </w:p>
    <w:p>
      <w:pPr>
        <w:kinsoku w:val="0"/>
        <w:overflowPunct w:val="0"/>
        <w:autoSpaceDE w:val="0"/>
        <w:autoSpaceDN w:val="0"/>
        <w:adjustRightInd w:val="0"/>
        <w:snapToGrid w:val="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承诺所投报的计算机预装正版操作系统，软件产品为正版软件（如适用）</w:t>
      </w:r>
    </w:p>
    <w:p>
      <w:pPr>
        <w:kinsoku w:val="0"/>
        <w:overflowPunct w:val="0"/>
        <w:autoSpaceDE w:val="0"/>
        <w:autoSpaceDN w:val="0"/>
        <w:adjustRightInd w:val="0"/>
        <w:snapToGrid w:val="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所响应信息安全产品属于《信息安全产品强制性认证目录》中的产品（如适用）（附：有效认证证书复印件，并加盖</w:t>
      </w:r>
      <w:r>
        <w:rPr>
          <w:rFonts w:hint="eastAsia" w:ascii="宋体" w:hAnsi="宋体" w:cs="Arial"/>
          <w:snapToGrid w:val="0"/>
          <w:color w:val="000000" w:themeColor="text1"/>
          <w:kern w:val="0"/>
          <w14:textFill>
            <w14:solidFill>
              <w14:schemeClr w14:val="tx1"/>
            </w14:solidFill>
          </w14:textFill>
        </w:rPr>
        <w:t>供应商</w:t>
      </w:r>
      <w:r>
        <w:rPr>
          <w:rFonts w:hint="eastAsia" w:ascii="宋体" w:hAnsi="宋体" w:cs="宋体"/>
          <w:color w:val="000000" w:themeColor="text1"/>
          <w:szCs w:val="22"/>
          <w14:textFill>
            <w14:solidFill>
              <w14:schemeClr w14:val="tx1"/>
            </w14:solidFill>
          </w14:textFill>
        </w:rPr>
        <w:t>电子公章</w:t>
      </w:r>
      <w:r>
        <w:rPr>
          <w:rFonts w:hint="eastAsia" w:ascii="宋体" w:hAnsi="宋体" w:cs="宋体"/>
          <w:color w:val="000000" w:themeColor="text1"/>
          <w:kern w:val="0"/>
          <w14:textFill>
            <w14:solidFill>
              <w14:schemeClr w14:val="tx1"/>
            </w14:solidFill>
          </w14:textFill>
        </w:rPr>
        <w:t>）</w:t>
      </w:r>
    </w:p>
    <w:p>
      <w:pPr>
        <w:kinsoku w:val="0"/>
        <w:overflowPunct w:val="0"/>
        <w:autoSpaceDE w:val="0"/>
        <w:autoSpaceDN w:val="0"/>
        <w:adjustRightInd w:val="0"/>
        <w:snapToGrid w:val="0"/>
        <w:ind w:firstLine="480"/>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残疾人福利性单位声明函（如适用）（见“响应文件格式”）。</w:t>
      </w:r>
    </w:p>
    <w:p>
      <w:pPr>
        <w:kinsoku w:val="0"/>
        <w:overflowPunct w:val="0"/>
        <w:autoSpaceDE w:val="0"/>
        <w:autoSpaceDN w:val="0"/>
        <w:adjustRightInd w:val="0"/>
        <w:snapToGrid w:val="0"/>
        <w:ind w:firstLine="480"/>
        <w:rPr>
          <w:rFonts w:hint="eastAsia"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8.3响应文件规格幅面按照磋商文件所规定的内容顺序编制。由于编排混乱导致响应文件被误读或查找不到，其责任应当由供应商承担。</w:t>
      </w:r>
    </w:p>
    <w:p>
      <w:pPr>
        <w:kinsoku w:val="0"/>
        <w:overflowPunct w:val="0"/>
        <w:autoSpaceDE w:val="0"/>
        <w:autoSpaceDN w:val="0"/>
        <w:adjustRightInd w:val="0"/>
        <w:snapToGrid w:val="0"/>
        <w:ind w:firstLine="480"/>
        <w:rPr>
          <w:rFonts w:hint="eastAsia"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为方便评标，技术文件中的各项表格必须按照磋商文件第六部分格式要求制作。</w:t>
      </w:r>
    </w:p>
    <w:p>
      <w:pPr>
        <w:pStyle w:val="17"/>
        <w:rPr>
          <w:rFonts w:hint="eastAsia" w:ascii="宋体" w:hAnsi="宋体" w:cs="宋体"/>
          <w:snapToGrid w:val="0"/>
          <w:color w:val="000000" w:themeColor="text1"/>
          <w:kern w:val="0"/>
          <w14:textFill>
            <w14:solidFill>
              <w14:schemeClr w14:val="tx1"/>
            </w14:solidFill>
          </w14:textFill>
        </w:rPr>
      </w:pPr>
    </w:p>
    <w:p>
      <w:pPr>
        <w:pStyle w:val="18"/>
        <w:rPr>
          <w:rFonts w:hint="eastAsia"/>
        </w:rPr>
      </w:pP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8.4报价</w:t>
      </w:r>
    </w:p>
    <w:p>
      <w:pPr>
        <w:pStyle w:val="79"/>
        <w:keepNext/>
        <w:spacing w:line="360" w:lineRule="auto"/>
        <w:ind w:firstLine="480" w:firstLineChars="200"/>
        <w:jc w:val="both"/>
        <w:rPr>
          <w:rFonts w:hint="default" w:ascii="宋体" w:hAnsi="宋体" w:cs="宋体"/>
          <w:color w:val="000000" w:themeColor="text1"/>
          <w:szCs w:val="24"/>
          <w14:textFill>
            <w14:solidFill>
              <w14:schemeClr w14:val="tx1"/>
            </w14:solidFill>
          </w14:textFill>
        </w:rPr>
      </w:pPr>
      <w:r>
        <w:rPr>
          <w:rFonts w:ascii="宋体" w:hAnsi="宋体" w:cs="宋体"/>
          <w:color w:val="000000" w:themeColor="text1"/>
          <w:szCs w:val="24"/>
          <w14:textFill>
            <w14:solidFill>
              <w14:schemeClr w14:val="tx1"/>
            </w14:solidFill>
          </w14:textFill>
        </w:rPr>
        <w:t>所有报价均以人民币元为计算单位。只要投报了一个确定数额的总价，无论分项价格是否全部填报了相应的金额或免费字样，报价应被视为已经包含了但并不限于各项相关服务的费用。在其它情况下，由于分项报价填报不完整、不清楚或存在其它任何失误，所导致的任何不利后果均应当由供应商自行承担。</w:t>
      </w:r>
    </w:p>
    <w:p>
      <w:pPr>
        <w:keepNext/>
        <w:tabs>
          <w:tab w:val="left" w:pos="0"/>
        </w:tabs>
        <w:overflowPunct w:val="0"/>
        <w:topLinePunct/>
        <w:autoSpaceDN w:val="0"/>
        <w:adjustRightInd w:val="0"/>
        <w:snapToGrid w:val="0"/>
        <w:ind w:firstLine="472" w:firstLineChars="196"/>
        <w:rPr>
          <w:rFonts w:ascii="宋体" w:hAns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14:textFill>
            <w14:solidFill>
              <w14:schemeClr w14:val="tx1"/>
            </w14:solidFill>
          </w14:textFill>
        </w:rPr>
        <w:t>9.响应文件填写说明</w:t>
      </w:r>
    </w:p>
    <w:p>
      <w:pPr>
        <w:keepNext/>
        <w:tabs>
          <w:tab w:val="left" w:pos="0"/>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9.1供应商应详细阅读磋商文件的全部内容。响应文件须对磋商文件中的内容做出实质性和完整的响应。</w:t>
      </w:r>
    </w:p>
    <w:p>
      <w:pPr>
        <w:keepNext/>
        <w:tabs>
          <w:tab w:val="left" w:pos="0"/>
        </w:tabs>
        <w:overflowPunct w:val="0"/>
        <w:topLinePunct/>
        <w:autoSpaceDN w:val="0"/>
        <w:adjustRightInd w:val="0"/>
        <w:snapToGrid w:val="0"/>
        <w:ind w:firstLine="482"/>
        <w:rPr>
          <w:rFonts w:ascii="宋体" w:hAns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14:textFill>
            <w14:solidFill>
              <w14:schemeClr w14:val="tx1"/>
            </w14:solidFill>
          </w14:textFill>
        </w:rPr>
        <w:t>10.响应文件的有效期</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10.1本项目响应文件的有效期为90个日历天。有效期短于该规定期限的响应文件将被拒绝。</w:t>
      </w:r>
    </w:p>
    <w:p>
      <w:pPr>
        <w:keepNext/>
        <w:tabs>
          <w:tab w:val="left" w:pos="0"/>
        </w:tabs>
        <w:overflowPunct w:val="0"/>
        <w:topLinePunct/>
        <w:autoSpaceDN w:val="0"/>
        <w:adjustRightInd w:val="0"/>
        <w:snapToGrid w:val="0"/>
        <w:ind w:firstLine="482"/>
        <w:rPr>
          <w:rFonts w:ascii="宋体" w:hAns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14:textFill>
            <w14:solidFill>
              <w14:schemeClr w14:val="tx1"/>
            </w14:solidFill>
          </w14:textFill>
        </w:rPr>
        <w:t>11.响应文件的签署及规定</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11.1组成响应文件的各项文件均应遵守本条。</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highlight w:val="red"/>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11.2供应商在响应文件及相关文件的签订、履行、通知等事项的书面文件中的“单位盖章”、“印章”、“公章”等处均仅指与当事人名称全称相一致的电子签章，不得使用其它（如带有“专用章”等字样）的印章。</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11.3供应商应按照磋商文件要求，在每一份响应文件的要求的位置填写供应商全称并加盖电子签章，同时在该处签署法定代表人或供应商代表的电子签章。</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11.4供应商应按本磋商文件要求提交响应文件。</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（1）供应商应保证响应文件严格按照磋商文件要求签署电子签章；</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（2）供应商对本磋商文件第六部分“响应文件格式”中提供格式的资料，必须按照样表格式要求在指定位置加盖与供应商全称相一致的电子签章并经法定代表人或供应商代表加盖电子签章，否则按</w:t>
      </w:r>
      <w:r>
        <w:rPr>
          <w:rFonts w:hint="eastAsia" w:ascii="宋体" w:hAnsi="宋体" w:cs="宋体"/>
          <w:bCs/>
          <w:snapToGrid w:val="0"/>
          <w:color w:val="000000" w:themeColor="text1"/>
          <w:kern w:val="0"/>
          <w14:textFill>
            <w14:solidFill>
              <w14:schemeClr w14:val="tx1"/>
            </w14:solidFill>
          </w14:textFill>
        </w:rPr>
        <w:t>无效响应文件处理。</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11.5响应文件应字迹清楚、内容齐全、不得涂改或增删。如有修改和增删，必须有供应商电子签章及法定代表人或其授权的供应商代表签字。</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11.6因响应文件字迹潦草或表达不清所引起的不利后果由供应商承担。</w:t>
      </w:r>
    </w:p>
    <w:p>
      <w:pPr>
        <w:pStyle w:val="4"/>
        <w:ind w:firstLine="482"/>
        <w:rPr>
          <w:rFonts w:cs="宋体"/>
          <w:color w:val="000000" w:themeColor="text1"/>
          <w:szCs w:val="24"/>
          <w14:textFill>
            <w14:solidFill>
              <w14:schemeClr w14:val="tx1"/>
            </w14:solidFill>
          </w14:textFill>
        </w:rPr>
      </w:pPr>
      <w:bookmarkStart w:id="10" w:name="_Toc175644019"/>
      <w:r>
        <w:rPr>
          <w:rFonts w:hint="eastAsia" w:cs="宋体"/>
          <w:color w:val="000000" w:themeColor="text1"/>
          <w:szCs w:val="24"/>
          <w14:textFill>
            <w14:solidFill>
              <w14:schemeClr w14:val="tx1"/>
            </w14:solidFill>
          </w14:textFill>
        </w:rPr>
        <w:t>四、响应文件的递交</w:t>
      </w:r>
      <w:bookmarkEnd w:id="10"/>
    </w:p>
    <w:p>
      <w:pPr>
        <w:keepNext/>
        <w:tabs>
          <w:tab w:val="left" w:pos="0"/>
        </w:tabs>
        <w:overflowPunct w:val="0"/>
        <w:topLinePunct/>
        <w:autoSpaceDN w:val="0"/>
        <w:adjustRightInd w:val="0"/>
        <w:snapToGrid w:val="0"/>
        <w:ind w:firstLine="482"/>
        <w:rPr>
          <w:rFonts w:ascii="宋体" w:hAns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14:textFill>
            <w14:solidFill>
              <w14:schemeClr w14:val="tx1"/>
            </w14:solidFill>
          </w14:textFill>
        </w:rPr>
        <w:t>12.响应文件的递交</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12.1响应文件的递交：</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供应商须在规定时间以前上传报价文件，否则视为放弃投标，代理机构拒绝接收纸质报价文件。</w:t>
      </w:r>
    </w:p>
    <w:p>
      <w:pPr>
        <w:keepNext/>
        <w:tabs>
          <w:tab w:val="left" w:pos="0"/>
        </w:tabs>
        <w:overflowPunct w:val="0"/>
        <w:topLinePunct/>
        <w:autoSpaceDN w:val="0"/>
        <w:adjustRightInd w:val="0"/>
        <w:snapToGrid w:val="0"/>
        <w:ind w:firstLine="482"/>
        <w:rPr>
          <w:rFonts w:ascii="宋体" w:hAns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14:textFill>
            <w14:solidFill>
              <w14:schemeClr w14:val="tx1"/>
            </w14:solidFill>
          </w14:textFill>
        </w:rPr>
        <w:t>13.磋商截止时间</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13.1响应文件须按照磋商文件规定的磋商时间上传。使用CA数字证书在山西政府采购平台解密投标文件；解密时供应商无故不在现场的按无效报价处理。</w:t>
      </w:r>
    </w:p>
    <w:p>
      <w:pPr>
        <w:keepNext/>
        <w:tabs>
          <w:tab w:val="left" w:pos="0"/>
        </w:tabs>
        <w:overflowPunct w:val="0"/>
        <w:topLinePunct/>
        <w:autoSpaceDN w:val="0"/>
        <w:adjustRightInd w:val="0"/>
        <w:snapToGrid w:val="0"/>
        <w:ind w:firstLine="482"/>
        <w:rPr>
          <w:rFonts w:ascii="宋体" w:hAns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14:textFill>
            <w14:solidFill>
              <w14:schemeClr w14:val="tx1"/>
            </w14:solidFill>
          </w14:textFill>
        </w:rPr>
        <w:t>14.响应文件的补充、修改和撤回</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14.1</w:t>
      </w:r>
      <w:r>
        <w:rPr>
          <w:rFonts w:hint="eastAsia" w:ascii="宋体" w:hAnsi="宋体" w:cs="宋体"/>
          <w:color w:val="000000" w:themeColor="text1"/>
          <w:kern w:val="0"/>
          <w14:textFill>
            <w14:solidFill>
              <w14:schemeClr w14:val="tx1"/>
            </w14:solidFill>
          </w14:textFill>
        </w:rPr>
        <w:t>供应商在提交响应文件截止时间前，可以对所提交的响应文件进行补充、修改或者撤回，并书面通知采购代理机构（或采购人）。补充、修改的内容作为响应文件的组成部分。补充、修改的内容与响应文件不一致的，以补充、修改的内容为准。</w:t>
      </w:r>
    </w:p>
    <w:p>
      <w:pPr>
        <w:pStyle w:val="4"/>
        <w:ind w:firstLine="482"/>
        <w:rPr>
          <w:rFonts w:cs="宋体"/>
          <w:color w:val="000000" w:themeColor="text1"/>
          <w:szCs w:val="24"/>
          <w14:textFill>
            <w14:solidFill>
              <w14:schemeClr w14:val="tx1"/>
            </w14:solidFill>
          </w14:textFill>
        </w:rPr>
      </w:pPr>
      <w:bookmarkStart w:id="11" w:name="_Toc175644020"/>
      <w:r>
        <w:rPr>
          <w:rFonts w:hint="eastAsia" w:cs="宋体"/>
          <w:color w:val="000000" w:themeColor="text1"/>
          <w:szCs w:val="24"/>
          <w14:textFill>
            <w14:solidFill>
              <w14:schemeClr w14:val="tx1"/>
            </w14:solidFill>
          </w14:textFill>
        </w:rPr>
        <w:t>五、</w:t>
      </w:r>
      <w:bookmarkEnd w:id="11"/>
      <w:r>
        <w:rPr>
          <w:rFonts w:hint="eastAsia" w:cs="宋体"/>
          <w:color w:val="000000" w:themeColor="text1"/>
          <w:szCs w:val="24"/>
          <w14:textFill>
            <w14:solidFill>
              <w14:schemeClr w14:val="tx1"/>
            </w14:solidFill>
          </w14:textFill>
        </w:rPr>
        <w:t>磋商开启仪式</w:t>
      </w:r>
    </w:p>
    <w:p>
      <w:pPr>
        <w:keepNext/>
        <w:tabs>
          <w:tab w:val="left" w:pos="0"/>
        </w:tabs>
        <w:overflowPunct w:val="0"/>
        <w:topLinePunct/>
        <w:autoSpaceDN w:val="0"/>
        <w:adjustRightInd w:val="0"/>
        <w:snapToGrid w:val="0"/>
        <w:ind w:firstLine="482"/>
        <w:rPr>
          <w:rFonts w:ascii="宋体" w:hAns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14:textFill>
            <w14:solidFill>
              <w14:schemeClr w14:val="tx1"/>
            </w14:solidFill>
          </w14:textFill>
        </w:rPr>
        <w:t>15.磋商开启仪式及其有关事项</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15.1采购代理机构（或采购人）按磋商文件规定的时间、地点主持磋商开启仪式，采购人代表、供应商代表及有关工作人员参加。</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15.2供应商须在开标时间前进行签到。</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15.3唱标时，采购代理机构（或采购人）将当众宣读供应商名称、投报价格、书面补充、修改和撤回响应文件的通知以及采购机构认为适当的其他内容。</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15.4采购代理机构（或采购人）将做唱标记录并在开标后要求法定代表人或授权供应商代表签章确认。</w:t>
      </w:r>
    </w:p>
    <w:p>
      <w:bookmarkStart w:id="12" w:name="_Toc175644021"/>
      <w:r>
        <w:rPr>
          <w:rFonts w:hint="eastAsia"/>
          <w:lang w:val="en-US" w:eastAsia="zh-CN"/>
        </w:rPr>
        <w:t>六、</w:t>
      </w:r>
      <w:r>
        <w:rPr>
          <w:rFonts w:hint="eastAsia"/>
        </w:rPr>
        <w:t>磋商程序和要求</w:t>
      </w:r>
      <w:bookmarkEnd w:id="12"/>
    </w:p>
    <w:p>
      <w:r>
        <w:t>本次磋商采取一轮磋商、二轮报价、最后综合评分方式进行。</w:t>
      </w:r>
    </w:p>
    <w:p>
      <w:pPr>
        <w:pStyle w:val="43"/>
      </w:pPr>
    </w:p>
    <w:p>
      <w:pPr>
        <w:pStyle w:val="43"/>
      </w:pPr>
    </w:p>
    <w:p>
      <w:pPr>
        <w:pStyle w:val="43"/>
      </w:pPr>
    </w:p>
    <w:p>
      <w:pPr>
        <w:pStyle w:val="43"/>
      </w:pPr>
    </w:p>
    <w:p>
      <w:pPr>
        <w:pStyle w:val="43"/>
      </w:pPr>
    </w:p>
    <w:p>
      <w:pPr>
        <w:pStyle w:val="43"/>
      </w:pPr>
    </w:p>
    <w:p>
      <w:pPr>
        <w:pStyle w:val="43"/>
      </w:pPr>
    </w:p>
    <w:p>
      <w:pPr>
        <w:pStyle w:val="43"/>
      </w:pPr>
    </w:p>
    <w:p>
      <w:pPr>
        <w:pStyle w:val="43"/>
      </w:pPr>
    </w:p>
    <w:p>
      <w:pPr>
        <w:keepNext/>
        <w:tabs>
          <w:tab w:val="left" w:pos="0"/>
        </w:tabs>
        <w:overflowPunct w:val="0"/>
        <w:topLinePunct/>
        <w:autoSpaceDN w:val="0"/>
        <w:adjustRightInd w:val="0"/>
        <w:snapToGrid w:val="0"/>
        <w:ind w:firstLine="482"/>
        <w:rPr>
          <w:rFonts w:ascii="宋体" w:hAns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14:textFill>
            <w14:solidFill>
              <w14:schemeClr w14:val="tx1"/>
            </w14:solidFill>
          </w14:textFill>
        </w:rPr>
        <w:t>16.组建磋商小组</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16.1采购代理机构（或采购人）根据有关法律法规和本磋商文件的规定，结合本项目的特点组建磋商小组，对具备实质性磋商响应的响应文件进行评估和比较。本次磋商小组由山西政府采购网专家库管理系统随机抽取的3名评审专家组成。</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16.2采购代理机构（或采购人）就磋商文件征询过意见的专家，不得作为评标专家参加评标；采购人代表不得以评审专家身份参加本部门或本单位采购项目的评审，采购机构工作人员不得参加本机构代理的采购项目的评审。</w:t>
      </w:r>
    </w:p>
    <w:p>
      <w:pPr>
        <w:keepNext/>
        <w:tabs>
          <w:tab w:val="left" w:pos="0"/>
        </w:tabs>
        <w:overflowPunct w:val="0"/>
        <w:topLinePunct/>
        <w:autoSpaceDN w:val="0"/>
        <w:adjustRightInd w:val="0"/>
        <w:snapToGrid w:val="0"/>
        <w:ind w:firstLine="482"/>
        <w:rPr>
          <w:rFonts w:ascii="宋体" w:hAns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14:textFill>
            <w14:solidFill>
              <w14:schemeClr w14:val="tx1"/>
            </w14:solidFill>
          </w14:textFill>
        </w:rPr>
        <w:t>17.初步审核</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17.1开标后，磋商小组将审查各供应商响应文件是否符合磋商文件的基本要求：内容是否完整、资格证明文件是否齐全、文件签署是否齐全及验证磋商保证金。</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17.2审核时，磋商小组要审核每份响应文件的有效性、完整性和响应程度：</w:t>
      </w:r>
    </w:p>
    <w:p>
      <w:pPr>
        <w:keepNext/>
        <w:tabs>
          <w:tab w:val="left" w:pos="737"/>
          <w:tab w:val="left" w:pos="1200"/>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A、本文件“供应商须知”第8条“响应文件的组成及相关要求”部分中，带*部分的资格证明文件不全或无效的；</w:t>
      </w:r>
    </w:p>
    <w:p>
      <w:pPr>
        <w:keepNext/>
        <w:tabs>
          <w:tab w:val="left" w:pos="737"/>
          <w:tab w:val="left" w:pos="1200"/>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B、响应文件未按磋商文件的规定签署或盖章的；</w:t>
      </w:r>
    </w:p>
    <w:p>
      <w:pPr>
        <w:keepNext/>
        <w:tabs>
          <w:tab w:val="left" w:pos="737"/>
          <w:tab w:val="left" w:pos="1200"/>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C、投标有效期不足的；</w:t>
      </w:r>
    </w:p>
    <w:p>
      <w:pPr>
        <w:keepNext/>
        <w:tabs>
          <w:tab w:val="left" w:pos="737"/>
          <w:tab w:val="left" w:pos="1200"/>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D、报价内容、供货期、质量等不满足磋商文件要求和超出采购人可接受的偏差范围的；</w:t>
      </w:r>
    </w:p>
    <w:p>
      <w:pPr>
        <w:keepNext/>
        <w:tabs>
          <w:tab w:val="left" w:pos="737"/>
          <w:tab w:val="left" w:pos="1200"/>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E、未按照磋商文件规定报价的；</w:t>
      </w:r>
    </w:p>
    <w:p>
      <w:pPr>
        <w:keepNext/>
        <w:tabs>
          <w:tab w:val="left" w:pos="737"/>
          <w:tab w:val="left" w:pos="1200"/>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F、不符合磋商文件中有关分包、转包规定的；</w:t>
      </w:r>
    </w:p>
    <w:p>
      <w:pPr>
        <w:keepNext/>
        <w:tabs>
          <w:tab w:val="left" w:pos="737"/>
          <w:tab w:val="left" w:pos="1200"/>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G、联合体响应文件未附联合体投标协议书的；</w:t>
      </w:r>
    </w:p>
    <w:p>
      <w:pPr>
        <w:keepNext/>
        <w:tabs>
          <w:tab w:val="left" w:pos="737"/>
          <w:tab w:val="left" w:pos="1200"/>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H、响应文件附有采购人不能接受的条件；</w:t>
      </w:r>
    </w:p>
    <w:p>
      <w:pPr>
        <w:keepNext/>
        <w:tabs>
          <w:tab w:val="left" w:pos="737"/>
          <w:tab w:val="left" w:pos="1200"/>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I、不符合磋商文件中规定的其他实质性要求。</w:t>
      </w:r>
    </w:p>
    <w:p>
      <w:pPr>
        <w:keepNext/>
        <w:tabs>
          <w:tab w:val="left" w:pos="737"/>
          <w:tab w:val="left" w:pos="1200"/>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17.3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tabs>
          <w:tab w:val="left" w:pos="737"/>
          <w:tab w:val="left" w:pos="1200"/>
        </w:tabs>
        <w:overflowPunct w:val="0"/>
        <w:topLinePunct/>
        <w:autoSpaceDN w:val="0"/>
        <w:adjustRightInd w:val="0"/>
        <w:snapToGrid w:val="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磋商小组要求供应商澄清、说明或者更正响应文件应当以书面形式作出。供应商的澄清、说明或者更正应当由法定代表人或其授权代表签字或者加盖公章。</w:t>
      </w:r>
    </w:p>
    <w:p>
      <w:pPr>
        <w:pStyle w:val="79"/>
        <w:keepNext/>
        <w:snapToGrid w:val="0"/>
        <w:spacing w:line="360" w:lineRule="auto"/>
        <w:ind w:firstLine="480" w:firstLineChars="200"/>
        <w:jc w:val="both"/>
        <w:rPr>
          <w:rFonts w:hint="default" w:ascii="宋体" w:hAnsi="宋体" w:cs="宋体"/>
          <w:color w:val="000000" w:themeColor="text1"/>
          <w:szCs w:val="24"/>
          <w14:textFill>
            <w14:solidFill>
              <w14:schemeClr w14:val="tx1"/>
            </w14:solidFill>
          </w14:textFill>
        </w:rPr>
      </w:pPr>
      <w:r>
        <w:rPr>
          <w:rFonts w:ascii="宋体" w:hAnsi="宋体" w:cs="宋体"/>
          <w:color w:val="000000" w:themeColor="text1"/>
          <w:szCs w:val="24"/>
          <w14:textFill>
            <w14:solidFill>
              <w14:schemeClr w14:val="tx1"/>
            </w14:solidFill>
          </w14:textFill>
        </w:rPr>
        <w:t>17.4政府采购政策性要求内容认定(如适用)</w:t>
      </w:r>
    </w:p>
    <w:p>
      <w:pPr>
        <w:pStyle w:val="79"/>
        <w:keepNext/>
        <w:snapToGrid w:val="0"/>
        <w:spacing w:line="360" w:lineRule="auto"/>
        <w:ind w:firstLine="480" w:firstLineChars="200"/>
        <w:jc w:val="both"/>
        <w:rPr>
          <w:rFonts w:hint="default" w:ascii="宋体" w:hAnsi="宋体" w:cs="宋体"/>
          <w:color w:val="000000" w:themeColor="text1"/>
          <w:szCs w:val="24"/>
          <w14:textFill>
            <w14:solidFill>
              <w14:schemeClr w14:val="tx1"/>
            </w14:solidFill>
          </w14:textFill>
        </w:rPr>
      </w:pPr>
      <w:r>
        <w:rPr>
          <w:rFonts w:ascii="宋体" w:hAnsi="宋体" w:cs="宋体"/>
          <w:snapToGrid w:val="0"/>
          <w:color w:val="000000" w:themeColor="text1"/>
          <w:szCs w:val="24"/>
          <w14:textFill>
            <w14:solidFill>
              <w14:schemeClr w14:val="tx1"/>
            </w14:solidFill>
          </w14:textFill>
        </w:rPr>
        <w:t>17.4.1根据《关于调整优化节能产品、环境标志产品政府采购执行机制的通知》[财库（2019）9号]的规定和最新节能产品政府采购品目清单，货物中有强制节能产品的，须提供国家确定的认证机构出具的、处于有效期之内的节能产品认证证书，否则响应文件将会被拒绝</w:t>
      </w:r>
      <w:r>
        <w:rPr>
          <w:rFonts w:ascii="宋体" w:hAnsi="宋体" w:cs="宋体"/>
          <w:color w:val="000000" w:themeColor="text1"/>
          <w:szCs w:val="24"/>
          <w14:textFill>
            <w14:solidFill>
              <w14:schemeClr w14:val="tx1"/>
            </w14:solidFill>
          </w14:textFill>
        </w:rPr>
        <w:t>。</w:t>
      </w:r>
    </w:p>
    <w:p>
      <w:pPr>
        <w:pStyle w:val="79"/>
        <w:keepNext/>
        <w:snapToGrid w:val="0"/>
        <w:spacing w:line="360" w:lineRule="auto"/>
        <w:ind w:firstLine="480" w:firstLineChars="200"/>
        <w:jc w:val="both"/>
        <w:rPr>
          <w:rFonts w:hint="default" w:ascii="宋体" w:hAnsi="宋体" w:cs="宋体"/>
          <w:color w:val="000000" w:themeColor="text1"/>
          <w:szCs w:val="24"/>
          <w14:textFill>
            <w14:solidFill>
              <w14:schemeClr w14:val="tx1"/>
            </w14:solidFill>
          </w14:textFill>
        </w:rPr>
      </w:pPr>
      <w:r>
        <w:rPr>
          <w:rFonts w:ascii="宋体" w:hAnsi="宋体" w:cs="宋体"/>
          <w:color w:val="000000" w:themeColor="text1"/>
          <w:szCs w:val="24"/>
          <w14:textFill>
            <w14:solidFill>
              <w14:schemeClr w14:val="tx1"/>
            </w14:solidFill>
          </w14:textFill>
        </w:rPr>
        <w:t>17.4.2本项目所采购的货物中如包含计算机，必须预装正版操作系统软件产品；所采购的其它软件必须为正版软件。</w:t>
      </w:r>
    </w:p>
    <w:p>
      <w:pPr>
        <w:pStyle w:val="79"/>
        <w:keepNext/>
        <w:snapToGrid w:val="0"/>
        <w:spacing w:line="360" w:lineRule="auto"/>
        <w:ind w:firstLine="480" w:firstLineChars="200"/>
        <w:jc w:val="both"/>
        <w:rPr>
          <w:rFonts w:hint="default" w:ascii="宋体" w:hAnsi="宋体" w:cs="宋体"/>
          <w:color w:val="000000" w:themeColor="text1"/>
          <w:szCs w:val="24"/>
          <w14:textFill>
            <w14:solidFill>
              <w14:schemeClr w14:val="tx1"/>
            </w14:solidFill>
          </w14:textFill>
        </w:rPr>
      </w:pPr>
      <w:r>
        <w:rPr>
          <w:rFonts w:ascii="宋体" w:hAnsi="宋体" w:cs="宋体"/>
          <w:color w:val="000000" w:themeColor="text1"/>
          <w:szCs w:val="24"/>
          <w14:textFill>
            <w14:solidFill>
              <w14:schemeClr w14:val="tx1"/>
            </w14:solidFill>
          </w14:textFill>
        </w:rPr>
        <w:t>17.4.3供应商提供货物中如含有财政部会同有关部门制定下发的《信息安全产品强制性认证目录》中的产品，须提供中国信息安全认证中心按国家标准认证颁发的有效认证证书。未附有效认证证书，将有可能导致响应文件无效。</w:t>
      </w:r>
    </w:p>
    <w:p>
      <w:pPr>
        <w:pStyle w:val="79"/>
        <w:keepNext/>
        <w:snapToGrid w:val="0"/>
        <w:spacing w:line="360" w:lineRule="auto"/>
        <w:ind w:firstLine="480" w:firstLineChars="200"/>
        <w:jc w:val="both"/>
        <w:rPr>
          <w:rFonts w:hint="default" w:ascii="宋体" w:hAnsi="宋体" w:cs="宋体"/>
          <w:color w:val="000000" w:themeColor="text1"/>
          <w:szCs w:val="24"/>
          <w14:textFill>
            <w14:solidFill>
              <w14:schemeClr w14:val="tx1"/>
            </w14:solidFill>
          </w14:textFill>
        </w:rPr>
      </w:pPr>
      <w:r>
        <w:rPr>
          <w:rFonts w:ascii="宋体" w:hAnsi="宋体" w:cs="宋体"/>
          <w:color w:val="000000" w:themeColor="text1"/>
          <w:szCs w:val="24"/>
          <w14:textFill>
            <w14:solidFill>
              <w14:schemeClr w14:val="tx1"/>
            </w14:solidFill>
          </w14:textFill>
        </w:rPr>
        <w:t>17.4.4中小微企业参加本项目评审标准</w:t>
      </w:r>
    </w:p>
    <w:p>
      <w:pPr>
        <w:pStyle w:val="79"/>
        <w:keepNext/>
        <w:spacing w:line="360" w:lineRule="auto"/>
        <w:ind w:firstLine="480" w:firstLineChars="200"/>
        <w:rPr>
          <w:rFonts w:hint="default" w:ascii="宋体" w:hAnsi="宋体" w:cs="宋体"/>
          <w:snapToGrid w:val="0"/>
          <w:color w:val="auto"/>
        </w:rPr>
      </w:pPr>
      <w:r>
        <w:rPr>
          <w:rFonts w:hint="default" w:ascii="宋体" w:hAnsi="宋体" w:cs="宋体"/>
          <w:snapToGrid w:val="0"/>
          <w:color w:val="auto"/>
        </w:rPr>
        <w:t>（1）中小企业参加政府采购活动，应当出具《政府采购促进中小企业发展管理办法》（财库〔2020〕46号）规定的《中小企业声明函》（格式见第</w:t>
      </w:r>
      <w:r>
        <w:rPr>
          <w:rFonts w:ascii="宋体" w:hAnsi="宋体" w:cs="宋体"/>
          <w:snapToGrid w:val="0"/>
          <w:color w:val="auto"/>
        </w:rPr>
        <w:t>六</w:t>
      </w:r>
      <w:r>
        <w:rPr>
          <w:rFonts w:hint="default" w:ascii="宋体" w:hAnsi="宋体" w:cs="宋体"/>
          <w:snapToGrid w:val="0"/>
          <w:color w:val="auto"/>
        </w:rPr>
        <w:t>部分），否则不得享受相关中小企业扶持政策。</w:t>
      </w:r>
    </w:p>
    <w:p>
      <w:pPr>
        <w:pStyle w:val="79"/>
        <w:keepNext/>
        <w:spacing w:line="360" w:lineRule="auto"/>
        <w:ind w:firstLine="480" w:firstLineChars="200"/>
        <w:rPr>
          <w:rFonts w:hint="default" w:ascii="宋体" w:hAnsi="宋体" w:cs="宋体"/>
          <w:snapToGrid w:val="0"/>
          <w:color w:val="auto"/>
        </w:rPr>
      </w:pPr>
      <w:r>
        <w:rPr>
          <w:rFonts w:hint="default" w:ascii="宋体" w:hAnsi="宋体" w:cs="宋体"/>
          <w:snapToGrid w:val="0"/>
          <w:color w:val="auto"/>
        </w:rPr>
        <w:t xml:space="preserve">（2）在货物采购项目中，货物由中小企业制造，即货物由中小企业生产且使用该中小企业商号或者注册商标。在服务采购项目中，服务由中小企业承接，即提供服务的人员为中小企业依照《中华人民共和国劳动合同法》订立劳动合同的从业人员。在工程采购项目中，工程由中小企业承建，即工程施工单位为中小企业。对符合本办法规定的小微企业报价给予 </w:t>
      </w:r>
      <w:r>
        <w:rPr>
          <w:rFonts w:hint="eastAsia" w:ascii="宋体" w:hAnsi="宋体" w:cs="宋体"/>
          <w:snapToGrid w:val="0"/>
          <w:color w:val="auto"/>
          <w:lang w:val="en-US" w:eastAsia="zh-CN"/>
        </w:rPr>
        <w:t>15</w:t>
      </w:r>
      <w:r>
        <w:rPr>
          <w:rFonts w:hint="default" w:ascii="宋体" w:hAnsi="宋体" w:cs="宋体"/>
          <w:snapToGrid w:val="0"/>
          <w:color w:val="auto"/>
        </w:rPr>
        <w:t>%（工程项目为</w:t>
      </w:r>
      <w:r>
        <w:rPr>
          <w:rFonts w:hint="eastAsia" w:ascii="宋体" w:hAnsi="宋体" w:cs="宋体"/>
          <w:snapToGrid w:val="0"/>
          <w:color w:val="auto"/>
          <w:lang w:val="en-US" w:eastAsia="zh-CN"/>
        </w:rPr>
        <w:t>5</w:t>
      </w:r>
      <w:r>
        <w:rPr>
          <w:rFonts w:hint="default" w:ascii="宋体" w:hAnsi="宋体" w:cs="宋体"/>
          <w:snapToGrid w:val="0"/>
          <w:color w:val="auto"/>
        </w:rPr>
        <w:t>%）的扣除，用扣除后的价格参加评审。</w:t>
      </w:r>
    </w:p>
    <w:p>
      <w:pPr>
        <w:pStyle w:val="79"/>
        <w:keepNext/>
        <w:spacing w:line="360" w:lineRule="auto"/>
        <w:ind w:firstLine="480" w:firstLineChars="200"/>
        <w:rPr>
          <w:rFonts w:hint="default" w:ascii="宋体" w:hAnsi="宋体" w:cs="宋体"/>
          <w:snapToGrid w:val="0"/>
          <w:color w:val="auto"/>
        </w:rPr>
      </w:pPr>
      <w:r>
        <w:rPr>
          <w:rFonts w:hint="default" w:ascii="宋体" w:hAnsi="宋体" w:cs="宋体"/>
          <w:snapToGrid w:val="0"/>
          <w:color w:val="auto"/>
        </w:rPr>
        <w:t>（3）在货物采购项目中，供应商提供的货物既有中小企业制造货物，也有大型企业制造货物的，不享受《政府采购促进中小企业发展管理办法》规定的中小企业扶持政策。</w:t>
      </w:r>
    </w:p>
    <w:p>
      <w:pPr>
        <w:pStyle w:val="79"/>
        <w:keepNext/>
        <w:spacing w:line="360" w:lineRule="auto"/>
        <w:ind w:firstLine="480" w:firstLineChars="200"/>
        <w:rPr>
          <w:rFonts w:hint="default" w:ascii="宋体" w:hAnsi="宋体" w:cs="宋体"/>
          <w:snapToGrid w:val="0"/>
          <w:color w:val="auto"/>
        </w:rPr>
      </w:pPr>
      <w:r>
        <w:rPr>
          <w:rFonts w:hint="default" w:ascii="宋体" w:hAnsi="宋体" w:cs="宋体"/>
          <w:snapToGrid w:val="0"/>
          <w:color w:val="auto"/>
        </w:rPr>
        <w:t xml:space="preserve">（4）联合体价格折扣：本项目若允许联合体参加，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w:t>
      </w:r>
      <w:r>
        <w:rPr>
          <w:rFonts w:hint="eastAsia" w:ascii="宋体" w:hAnsi="宋体" w:cs="宋体"/>
          <w:snapToGrid w:val="0"/>
          <w:color w:val="auto"/>
          <w:lang w:val="en-US" w:eastAsia="zh-CN"/>
        </w:rPr>
        <w:t>4</w:t>
      </w:r>
      <w:r>
        <w:rPr>
          <w:rFonts w:hint="default" w:ascii="宋体" w:hAnsi="宋体" w:cs="宋体"/>
          <w:snapToGrid w:val="0"/>
          <w:color w:val="auto"/>
        </w:rPr>
        <w:t>%（工程项目为</w:t>
      </w:r>
      <w:r>
        <w:rPr>
          <w:rFonts w:hint="eastAsia" w:ascii="宋体" w:hAnsi="宋体" w:cs="宋体"/>
          <w:snapToGrid w:val="0"/>
          <w:color w:val="auto"/>
          <w:lang w:val="en-US" w:eastAsia="zh-CN"/>
        </w:rPr>
        <w:t>2</w:t>
      </w:r>
      <w:r>
        <w:rPr>
          <w:rFonts w:hint="default" w:ascii="宋体" w:hAnsi="宋体" w:cs="宋体"/>
          <w:snapToGrid w:val="0"/>
          <w:color w:val="auto"/>
        </w:rPr>
        <w:t>%）的扣除，用扣除后的价格参加评审。</w:t>
      </w:r>
    </w:p>
    <w:p>
      <w:pPr>
        <w:pStyle w:val="79"/>
        <w:keepNext/>
        <w:spacing w:line="360" w:lineRule="auto"/>
        <w:ind w:firstLine="480" w:firstLineChars="200"/>
        <w:rPr>
          <w:rFonts w:hint="default" w:ascii="宋体" w:hAnsi="宋体" w:cs="宋体"/>
          <w:snapToGrid w:val="0"/>
          <w:color w:val="000000" w:themeColor="text1"/>
          <w:szCs w:val="24"/>
          <w14:textFill>
            <w14:solidFill>
              <w14:schemeClr w14:val="tx1"/>
            </w14:solidFill>
          </w14:textFill>
        </w:rPr>
      </w:pPr>
      <w:r>
        <w:rPr>
          <w:rFonts w:ascii="宋体" w:hAnsi="宋体" w:cs="宋体"/>
          <w:snapToGrid w:val="0"/>
          <w:color w:val="000000" w:themeColor="text1"/>
          <w:szCs w:val="24"/>
          <w14:textFill>
            <w14:solidFill>
              <w14:schemeClr w14:val="tx1"/>
            </w14:solidFill>
          </w14:textFill>
        </w:rPr>
        <w:t>17.4.5支持残疾人福利单位：《三部门联合发布关于促进残疾人就业政府采购政策的通知》（财库[2017]141号）第三条规定，在政府采购活动中，残疾人福利性单位视同小型、微型企业，享受预留份额、评审中价格扣除等促进中小企业发展的政府采购政策。在本项目中满足采购需求、质量和货物相等的情况下，对属于残疾人福利性单位的货物价格给予6%的扣除，用扣除后的价格参与评审；</w:t>
      </w:r>
    </w:p>
    <w:p>
      <w:pPr>
        <w:pStyle w:val="79"/>
        <w:keepNext/>
        <w:spacing w:line="360" w:lineRule="auto"/>
        <w:ind w:firstLine="480" w:firstLineChars="200"/>
        <w:rPr>
          <w:rFonts w:hint="default" w:ascii="宋体" w:hAnsi="宋体" w:cs="宋体"/>
          <w:snapToGrid w:val="0"/>
          <w:color w:val="000000" w:themeColor="text1"/>
          <w:szCs w:val="24"/>
          <w14:textFill>
            <w14:solidFill>
              <w14:schemeClr w14:val="tx1"/>
            </w14:solidFill>
          </w14:textFill>
        </w:rPr>
      </w:pPr>
      <w:r>
        <w:rPr>
          <w:rFonts w:ascii="宋体" w:hAnsi="宋体" w:cs="宋体"/>
          <w:snapToGrid w:val="0"/>
          <w:color w:val="000000" w:themeColor="text1"/>
          <w:szCs w:val="24"/>
          <w14:textFill>
            <w14:solidFill>
              <w14:schemeClr w14:val="tx1"/>
            </w14:solidFill>
          </w14:textFill>
        </w:rPr>
        <w:t>注：残疾人福利性单位属于小型、微型企业的，不重复享受政策。</w:t>
      </w:r>
    </w:p>
    <w:p>
      <w:pPr>
        <w:pStyle w:val="79"/>
        <w:keepNext/>
        <w:spacing w:line="360" w:lineRule="auto"/>
        <w:ind w:firstLine="480" w:firstLineChars="200"/>
        <w:rPr>
          <w:rFonts w:hint="default" w:ascii="宋体" w:hAnsi="宋体" w:cs="宋体"/>
          <w:snapToGrid w:val="0"/>
          <w:color w:val="000000" w:themeColor="text1"/>
          <w:szCs w:val="24"/>
          <w14:textFill>
            <w14:solidFill>
              <w14:schemeClr w14:val="tx1"/>
            </w14:solidFill>
          </w14:textFill>
        </w:rPr>
      </w:pPr>
      <w:r>
        <w:rPr>
          <w:rFonts w:ascii="宋体" w:hAnsi="宋体" w:cs="宋体"/>
          <w:snapToGrid w:val="0"/>
          <w:color w:val="000000" w:themeColor="text1"/>
          <w:szCs w:val="24"/>
          <w14:textFill>
            <w14:solidFill>
              <w14:schemeClr w14:val="tx1"/>
            </w14:solidFill>
          </w14:textFill>
        </w:rPr>
        <w:t>享受政府采购支持政策的残疾人福利性单位应当同时满足以下条件：</w:t>
      </w:r>
    </w:p>
    <w:p>
      <w:pPr>
        <w:pStyle w:val="79"/>
        <w:keepNext/>
        <w:spacing w:line="360" w:lineRule="auto"/>
        <w:ind w:firstLine="480" w:firstLineChars="200"/>
        <w:rPr>
          <w:rFonts w:hint="default" w:ascii="宋体" w:hAnsi="宋体" w:cs="宋体"/>
          <w:snapToGrid w:val="0"/>
          <w:color w:val="000000" w:themeColor="text1"/>
          <w:szCs w:val="24"/>
          <w14:textFill>
            <w14:solidFill>
              <w14:schemeClr w14:val="tx1"/>
            </w14:solidFill>
          </w14:textFill>
        </w:rPr>
      </w:pPr>
      <w:r>
        <w:rPr>
          <w:rFonts w:ascii="宋体" w:hAnsi="宋体" w:cs="宋体"/>
          <w:snapToGrid w:val="0"/>
          <w:color w:val="000000" w:themeColor="text1"/>
          <w:szCs w:val="24"/>
          <w14:textFill>
            <w14:solidFill>
              <w14:schemeClr w14:val="tx1"/>
            </w14:solidFill>
          </w14:textFill>
        </w:rPr>
        <w:t>A.安置的残疾人占本单位在职职工人数的比例不低于25%（含25%），并且安置的残疾人人数不少于10人（含10人）；</w:t>
      </w:r>
    </w:p>
    <w:p>
      <w:pPr>
        <w:pStyle w:val="79"/>
        <w:keepNext/>
        <w:spacing w:line="360" w:lineRule="auto"/>
        <w:ind w:firstLine="480" w:firstLineChars="200"/>
        <w:rPr>
          <w:rFonts w:hint="default" w:ascii="宋体" w:hAnsi="宋体" w:cs="宋体"/>
          <w:snapToGrid w:val="0"/>
          <w:color w:val="000000" w:themeColor="text1"/>
          <w:szCs w:val="24"/>
          <w14:textFill>
            <w14:solidFill>
              <w14:schemeClr w14:val="tx1"/>
            </w14:solidFill>
          </w14:textFill>
        </w:rPr>
      </w:pPr>
      <w:r>
        <w:rPr>
          <w:rFonts w:ascii="宋体" w:hAnsi="宋体" w:cs="宋体"/>
          <w:snapToGrid w:val="0"/>
          <w:color w:val="000000" w:themeColor="text1"/>
          <w:szCs w:val="24"/>
          <w14:textFill>
            <w14:solidFill>
              <w14:schemeClr w14:val="tx1"/>
            </w14:solidFill>
          </w14:textFill>
        </w:rPr>
        <w:t>B.依法与安置的每位残疾人签订了一年以上（含一年）的劳动合同或服务协议；</w:t>
      </w:r>
    </w:p>
    <w:p>
      <w:pPr>
        <w:pStyle w:val="79"/>
        <w:keepNext/>
        <w:spacing w:line="360" w:lineRule="auto"/>
        <w:ind w:firstLine="480" w:firstLineChars="200"/>
        <w:rPr>
          <w:rFonts w:hint="default" w:ascii="宋体" w:hAnsi="宋体" w:cs="宋体"/>
          <w:snapToGrid w:val="0"/>
          <w:color w:val="000000" w:themeColor="text1"/>
          <w:szCs w:val="24"/>
          <w14:textFill>
            <w14:solidFill>
              <w14:schemeClr w14:val="tx1"/>
            </w14:solidFill>
          </w14:textFill>
        </w:rPr>
      </w:pPr>
      <w:r>
        <w:rPr>
          <w:rFonts w:ascii="宋体" w:hAnsi="宋体" w:cs="宋体"/>
          <w:snapToGrid w:val="0"/>
          <w:color w:val="000000" w:themeColor="text1"/>
          <w:szCs w:val="24"/>
          <w14:textFill>
            <w14:solidFill>
              <w14:schemeClr w14:val="tx1"/>
            </w14:solidFill>
          </w14:textFill>
        </w:rPr>
        <w:t>C.为安置的每位残疾人按月足额缴纳了基本养老保险、基本医疗保险、失业保险、工伤保险和生育保险等社会保险费；</w:t>
      </w:r>
    </w:p>
    <w:p>
      <w:pPr>
        <w:pStyle w:val="79"/>
        <w:keepNext/>
        <w:spacing w:line="360" w:lineRule="auto"/>
        <w:ind w:firstLine="480" w:firstLineChars="200"/>
        <w:rPr>
          <w:rFonts w:hint="default" w:ascii="宋体" w:hAnsi="宋体" w:cs="宋体"/>
          <w:snapToGrid w:val="0"/>
          <w:color w:val="000000" w:themeColor="text1"/>
          <w:szCs w:val="24"/>
          <w14:textFill>
            <w14:solidFill>
              <w14:schemeClr w14:val="tx1"/>
            </w14:solidFill>
          </w14:textFill>
        </w:rPr>
      </w:pPr>
      <w:r>
        <w:rPr>
          <w:rFonts w:ascii="宋体" w:hAnsi="宋体" w:cs="宋体"/>
          <w:snapToGrid w:val="0"/>
          <w:color w:val="000000" w:themeColor="text1"/>
          <w:szCs w:val="24"/>
          <w14:textFill>
            <w14:solidFill>
              <w14:schemeClr w14:val="tx1"/>
            </w14:solidFill>
          </w14:textFill>
        </w:rPr>
        <w:t>D.通过银行等金融机构向安置的每位残疾人，按月支付了不低于单位所在区县适用的经省级人民政府批准的月最低工资标准的工资；</w:t>
      </w:r>
    </w:p>
    <w:p>
      <w:pPr>
        <w:pStyle w:val="79"/>
        <w:keepNext/>
        <w:spacing w:line="360" w:lineRule="auto"/>
        <w:ind w:firstLine="480" w:firstLineChars="200"/>
        <w:rPr>
          <w:rFonts w:hint="default" w:ascii="宋体" w:hAnsi="宋体" w:cs="宋体"/>
          <w:snapToGrid w:val="0"/>
          <w:color w:val="000000" w:themeColor="text1"/>
          <w:szCs w:val="24"/>
          <w14:textFill>
            <w14:solidFill>
              <w14:schemeClr w14:val="tx1"/>
            </w14:solidFill>
          </w14:textFill>
        </w:rPr>
      </w:pPr>
      <w:r>
        <w:rPr>
          <w:rFonts w:ascii="宋体" w:hAnsi="宋体" w:cs="宋体"/>
          <w:snapToGrid w:val="0"/>
          <w:color w:val="000000" w:themeColor="text1"/>
          <w:szCs w:val="24"/>
          <w14:textFill>
            <w14:solidFill>
              <w14:schemeClr w14:val="tx1"/>
            </w14:solidFill>
          </w14:textFill>
        </w:rPr>
        <w:t>E．提供本单位制造的货物、承担的工程或者服务（以下简称产品），或者提供其他残疾人福利性单位制造的货物（不包括使用非残疾人福利性单位注册商标的货物）。</w:t>
      </w:r>
    </w:p>
    <w:p>
      <w:pPr>
        <w:pStyle w:val="79"/>
        <w:keepNext/>
        <w:spacing w:line="360" w:lineRule="auto"/>
        <w:ind w:firstLine="480" w:firstLineChars="200"/>
        <w:rPr>
          <w:rFonts w:hint="default" w:ascii="宋体" w:hAnsi="宋体" w:cs="宋体"/>
          <w:snapToGrid w:val="0"/>
          <w:color w:val="000000" w:themeColor="text1"/>
          <w:szCs w:val="24"/>
          <w14:textFill>
            <w14:solidFill>
              <w14:schemeClr w14:val="tx1"/>
            </w14:solidFill>
          </w14:textFill>
        </w:rPr>
      </w:pPr>
      <w:r>
        <w:rPr>
          <w:rFonts w:ascii="宋体" w:hAnsi="宋体" w:cs="宋体"/>
          <w:snapToGrid w:val="0"/>
          <w:color w:val="000000" w:themeColor="text1"/>
          <w:szCs w:val="24"/>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79"/>
        <w:keepNext/>
        <w:spacing w:line="360" w:lineRule="auto"/>
        <w:ind w:firstLine="480" w:firstLineChars="200"/>
        <w:rPr>
          <w:rFonts w:hint="default" w:ascii="宋体" w:hAnsi="宋体" w:cs="宋体"/>
          <w:snapToGrid w:val="0"/>
          <w:color w:val="000000" w:themeColor="text1"/>
          <w:szCs w:val="24"/>
          <w14:textFill>
            <w14:solidFill>
              <w14:schemeClr w14:val="tx1"/>
            </w14:solidFill>
          </w14:textFill>
        </w:rPr>
      </w:pPr>
      <w:r>
        <w:rPr>
          <w:rFonts w:ascii="宋体" w:hAnsi="宋体" w:cs="宋体"/>
          <w:snapToGrid w:val="0"/>
          <w:color w:val="000000" w:themeColor="text1"/>
          <w:szCs w:val="24"/>
          <w14:textFill>
            <w14:solidFill>
              <w14:schemeClr w14:val="tx1"/>
            </w14:solidFill>
          </w14:textFill>
        </w:rPr>
        <w:t>17.4.6依据《财政部司法部关于政府采购支持监狱企业发展有关问题的通知》(财库〔2014〕68号)规定，监狱企业视同小型、微型企业，享受预留份额、评审中价格扣除等政府采购促进中小企业发展的政府采购政策。本项目供应商属于监狱企业的，货物价格给6％的扣除，用扣除后的价格参与评审。</w:t>
      </w:r>
    </w:p>
    <w:p>
      <w:pPr>
        <w:pStyle w:val="79"/>
        <w:keepNext/>
        <w:spacing w:line="360" w:lineRule="auto"/>
        <w:ind w:firstLine="480" w:firstLineChars="200"/>
        <w:rPr>
          <w:rFonts w:hint="default" w:ascii="宋体" w:hAnsi="宋体" w:cs="宋体"/>
          <w:snapToGrid w:val="0"/>
          <w:color w:val="000000" w:themeColor="text1"/>
          <w:szCs w:val="24"/>
          <w14:textFill>
            <w14:solidFill>
              <w14:schemeClr w14:val="tx1"/>
            </w14:solidFill>
          </w14:textFill>
        </w:rPr>
      </w:pPr>
      <w:r>
        <w:rPr>
          <w:rFonts w:ascii="宋体" w:hAnsi="宋体" w:cs="宋体"/>
          <w:snapToGrid w:val="0"/>
          <w:color w:val="000000" w:themeColor="text1"/>
          <w:szCs w:val="24"/>
          <w14:textFill>
            <w14:solidFill>
              <w14:schemeClr w14:val="tx1"/>
            </w14:solidFill>
          </w14:textFill>
        </w:rPr>
        <w:t>注：1、监狱企业又属于小型、微型企业的，不重复享受政策。</w:t>
      </w:r>
    </w:p>
    <w:p>
      <w:pPr>
        <w:pStyle w:val="79"/>
        <w:keepNext/>
        <w:spacing w:line="360" w:lineRule="auto"/>
        <w:ind w:firstLine="480" w:firstLineChars="200"/>
        <w:rPr>
          <w:rFonts w:hint="default" w:ascii="宋体" w:hAnsi="宋体" w:cs="宋体"/>
          <w:snapToGrid w:val="0"/>
          <w:color w:val="000000" w:themeColor="text1"/>
          <w:szCs w:val="24"/>
          <w14:textFill>
            <w14:solidFill>
              <w14:schemeClr w14:val="tx1"/>
            </w14:solidFill>
          </w14:textFill>
        </w:rPr>
      </w:pPr>
      <w:r>
        <w:rPr>
          <w:rFonts w:ascii="宋体" w:hAnsi="宋体" w:cs="宋体"/>
          <w:snapToGrid w:val="0"/>
          <w:color w:val="000000" w:themeColor="text1"/>
          <w:szCs w:val="24"/>
          <w14:textFill>
            <w14:solidFill>
              <w14:schemeClr w14:val="tx1"/>
            </w14:solidFill>
          </w14:textFill>
        </w:rPr>
        <w:t>2、监狱企业证明文件［如有。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keepNext/>
        <w:tabs>
          <w:tab w:val="left" w:pos="737"/>
          <w:tab w:val="left" w:pos="1200"/>
        </w:tabs>
        <w:overflowPunct w:val="0"/>
        <w:topLinePunct/>
        <w:autoSpaceDN w:val="0"/>
        <w:adjustRightInd w:val="0"/>
        <w:snapToGrid w:val="0"/>
        <w:ind w:firstLine="482"/>
        <w:rPr>
          <w:rFonts w:ascii="宋体" w:hAns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14:textFill>
            <w14:solidFill>
              <w14:schemeClr w14:val="tx1"/>
            </w14:solidFill>
          </w14:textFill>
        </w:rPr>
        <w:t>18.磋商</w:t>
      </w:r>
    </w:p>
    <w:p>
      <w:pPr>
        <w:keepNext/>
        <w:tabs>
          <w:tab w:val="left" w:pos="737"/>
          <w:tab w:val="left" w:pos="1200"/>
        </w:tabs>
        <w:overflowPunct w:val="0"/>
        <w:topLinePunct/>
        <w:autoSpaceDN w:val="0"/>
        <w:adjustRightInd w:val="0"/>
        <w:snapToGrid w:val="0"/>
        <w:ind w:firstLine="480"/>
        <w:rPr>
          <w:rFonts w:ascii="宋体" w:hAnsi="宋体" w:cs="宋体"/>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18.1</w:t>
      </w:r>
      <w:r>
        <w:rPr>
          <w:rFonts w:hint="eastAsia" w:ascii="宋体" w:hAnsi="宋体" w:cs="宋体"/>
          <w:color w:val="000000" w:themeColor="text1"/>
          <w:kern w:val="0"/>
          <w14:textFill>
            <w14:solidFill>
              <w14:schemeClr w14:val="tx1"/>
            </w14:solidFill>
          </w14:textFill>
        </w:rPr>
        <w:t>磋商小组所有成员应当集中与单一供应商分别进行磋商，并给予所有参加磋商的供应商平等的磋商机会。</w:t>
      </w:r>
    </w:p>
    <w:p>
      <w:pPr>
        <w:keepNext/>
        <w:tabs>
          <w:tab w:val="left" w:pos="737"/>
          <w:tab w:val="left" w:pos="1200"/>
        </w:tabs>
        <w:overflowPunct w:val="0"/>
        <w:topLinePunct/>
        <w:autoSpaceDN w:val="0"/>
        <w:adjustRightInd w:val="0"/>
        <w:snapToGrid w:val="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18.2在磋商过程中，磋商小组可以根据磋商文件和磋商情况实质性变动采购需求中的技术、服务要求以及合同草案条款，但不得变动磋商文件中的其他内容。如有实质性变动的内容，须经采购人代表确认。</w:t>
      </w:r>
    </w:p>
    <w:p>
      <w:pPr>
        <w:keepNext/>
        <w:tabs>
          <w:tab w:val="left" w:pos="737"/>
          <w:tab w:val="left" w:pos="1200"/>
        </w:tabs>
        <w:overflowPunct w:val="0"/>
        <w:topLinePunct/>
        <w:autoSpaceDN w:val="0"/>
        <w:adjustRightInd w:val="0"/>
        <w:snapToGrid w:val="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对磋商文件作出的实质性变动是磋商文件的有效组成部分，磋商小组应当及时以书面形式同时通知所有参加磋商的供应商。</w:t>
      </w:r>
    </w:p>
    <w:p>
      <w:pPr>
        <w:keepNext/>
        <w:tabs>
          <w:tab w:val="left" w:pos="737"/>
          <w:tab w:val="left" w:pos="1200"/>
        </w:tabs>
        <w:overflowPunct w:val="0"/>
        <w:topLinePunct/>
        <w:autoSpaceDN w:val="0"/>
        <w:adjustRightInd w:val="0"/>
        <w:snapToGrid w:val="0"/>
        <w:ind w:firstLine="480"/>
        <w:rPr>
          <w:rFonts w:ascii="宋体" w:hAnsi="宋体" w:cs="宋体"/>
          <w:b/>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18.3供应商应当按照磋商文件的变动情况和磋商小组的要求，在规定时间内重新提交响应补充文件，并由其法定代表人或授权代表签字或者加盖公章。</w:t>
      </w:r>
    </w:p>
    <w:p>
      <w:pPr>
        <w:keepNext/>
        <w:tabs>
          <w:tab w:val="left" w:pos="737"/>
          <w:tab w:val="left" w:pos="1200"/>
        </w:tabs>
        <w:overflowPunct w:val="0"/>
        <w:topLinePunct/>
        <w:autoSpaceDN w:val="0"/>
        <w:adjustRightInd w:val="0"/>
        <w:snapToGrid w:val="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18.4磋商结束后，磋商小组应当要求所有实质性响应的供应商在规定时间内提交最后报价（第二次报价），提交最后报价（第二次报价）的供应商不得少于3家。</w:t>
      </w:r>
    </w:p>
    <w:p>
      <w:pPr>
        <w:keepNext/>
        <w:tabs>
          <w:tab w:val="left" w:pos="0"/>
        </w:tabs>
        <w:overflowPunct w:val="0"/>
        <w:topLinePunct/>
        <w:autoSpaceDN w:val="0"/>
        <w:adjustRightInd w:val="0"/>
        <w:snapToGrid w:val="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18.5已提交响应文件的供应商，在提交最后报价之前，可以根据磋商情况退出磋商。采购代理机构退还退出磋商的供应商的磋商保证金。</w:t>
      </w:r>
    </w:p>
    <w:p>
      <w:pPr>
        <w:keepNext/>
        <w:adjustRightInd w:val="0"/>
        <w:snapToGrid w:val="0"/>
        <w:ind w:firstLine="482"/>
        <w:rPr>
          <w:rFonts w:ascii="宋体" w:hAns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14:textFill>
            <w14:solidFill>
              <w14:schemeClr w14:val="tx1"/>
            </w14:solidFill>
          </w14:textFill>
        </w:rPr>
        <w:t>19.评审</w:t>
      </w:r>
    </w:p>
    <w:p>
      <w:pPr>
        <w:keepNext/>
        <w:adjustRightInd w:val="0"/>
        <w:snapToGrid w:val="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pPr>
        <w:keepNext/>
        <w:adjustRightInd w:val="0"/>
        <w:snapToGrid w:val="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综合评分法，是指响应文件满足磋商文件全部实质性要求且按评审因素的量化指标评审得分最高的供应商为成交候选供应商的评审方法。</w:t>
      </w:r>
    </w:p>
    <w:p>
      <w:pPr>
        <w:keepNext/>
        <w:tabs>
          <w:tab w:val="left" w:pos="0"/>
        </w:tabs>
        <w:overflowPunct w:val="0"/>
        <w:topLinePunct/>
        <w:autoSpaceDN w:val="0"/>
        <w:adjustRightInd w:val="0"/>
        <w:snapToGrid w:val="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评审时，磋商小组各成员应当独立对每个有效响应的文件进行评价、打分，然后汇总每个供应商每项评分因素的得分。按照评审得分由高到低顺序推荐排名第一的供应商为本项目候选供应商。评审得分相同的，按照最后报价由低到高的顺序推荐。评审得分且最后报价相同的，按照技术指标优劣顺序推荐。</w:t>
      </w:r>
    </w:p>
    <w:p>
      <w:pPr>
        <w:keepNext/>
        <w:tabs>
          <w:tab w:val="left" w:pos="0"/>
        </w:tabs>
        <w:overflowPunct w:val="0"/>
        <w:topLinePunct/>
        <w:autoSpaceDN w:val="0"/>
        <w:adjustRightInd w:val="0"/>
        <w:snapToGrid w:val="0"/>
        <w:ind w:firstLine="482"/>
        <w:rPr>
          <w:rFonts w:ascii="宋体" w:hAns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14:textFill>
            <w14:solidFill>
              <w14:schemeClr w14:val="tx1"/>
            </w14:solidFill>
          </w14:textFill>
        </w:rPr>
        <w:t>20.确定成交人</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经磋商确定最终采购需求和提交最后报价的供应商后，由磋商小组采用综合评分法对提交最后报价的供应商的响应文件和最后报价进行综合评分，按照评审得分由高到低的顺序确定排名第一的成交候选人为成交人，成交候选人的最后磋商报价即为成交价。</w:t>
      </w:r>
    </w:p>
    <w:p>
      <w:pPr>
        <w:keepNext/>
        <w:tabs>
          <w:tab w:val="left" w:pos="0"/>
        </w:tabs>
        <w:overflowPunct w:val="0"/>
        <w:topLinePunct/>
        <w:autoSpaceDN w:val="0"/>
        <w:adjustRightInd w:val="0"/>
        <w:snapToGrid w:val="0"/>
        <w:ind w:firstLine="482"/>
        <w:rPr>
          <w:rFonts w:ascii="宋体" w:hAns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14:textFill>
            <w14:solidFill>
              <w14:schemeClr w14:val="tx1"/>
            </w14:solidFill>
          </w14:textFill>
        </w:rPr>
        <w:t>21.评标过程保密</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磋商开启之后，直到授予成交供应商合同止，凡是属于审查、澄清、评价和比较磋商的有关资料以及授标意向等，均不得向供应商或其他与评标无关的人员透露。</w:t>
      </w:r>
    </w:p>
    <w:p>
      <w:pPr>
        <w:keepNext/>
        <w:tabs>
          <w:tab w:val="left" w:pos="0"/>
        </w:tabs>
        <w:overflowPunct w:val="0"/>
        <w:topLinePunct/>
        <w:autoSpaceDN w:val="0"/>
        <w:adjustRightInd w:val="0"/>
        <w:snapToGrid w:val="0"/>
        <w:ind w:firstLine="482"/>
        <w:rPr>
          <w:rFonts w:ascii="宋体" w:hAns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14:textFill>
            <w14:solidFill>
              <w14:schemeClr w14:val="tx1"/>
            </w14:solidFill>
          </w14:textFill>
        </w:rPr>
        <w:t>22.关于供应商非实质性磋商响应滞后发现的处理规则</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无论基于何种原因，各项本应做拒绝投标处理的情形，即便未被及时发现而使该供应商进入初审、磋商程序、详细评审或其它后续程序，包括已经签约的情形。一旦被发现存在上述情形，采购代理机构（或采购人）均有权决定取消该供应商的此前评议结果，或决定对该投标予以拒绝，并有权采取相应的补救及纠正措施。</w:t>
      </w:r>
    </w:p>
    <w:p>
      <w:pPr>
        <w:keepNext/>
        <w:tabs>
          <w:tab w:val="left" w:pos="0"/>
        </w:tabs>
        <w:overflowPunct w:val="0"/>
        <w:topLinePunct/>
        <w:autoSpaceDN w:val="0"/>
        <w:adjustRightInd w:val="0"/>
        <w:snapToGrid w:val="0"/>
        <w:ind w:firstLine="482"/>
        <w:rPr>
          <w:rFonts w:ascii="宋体" w:hAns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14:textFill>
            <w14:solidFill>
              <w14:schemeClr w14:val="tx1"/>
            </w14:solidFill>
          </w14:textFill>
        </w:rPr>
        <w:t>23.采购项目终止或取消</w:t>
      </w:r>
    </w:p>
    <w:p>
      <w:pPr>
        <w:keepNext/>
        <w:tabs>
          <w:tab w:val="left" w:pos="0"/>
        </w:tabs>
        <w:overflowPunct w:val="0"/>
        <w:topLinePunct/>
        <w:autoSpaceDN w:val="0"/>
        <w:adjustRightInd w:val="0"/>
        <w:snapToGrid w:val="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23.1出现下列情形之一的，采购人或者采购代理机构应当终止竞争性磋商采购活动，发布项目终止公告并说明原因，重新开展采购活动：</w:t>
      </w:r>
    </w:p>
    <w:p>
      <w:pPr>
        <w:keepNext/>
        <w:tabs>
          <w:tab w:val="left" w:pos="0"/>
        </w:tabs>
        <w:overflowPunct w:val="0"/>
        <w:topLinePunct/>
        <w:autoSpaceDN w:val="0"/>
        <w:adjustRightInd w:val="0"/>
        <w:snapToGrid w:val="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（一）因情况变化，不再符合规定的竞争性磋商采购方式适用情形的；</w:t>
      </w:r>
    </w:p>
    <w:p>
      <w:pPr>
        <w:keepNext/>
        <w:tabs>
          <w:tab w:val="left" w:pos="0"/>
        </w:tabs>
        <w:overflowPunct w:val="0"/>
        <w:topLinePunct/>
        <w:autoSpaceDN w:val="0"/>
        <w:adjustRightInd w:val="0"/>
        <w:snapToGrid w:val="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（二）出现影响采购公正的违法、违规行为的；</w:t>
      </w:r>
    </w:p>
    <w:p>
      <w:pPr>
        <w:keepNext/>
        <w:tabs>
          <w:tab w:val="left" w:pos="0"/>
        </w:tabs>
        <w:overflowPunct w:val="0"/>
        <w:topLinePunct/>
        <w:autoSpaceDN w:val="0"/>
        <w:adjustRightInd w:val="0"/>
        <w:snapToGrid w:val="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（三）在采购过程中符合要求的供应商或者报价未超过采购预算的供应商不足3家的。</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23.2在采购活动中因重大变故，采购任务取消的，采购人或者采购代理机构应当终止采购活动，通知所有参加采购活动的供应商，并将项目实施情况和采购任务取消原因报送本级财政部门。</w:t>
      </w:r>
    </w:p>
    <w:p>
      <w:pPr>
        <w:pStyle w:val="4"/>
        <w:ind w:firstLine="482"/>
        <w:rPr>
          <w:rFonts w:cs="宋体"/>
          <w:color w:val="000000" w:themeColor="text1"/>
          <w:szCs w:val="24"/>
          <w14:textFill>
            <w14:solidFill>
              <w14:schemeClr w14:val="tx1"/>
            </w14:solidFill>
          </w14:textFill>
        </w:rPr>
      </w:pPr>
      <w:bookmarkStart w:id="13" w:name="_Toc175644022"/>
      <w:r>
        <w:rPr>
          <w:rFonts w:hint="eastAsia" w:cs="宋体"/>
          <w:color w:val="000000" w:themeColor="text1"/>
          <w:szCs w:val="24"/>
          <w14:textFill>
            <w14:solidFill>
              <w14:schemeClr w14:val="tx1"/>
            </w14:solidFill>
          </w14:textFill>
        </w:rPr>
        <w:t>七、签订合同</w:t>
      </w:r>
      <w:bookmarkEnd w:id="13"/>
    </w:p>
    <w:p>
      <w:pPr>
        <w:keepNext/>
        <w:tabs>
          <w:tab w:val="left" w:pos="0"/>
        </w:tabs>
        <w:overflowPunct w:val="0"/>
        <w:topLinePunct/>
        <w:autoSpaceDN w:val="0"/>
        <w:adjustRightInd w:val="0"/>
        <w:snapToGrid w:val="0"/>
        <w:ind w:firstLine="482"/>
        <w:rPr>
          <w:rFonts w:ascii="宋体" w:hAns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14:textFill>
            <w14:solidFill>
              <w14:schemeClr w14:val="tx1"/>
            </w14:solidFill>
          </w14:textFill>
        </w:rPr>
        <w:t>24.成交通知</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24.1成交供应商确定后，采购代理机构（或采购人）将在刊登本次竞争性磋商招标公告的媒体上发布成交公告，并以书面形式或电子形式向成交供应商发出成交通知书，但该成交结果的有效性不依赖于未成交的供应商是否知道成交结果。成交通知书对采购人和成交供应商具有同等法律效力。成交通知书发出以后，采购人改变成交结果或者成交供应商放弃成交，应当承担相应的法律责任。</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24.2采购代理机构（或采购人）对未成交的供应商不做未成交原因的解释。</w:t>
      </w:r>
    </w:p>
    <w:p>
      <w:pPr>
        <w:keepNext/>
        <w:tabs>
          <w:tab w:val="left" w:pos="56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24.3成交通知书是合同的组成部分。</w:t>
      </w:r>
    </w:p>
    <w:p>
      <w:pPr>
        <w:keepNext/>
        <w:tabs>
          <w:tab w:val="left" w:pos="0"/>
        </w:tabs>
        <w:overflowPunct w:val="0"/>
        <w:topLinePunct/>
        <w:autoSpaceDN w:val="0"/>
        <w:adjustRightInd w:val="0"/>
        <w:snapToGrid w:val="0"/>
        <w:ind w:firstLine="482"/>
        <w:rPr>
          <w:rFonts w:ascii="宋体" w:hAns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14:textFill>
            <w14:solidFill>
              <w14:schemeClr w14:val="tx1"/>
            </w14:solidFill>
          </w14:textFill>
        </w:rPr>
        <w:t>25.成交服务费</w:t>
      </w:r>
    </w:p>
    <w:p>
      <w:pPr>
        <w:keepNext/>
        <w:tabs>
          <w:tab w:val="left" w:pos="0"/>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25.1成交服务费用由成交人向采购代理机构支付，收费参照国家发改办价格[2003]857号文件及发改价格[2011]534号规定收费标准收取。</w:t>
      </w:r>
    </w:p>
    <w:p>
      <w:pPr>
        <w:keepNext/>
        <w:tabs>
          <w:tab w:val="left" w:pos="0"/>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25.2成交人在收到成交通知书的同时，向采购代理机构一次性付清成交服务费。</w:t>
      </w:r>
    </w:p>
    <w:p>
      <w:pPr>
        <w:keepNext/>
        <w:tabs>
          <w:tab w:val="left" w:pos="0"/>
        </w:tabs>
        <w:overflowPunct w:val="0"/>
        <w:topLinePunct/>
        <w:autoSpaceDN w:val="0"/>
        <w:adjustRightInd w:val="0"/>
        <w:snapToGrid w:val="0"/>
        <w:ind w:firstLine="482"/>
        <w:rPr>
          <w:rFonts w:ascii="宋体" w:hAns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14:textFill>
            <w14:solidFill>
              <w14:schemeClr w14:val="tx1"/>
            </w14:solidFill>
          </w14:textFill>
        </w:rPr>
        <w:t>26.签订合同</w:t>
      </w:r>
    </w:p>
    <w:p>
      <w:pPr>
        <w:pStyle w:val="4"/>
        <w:ind w:firstLine="480"/>
        <w:rPr>
          <w:rFonts w:cs="宋体"/>
          <w:b w:val="0"/>
          <w:bCs w:val="0"/>
          <w:color w:val="000000" w:themeColor="text1"/>
          <w:szCs w:val="24"/>
          <w14:textFill>
            <w14:solidFill>
              <w14:schemeClr w14:val="tx1"/>
            </w14:solidFill>
          </w14:textFill>
        </w:rPr>
      </w:pPr>
      <w:bookmarkStart w:id="14" w:name="_Toc175644024"/>
      <w:r>
        <w:rPr>
          <w:rFonts w:hint="eastAsia" w:cs="宋体"/>
          <w:b w:val="0"/>
          <w:bCs w:val="0"/>
          <w:color w:val="000000" w:themeColor="text1"/>
          <w:szCs w:val="24"/>
          <w14:textFill>
            <w14:solidFill>
              <w14:schemeClr w14:val="tx1"/>
            </w14:solidFill>
          </w14:textFill>
        </w:rPr>
        <w:t>26.1成交供应商应在接到成交通知书30日内按照磋商文件、响应文件及评审过程中的有关澄清、说明或者补正文件的内容与采购人签订合同。成交供应商不得再与采购人签订背离合同实质性内容的其它协议或声明。</w:t>
      </w:r>
    </w:p>
    <w:p>
      <w:pPr>
        <w:pStyle w:val="4"/>
        <w:ind w:firstLine="480"/>
        <w:rPr>
          <w:rFonts w:cs="宋体"/>
          <w:b w:val="0"/>
          <w:bCs w:val="0"/>
          <w:color w:val="000000" w:themeColor="text1"/>
          <w:szCs w:val="24"/>
          <w14:textFill>
            <w14:solidFill>
              <w14:schemeClr w14:val="tx1"/>
            </w14:solidFill>
          </w14:textFill>
        </w:rPr>
      </w:pPr>
      <w:r>
        <w:rPr>
          <w:rFonts w:hint="eastAsia" w:cs="宋体"/>
          <w:b w:val="0"/>
          <w:bCs w:val="0"/>
          <w:color w:val="000000" w:themeColor="text1"/>
          <w:szCs w:val="24"/>
          <w14:textFill>
            <w14:solidFill>
              <w14:schemeClr w14:val="tx1"/>
            </w14:solidFill>
          </w14:textFill>
        </w:rPr>
        <w:t>26.2在合同履行中，采购人如需追加与合同标的相同的服务，在不改变合同其他条款的前提下，成交供应商可与采购人协商签订补充合同，但所有补充合同的采购金额不得超过原合同金额的百分之十。</w:t>
      </w:r>
    </w:p>
    <w:p>
      <w:pPr>
        <w:pStyle w:val="4"/>
        <w:ind w:firstLine="480"/>
        <w:rPr>
          <w:rFonts w:cs="宋体"/>
          <w:b w:val="0"/>
          <w:bCs w:val="0"/>
          <w:color w:val="000000" w:themeColor="text1"/>
          <w:szCs w:val="24"/>
          <w14:textFill>
            <w14:solidFill>
              <w14:schemeClr w14:val="tx1"/>
            </w14:solidFill>
          </w14:textFill>
        </w:rPr>
      </w:pPr>
      <w:r>
        <w:rPr>
          <w:rFonts w:hint="eastAsia" w:cs="宋体"/>
          <w:b w:val="0"/>
          <w:bCs w:val="0"/>
          <w:color w:val="000000" w:themeColor="text1"/>
          <w:szCs w:val="24"/>
          <w14:textFill>
            <w14:solidFill>
              <w14:schemeClr w14:val="tx1"/>
            </w14:solidFill>
          </w14:textFill>
        </w:rPr>
        <w:t>26.3成交供应商不得转包、分包，亦不得将合同全部及任何权利、义务向第三方转让，除符合《政府采购促进中小企业发展管理办法》相关规定外，其他情形将被视为严重违约。</w:t>
      </w:r>
    </w:p>
    <w:p>
      <w:pPr>
        <w:pStyle w:val="4"/>
        <w:ind w:firstLine="480"/>
        <w:rPr>
          <w:rFonts w:cs="宋体"/>
          <w:b w:val="0"/>
          <w:bCs w:val="0"/>
          <w:color w:val="000000" w:themeColor="text1"/>
          <w:szCs w:val="24"/>
          <w14:textFill>
            <w14:solidFill>
              <w14:schemeClr w14:val="tx1"/>
            </w14:solidFill>
          </w14:textFill>
        </w:rPr>
      </w:pPr>
      <w:r>
        <w:rPr>
          <w:rFonts w:hint="eastAsia" w:cs="宋体"/>
          <w:b w:val="0"/>
          <w:bCs w:val="0"/>
          <w:color w:val="000000" w:themeColor="text1"/>
          <w:szCs w:val="24"/>
          <w14:textFill>
            <w14:solidFill>
              <w14:schemeClr w14:val="tx1"/>
            </w14:solidFill>
          </w14:textFill>
        </w:rPr>
        <w:t>26.4成交供应商应当自合同或补充合同签订之日起五个工作日内将合同报采购代理机构备案。</w:t>
      </w:r>
    </w:p>
    <w:p>
      <w:pPr>
        <w:pStyle w:val="4"/>
        <w:ind w:firstLine="482"/>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八、保密和披露</w:t>
      </w:r>
      <w:bookmarkEnd w:id="14"/>
    </w:p>
    <w:p>
      <w:pPr>
        <w:keepNext/>
        <w:overflowPunct w:val="0"/>
        <w:topLinePunct/>
        <w:autoSpaceDN w:val="0"/>
        <w:adjustRightInd w:val="0"/>
        <w:snapToGrid w:val="0"/>
        <w:ind w:firstLine="482"/>
        <w:rPr>
          <w:rFonts w:ascii="宋体" w:hAns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14:textFill>
            <w14:solidFill>
              <w14:schemeClr w14:val="tx1"/>
            </w14:solidFill>
          </w14:textFill>
        </w:rPr>
        <w:t>27.保密</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供应商自领取磋商文件之日起，须承诺承担本招标项目下保密义务，不得将因本次招标获得的信息向第三人外传。</w:t>
      </w:r>
    </w:p>
    <w:p>
      <w:pPr>
        <w:keepNext/>
        <w:overflowPunct w:val="0"/>
        <w:topLinePunct/>
        <w:autoSpaceDN w:val="0"/>
        <w:adjustRightInd w:val="0"/>
        <w:snapToGrid w:val="0"/>
        <w:ind w:firstLine="482"/>
        <w:rPr>
          <w:rFonts w:ascii="宋体" w:hAns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14:textFill>
            <w14:solidFill>
              <w14:schemeClr w14:val="tx1"/>
            </w14:solidFill>
          </w14:textFill>
        </w:rPr>
        <w:t>28.披露</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28.1采购代理机构（或采购人）有权将供应商提供的所有资料向有关政府部门或评审标书的有关人员披露。</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28.2在采购代理机构（或采购人）认为适当时、国家机关调查、审查、审计时以及其他符合法律规定的情形下，采购代理机构（或采购人）无须事先征求供应商/成交供应商同意而可以披露关于采购过程、合同文本、签署情况的资料、供应商/成交供应商的名称及地址、响应文件的有关信息以及补充条款等，但应当在合理的必要范围内。对任何已经公布过的内容或与之内容相同的资料，以及供应商/成交供应商已经泄露或公开的，无须再承担保密责任。</w:t>
      </w:r>
    </w:p>
    <w:p>
      <w:pPr>
        <w:pStyle w:val="4"/>
        <w:ind w:firstLine="482"/>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九、询问和质疑</w:t>
      </w:r>
    </w:p>
    <w:p>
      <w:pPr>
        <w:keepNext/>
        <w:overflowPunct w:val="0"/>
        <w:topLinePunct/>
        <w:autoSpaceDN w:val="0"/>
        <w:adjustRightInd w:val="0"/>
        <w:snapToGrid w:val="0"/>
        <w:ind w:firstLine="482"/>
        <w:rPr>
          <w:rFonts w:ascii="宋体" w:hAns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14:textFill>
            <w14:solidFill>
              <w14:schemeClr w14:val="tx1"/>
            </w14:solidFill>
          </w14:textFill>
        </w:rPr>
        <w:t>29.供应商有权就招标事宜提出询问和质疑</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29.1磋商程序受《中华人民共和国政府采购法》《中华人民共和国政府采购法实施条例》和相关法律法规的约束，并受到严格的内部监督，以确保授予合同过程的公平公正。</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29.2供应商对磋商文件条款或技术、商务参数有异议的，应当在开标前通过澄清或修改程序提出。</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29.3供应商对采购事项有疑问的，可以向采购代理机构（或采购人）提出询问。</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29.4供应商认为其未获公平评审或采购过程和成交结果使自己的合法权益受到损害的，应当在知道或者应知其权益受到损害之日起7个工作日内提出质疑。</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29.5质疑应当以书面形式向采购代理机构（或采购人）提出，经法定代表人签字并加盖公章。</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29.6质疑书应当包括以下主要内容：被质疑项目名称、项目编号、包号、招标公告发布时间、质疑事项、法律依据（具体条款）、质疑人全称、法定代表人签字、盖章、有效联系方式（包括手机、传真号码）。</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29.7质疑应按照“谁主张、谁举证”的原则，质疑书应当附相关证明材料。质疑材料应为简体中文，一式二份。</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29.8有下列情形之一的，属于无效质疑，采购代理机构（或采购人）可不予受理：</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（1）未在有效期限内提出质疑的；</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（2）质疑未以书面形式提出的；</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（3）所提交材料未明示属于质疑材料的；</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（4）质疑书没有法定代表人签署本人姓名或印盖本人姓名章并加盖单位公章的；质疑书由参加采购项目的授权代表签署本人姓名或印盖本人姓名章，但没有法定代表人特别授权的；</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（5）质疑书未提供有效联系人或联系方式的；</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（6）质疑事项已经进入投诉或者行政复议或者诉讼程序的；</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（7）质疑书未附相关证明材料，被视为无有效证据支持的。</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（8）供应商对磋商文件条款或技术参数有异议，未在开标前通过澄清或修改程序提出，并且供应商已经参与磋商，而于开标后对磋商文件提出质疑的；</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（9）在提出本次质疑前半年内连续三次质疑而无事实依据的；</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（10）其它不符合受理条件的情形。</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29.9采购代理机构（或采购人）将在收到书面质疑后3个工作日内审查质疑事项，做出答复或相关处理决定，并以书面形式通知质疑供应商和其他有关供应商，但答复的内容不涉及商业秘密。</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29.10质疑供应商对采购代理机构（或采购人）的答复不满意以及采购代理机构（或采购人）未在规定的时间内做出答复的，可以在答复期满后15个工作日内向政府采购监管部门投诉。</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29.11供应商进行虚假和恶意质疑的，将会列入不良记录名单，在一至三年内禁止参加政府采购活动，并将处理决定在相关政府采购媒体上公布。</w:t>
      </w:r>
    </w:p>
    <w:p>
      <w:pPr>
        <w:pStyle w:val="4"/>
        <w:ind w:firstLine="482"/>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十、违约处罚</w:t>
      </w:r>
    </w:p>
    <w:p>
      <w:pPr>
        <w:keepNext/>
        <w:overflowPunct w:val="0"/>
        <w:topLinePunct/>
        <w:autoSpaceDN w:val="0"/>
        <w:adjustRightInd w:val="0"/>
        <w:snapToGrid w:val="0"/>
        <w:ind w:firstLine="482"/>
        <w:rPr>
          <w:rFonts w:ascii="宋体" w:hAns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14:textFill>
            <w14:solidFill>
              <w14:schemeClr w14:val="tx1"/>
            </w14:solidFill>
          </w14:textFill>
        </w:rPr>
        <w:t>30.违约处罚</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30.1发生下列情况之一，供应商的磋商保证金将被没收，并可能被列入不良记录名单，供应商今后参与同类政府采购项目的机会可能会受到影响：</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（1）开标后在投标有效期内，供应商撤回其投标；</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（2）在评标期间，供应商企图影响采购机构或磋商小组的任何活动，将导致投标被拒绝，并由其承担相应的法律责任；</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（3）成交供应商未按本磋商文件规定签约；</w:t>
      </w:r>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（4）成交供应商与采购人订立背离合同实质性内容的其它协议；</w:t>
      </w:r>
      <w:bookmarkEnd w:id="7"/>
    </w:p>
    <w:p>
      <w:pPr>
        <w:keepNext/>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（5）供应商未按磋商文件规定和合同约定履行义务的。</w:t>
      </w:r>
    </w:p>
    <w:p>
      <w:pPr>
        <w:ind w:firstLine="480"/>
        <w:rPr>
          <w:rFonts w:ascii="宋体" w:hAnsi="宋体" w:cs="宋体"/>
          <w:color w:val="000000" w:themeColor="text1"/>
          <w14:textFill>
            <w14:solidFill>
              <w14:schemeClr w14:val="tx1"/>
            </w14:solidFill>
          </w14:textFill>
        </w:rPr>
      </w:pPr>
      <w:bookmarkStart w:id="15" w:name="_Toc278543498"/>
      <w:bookmarkStart w:id="16" w:name="_Toc175644026"/>
      <w:r>
        <w:rPr>
          <w:rFonts w:hint="eastAsia" w:ascii="宋体" w:hAnsi="宋体" w:cs="宋体"/>
          <w:color w:val="000000" w:themeColor="text1"/>
          <w14:textFill>
            <w14:solidFill>
              <w14:schemeClr w14:val="tx1"/>
            </w14:solidFill>
          </w14:textFill>
        </w:rPr>
        <w:br w:type="page"/>
      </w:r>
    </w:p>
    <w:p>
      <w:pPr>
        <w:pStyle w:val="3"/>
        <w:rPr>
          <w:rFonts w:cs="宋体"/>
          <w:b/>
          <w:bCs/>
          <w:color w:val="000000" w:themeColor="text1"/>
          <w:sz w:val="28"/>
          <w:szCs w:val="28"/>
          <w14:textFill>
            <w14:solidFill>
              <w14:schemeClr w14:val="tx1"/>
            </w14:solidFill>
          </w14:textFill>
        </w:rPr>
      </w:pPr>
      <w:bookmarkStart w:id="17" w:name="_Toc4383"/>
      <w:r>
        <w:rPr>
          <w:rFonts w:hint="eastAsia" w:cs="宋体"/>
          <w:b/>
          <w:bCs/>
          <w:color w:val="000000" w:themeColor="text1"/>
          <w:sz w:val="28"/>
          <w:szCs w:val="28"/>
          <w14:textFill>
            <w14:solidFill>
              <w14:schemeClr w14:val="tx1"/>
            </w14:solidFill>
          </w14:textFill>
        </w:rPr>
        <w:t>第三部分  评标标准和评标方法</w:t>
      </w:r>
      <w:bookmarkEnd w:id="15"/>
      <w:bookmarkEnd w:id="16"/>
      <w:bookmarkEnd w:id="17"/>
    </w:p>
    <w:p>
      <w:pPr>
        <w:keepNext/>
        <w:overflowPunct w:val="0"/>
        <w:topLinePunct/>
        <w:autoSpaceDN w:val="0"/>
        <w:adjustRightInd w:val="0"/>
        <w:snapToGrid w:val="0"/>
        <w:ind w:firstLine="482"/>
        <w:outlineLvl w:val="1"/>
        <w:rPr>
          <w:rFonts w:ascii="宋体" w:hAnsi="宋体" w:cs="宋体"/>
          <w:b/>
          <w:snapToGrid w:val="0"/>
          <w:color w:val="000000" w:themeColor="text1"/>
          <w:kern w:val="0"/>
          <w14:textFill>
            <w14:solidFill>
              <w14:schemeClr w14:val="tx1"/>
            </w14:solidFill>
          </w14:textFill>
        </w:rPr>
      </w:pPr>
      <w:bookmarkStart w:id="18" w:name="_Toc175644027"/>
      <w:r>
        <w:rPr>
          <w:rFonts w:hint="eastAsia" w:ascii="宋体" w:hAnsi="宋体" w:cs="宋体"/>
          <w:b/>
          <w:snapToGrid w:val="0"/>
          <w:color w:val="000000" w:themeColor="text1"/>
          <w:kern w:val="0"/>
          <w14:textFill>
            <w14:solidFill>
              <w14:schemeClr w14:val="tx1"/>
            </w14:solidFill>
          </w14:textFill>
        </w:rPr>
        <w:t>一、评标原则</w:t>
      </w:r>
      <w:bookmarkEnd w:id="18"/>
    </w:p>
    <w:p>
      <w:pPr>
        <w:snapToGrid w:val="0"/>
        <w:ind w:firstLine="480"/>
        <w:rPr>
          <w:rFonts w:ascii="宋体" w:hAnsi="宋体" w:cs="宋体"/>
          <w:color w:val="000000" w:themeColor="text1"/>
          <w14:textFill>
            <w14:solidFill>
              <w14:schemeClr w14:val="tx1"/>
            </w14:solidFill>
          </w14:textFill>
        </w:rPr>
      </w:pPr>
      <w:bookmarkStart w:id="19" w:name="_Toc175644028"/>
      <w:r>
        <w:rPr>
          <w:rFonts w:hint="eastAsia" w:ascii="宋体" w:hAnsi="宋体" w:cs="宋体"/>
          <w:color w:val="000000" w:themeColor="text1"/>
          <w14:textFill>
            <w14:solidFill>
              <w14:schemeClr w14:val="tx1"/>
            </w14:solidFill>
          </w14:textFill>
        </w:rPr>
        <w:t xml:space="preserve">磋商小组在评标时，依据最终报价和各项商务、技术服务因素对供应商进行综合评价。 </w:t>
      </w:r>
    </w:p>
    <w:p>
      <w:pPr>
        <w:keepNext/>
        <w:overflowPunct w:val="0"/>
        <w:topLinePunct/>
        <w:autoSpaceDN w:val="0"/>
        <w:adjustRightInd w:val="0"/>
        <w:snapToGrid w:val="0"/>
        <w:ind w:firstLine="482"/>
        <w:outlineLvl w:val="1"/>
        <w:rPr>
          <w:rFonts w:ascii="宋体" w:hAns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14:textFill>
            <w14:solidFill>
              <w14:schemeClr w14:val="tx1"/>
            </w14:solidFill>
          </w14:textFill>
        </w:rPr>
        <w:t>二、评标方法</w:t>
      </w:r>
      <w:bookmarkEnd w:id="19"/>
    </w:p>
    <w:p>
      <w:pPr>
        <w:keepNext/>
        <w:overflowPunct w:val="0"/>
        <w:topLinePunct/>
        <w:autoSpaceDN w:val="0"/>
        <w:adjustRightInd w:val="0"/>
        <w:snapToGrid w:val="0"/>
        <w:ind w:firstLine="480"/>
        <w:rPr>
          <w:rFonts w:ascii="宋体" w:hAnsi="宋体" w:cs="宋体"/>
          <w:color w:val="000000" w:themeColor="text1"/>
          <w14:textFill>
            <w14:solidFill>
              <w14:schemeClr w14:val="tx1"/>
            </w14:solidFill>
          </w14:textFill>
        </w:rPr>
      </w:pPr>
      <w:bookmarkStart w:id="20" w:name="_Toc278543499"/>
      <w:r>
        <w:rPr>
          <w:rFonts w:hint="eastAsia" w:ascii="宋体" w:hAnsi="宋体" w:cs="宋体"/>
          <w:snapToGrid w:val="0"/>
          <w:color w:val="000000" w:themeColor="text1"/>
          <w:kern w:val="0"/>
          <w:lang w:bidi="ar"/>
          <w14:textFill>
            <w14:solidFill>
              <w14:schemeClr w14:val="tx1"/>
            </w14:solidFill>
          </w14:textFill>
        </w:rPr>
        <w:t>本次评标采用综合评分法，综合评分因素的主要因素为价格、商务、技术部分等。每一供应商的最终得分为所有评委评分的算术平均值。</w:t>
      </w:r>
    </w:p>
    <w:p>
      <w:pPr>
        <w:keepNext/>
        <w:overflowPunct w:val="0"/>
        <w:topLinePunct/>
        <w:autoSpaceDN w:val="0"/>
        <w:adjustRightInd w:val="0"/>
        <w:snapToGrid w:val="0"/>
        <w:ind w:firstLine="482"/>
        <w:outlineLvl w:val="1"/>
        <w:rPr>
          <w:rFonts w:ascii="宋体" w:hAnsi="宋体" w:cs="宋体"/>
          <w:b/>
          <w:snapToGrid w:val="0"/>
          <w:color w:val="000000" w:themeColor="text1"/>
          <w:kern w:val="0"/>
          <w14:textFill>
            <w14:solidFill>
              <w14:schemeClr w14:val="tx1"/>
            </w14:solidFill>
          </w14:textFill>
        </w:rPr>
      </w:pPr>
      <w:bookmarkStart w:id="21" w:name="_Toc509664716"/>
      <w:r>
        <w:rPr>
          <w:rFonts w:hint="eastAsia" w:ascii="宋体" w:hAnsi="宋体" w:cs="宋体"/>
          <w:b/>
          <w:snapToGrid w:val="0"/>
          <w:color w:val="000000" w:themeColor="text1"/>
          <w:kern w:val="0"/>
          <w14:textFill>
            <w14:solidFill>
              <w14:schemeClr w14:val="tx1"/>
            </w14:solidFill>
          </w14:textFill>
        </w:rPr>
        <w:t>三、评定内容及标准</w:t>
      </w:r>
      <w:bookmarkEnd w:id="21"/>
    </w:p>
    <w:p>
      <w:pPr>
        <w:pStyle w:val="2"/>
        <w:ind w:firstLine="482"/>
        <w:rPr>
          <w:color w:val="000000" w:themeColor="text1"/>
          <w14:textFill>
            <w14:solidFill>
              <w14:schemeClr w14:val="tx1"/>
            </w14:solidFill>
          </w14:textFill>
        </w:rPr>
      </w:pPr>
      <w:r>
        <w:rPr>
          <w:rFonts w:hint="eastAsia" w:ascii="宋体" w:hAnsi="宋体" w:cs="宋体"/>
          <w:b/>
          <w:snapToGrid w:val="0"/>
          <w:color w:val="000000" w:themeColor="text1"/>
          <w14:textFill>
            <w14:solidFill>
              <w14:schemeClr w14:val="tx1"/>
            </w14:solidFill>
          </w14:textFill>
        </w:rPr>
        <w:t>1、资格响应性评审</w:t>
      </w:r>
    </w:p>
    <w:tbl>
      <w:tblPr>
        <w:tblStyle w:val="45"/>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3017"/>
        <w:gridCol w:w="4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68" w:type="dxa"/>
            <w:vAlign w:val="center"/>
          </w:tcPr>
          <w:p>
            <w:pPr>
              <w:autoSpaceDE w:val="0"/>
              <w:autoSpaceDN w:val="0"/>
              <w:adjustRightInd w:val="0"/>
              <w:snapToGrid w:val="0"/>
              <w:spacing w:before="48" w:beforeLines="20" w:after="48" w:afterLines="20" w:line="240" w:lineRule="auto"/>
              <w:ind w:firstLine="0" w:firstLineChars="0"/>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条款号</w:t>
            </w:r>
          </w:p>
        </w:tc>
        <w:tc>
          <w:tcPr>
            <w:tcW w:w="3017" w:type="dxa"/>
            <w:vAlign w:val="center"/>
          </w:tcPr>
          <w:p>
            <w:pPr>
              <w:autoSpaceDE w:val="0"/>
              <w:autoSpaceDN w:val="0"/>
              <w:adjustRightInd w:val="0"/>
              <w:snapToGrid w:val="0"/>
              <w:spacing w:before="48" w:beforeLines="20" w:after="48" w:afterLines="20" w:line="240" w:lineRule="auto"/>
              <w:ind w:firstLine="0" w:firstLineChars="0"/>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评审因素</w:t>
            </w:r>
          </w:p>
        </w:tc>
        <w:tc>
          <w:tcPr>
            <w:tcW w:w="4593" w:type="dxa"/>
            <w:vAlign w:val="center"/>
          </w:tcPr>
          <w:p>
            <w:pPr>
              <w:autoSpaceDE w:val="0"/>
              <w:autoSpaceDN w:val="0"/>
              <w:adjustRightInd w:val="0"/>
              <w:snapToGrid w:val="0"/>
              <w:spacing w:before="48" w:beforeLines="20" w:after="48" w:afterLines="20" w:line="240" w:lineRule="auto"/>
              <w:ind w:firstLine="0" w:firstLineChars="0"/>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68" w:type="dxa"/>
            <w:vMerge w:val="restart"/>
            <w:vAlign w:val="center"/>
          </w:tcPr>
          <w:p>
            <w:pPr>
              <w:adjustRightInd w:val="0"/>
              <w:snapToGrid w:val="0"/>
              <w:spacing w:before="48" w:beforeLines="20" w:after="48" w:afterLines="20" w:line="240" w:lineRule="auto"/>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资格性</w:t>
            </w:r>
          </w:p>
          <w:p>
            <w:pPr>
              <w:autoSpaceDE w:val="0"/>
              <w:autoSpaceDN w:val="0"/>
              <w:adjustRightInd w:val="0"/>
              <w:snapToGrid w:val="0"/>
              <w:spacing w:before="48" w:beforeLines="20" w:after="48" w:afterLines="20" w:line="240" w:lineRule="auto"/>
              <w:ind w:firstLine="0" w:firstLineChars="0"/>
              <w:jc w:val="center"/>
              <w:rPr>
                <w:rFonts w:ascii="宋体" w:hAnsi="宋体" w:cs="宋体"/>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审查标准</w:t>
            </w:r>
          </w:p>
        </w:tc>
        <w:tc>
          <w:tcPr>
            <w:tcW w:w="3017" w:type="dxa"/>
            <w:vAlign w:val="center"/>
          </w:tcPr>
          <w:p>
            <w:pPr>
              <w:adjustRightInd w:val="0"/>
              <w:snapToGrid w:val="0"/>
              <w:spacing w:before="48" w:beforeLines="20" w:after="48" w:afterLines="20" w:line="240" w:lineRule="auto"/>
              <w:ind w:firstLine="0" w:firstLineChars="0"/>
              <w:jc w:val="center"/>
              <w:rPr>
                <w:rFonts w:ascii="宋体" w:hAnsi="宋体" w:cs="宋体"/>
                <w:b/>
                <w:bCs/>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磋商函</w:t>
            </w:r>
          </w:p>
        </w:tc>
        <w:tc>
          <w:tcPr>
            <w:tcW w:w="4593" w:type="dxa"/>
            <w:vAlign w:val="center"/>
          </w:tcPr>
          <w:p>
            <w:pPr>
              <w:adjustRightInd w:val="0"/>
              <w:snapToGrid w:val="0"/>
              <w:spacing w:before="48" w:beforeLines="20" w:after="48" w:afterLines="20" w:line="240" w:lineRule="auto"/>
              <w:ind w:firstLine="0" w:firstLineChars="0"/>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符合磋商文件要求</w:t>
            </w:r>
            <w:r>
              <w:rPr>
                <w:rFonts w:hint="eastAsia" w:ascii="宋体" w:hAnsi="宋体" w:cs="宋体"/>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268" w:type="dxa"/>
            <w:vMerge w:val="continue"/>
            <w:vAlign w:val="center"/>
          </w:tcPr>
          <w:p>
            <w:pPr>
              <w:autoSpaceDE w:val="0"/>
              <w:autoSpaceDN w:val="0"/>
              <w:adjustRightInd w:val="0"/>
              <w:snapToGrid w:val="0"/>
              <w:spacing w:before="48" w:beforeLines="20" w:after="48" w:afterLines="20" w:line="240" w:lineRule="auto"/>
              <w:ind w:firstLine="0" w:firstLineChars="0"/>
              <w:jc w:val="center"/>
              <w:rPr>
                <w:rFonts w:ascii="宋体" w:hAnsi="宋体" w:cs="宋体"/>
                <w:b/>
                <w:bCs/>
                <w:color w:val="000000" w:themeColor="text1"/>
                <w14:textFill>
                  <w14:solidFill>
                    <w14:schemeClr w14:val="tx1"/>
                  </w14:solidFill>
                </w14:textFill>
              </w:rPr>
            </w:pPr>
          </w:p>
        </w:tc>
        <w:tc>
          <w:tcPr>
            <w:tcW w:w="3017" w:type="dxa"/>
            <w:vAlign w:val="center"/>
          </w:tcPr>
          <w:p>
            <w:pPr>
              <w:adjustRightInd w:val="0"/>
              <w:snapToGrid w:val="0"/>
              <w:spacing w:before="48" w:beforeLines="20" w:after="48" w:afterLines="20" w:line="240" w:lineRule="auto"/>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供应商代表的证明</w:t>
            </w:r>
          </w:p>
        </w:tc>
        <w:tc>
          <w:tcPr>
            <w:tcW w:w="4593" w:type="dxa"/>
            <w:vAlign w:val="center"/>
          </w:tcPr>
          <w:p>
            <w:pPr>
              <w:adjustRightInd w:val="0"/>
              <w:snapToGrid w:val="0"/>
              <w:spacing w:before="48" w:beforeLines="20" w:after="48" w:afterLines="20" w:line="240" w:lineRule="auto"/>
              <w:ind w:firstLine="0" w:firstLineChars="0"/>
              <w:jc w:val="left"/>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法定代表人身份证明书、法定代表人授权委托书，符合磋商文件要求</w:t>
            </w:r>
            <w:r>
              <w:rPr>
                <w:rFonts w:hint="eastAsia" w:ascii="宋体" w:hAnsi="宋体" w:cs="宋体"/>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1268" w:type="dxa"/>
            <w:vMerge w:val="continue"/>
            <w:vAlign w:val="center"/>
          </w:tcPr>
          <w:p>
            <w:pPr>
              <w:autoSpaceDE w:val="0"/>
              <w:autoSpaceDN w:val="0"/>
              <w:adjustRightInd w:val="0"/>
              <w:snapToGrid w:val="0"/>
              <w:spacing w:before="48" w:beforeLines="20" w:after="48" w:afterLines="20" w:line="240" w:lineRule="auto"/>
              <w:ind w:firstLine="0" w:firstLineChars="0"/>
              <w:jc w:val="center"/>
              <w:rPr>
                <w:rFonts w:ascii="宋体" w:hAnsi="宋体" w:cs="宋体"/>
                <w:b/>
                <w:bCs/>
                <w:color w:val="000000" w:themeColor="text1"/>
                <w14:textFill>
                  <w14:solidFill>
                    <w14:schemeClr w14:val="tx1"/>
                  </w14:solidFill>
                </w14:textFill>
              </w:rPr>
            </w:pPr>
          </w:p>
        </w:tc>
        <w:tc>
          <w:tcPr>
            <w:tcW w:w="3017" w:type="dxa"/>
            <w:vAlign w:val="center"/>
          </w:tcPr>
          <w:p>
            <w:pPr>
              <w:adjustRightInd w:val="0"/>
              <w:snapToGrid w:val="0"/>
              <w:spacing w:before="48" w:beforeLines="20" w:after="48" w:afterLines="20" w:line="240" w:lineRule="auto"/>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具有独立承担</w:t>
            </w:r>
          </w:p>
          <w:p>
            <w:pPr>
              <w:adjustRightInd w:val="0"/>
              <w:snapToGrid w:val="0"/>
              <w:spacing w:before="48" w:beforeLines="20" w:after="48" w:afterLines="20" w:line="240" w:lineRule="auto"/>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民事责任的能力</w:t>
            </w:r>
          </w:p>
        </w:tc>
        <w:tc>
          <w:tcPr>
            <w:tcW w:w="4593" w:type="dxa"/>
            <w:vAlign w:val="center"/>
          </w:tcPr>
          <w:p>
            <w:pPr>
              <w:adjustRightInd w:val="0"/>
              <w:snapToGrid w:val="0"/>
              <w:spacing w:before="48" w:beforeLines="20" w:after="48" w:afterLines="20" w:line="240" w:lineRule="auto"/>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提供有效的营业执照副本扫描件，自然人或其他非企业组织参加投标的，提供自然人身份证明或其他非企业组织证明独立承担民事责任能力的文件扫描件并加盖</w:t>
            </w:r>
            <w:r>
              <w:rPr>
                <w:rFonts w:hint="eastAsia" w:ascii="宋体" w:hAnsi="宋体" w:cs="Arial"/>
                <w:snapToGrid w:val="0"/>
                <w:color w:val="000000" w:themeColor="text1"/>
                <w:kern w:val="0"/>
                <w14:textFill>
                  <w14:solidFill>
                    <w14:schemeClr w14:val="tx1"/>
                  </w14:solidFill>
                </w14:textFill>
              </w:rPr>
              <w:t>供应商</w:t>
            </w:r>
            <w:r>
              <w:rPr>
                <w:rFonts w:hint="eastAsia" w:ascii="宋体" w:hAnsi="宋体" w:cs="宋体"/>
                <w:color w:val="000000" w:themeColor="text1"/>
                <w:szCs w:val="22"/>
                <w14:textFill>
                  <w14:solidFill>
                    <w14:schemeClr w14:val="tx1"/>
                  </w14:solidFill>
                </w14:textFill>
              </w:rPr>
              <w:t>电子公章。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1268" w:type="dxa"/>
            <w:vMerge w:val="continue"/>
            <w:vAlign w:val="center"/>
          </w:tcPr>
          <w:p>
            <w:pPr>
              <w:adjustRightInd w:val="0"/>
              <w:snapToGrid w:val="0"/>
              <w:spacing w:before="48" w:beforeLines="20" w:after="48" w:afterLines="20" w:line="240" w:lineRule="auto"/>
              <w:ind w:firstLine="0" w:firstLineChars="0"/>
              <w:jc w:val="center"/>
              <w:rPr>
                <w:rFonts w:ascii="宋体" w:hAnsi="宋体" w:cs="宋体"/>
                <w:color w:val="000000" w:themeColor="text1"/>
                <w14:textFill>
                  <w14:solidFill>
                    <w14:schemeClr w14:val="tx1"/>
                  </w14:solidFill>
                </w14:textFill>
              </w:rPr>
            </w:pPr>
          </w:p>
        </w:tc>
        <w:tc>
          <w:tcPr>
            <w:tcW w:w="3017" w:type="dxa"/>
            <w:vAlign w:val="center"/>
          </w:tcPr>
          <w:p>
            <w:pPr>
              <w:adjustRightInd w:val="0"/>
              <w:snapToGrid w:val="0"/>
              <w:spacing w:before="48" w:beforeLines="20" w:after="48" w:afterLines="20" w:line="240" w:lineRule="auto"/>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磋商</w:t>
            </w:r>
            <w:r>
              <w:rPr>
                <w:rFonts w:ascii="宋体" w:hAnsi="宋体" w:cs="宋体"/>
                <w:color w:val="000000" w:themeColor="text1"/>
                <w14:textFill>
                  <w14:solidFill>
                    <w14:schemeClr w14:val="tx1"/>
                  </w14:solidFill>
                </w14:textFill>
              </w:rPr>
              <w:t>保证金交纳凭证</w:t>
            </w:r>
          </w:p>
        </w:tc>
        <w:tc>
          <w:tcPr>
            <w:tcW w:w="4593" w:type="dxa"/>
            <w:vAlign w:val="center"/>
          </w:tcPr>
          <w:p>
            <w:pPr>
              <w:adjustRightInd w:val="0"/>
              <w:snapToGrid w:val="0"/>
              <w:spacing w:before="48" w:beforeLines="20" w:after="48" w:afterLines="20" w:line="240" w:lineRule="auto"/>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提交保证金凭证扫描件，加盖</w:t>
            </w:r>
            <w:r>
              <w:rPr>
                <w:rFonts w:hint="eastAsia" w:ascii="宋体" w:hAnsi="宋体" w:cs="Arial"/>
                <w:snapToGrid w:val="0"/>
                <w:color w:val="000000" w:themeColor="text1"/>
                <w:kern w:val="0"/>
                <w14:textFill>
                  <w14:solidFill>
                    <w14:schemeClr w14:val="tx1"/>
                  </w14:solidFill>
                </w14:textFill>
              </w:rPr>
              <w:t>供应商</w:t>
            </w:r>
            <w:r>
              <w:rPr>
                <w:rFonts w:hint="eastAsia" w:ascii="宋体" w:hAnsi="宋体" w:cs="宋体"/>
                <w:color w:val="000000" w:themeColor="text1"/>
                <w:szCs w:val="22"/>
                <w14:textFill>
                  <w14:solidFill>
                    <w14:schemeClr w14:val="tx1"/>
                  </w14:solidFill>
                </w14:textFill>
              </w:rPr>
              <w:t>电子公章</w:t>
            </w:r>
            <w:r>
              <w:rPr>
                <w:rFonts w:hint="eastAsia" w:ascii="宋体" w:hAnsi="宋体"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1268" w:type="dxa"/>
            <w:vMerge w:val="continue"/>
            <w:vAlign w:val="center"/>
          </w:tcPr>
          <w:p>
            <w:pPr>
              <w:adjustRightInd w:val="0"/>
              <w:snapToGrid w:val="0"/>
              <w:spacing w:before="48" w:beforeLines="20" w:after="48" w:afterLines="20" w:line="240" w:lineRule="auto"/>
              <w:ind w:firstLine="0" w:firstLineChars="0"/>
              <w:jc w:val="center"/>
              <w:rPr>
                <w:rFonts w:ascii="宋体" w:hAnsi="宋体" w:cs="宋体"/>
                <w:color w:val="000000" w:themeColor="text1"/>
                <w14:textFill>
                  <w14:solidFill>
                    <w14:schemeClr w14:val="tx1"/>
                  </w14:solidFill>
                </w14:textFill>
              </w:rPr>
            </w:pPr>
          </w:p>
        </w:tc>
        <w:tc>
          <w:tcPr>
            <w:tcW w:w="3017" w:type="dxa"/>
            <w:vAlign w:val="center"/>
          </w:tcPr>
          <w:p>
            <w:pPr>
              <w:adjustRightInd w:val="0"/>
              <w:snapToGrid w:val="0"/>
              <w:spacing w:before="48" w:beforeLines="20" w:after="48" w:afterLines="20" w:line="240" w:lineRule="auto"/>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基本开户许可证或基本存款账户信息</w:t>
            </w:r>
          </w:p>
        </w:tc>
        <w:tc>
          <w:tcPr>
            <w:tcW w:w="4593" w:type="dxa"/>
            <w:vAlign w:val="center"/>
          </w:tcPr>
          <w:p>
            <w:pPr>
              <w:adjustRightInd w:val="0"/>
              <w:snapToGrid w:val="0"/>
              <w:spacing w:before="48" w:beforeLines="20" w:after="48" w:afterLines="20" w:line="240" w:lineRule="auto"/>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扫描件并加盖</w:t>
            </w:r>
            <w:r>
              <w:rPr>
                <w:rFonts w:hint="eastAsia" w:ascii="宋体" w:hAnsi="宋体" w:cs="Arial"/>
                <w:snapToGrid w:val="0"/>
                <w:color w:val="000000" w:themeColor="text1"/>
                <w:kern w:val="0"/>
                <w14:textFill>
                  <w14:solidFill>
                    <w14:schemeClr w14:val="tx1"/>
                  </w14:solidFill>
                </w14:textFill>
              </w:rPr>
              <w:t>供应商</w:t>
            </w:r>
            <w:r>
              <w:rPr>
                <w:rFonts w:hint="eastAsia" w:ascii="宋体" w:hAnsi="宋体" w:cs="宋体"/>
                <w:color w:val="000000" w:themeColor="text1"/>
                <w:szCs w:val="22"/>
                <w14:textFill>
                  <w14:solidFill>
                    <w14:schemeClr w14:val="tx1"/>
                  </w14:solidFill>
                </w14:textFill>
              </w:rPr>
              <w:t>电子公章</w:t>
            </w:r>
            <w:r>
              <w:rPr>
                <w:rFonts w:hint="eastAsia" w:ascii="宋体" w:hAnsi="宋体"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exact"/>
          <w:jc w:val="center"/>
        </w:trPr>
        <w:tc>
          <w:tcPr>
            <w:tcW w:w="1268" w:type="dxa"/>
            <w:vMerge w:val="continue"/>
            <w:vAlign w:val="center"/>
          </w:tcPr>
          <w:p>
            <w:pPr>
              <w:adjustRightInd w:val="0"/>
              <w:snapToGrid w:val="0"/>
              <w:spacing w:before="48" w:beforeLines="20" w:after="48" w:afterLines="20" w:line="240" w:lineRule="auto"/>
              <w:ind w:firstLine="480"/>
              <w:jc w:val="center"/>
              <w:rPr>
                <w:rFonts w:ascii="宋体" w:hAnsi="宋体" w:cs="宋体"/>
                <w:color w:val="000000" w:themeColor="text1"/>
                <w14:textFill>
                  <w14:solidFill>
                    <w14:schemeClr w14:val="tx1"/>
                  </w14:solidFill>
                </w14:textFill>
              </w:rPr>
            </w:pPr>
          </w:p>
        </w:tc>
        <w:tc>
          <w:tcPr>
            <w:tcW w:w="3017" w:type="dxa"/>
            <w:vAlign w:val="center"/>
          </w:tcPr>
          <w:p>
            <w:pPr>
              <w:adjustRightInd w:val="0"/>
              <w:snapToGrid w:val="0"/>
              <w:spacing w:before="48" w:beforeLines="20" w:after="48" w:afterLines="20" w:line="240" w:lineRule="auto"/>
              <w:ind w:firstLine="0" w:firstLineChars="0"/>
              <w:jc w:val="center"/>
              <w:rPr>
                <w:rFonts w:ascii="宋体" w:hAnsi="宋体" w:cs="宋体"/>
                <w:color w:val="000000" w:themeColor="text1"/>
                <w14:textFill>
                  <w14:solidFill>
                    <w14:schemeClr w14:val="tx1"/>
                  </w14:solidFill>
                </w14:textFill>
              </w:rPr>
            </w:pPr>
            <w:r>
              <w:rPr>
                <w:rFonts w:hint="default" w:ascii="宋体" w:hAnsi="宋体" w:cs="宋体"/>
                <w:szCs w:val="22"/>
              </w:rPr>
              <w:t>长治市政府采购供应商信用承诺函</w:t>
            </w:r>
          </w:p>
        </w:tc>
        <w:tc>
          <w:tcPr>
            <w:tcW w:w="4593" w:type="dxa"/>
            <w:vAlign w:val="center"/>
          </w:tcPr>
          <w:p>
            <w:pPr>
              <w:adjustRightInd w:val="0"/>
              <w:snapToGrid w:val="0"/>
              <w:spacing w:before="48" w:beforeLines="20" w:after="48" w:afterLines="20" w:line="240" w:lineRule="auto"/>
              <w:ind w:firstLine="0" w:firstLineChars="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符合磋商文件要求</w:t>
            </w:r>
            <w:r>
              <w:rPr>
                <w:rFonts w:hint="eastAsia" w:ascii="宋体" w:hAnsi="宋体" w:cs="宋体"/>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exact"/>
          <w:jc w:val="center"/>
        </w:trPr>
        <w:tc>
          <w:tcPr>
            <w:tcW w:w="1268" w:type="dxa"/>
            <w:vMerge w:val="continue"/>
            <w:vAlign w:val="center"/>
          </w:tcPr>
          <w:p>
            <w:pPr>
              <w:adjustRightInd w:val="0"/>
              <w:snapToGrid w:val="0"/>
              <w:spacing w:before="48" w:beforeLines="20" w:after="48" w:afterLines="20" w:line="240" w:lineRule="auto"/>
              <w:ind w:firstLine="0" w:firstLineChars="0"/>
              <w:jc w:val="center"/>
              <w:rPr>
                <w:rFonts w:ascii="宋体" w:hAnsi="宋体" w:cs="宋体"/>
                <w:color w:val="000000" w:themeColor="text1"/>
                <w14:textFill>
                  <w14:solidFill>
                    <w14:schemeClr w14:val="tx1"/>
                  </w14:solidFill>
                </w14:textFill>
              </w:rPr>
            </w:pPr>
          </w:p>
        </w:tc>
        <w:tc>
          <w:tcPr>
            <w:tcW w:w="3017" w:type="dxa"/>
            <w:vAlign w:val="center"/>
          </w:tcPr>
          <w:p>
            <w:pPr>
              <w:adjustRightInd w:val="0"/>
              <w:snapToGrid w:val="0"/>
              <w:spacing w:before="48" w:beforeLines="20" w:after="48" w:afterLines="20" w:line="240" w:lineRule="auto"/>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供应商</w:t>
            </w:r>
            <w:r>
              <w:rPr>
                <w:rFonts w:hint="eastAsia" w:ascii="宋体" w:hAnsi="宋体" w:cs="宋体"/>
                <w:color w:val="000000" w:themeColor="text1"/>
                <w:lang w:eastAsia="zh-CN"/>
                <w14:textFill>
                  <w14:solidFill>
                    <w14:schemeClr w14:val="tx1"/>
                  </w14:solidFill>
                </w14:textFill>
              </w:rPr>
              <w:t>具备履行合同能力的承诺</w:t>
            </w:r>
          </w:p>
        </w:tc>
        <w:tc>
          <w:tcPr>
            <w:tcW w:w="4593" w:type="dxa"/>
            <w:vAlign w:val="center"/>
          </w:tcPr>
          <w:p>
            <w:pPr>
              <w:adjustRightInd w:val="0"/>
              <w:snapToGrid w:val="0"/>
              <w:spacing w:before="48" w:beforeLines="20" w:after="48" w:afterLines="20" w:line="240" w:lineRule="auto"/>
              <w:ind w:firstLine="0"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exact"/>
          <w:jc w:val="center"/>
        </w:trPr>
        <w:tc>
          <w:tcPr>
            <w:tcW w:w="1268" w:type="dxa"/>
            <w:vMerge w:val="continue"/>
            <w:vAlign w:val="center"/>
          </w:tcPr>
          <w:p>
            <w:pPr>
              <w:adjustRightInd w:val="0"/>
              <w:snapToGrid w:val="0"/>
              <w:spacing w:before="48" w:beforeLines="20" w:after="48" w:afterLines="20" w:line="240" w:lineRule="auto"/>
              <w:ind w:firstLine="0" w:firstLineChars="0"/>
              <w:jc w:val="center"/>
              <w:rPr>
                <w:rFonts w:ascii="宋体" w:hAnsi="宋体" w:cs="宋体"/>
                <w:color w:val="000000" w:themeColor="text1"/>
                <w14:textFill>
                  <w14:solidFill>
                    <w14:schemeClr w14:val="tx1"/>
                  </w14:solidFill>
                </w14:textFill>
              </w:rPr>
            </w:pPr>
          </w:p>
        </w:tc>
        <w:tc>
          <w:tcPr>
            <w:tcW w:w="3017" w:type="dxa"/>
            <w:vAlign w:val="center"/>
          </w:tcPr>
          <w:p>
            <w:pPr>
              <w:adjustRightInd w:val="0"/>
              <w:snapToGrid w:val="0"/>
              <w:spacing w:before="48" w:beforeLines="20" w:after="48" w:afterLines="20" w:line="240" w:lineRule="auto"/>
              <w:ind w:firstLine="0" w:firstLineChars="0"/>
              <w:jc w:val="center"/>
              <w:rPr>
                <w:rFonts w:hint="eastAsia"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信用记录</w:t>
            </w:r>
          </w:p>
        </w:tc>
        <w:tc>
          <w:tcPr>
            <w:tcW w:w="4593" w:type="dxa"/>
            <w:vAlign w:val="center"/>
          </w:tcPr>
          <w:p>
            <w:pPr>
              <w:adjustRightInd w:val="0"/>
              <w:snapToGrid w:val="0"/>
              <w:spacing w:before="48" w:beforeLines="20" w:after="48" w:afterLines="20" w:line="240" w:lineRule="auto"/>
              <w:ind w:firstLine="0" w:firstLineChars="0"/>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exact"/>
          <w:jc w:val="center"/>
        </w:trPr>
        <w:tc>
          <w:tcPr>
            <w:tcW w:w="1268" w:type="dxa"/>
            <w:vAlign w:val="center"/>
          </w:tcPr>
          <w:p>
            <w:pPr>
              <w:adjustRightInd w:val="0"/>
              <w:snapToGrid w:val="0"/>
              <w:spacing w:before="48" w:beforeLines="20" w:after="48" w:afterLines="20" w:line="240" w:lineRule="auto"/>
              <w:ind w:firstLine="0" w:firstLineChars="0"/>
              <w:jc w:val="center"/>
              <w:rPr>
                <w:rFonts w:ascii="宋体" w:hAnsi="宋体" w:cs="宋体"/>
                <w:color w:val="000000" w:themeColor="text1"/>
                <w14:textFill>
                  <w14:solidFill>
                    <w14:schemeClr w14:val="tx1"/>
                  </w14:solidFill>
                </w14:textFill>
              </w:rPr>
            </w:pPr>
          </w:p>
        </w:tc>
        <w:tc>
          <w:tcPr>
            <w:tcW w:w="3017" w:type="dxa"/>
            <w:vAlign w:val="center"/>
          </w:tcPr>
          <w:p>
            <w:pPr>
              <w:adjustRightInd w:val="0"/>
              <w:snapToGrid w:val="0"/>
              <w:spacing w:before="48" w:beforeLines="20" w:after="48" w:afterLines="20" w:line="240" w:lineRule="auto"/>
              <w:ind w:firstLine="0" w:firstLineChars="0"/>
              <w:jc w:val="center"/>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中小企业声明函</w:t>
            </w:r>
          </w:p>
        </w:tc>
        <w:tc>
          <w:tcPr>
            <w:tcW w:w="4593" w:type="dxa"/>
            <w:vAlign w:val="center"/>
          </w:tcPr>
          <w:p>
            <w:pPr>
              <w:adjustRightInd w:val="0"/>
              <w:snapToGrid w:val="0"/>
              <w:spacing w:before="48" w:beforeLines="20" w:after="48" w:afterLines="20" w:line="240" w:lineRule="auto"/>
              <w:ind w:firstLine="0" w:firstLineChars="0"/>
              <w:jc w:val="left"/>
              <w:rPr>
                <w:rFonts w:hint="eastAsia"/>
                <w:color w:val="000000" w:themeColor="text1"/>
                <w14:textFill>
                  <w14:solidFill>
                    <w14:schemeClr w14:val="tx1"/>
                  </w14:solidFill>
                </w14:textFill>
              </w:rPr>
            </w:pPr>
            <w:r>
              <w:rPr>
                <w:rFonts w:hint="eastAsia"/>
                <w:color w:val="000000"/>
                <w:lang w:val="en-US" w:eastAsia="zh-CN"/>
              </w:rPr>
              <w:t>提供中小企业声明函，格式以磋商文件要求为准。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1268" w:type="dxa"/>
            <w:vMerge w:val="restart"/>
            <w:vAlign w:val="center"/>
          </w:tcPr>
          <w:p>
            <w:pPr>
              <w:adjustRightInd w:val="0"/>
              <w:snapToGrid w:val="0"/>
              <w:spacing w:before="48" w:beforeLines="20" w:after="48" w:afterLines="20" w:line="240" w:lineRule="auto"/>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符合性</w:t>
            </w:r>
          </w:p>
          <w:p>
            <w:pPr>
              <w:adjustRightInd w:val="0"/>
              <w:snapToGrid w:val="0"/>
              <w:spacing w:before="48" w:beforeLines="20" w:after="48" w:afterLines="20" w:line="240" w:lineRule="auto"/>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审查标准</w:t>
            </w:r>
          </w:p>
        </w:tc>
        <w:tc>
          <w:tcPr>
            <w:tcW w:w="3017" w:type="dxa"/>
            <w:vAlign w:val="center"/>
          </w:tcPr>
          <w:p>
            <w:pPr>
              <w:adjustRightInd w:val="0"/>
              <w:snapToGrid w:val="0"/>
              <w:spacing w:before="48" w:beforeLines="20" w:after="48" w:afterLines="20" w:line="240" w:lineRule="auto"/>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w:t>
            </w:r>
          </w:p>
        </w:tc>
        <w:tc>
          <w:tcPr>
            <w:tcW w:w="4593" w:type="dxa"/>
            <w:vAlign w:val="center"/>
          </w:tcPr>
          <w:p>
            <w:pPr>
              <w:adjustRightInd w:val="0"/>
              <w:snapToGrid w:val="0"/>
              <w:spacing w:before="48" w:beforeLines="20" w:after="48" w:afterLines="20" w:line="240" w:lineRule="auto"/>
              <w:ind w:firstLine="0" w:firstLineChars="0"/>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报价唯一且不得超出预算价，报价超出预算价的按无效标处理</w:t>
            </w:r>
            <w:r>
              <w:rPr>
                <w:rFonts w:hint="eastAsia"/>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1268" w:type="dxa"/>
            <w:vMerge w:val="continue"/>
            <w:vAlign w:val="center"/>
          </w:tcPr>
          <w:p>
            <w:pPr>
              <w:adjustRightInd w:val="0"/>
              <w:snapToGrid w:val="0"/>
              <w:spacing w:before="48" w:beforeLines="20" w:after="48" w:afterLines="20" w:line="240" w:lineRule="auto"/>
              <w:ind w:firstLine="0" w:firstLineChars="0"/>
              <w:jc w:val="center"/>
              <w:rPr>
                <w:rFonts w:ascii="宋体" w:hAnsi="宋体" w:cs="宋体"/>
                <w:color w:val="000000" w:themeColor="text1"/>
                <w14:textFill>
                  <w14:solidFill>
                    <w14:schemeClr w14:val="tx1"/>
                  </w14:solidFill>
                </w14:textFill>
              </w:rPr>
            </w:pPr>
          </w:p>
        </w:tc>
        <w:tc>
          <w:tcPr>
            <w:tcW w:w="3017" w:type="dxa"/>
            <w:vAlign w:val="center"/>
          </w:tcPr>
          <w:p>
            <w:pPr>
              <w:adjustRightInd w:val="0"/>
              <w:snapToGrid w:val="0"/>
              <w:spacing w:before="48" w:beforeLines="20" w:after="48" w:afterLines="20" w:line="240" w:lineRule="auto"/>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响应文件签字、盖章</w:t>
            </w:r>
          </w:p>
        </w:tc>
        <w:tc>
          <w:tcPr>
            <w:tcW w:w="4593" w:type="dxa"/>
            <w:vAlign w:val="center"/>
          </w:tcPr>
          <w:p>
            <w:pPr>
              <w:adjustRightInd w:val="0"/>
              <w:snapToGrid w:val="0"/>
              <w:spacing w:before="48" w:beforeLines="20" w:after="48" w:afterLines="20" w:line="240" w:lineRule="auto"/>
              <w:ind w:firstLine="0" w:firstLineChars="0"/>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符合磋商文件要求</w:t>
            </w:r>
            <w:r>
              <w:rPr>
                <w:rFonts w:hint="eastAsia"/>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1268" w:type="dxa"/>
            <w:vMerge w:val="continue"/>
            <w:vAlign w:val="center"/>
          </w:tcPr>
          <w:p>
            <w:pPr>
              <w:adjustRightInd w:val="0"/>
              <w:snapToGrid w:val="0"/>
              <w:spacing w:before="48" w:beforeLines="20" w:after="48" w:afterLines="20" w:line="240" w:lineRule="auto"/>
              <w:ind w:firstLine="0" w:firstLineChars="0"/>
              <w:jc w:val="center"/>
              <w:rPr>
                <w:rFonts w:ascii="宋体" w:hAnsi="宋体" w:cs="宋体"/>
                <w:color w:val="000000" w:themeColor="text1"/>
                <w14:textFill>
                  <w14:solidFill>
                    <w14:schemeClr w14:val="tx1"/>
                  </w14:solidFill>
                </w14:textFill>
              </w:rPr>
            </w:pPr>
          </w:p>
        </w:tc>
        <w:tc>
          <w:tcPr>
            <w:tcW w:w="3017" w:type="dxa"/>
            <w:vAlign w:val="center"/>
          </w:tcPr>
          <w:p>
            <w:pPr>
              <w:adjustRightInd w:val="0"/>
              <w:snapToGrid w:val="0"/>
              <w:spacing w:before="48" w:beforeLines="20" w:after="48" w:afterLines="20" w:line="240" w:lineRule="auto"/>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供货期、质保期</w:t>
            </w:r>
          </w:p>
        </w:tc>
        <w:tc>
          <w:tcPr>
            <w:tcW w:w="4593" w:type="dxa"/>
            <w:vAlign w:val="center"/>
          </w:tcPr>
          <w:p>
            <w:pPr>
              <w:adjustRightInd w:val="0"/>
              <w:snapToGrid w:val="0"/>
              <w:spacing w:before="48" w:beforeLines="20" w:after="48" w:afterLines="20" w:line="240" w:lineRule="auto"/>
              <w:ind w:firstLine="0" w:firstLineChars="0"/>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符合磋商文件要求</w:t>
            </w:r>
            <w:r>
              <w:rPr>
                <w:rFonts w:hint="eastAsia"/>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exact"/>
          <w:jc w:val="center"/>
        </w:trPr>
        <w:tc>
          <w:tcPr>
            <w:tcW w:w="1268" w:type="dxa"/>
            <w:vMerge w:val="continue"/>
            <w:vAlign w:val="center"/>
          </w:tcPr>
          <w:p>
            <w:pPr>
              <w:adjustRightInd w:val="0"/>
              <w:snapToGrid w:val="0"/>
              <w:spacing w:before="48" w:beforeLines="20" w:after="48" w:afterLines="20" w:line="240" w:lineRule="auto"/>
              <w:ind w:firstLine="0" w:firstLineChars="0"/>
              <w:jc w:val="center"/>
              <w:rPr>
                <w:rFonts w:ascii="宋体" w:hAnsi="宋体" w:cs="宋体"/>
                <w:color w:val="000000" w:themeColor="text1"/>
                <w14:textFill>
                  <w14:solidFill>
                    <w14:schemeClr w14:val="tx1"/>
                  </w14:solidFill>
                </w14:textFill>
              </w:rPr>
            </w:pPr>
          </w:p>
        </w:tc>
        <w:tc>
          <w:tcPr>
            <w:tcW w:w="3017" w:type="dxa"/>
            <w:vAlign w:val="center"/>
          </w:tcPr>
          <w:p>
            <w:pPr>
              <w:adjustRightInd w:val="0"/>
              <w:snapToGrid w:val="0"/>
              <w:spacing w:before="48" w:beforeLines="20" w:after="48" w:afterLines="20" w:line="240" w:lineRule="auto"/>
              <w:ind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响应有效期</w:t>
            </w:r>
          </w:p>
        </w:tc>
        <w:tc>
          <w:tcPr>
            <w:tcW w:w="4593" w:type="dxa"/>
            <w:vAlign w:val="center"/>
          </w:tcPr>
          <w:p>
            <w:pPr>
              <w:adjustRightInd w:val="0"/>
              <w:snapToGrid w:val="0"/>
              <w:spacing w:before="48" w:beforeLines="20" w:after="48" w:afterLines="20" w:line="240" w:lineRule="auto"/>
              <w:ind w:firstLine="0" w:firstLineChars="0"/>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符合磋商文件要求</w:t>
            </w:r>
            <w:r>
              <w:rPr>
                <w:rFonts w:hint="eastAsia"/>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jc w:val="center"/>
        </w:trPr>
        <w:tc>
          <w:tcPr>
            <w:tcW w:w="1268" w:type="dxa"/>
            <w:vMerge w:val="continue"/>
            <w:vAlign w:val="center"/>
          </w:tcPr>
          <w:p>
            <w:pPr>
              <w:adjustRightInd w:val="0"/>
              <w:snapToGrid w:val="0"/>
              <w:spacing w:before="48" w:beforeLines="20" w:after="48" w:afterLines="20" w:line="240" w:lineRule="auto"/>
              <w:ind w:firstLine="0" w:firstLineChars="0"/>
              <w:jc w:val="center"/>
              <w:rPr>
                <w:rFonts w:ascii="宋体" w:hAnsi="宋体" w:cs="宋体"/>
                <w:color w:val="000000" w:themeColor="text1"/>
                <w14:textFill>
                  <w14:solidFill>
                    <w14:schemeClr w14:val="tx1"/>
                  </w14:solidFill>
                </w14:textFill>
              </w:rPr>
            </w:pPr>
          </w:p>
        </w:tc>
        <w:tc>
          <w:tcPr>
            <w:tcW w:w="3017" w:type="dxa"/>
            <w:vAlign w:val="center"/>
          </w:tcPr>
          <w:p>
            <w:pPr>
              <w:adjustRightInd w:val="0"/>
              <w:snapToGrid w:val="0"/>
              <w:spacing w:before="48" w:beforeLines="20" w:after="48" w:afterLines="20" w:line="240" w:lineRule="auto"/>
              <w:ind w:firstLine="0" w:firstLineChars="0"/>
              <w:jc w:val="center"/>
              <w:rPr>
                <w:rFonts w:hint="default" w:ascii="宋体" w:hAnsi="宋体" w:eastAsia="宋体" w:cs="宋体"/>
                <w:kern w:val="2"/>
                <w:sz w:val="24"/>
                <w:szCs w:val="22"/>
                <w:lang w:val="en-US" w:eastAsia="zh-CN" w:bidi="ar-SA"/>
              </w:rPr>
            </w:pPr>
            <w:r>
              <w:rPr>
                <w:rFonts w:hint="eastAsia" w:ascii="宋体" w:hAnsi="宋体" w:cs="宋体"/>
                <w:szCs w:val="22"/>
                <w:lang w:val="en-US" w:eastAsia="zh-CN"/>
              </w:rPr>
              <w:t>投标内容、数量</w:t>
            </w:r>
          </w:p>
        </w:tc>
        <w:tc>
          <w:tcPr>
            <w:tcW w:w="4593" w:type="dxa"/>
            <w:vAlign w:val="center"/>
          </w:tcPr>
          <w:p>
            <w:pPr>
              <w:adjustRightInd w:val="0"/>
              <w:snapToGrid w:val="0"/>
              <w:spacing w:before="48" w:beforeLines="20" w:after="48" w:afterLines="20" w:line="240" w:lineRule="auto"/>
              <w:ind w:firstLine="0" w:firstLineChars="0"/>
              <w:jc w:val="lef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14:textFill>
                  <w14:solidFill>
                    <w14:schemeClr w14:val="tx1"/>
                  </w14:solidFill>
                </w14:textFill>
              </w:rPr>
              <w:t>符合磋商文件要求</w:t>
            </w:r>
            <w:r>
              <w:rPr>
                <w:rFonts w:hint="eastAsia" w:ascii="宋体" w:hAnsi="宋体" w:cs="宋体"/>
                <w:color w:val="000000" w:themeColor="text1"/>
                <w:lang w:eastAsia="zh-CN"/>
                <w14:textFill>
                  <w14:solidFill>
                    <w14:schemeClr w14:val="tx1"/>
                  </w14:solidFill>
                </w14:textFill>
              </w:rPr>
              <w:t>。</w:t>
            </w:r>
          </w:p>
        </w:tc>
      </w:tr>
    </w:tbl>
    <w:p>
      <w:pPr>
        <w:pStyle w:val="2"/>
        <w:ind w:firstLine="0" w:firstLineChars="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pStyle w:val="2"/>
        <w:ind w:firstLine="480"/>
        <w:rPr>
          <w:color w:val="000000" w:themeColor="text1"/>
          <w14:textFill>
            <w14:solidFill>
              <w14:schemeClr w14:val="tx1"/>
            </w14:solidFill>
          </w14:textFill>
        </w:rPr>
        <w:sectPr>
          <w:pgSz w:w="11850" w:h="16783"/>
          <w:pgMar w:top="1440" w:right="1800" w:bottom="1440" w:left="1800" w:header="850" w:footer="1417" w:gutter="0"/>
          <w:cols w:space="720" w:num="1"/>
        </w:sectPr>
      </w:pPr>
    </w:p>
    <w:p>
      <w:pPr>
        <w:pStyle w:val="2"/>
        <w:numPr>
          <w:ilvl w:val="0"/>
          <w:numId w:val="4"/>
        </w:numPr>
        <w:ind w:firstLine="482"/>
        <w:rPr>
          <w:color w:val="000000" w:themeColor="text1"/>
          <w14:textFill>
            <w14:solidFill>
              <w14:schemeClr w14:val="tx1"/>
            </w14:solidFill>
          </w14:textFill>
        </w:rPr>
      </w:pPr>
      <w:r>
        <w:rPr>
          <w:rFonts w:hint="eastAsia" w:ascii="宋体" w:hAnsi="宋体" w:cs="宋体"/>
          <w:b/>
          <w:snapToGrid w:val="0"/>
          <w:color w:val="000000" w:themeColor="text1"/>
          <w14:textFill>
            <w14:solidFill>
              <w14:schemeClr w14:val="tx1"/>
            </w14:solidFill>
          </w14:textFill>
        </w:rPr>
        <w:t>详细评审</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详细评审只对初步评审合格的响应文件进行评审，评审采用百分制综合评估法，满分100分。按评审后得分由高到低顺序排列推荐供应商。得分相同的，按磋商报价由低到高顺序排列。得分且磋商报价相同的，按技术指标优劣顺序排列。采用综合评分法的，最低有效报价不能作为中标（成交）的保证。</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本评标办法的标准总分为100分。标准总分的构成如下：</w:t>
      </w:r>
    </w:p>
    <w:p>
      <w:pPr>
        <w:pStyle w:val="17"/>
        <w:ind w:firstLine="480"/>
        <w:rPr>
          <w:color w:val="000000" w:themeColor="text1"/>
          <w14:textFill>
            <w14:solidFill>
              <w14:schemeClr w14:val="tx1"/>
            </w14:solidFill>
          </w14:textFill>
        </w:rPr>
      </w:pPr>
    </w:p>
    <w:tbl>
      <w:tblPr>
        <w:tblStyle w:val="44"/>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081" w:type="dxa"/>
            <w:noWrap/>
            <w:vAlign w:val="center"/>
          </w:tcPr>
          <w:p>
            <w:pPr>
              <w:autoSpaceDE/>
              <w:autoSpaceDN/>
              <w:spacing w:before="0" w:after="0" w:line="400" w:lineRule="exact"/>
              <w:ind w:left="0" w:leftChars="0" w:firstLine="0" w:firstLineChars="0"/>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一、</w:t>
            </w:r>
            <w:r>
              <w:rPr>
                <w:rFonts w:hint="eastAsia" w:ascii="宋体" w:hAnsi="宋体" w:eastAsia="宋体" w:cs="宋体"/>
                <w:b/>
                <w:bCs/>
                <w:spacing w:val="6"/>
                <w:kern w:val="0"/>
                <w:sz w:val="24"/>
                <w:szCs w:val="24"/>
                <w:lang w:val="en-US" w:eastAsia="zh-CN" w:bidi="ar-SA"/>
              </w:rPr>
              <w:t>商务部分(</w:t>
            </w:r>
            <w:r>
              <w:rPr>
                <w:rFonts w:hint="eastAsia" w:ascii="宋体" w:hAnsi="宋体" w:cs="宋体"/>
                <w:b/>
                <w:bCs/>
                <w:spacing w:val="6"/>
                <w:kern w:val="0"/>
                <w:sz w:val="24"/>
                <w:szCs w:val="24"/>
                <w:lang w:val="en-US" w:eastAsia="zh-CN" w:bidi="ar-SA"/>
              </w:rPr>
              <w:t>10</w:t>
            </w:r>
            <w:r>
              <w:rPr>
                <w:rFonts w:hint="eastAsia" w:ascii="宋体" w:hAnsi="宋体" w:eastAsia="宋体" w:cs="宋体"/>
                <w:b/>
                <w:bCs/>
                <w:spacing w:val="6"/>
                <w:kern w:val="0"/>
                <w:sz w:val="24"/>
                <w:szCs w:val="24"/>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1" w:type="dxa"/>
            <w:noWrap/>
            <w:vAlign w:val="center"/>
          </w:tcPr>
          <w:p>
            <w:pPr>
              <w:autoSpaceDE/>
              <w:autoSpaceDN/>
              <w:spacing w:before="0" w:after="0" w:line="400" w:lineRule="exact"/>
              <w:ind w:left="0" w:firstLine="0"/>
              <w:rPr>
                <w:rFonts w:hint="eastAsia" w:ascii="宋体" w:hAnsi="宋体" w:eastAsia="宋体" w:cs="宋体"/>
                <w:color w:val="0000FF"/>
                <w:kern w:val="2"/>
                <w:sz w:val="24"/>
                <w:szCs w:val="24"/>
                <w:highlight w:val="green"/>
                <w:lang w:val="en-US" w:eastAsia="zh-CN" w:bidi="ar-SA"/>
              </w:rPr>
            </w:pP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业绩（</w:t>
            </w:r>
            <w:r>
              <w:rPr>
                <w:rFonts w:hint="eastAsia" w:ascii="宋体" w:hAnsi="宋体" w:cs="宋体"/>
                <w:kern w:val="2"/>
                <w:sz w:val="24"/>
                <w:szCs w:val="24"/>
                <w:lang w:val="en-US" w:eastAsia="zh-CN" w:bidi="ar-SA"/>
              </w:rPr>
              <w:t>10</w:t>
            </w:r>
            <w:r>
              <w:rPr>
                <w:rFonts w:hint="eastAsia" w:ascii="宋体" w:hAnsi="宋体" w:eastAsia="宋体" w:cs="宋体"/>
                <w:kern w:val="2"/>
                <w:sz w:val="24"/>
                <w:szCs w:val="24"/>
                <w:lang w:val="en-US" w:eastAsia="zh-CN" w:bidi="ar-SA"/>
              </w:rPr>
              <w:t>分）</w:t>
            </w:r>
          </w:p>
          <w:p>
            <w:pPr>
              <w:autoSpaceDE/>
              <w:autoSpaceDN/>
              <w:spacing w:before="0" w:after="0" w:line="400" w:lineRule="exact"/>
              <w:ind w:left="0" w:firstLine="480" w:firstLineChars="200"/>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提供近三年（201</w:t>
            </w:r>
            <w:r>
              <w:rPr>
                <w:rFonts w:hint="eastAsia" w:ascii="宋体" w:hAnsi="宋体" w:eastAsia="宋体" w:cs="宋体"/>
                <w:kern w:val="2"/>
                <w:sz w:val="24"/>
                <w:szCs w:val="24"/>
                <w:lang w:val="en-US" w:eastAsia="zh-CN" w:bidi="ar-SA"/>
              </w:rPr>
              <w:t>9</w:t>
            </w:r>
            <w:r>
              <w:rPr>
                <w:rFonts w:hint="default" w:ascii="宋体" w:hAnsi="宋体" w:eastAsia="宋体" w:cs="宋体"/>
                <w:kern w:val="2"/>
                <w:sz w:val="24"/>
                <w:szCs w:val="24"/>
                <w:lang w:val="en-US" w:eastAsia="zh-CN" w:bidi="ar-SA"/>
              </w:rPr>
              <w:t>年</w:t>
            </w:r>
            <w:r>
              <w:rPr>
                <w:rFonts w:hint="eastAsia" w:ascii="宋体" w:hAnsi="宋体" w:cs="宋体"/>
                <w:kern w:val="2"/>
                <w:sz w:val="24"/>
                <w:szCs w:val="24"/>
                <w:lang w:val="en-US" w:eastAsia="zh-CN" w:bidi="ar-SA"/>
              </w:rPr>
              <w:t>7</w:t>
            </w:r>
            <w:r>
              <w:rPr>
                <w:rFonts w:hint="default" w:ascii="宋体" w:hAnsi="宋体" w:eastAsia="宋体" w:cs="宋体"/>
                <w:kern w:val="2"/>
                <w:sz w:val="24"/>
                <w:szCs w:val="24"/>
                <w:lang w:val="en-US" w:eastAsia="zh-CN" w:bidi="ar-SA"/>
              </w:rPr>
              <w:t>月</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磋商</w:t>
            </w:r>
            <w:r>
              <w:rPr>
                <w:rFonts w:hint="eastAsia" w:ascii="宋体" w:hAnsi="宋体" w:eastAsia="宋体" w:cs="宋体"/>
                <w:kern w:val="2"/>
                <w:sz w:val="24"/>
                <w:szCs w:val="24"/>
                <w:lang w:val="en-US" w:eastAsia="zh-CN" w:bidi="ar-SA"/>
              </w:rPr>
              <w:t>截止时间止</w:t>
            </w:r>
            <w:r>
              <w:rPr>
                <w:rFonts w:hint="default" w:ascii="宋体" w:hAnsi="宋体" w:eastAsia="宋体" w:cs="宋体"/>
                <w:kern w:val="2"/>
                <w:sz w:val="24"/>
                <w:szCs w:val="24"/>
                <w:lang w:val="en-US" w:eastAsia="zh-CN" w:bidi="ar-SA"/>
              </w:rPr>
              <w:t>）类似项目业绩得</w:t>
            </w:r>
            <w:r>
              <w:rPr>
                <w:rFonts w:hint="eastAsia" w:ascii="宋体" w:hAnsi="宋体" w:cs="宋体"/>
                <w:kern w:val="2"/>
                <w:sz w:val="24"/>
                <w:szCs w:val="24"/>
                <w:lang w:val="en-US" w:eastAsia="zh-CN" w:bidi="ar-SA"/>
              </w:rPr>
              <w:t>2</w:t>
            </w:r>
            <w:r>
              <w:rPr>
                <w:rFonts w:hint="default" w:ascii="宋体" w:hAnsi="宋体" w:eastAsia="宋体" w:cs="宋体"/>
                <w:kern w:val="2"/>
                <w:sz w:val="24"/>
                <w:szCs w:val="24"/>
                <w:lang w:val="en-US" w:eastAsia="zh-CN" w:bidi="ar-SA"/>
              </w:rPr>
              <w:t>分，共计</w:t>
            </w:r>
            <w:r>
              <w:rPr>
                <w:rFonts w:hint="eastAsia" w:ascii="宋体" w:hAnsi="宋体" w:cs="宋体"/>
                <w:kern w:val="2"/>
                <w:sz w:val="24"/>
                <w:szCs w:val="24"/>
                <w:lang w:val="en-US" w:eastAsia="zh-CN" w:bidi="ar-SA"/>
              </w:rPr>
              <w:t>10</w:t>
            </w:r>
            <w:r>
              <w:rPr>
                <w:rFonts w:hint="default" w:ascii="宋体" w:hAnsi="宋体" w:eastAsia="宋体" w:cs="宋体"/>
                <w:kern w:val="2"/>
                <w:sz w:val="24"/>
                <w:szCs w:val="24"/>
                <w:lang w:val="en-US" w:eastAsia="zh-CN" w:bidi="ar-SA"/>
              </w:rPr>
              <w:t xml:space="preserve">分；                           </w:t>
            </w:r>
          </w:p>
          <w:p>
            <w:pPr>
              <w:autoSpaceDE/>
              <w:autoSpaceDN/>
              <w:spacing w:before="0" w:after="0" w:line="400" w:lineRule="exact"/>
              <w:ind w:left="0" w:firstLine="480" w:firstLineChars="200"/>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注：合同案例是以提供的供应商自身合同为准，即合同的乙方必须与供应商的名称完全一致，如公司名称发生变更，必须提供工商部门的证明文件。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081" w:type="dxa"/>
            <w:noWrap/>
            <w:vAlign w:val="center"/>
          </w:tcPr>
          <w:p>
            <w:pPr>
              <w:autoSpaceDE/>
              <w:autoSpaceDN/>
              <w:spacing w:before="0" w:after="0" w:line="400" w:lineRule="exact"/>
              <w:ind w:left="0" w:leftChars="0" w:firstLine="0" w:firstLineChars="0"/>
              <w:rPr>
                <w:rFonts w:hint="default"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二、技术部分</w:t>
            </w:r>
            <w:r>
              <w:rPr>
                <w:rFonts w:hint="eastAsia" w:ascii="宋体" w:hAnsi="宋体" w:cs="宋体"/>
                <w:b/>
                <w:bCs/>
                <w:color w:val="000000"/>
                <w:kern w:val="2"/>
                <w:sz w:val="24"/>
                <w:szCs w:val="24"/>
                <w:lang w:val="en-US" w:eastAsia="zh-CN" w:bidi="ar-SA"/>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9081" w:type="dxa"/>
            <w:noWrap/>
            <w:vAlign w:val="center"/>
          </w:tcPr>
          <w:p>
            <w:pPr>
              <w:pStyle w:val="17"/>
              <w:numPr>
                <w:ilvl w:val="0"/>
                <w:numId w:val="0"/>
              </w:numPr>
              <w:rPr>
                <w:rFonts w:hint="default"/>
                <w:lang w:val="en-US" w:eastAsia="zh-CN"/>
              </w:rPr>
            </w:pPr>
            <w:r>
              <w:rPr>
                <w:rFonts w:hint="eastAsia" w:ascii="宋体" w:hAnsi="宋体" w:eastAsia="宋体" w:cs="宋体"/>
                <w:kern w:val="2"/>
                <w:sz w:val="24"/>
                <w:szCs w:val="24"/>
                <w:highlight w:val="none"/>
                <w:lang w:val="en-US" w:eastAsia="zh-CN" w:bidi="ar-SA"/>
              </w:rPr>
              <w:t>1、</w:t>
            </w:r>
            <w:r>
              <w:rPr>
                <w:rFonts w:hint="default"/>
                <w:lang w:val="en-US" w:eastAsia="zh-CN"/>
              </w:rPr>
              <w:t>所投产品技术指标全部满足的得</w:t>
            </w:r>
            <w:r>
              <w:rPr>
                <w:rFonts w:hint="default" w:ascii="宋体" w:hAnsi="宋体" w:eastAsia="宋体" w:cs="宋体"/>
                <w:kern w:val="2"/>
                <w:sz w:val="24"/>
                <w:szCs w:val="24"/>
                <w:highlight w:val="none"/>
                <w:lang w:val="en-US" w:eastAsia="zh-CN" w:bidi="ar-SA"/>
              </w:rPr>
              <w:t xml:space="preserve"> </w:t>
            </w:r>
            <w:r>
              <w:rPr>
                <w:rFonts w:hint="eastAsia" w:ascii="宋体" w:hAnsi="宋体" w:eastAsia="宋体" w:cs="宋体"/>
                <w:kern w:val="2"/>
                <w:sz w:val="24"/>
                <w:szCs w:val="24"/>
                <w:highlight w:val="none"/>
                <w:lang w:val="en-US" w:eastAsia="zh-CN" w:bidi="ar-SA"/>
              </w:rPr>
              <w:t>15</w:t>
            </w:r>
            <w:r>
              <w:rPr>
                <w:rFonts w:hint="default" w:ascii="宋体" w:hAnsi="宋体" w:eastAsia="宋体" w:cs="宋体"/>
                <w:kern w:val="2"/>
                <w:sz w:val="24"/>
                <w:szCs w:val="24"/>
                <w:highlight w:val="none"/>
                <w:lang w:val="en-US" w:eastAsia="zh-CN" w:bidi="ar-SA"/>
              </w:rPr>
              <w:t xml:space="preserve"> </w:t>
            </w:r>
            <w:r>
              <w:rPr>
                <w:rFonts w:hint="default"/>
                <w:lang w:val="en-US" w:eastAsia="zh-CN"/>
              </w:rPr>
              <w:t>分，每有一项不满足扣</w:t>
            </w:r>
            <w:r>
              <w:rPr>
                <w:rFonts w:hint="eastAsia" w:ascii="宋体" w:hAnsi="宋体" w:eastAsia="宋体" w:cs="宋体"/>
                <w:kern w:val="2"/>
                <w:sz w:val="24"/>
                <w:szCs w:val="24"/>
                <w:highlight w:val="none"/>
                <w:lang w:val="en-US" w:eastAsia="zh-CN" w:bidi="ar-SA"/>
              </w:rPr>
              <w:t>0.5</w:t>
            </w:r>
            <w:r>
              <w:rPr>
                <w:rFonts w:hint="default"/>
                <w:lang w:val="en-US" w:eastAsia="zh-CN"/>
              </w:rPr>
              <w:t xml:space="preserve"> 分，</w:t>
            </w:r>
            <w:r>
              <w:rPr>
                <w:rFonts w:hint="eastAsia"/>
                <w:lang w:val="en-US" w:eastAsia="zh-CN"/>
              </w:rPr>
              <w:t>直至扣完为止</w:t>
            </w:r>
            <w:r>
              <w:rPr>
                <w:rFonts w:hint="default"/>
                <w:lang w:val="en-US" w:eastAsia="zh-CN"/>
              </w:rPr>
              <w:t>。以投报货物技术偏离表为准，可附相关证明材料。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1" w:type="dxa"/>
            <w:noWrap/>
            <w:vAlign w:val="center"/>
          </w:tcPr>
          <w:p>
            <w:pPr>
              <w:widowControl w:val="0"/>
              <w:numPr>
                <w:ilvl w:val="0"/>
                <w:numId w:val="0"/>
              </w:numPr>
              <w:adjustRightInd w:val="0"/>
              <w:snapToGrid w:val="0"/>
              <w:spacing w:after="0" w:afterLines="0" w:afterAutospacing="0" w:line="400" w:lineRule="exact"/>
              <w:ind w:leftChars="0"/>
              <w:jc w:val="both"/>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lang w:val="en-US" w:eastAsia="zh-CN" w:bidi="ar-SA"/>
              </w:rPr>
              <w:t>所投产品</w:t>
            </w:r>
            <w:r>
              <w:rPr>
                <w:rFonts w:hint="eastAsia" w:ascii="宋体" w:hAnsi="宋体" w:eastAsia="宋体" w:cs="宋体"/>
                <w:kern w:val="2"/>
                <w:sz w:val="24"/>
                <w:szCs w:val="24"/>
                <w:highlight w:val="none"/>
                <w:lang w:val="en-US" w:eastAsia="zh-CN" w:bidi="ar-SA"/>
              </w:rPr>
              <w:t>技术性能（</w:t>
            </w:r>
            <w:r>
              <w:rPr>
                <w:rFonts w:hint="eastAsia" w:ascii="宋体" w:hAnsi="宋体" w:cs="宋体"/>
                <w:kern w:val="2"/>
                <w:sz w:val="24"/>
                <w:szCs w:val="24"/>
                <w:highlight w:val="none"/>
                <w:lang w:val="en-US" w:eastAsia="zh-CN" w:bidi="ar-SA"/>
              </w:rPr>
              <w:t>8</w:t>
            </w:r>
            <w:r>
              <w:rPr>
                <w:rFonts w:hint="eastAsia" w:ascii="宋体" w:hAnsi="宋体" w:eastAsia="宋体" w:cs="宋体"/>
                <w:kern w:val="2"/>
                <w:sz w:val="24"/>
                <w:szCs w:val="24"/>
                <w:highlight w:val="none"/>
                <w:lang w:val="en-US" w:eastAsia="zh-CN" w:bidi="ar-SA"/>
              </w:rPr>
              <w:t>分）</w:t>
            </w:r>
          </w:p>
          <w:p>
            <w:pPr>
              <w:widowControl w:val="0"/>
              <w:numPr>
                <w:ilvl w:val="0"/>
                <w:numId w:val="0"/>
              </w:numPr>
              <w:adjustRightInd w:val="0"/>
              <w:snapToGrid w:val="0"/>
              <w:spacing w:after="0" w:afterLines="0" w:afterAutospacing="0" w:line="400" w:lineRule="exact"/>
              <w:ind w:left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（1）依据报价货物的产品选型方面进行描述</w:t>
            </w:r>
            <w:r>
              <w:rPr>
                <w:rFonts w:hint="eastAsia" w:ascii="宋体" w:hAnsi="宋体" w:cs="宋体"/>
                <w:kern w:val="2"/>
                <w:sz w:val="24"/>
                <w:szCs w:val="24"/>
                <w:highlight w:val="none"/>
                <w:lang w:val="en-US" w:eastAsia="zh-CN" w:bidi="ar-SA"/>
              </w:rPr>
              <w:t>（0-2分）</w:t>
            </w:r>
            <w:r>
              <w:rPr>
                <w:rFonts w:hint="eastAsia" w:ascii="宋体" w:hAnsi="宋体" w:eastAsia="宋体" w:cs="宋体"/>
                <w:kern w:val="2"/>
                <w:sz w:val="24"/>
                <w:szCs w:val="24"/>
                <w:highlight w:val="none"/>
                <w:lang w:val="en-US" w:eastAsia="zh-CN" w:bidi="ar-SA"/>
              </w:rPr>
              <w:t>；</w:t>
            </w:r>
          </w:p>
          <w:p>
            <w:pPr>
              <w:widowControl w:val="0"/>
              <w:numPr>
                <w:ilvl w:val="0"/>
                <w:numId w:val="0"/>
              </w:numPr>
              <w:adjustRightInd w:val="0"/>
              <w:snapToGrid w:val="0"/>
              <w:spacing w:after="0" w:afterLines="0" w:afterAutospacing="0" w:line="400" w:lineRule="exact"/>
              <w:ind w:leftChars="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（2）依据报价货物的性能质量进行描述</w:t>
            </w:r>
            <w:r>
              <w:rPr>
                <w:rFonts w:hint="eastAsia" w:ascii="宋体" w:hAnsi="宋体" w:cs="宋体"/>
                <w:kern w:val="2"/>
                <w:sz w:val="24"/>
                <w:szCs w:val="24"/>
                <w:highlight w:val="none"/>
                <w:lang w:val="en-US" w:eastAsia="zh-CN" w:bidi="ar-SA"/>
              </w:rPr>
              <w:t>（0-2分）</w:t>
            </w:r>
            <w:r>
              <w:rPr>
                <w:rFonts w:hint="eastAsia" w:ascii="宋体" w:hAnsi="宋体" w:eastAsia="宋体" w:cs="宋体"/>
                <w:kern w:val="2"/>
                <w:sz w:val="24"/>
                <w:szCs w:val="24"/>
                <w:highlight w:val="none"/>
                <w:lang w:val="en-US" w:eastAsia="zh-CN" w:bidi="ar-SA"/>
              </w:rPr>
              <w:t>；</w:t>
            </w:r>
          </w:p>
          <w:p>
            <w:pPr>
              <w:widowControl w:val="0"/>
              <w:adjustRightInd w:val="0"/>
              <w:snapToGrid w:val="0"/>
              <w:spacing w:after="0" w:afterLines="0" w:afterAutospacing="0" w:line="400" w:lineRule="exact"/>
              <w:ind w:left="0" w:leftChars="0" w:firstLine="0" w:firstLineChars="0"/>
              <w:jc w:val="both"/>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（3）依据报价货物的安全性进行描述（0-</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分）</w:t>
            </w:r>
            <w:r>
              <w:rPr>
                <w:rFonts w:hint="eastAsia" w:ascii="宋体" w:hAnsi="宋体" w:cs="宋体"/>
                <w:kern w:val="2"/>
                <w:sz w:val="24"/>
                <w:szCs w:val="24"/>
                <w:highlight w:val="none"/>
                <w:lang w:val="en-US" w:eastAsia="zh-CN" w:bidi="ar-SA"/>
              </w:rPr>
              <w:t>；</w:t>
            </w:r>
          </w:p>
          <w:p>
            <w:pPr>
              <w:widowControl w:val="0"/>
              <w:adjustRightInd w:val="0"/>
              <w:snapToGrid w:val="0"/>
              <w:spacing w:after="0" w:afterLines="0" w:afterAutospacing="0" w:line="400" w:lineRule="exact"/>
              <w:ind w:left="0" w:leftChars="0" w:firstLine="0" w:firstLineChars="0"/>
              <w:jc w:val="both"/>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（4）从用户使用量方面进行打分（0-2分）</w:t>
            </w:r>
            <w:r>
              <w:rPr>
                <w:rFonts w:hint="eastAsia" w:ascii="宋体" w:hAnsi="宋体" w:cs="宋体"/>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9081" w:type="dxa"/>
            <w:noWrap/>
            <w:vAlign w:val="center"/>
          </w:tcPr>
          <w:p>
            <w:pPr>
              <w:widowControl w:val="0"/>
              <w:adjustRightInd w:val="0"/>
              <w:snapToGrid w:val="0"/>
              <w:spacing w:after="0" w:afterLines="0" w:afterAutospacing="0" w:line="400" w:lineRule="exact"/>
              <w:ind w:left="0" w:leftChars="0" w:firstLine="0" w:firstLineChars="0"/>
              <w:jc w:val="both"/>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3、项目</w:t>
            </w:r>
            <w:r>
              <w:rPr>
                <w:rFonts w:hint="eastAsia" w:ascii="宋体" w:hAnsi="宋体" w:cs="宋体"/>
                <w:kern w:val="2"/>
                <w:sz w:val="24"/>
                <w:szCs w:val="24"/>
                <w:highlight w:val="none"/>
                <w:lang w:val="en-US" w:eastAsia="zh-CN" w:bidi="ar-SA"/>
              </w:rPr>
              <w:t>实施方案</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10</w:t>
            </w:r>
            <w:r>
              <w:rPr>
                <w:rFonts w:hint="eastAsia" w:ascii="宋体" w:hAnsi="宋体" w:eastAsia="宋体" w:cs="宋体"/>
                <w:kern w:val="2"/>
                <w:sz w:val="24"/>
                <w:szCs w:val="24"/>
                <w:highlight w:val="none"/>
                <w:lang w:val="en-US" w:eastAsia="zh-CN" w:bidi="ar-SA"/>
              </w:rPr>
              <w:t>分）</w:t>
            </w:r>
          </w:p>
          <w:p>
            <w:pPr>
              <w:widowControl w:val="0"/>
              <w:adjustRightInd w:val="0"/>
              <w:snapToGrid w:val="0"/>
              <w:spacing w:after="0" w:afterLines="0" w:afterAutospacing="0" w:line="400" w:lineRule="exact"/>
              <w:ind w:left="0" w:leftChars="0" w:firstLine="0" w:firstLineChars="0"/>
              <w:jc w:val="both"/>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w:t>
            </w:r>
            <w:r>
              <w:rPr>
                <w:rFonts w:hint="default" w:ascii="宋体" w:hAnsi="宋体" w:eastAsia="宋体" w:cs="宋体"/>
                <w:kern w:val="2"/>
                <w:sz w:val="24"/>
                <w:szCs w:val="24"/>
                <w:highlight w:val="none"/>
                <w:lang w:val="en-US" w:eastAsia="zh-CN" w:bidi="ar-SA"/>
              </w:rPr>
              <w:t>针对本项目所提供的供货安装方案完整、针对性强、供货期安排合理得</w:t>
            </w:r>
            <w:r>
              <w:rPr>
                <w:rFonts w:hint="eastAsia" w:ascii="宋体" w:hAnsi="宋体" w:cs="宋体"/>
                <w:kern w:val="2"/>
                <w:sz w:val="24"/>
                <w:szCs w:val="24"/>
                <w:highlight w:val="none"/>
                <w:lang w:val="en-US" w:eastAsia="zh-CN" w:bidi="ar-SA"/>
              </w:rPr>
              <w:t>5</w:t>
            </w:r>
            <w:r>
              <w:rPr>
                <w:rFonts w:hint="default" w:ascii="宋体" w:hAnsi="宋体" w:eastAsia="宋体" w:cs="宋体"/>
                <w:kern w:val="2"/>
                <w:sz w:val="24"/>
                <w:szCs w:val="24"/>
                <w:highlight w:val="none"/>
                <w:lang w:val="en-US" w:eastAsia="zh-CN" w:bidi="ar-SA"/>
              </w:rPr>
              <w:t>分；供货安装方案较完整、针对性一般得</w:t>
            </w:r>
            <w:r>
              <w:rPr>
                <w:rFonts w:hint="eastAsia" w:ascii="宋体" w:hAnsi="宋体" w:cs="宋体"/>
                <w:kern w:val="2"/>
                <w:sz w:val="24"/>
                <w:szCs w:val="24"/>
                <w:highlight w:val="none"/>
                <w:lang w:val="en-US" w:eastAsia="zh-CN" w:bidi="ar-SA"/>
              </w:rPr>
              <w:t>3</w:t>
            </w:r>
            <w:r>
              <w:rPr>
                <w:rFonts w:hint="default" w:ascii="宋体" w:hAnsi="宋体" w:eastAsia="宋体" w:cs="宋体"/>
                <w:kern w:val="2"/>
                <w:sz w:val="24"/>
                <w:szCs w:val="24"/>
                <w:highlight w:val="none"/>
                <w:lang w:val="en-US" w:eastAsia="zh-CN" w:bidi="ar-SA"/>
              </w:rPr>
              <w:t>分；方案不完整、没有针对性得1分。</w:t>
            </w:r>
          </w:p>
          <w:p>
            <w:pPr>
              <w:widowControl w:val="0"/>
              <w:adjustRightInd w:val="0"/>
              <w:snapToGrid w:val="0"/>
              <w:spacing w:after="0" w:afterLines="0" w:afterAutospacing="0" w:line="400" w:lineRule="exact"/>
              <w:ind w:left="0" w:leftChars="0" w:firstLine="0" w:firstLineChars="0"/>
              <w:jc w:val="both"/>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w:t>
            </w:r>
            <w:r>
              <w:rPr>
                <w:rFonts w:hint="default" w:ascii="宋体" w:hAnsi="宋体" w:eastAsia="宋体" w:cs="宋体"/>
                <w:kern w:val="2"/>
                <w:sz w:val="24"/>
                <w:szCs w:val="24"/>
                <w:highlight w:val="none"/>
                <w:lang w:val="en-US" w:eastAsia="zh-CN" w:bidi="ar-SA"/>
              </w:rPr>
              <w:t>针对本项目所提供的设备调试、检验方案完整、针对性强得</w:t>
            </w:r>
            <w:r>
              <w:rPr>
                <w:rFonts w:hint="eastAsia" w:ascii="宋体" w:hAnsi="宋体" w:cs="宋体"/>
                <w:kern w:val="2"/>
                <w:sz w:val="24"/>
                <w:szCs w:val="24"/>
                <w:highlight w:val="none"/>
                <w:lang w:val="en-US" w:eastAsia="zh-CN" w:bidi="ar-SA"/>
              </w:rPr>
              <w:t>5</w:t>
            </w:r>
            <w:r>
              <w:rPr>
                <w:rFonts w:hint="default" w:ascii="宋体" w:hAnsi="宋体" w:eastAsia="宋体" w:cs="宋体"/>
                <w:kern w:val="2"/>
                <w:sz w:val="24"/>
                <w:szCs w:val="24"/>
                <w:highlight w:val="none"/>
                <w:lang w:val="en-US" w:eastAsia="zh-CN" w:bidi="ar-SA"/>
              </w:rPr>
              <w:t>分；设备调试、检验 方案较完整、针对性一般得3分；方案不完 整、没有针对性得1分</w:t>
            </w:r>
            <w:r>
              <w:rPr>
                <w:rFonts w:hint="eastAsia" w:ascii="宋体" w:hAnsi="宋体" w:cs="宋体"/>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9081" w:type="dxa"/>
            <w:noWrap/>
            <w:vAlign w:val="center"/>
          </w:tcPr>
          <w:p>
            <w:pPr>
              <w:widowControl w:val="0"/>
              <w:numPr>
                <w:ilvl w:val="0"/>
                <w:numId w:val="5"/>
              </w:numPr>
              <w:adjustRightInd w:val="0"/>
              <w:snapToGrid w:val="0"/>
              <w:spacing w:after="0" w:afterLines="0" w:afterAutospacing="0" w:line="400" w:lineRule="exact"/>
              <w:ind w:left="0" w:leftChars="0" w:firstLine="0" w:firstLineChars="0"/>
              <w:jc w:val="both"/>
              <w:rPr>
                <w:rFonts w:hint="default"/>
                <w:highlight w:val="none"/>
                <w:lang w:val="en-US" w:eastAsia="zh-CN"/>
              </w:rPr>
            </w:pPr>
            <w:r>
              <w:rPr>
                <w:rFonts w:hint="eastAsia" w:ascii="宋体" w:hAnsi="宋体" w:eastAsia="宋体" w:cs="宋体"/>
                <w:kern w:val="2"/>
                <w:sz w:val="24"/>
                <w:szCs w:val="24"/>
                <w:highlight w:val="none"/>
                <w:lang w:val="en-US" w:eastAsia="zh-CN" w:bidi="ar-SA"/>
              </w:rPr>
              <w:t>提供技术团队人员配备情况（包括职务、主要负责事项、项目内职务等）</w:t>
            </w:r>
            <w:r>
              <w:rPr>
                <w:rFonts w:hint="eastAsia" w:ascii="宋体" w:hAnsi="宋体" w:cs="宋体"/>
                <w:kern w:val="2"/>
                <w:sz w:val="24"/>
                <w:szCs w:val="24"/>
                <w:highlight w:val="none"/>
                <w:lang w:val="en-US" w:eastAsia="zh-CN" w:bidi="ar-SA"/>
              </w:rPr>
              <w:t>（0-2分）</w:t>
            </w:r>
            <w:r>
              <w:rPr>
                <w:rFonts w:hint="eastAsia" w:ascii="宋体" w:hAnsi="宋体" w:eastAsia="宋体" w:cs="宋体"/>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081" w:type="dxa"/>
            <w:noWrap/>
            <w:vAlign w:val="center"/>
          </w:tcPr>
          <w:p>
            <w:pPr>
              <w:autoSpaceDE/>
              <w:autoSpaceDN/>
              <w:spacing w:before="0" w:after="0" w:line="400" w:lineRule="exact"/>
              <w:ind w:left="0" w:leftChars="0"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 xml:space="preserve">三、服务部分(25分)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081" w:type="dxa"/>
            <w:noWrap/>
            <w:vAlign w:val="center"/>
          </w:tcPr>
          <w:p>
            <w:pPr>
              <w:autoSpaceDE/>
              <w:autoSpaceDN/>
              <w:spacing w:before="0" w:after="0" w:line="400" w:lineRule="exact"/>
              <w:ind w:left="0" w:leftChars="0" w:firstLine="0" w:firstLineChars="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1、售后服务承诺（1</w:t>
            </w:r>
            <w:r>
              <w:rPr>
                <w:rFonts w:hint="eastAsia" w:ascii="宋体" w:hAnsi="宋体" w:cs="宋体"/>
                <w:kern w:val="2"/>
                <w:sz w:val="24"/>
                <w:szCs w:val="24"/>
                <w:highlight w:val="none"/>
                <w:lang w:val="en-US" w:eastAsia="zh-CN" w:bidi="ar-SA"/>
              </w:rPr>
              <w:t>8</w:t>
            </w:r>
            <w:r>
              <w:rPr>
                <w:rFonts w:hint="eastAsia" w:ascii="宋体" w:hAnsi="宋体" w:eastAsia="宋体" w:cs="宋体"/>
                <w:kern w:val="2"/>
                <w:sz w:val="24"/>
                <w:szCs w:val="24"/>
                <w:highlight w:val="none"/>
                <w:lang w:val="en-US" w:eastAsia="zh-CN" w:bidi="ar-SA"/>
              </w:rPr>
              <w:t>分）</w:t>
            </w:r>
          </w:p>
          <w:p>
            <w:pPr>
              <w:autoSpaceDE/>
              <w:autoSpaceDN/>
              <w:spacing w:before="0" w:after="0" w:line="400" w:lineRule="exact"/>
              <w:ind w:left="0" w:leftChars="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（1）根据售后服务方案</w:t>
            </w:r>
            <w:r>
              <w:rPr>
                <w:rFonts w:hint="eastAsia" w:ascii="宋体" w:hAnsi="宋体" w:cs="宋体"/>
                <w:kern w:val="2"/>
                <w:sz w:val="24"/>
                <w:szCs w:val="24"/>
                <w:highlight w:val="none"/>
                <w:lang w:val="en-US" w:eastAsia="zh-CN" w:bidi="ar-SA"/>
              </w:rPr>
              <w:t>的</w:t>
            </w:r>
            <w:r>
              <w:rPr>
                <w:rFonts w:hint="eastAsia" w:ascii="宋体" w:hAnsi="宋体" w:eastAsia="宋体" w:cs="宋体"/>
                <w:kern w:val="2"/>
                <w:sz w:val="24"/>
                <w:szCs w:val="24"/>
                <w:highlight w:val="none"/>
                <w:lang w:val="en-US" w:eastAsia="zh-CN" w:bidi="ar-SA"/>
              </w:rPr>
              <w:t>描述进行打分（0-5分）</w:t>
            </w:r>
            <w:r>
              <w:rPr>
                <w:rFonts w:hint="eastAsia" w:ascii="宋体" w:hAnsi="宋体" w:cs="宋体"/>
                <w:kern w:val="2"/>
                <w:sz w:val="24"/>
                <w:szCs w:val="24"/>
                <w:highlight w:val="none"/>
                <w:lang w:val="en-US" w:eastAsia="zh-CN" w:bidi="ar-SA"/>
              </w:rPr>
              <w:t>；</w:t>
            </w:r>
          </w:p>
          <w:p>
            <w:pPr>
              <w:autoSpaceDE/>
              <w:autoSpaceDN/>
              <w:spacing w:before="0" w:after="0" w:line="400" w:lineRule="exact"/>
              <w:ind w:left="0" w:leftChars="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（2）根据投标</w:t>
            </w:r>
            <w:r>
              <w:rPr>
                <w:rFonts w:hint="eastAsia" w:ascii="宋体" w:hAnsi="宋体" w:cs="宋体"/>
                <w:kern w:val="2"/>
                <w:sz w:val="24"/>
                <w:szCs w:val="24"/>
                <w:highlight w:val="none"/>
                <w:lang w:val="en-US" w:eastAsia="zh-CN" w:bidi="ar-SA"/>
              </w:rPr>
              <w:t>供应商</w:t>
            </w:r>
            <w:r>
              <w:rPr>
                <w:rFonts w:hint="eastAsia" w:ascii="宋体" w:hAnsi="宋体" w:eastAsia="宋体" w:cs="宋体"/>
                <w:kern w:val="2"/>
                <w:sz w:val="24"/>
                <w:szCs w:val="24"/>
                <w:highlight w:val="none"/>
                <w:lang w:val="en-US" w:eastAsia="zh-CN" w:bidi="ar-SA"/>
              </w:rPr>
              <w:t>描述的应急保障措施进行打分（0-4分）</w:t>
            </w:r>
            <w:r>
              <w:rPr>
                <w:rFonts w:hint="eastAsia" w:ascii="宋体" w:hAnsi="宋体" w:cs="宋体"/>
                <w:kern w:val="2"/>
                <w:sz w:val="24"/>
                <w:szCs w:val="24"/>
                <w:highlight w:val="none"/>
                <w:lang w:val="en-US" w:eastAsia="zh-CN" w:bidi="ar-SA"/>
              </w:rPr>
              <w:t>；</w:t>
            </w:r>
          </w:p>
          <w:p>
            <w:pPr>
              <w:autoSpaceDE/>
              <w:autoSpaceDN/>
              <w:spacing w:before="0" w:after="0" w:line="400" w:lineRule="exact"/>
              <w:ind w:left="0" w:leftChars="0" w:firstLine="0" w:firstLineChars="0"/>
              <w:rPr>
                <w:rFonts w:hint="eastAsia" w:ascii="宋体" w:hAnsi="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（3）根据投标</w:t>
            </w:r>
            <w:r>
              <w:rPr>
                <w:rFonts w:hint="eastAsia" w:ascii="宋体" w:hAnsi="宋体" w:cs="宋体"/>
                <w:kern w:val="2"/>
                <w:sz w:val="24"/>
                <w:szCs w:val="24"/>
                <w:highlight w:val="none"/>
                <w:lang w:val="en-US" w:eastAsia="zh-CN" w:bidi="ar-SA"/>
              </w:rPr>
              <w:t>供应商</w:t>
            </w:r>
            <w:r>
              <w:rPr>
                <w:rFonts w:hint="eastAsia" w:ascii="宋体" w:hAnsi="宋体" w:eastAsia="宋体" w:cs="宋体"/>
                <w:kern w:val="2"/>
                <w:sz w:val="24"/>
                <w:szCs w:val="24"/>
                <w:highlight w:val="none"/>
                <w:lang w:val="en-US" w:eastAsia="zh-CN" w:bidi="ar-SA"/>
              </w:rPr>
              <w:t>描述的备件服务情况进行打分（0-3分）</w:t>
            </w:r>
            <w:r>
              <w:rPr>
                <w:rFonts w:hint="eastAsia" w:ascii="宋体" w:hAnsi="宋体" w:cs="宋体"/>
                <w:kern w:val="2"/>
                <w:sz w:val="24"/>
                <w:szCs w:val="24"/>
                <w:highlight w:val="none"/>
                <w:lang w:val="en-US" w:eastAsia="zh-CN" w:bidi="ar-SA"/>
              </w:rPr>
              <w:t>；</w:t>
            </w:r>
          </w:p>
          <w:p>
            <w:pPr>
              <w:autoSpaceDE/>
              <w:autoSpaceDN/>
              <w:spacing w:before="0" w:after="0" w:line="400" w:lineRule="exact"/>
              <w:ind w:left="0" w:leftChars="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（4）在质保期内对维修承诺进行打分（0-</w:t>
            </w: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分）</w:t>
            </w:r>
            <w:r>
              <w:rPr>
                <w:rFonts w:hint="eastAsia" w:ascii="宋体" w:hAnsi="宋体" w:cs="宋体"/>
                <w:kern w:val="2"/>
                <w:sz w:val="24"/>
                <w:szCs w:val="24"/>
                <w:highlight w:val="none"/>
                <w:lang w:val="en-US" w:eastAsia="zh-CN" w:bidi="ar-SA"/>
              </w:rPr>
              <w:t>；</w:t>
            </w:r>
          </w:p>
          <w:p>
            <w:pPr>
              <w:autoSpaceDE/>
              <w:autoSpaceDN/>
              <w:spacing w:before="0" w:after="0" w:line="400" w:lineRule="exact"/>
              <w:ind w:left="0" w:leftChars="0" w:firstLine="0" w:firstLineChars="0"/>
              <w:rPr>
                <w:rFonts w:hint="default" w:ascii="宋体" w:hAnsi="宋体" w:eastAsia="华文中宋"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（5）售后服务响应情况：供应商承诺响应时间为用户提出问题1小时内予以响应，如有需要，2小时内赶赴现场得</w:t>
            </w: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 xml:space="preserve">分；6小时内赶赴现场得2分；12小时内赶赴现场得1分。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081" w:type="dxa"/>
            <w:noWrap/>
            <w:vAlign w:val="center"/>
          </w:tcPr>
          <w:p>
            <w:pPr>
              <w:numPr>
                <w:ilvl w:val="0"/>
                <w:numId w:val="0"/>
              </w:numPr>
              <w:autoSpaceDE/>
              <w:autoSpaceDN/>
              <w:spacing w:before="0" w:after="0" w:line="400" w:lineRule="exact"/>
              <w:ind w:leftChars="0"/>
              <w:rPr>
                <w:rFonts w:hint="eastAsia"/>
                <w:lang w:val="en-US" w:eastAsia="zh-CN"/>
              </w:rPr>
            </w:pPr>
            <w:r>
              <w:rPr>
                <w:rFonts w:hint="eastAsia"/>
                <w:lang w:val="en-US" w:eastAsia="zh-CN"/>
              </w:rPr>
              <w:t>2、培训方案（7分）</w:t>
            </w:r>
          </w:p>
          <w:p>
            <w:pPr>
              <w:autoSpaceDE/>
              <w:autoSpaceDN/>
              <w:spacing w:before="0" w:after="0" w:line="400" w:lineRule="exact"/>
              <w:ind w:left="0" w:leftChars="0" w:firstLine="0" w:firstLineChars="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（1）提供详细的培训内容得2分；</w:t>
            </w:r>
          </w:p>
          <w:p>
            <w:pPr>
              <w:autoSpaceDE/>
              <w:autoSpaceDN/>
              <w:spacing w:before="0" w:after="0" w:line="400" w:lineRule="exact"/>
              <w:ind w:left="0" w:leftChars="0" w:firstLine="0" w:firstLineChars="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（2）提供详细完整的培训方案得</w:t>
            </w: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分；</w:t>
            </w:r>
          </w:p>
          <w:p>
            <w:pPr>
              <w:autoSpaceDE/>
              <w:autoSpaceDN/>
              <w:spacing w:before="0" w:after="0" w:line="400" w:lineRule="exact"/>
              <w:ind w:left="0" w:leftChars="0" w:firstLine="0" w:firstLineChars="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（3）提供培训团队得2分；</w:t>
            </w:r>
          </w:p>
          <w:p>
            <w:pPr>
              <w:autoSpaceDE/>
              <w:autoSpaceDN/>
              <w:spacing w:before="0" w:after="0" w:line="400" w:lineRule="exact"/>
              <w:ind w:left="0" w:leftChars="0" w:firstLine="0" w:firstLineChars="0"/>
              <w:rPr>
                <w:rFonts w:hint="default"/>
                <w:lang w:val="en-US" w:eastAsia="zh-CN"/>
              </w:rPr>
            </w:pPr>
            <w:r>
              <w:rPr>
                <w:rFonts w:hint="eastAsia" w:ascii="宋体" w:hAnsi="宋体" w:eastAsia="宋体" w:cs="宋体"/>
                <w:kern w:val="2"/>
                <w:sz w:val="24"/>
                <w:szCs w:val="24"/>
                <w:highlight w:val="none"/>
                <w:lang w:val="en-US" w:eastAsia="zh-CN" w:bidi="ar-SA"/>
              </w:rPr>
              <w:t>（4）提供的培训计划切实可行得1分。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081" w:type="dxa"/>
            <w:noWrap/>
            <w:vAlign w:val="center"/>
          </w:tcPr>
          <w:p>
            <w:pPr>
              <w:autoSpaceDE/>
              <w:autoSpaceDN/>
              <w:spacing w:before="0" w:after="0" w:line="400" w:lineRule="exact"/>
              <w:ind w:left="0" w:leftChars="0" w:firstLine="0" w:firstLineChars="0"/>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四、价格部分(</w:t>
            </w:r>
            <w:r>
              <w:rPr>
                <w:rFonts w:hint="eastAsia" w:ascii="宋体" w:hAnsi="宋体" w:eastAsia="宋体" w:cs="宋体"/>
                <w:b/>
                <w:bCs/>
                <w:color w:val="000000"/>
                <w:kern w:val="2"/>
                <w:sz w:val="24"/>
                <w:szCs w:val="24"/>
                <w:highlight w:val="none"/>
                <w:lang w:val="en-US" w:eastAsia="zh-CN" w:bidi="ar-SA"/>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0" w:type="auto"/>
            <w:noWrap w:val="0"/>
            <w:vAlign w:val="center"/>
          </w:tcPr>
          <w:p>
            <w:pPr>
              <w:autoSpaceDE/>
              <w:autoSpaceDN/>
              <w:spacing w:before="0" w:after="0" w:line="400" w:lineRule="exact"/>
              <w:ind w:left="0"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满足磋商文件要求且磋商价格最低的投标报价为评标基准价，其价格分为满分。其他投标人的价格分统一按照下列公式计算：</w:t>
            </w:r>
          </w:p>
          <w:p>
            <w:pPr>
              <w:autoSpaceDE/>
              <w:autoSpaceDN/>
              <w:spacing w:before="0" w:after="0" w:line="400" w:lineRule="exact"/>
              <w:ind w:left="0"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投标报价得分=(评标基准价／投标报价)×30%×100</w:t>
            </w:r>
          </w:p>
          <w:p>
            <w:pPr>
              <w:autoSpaceDE/>
              <w:autoSpaceDN/>
              <w:spacing w:before="0" w:after="0" w:line="400" w:lineRule="exact"/>
              <w:ind w:left="0"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(投标报价得分四舍五入至小数点后两位）</w:t>
            </w:r>
          </w:p>
          <w:p>
            <w:pPr>
              <w:autoSpaceDE/>
              <w:autoSpaceDN/>
              <w:spacing w:before="0" w:after="0" w:line="400" w:lineRule="exact"/>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注：</w:t>
            </w:r>
          </w:p>
          <w:p>
            <w:pPr>
              <w:autoSpaceDE/>
              <w:autoSpaceDN/>
              <w:spacing w:before="0" w:after="0" w:line="400" w:lineRule="exact"/>
              <w:ind w:left="0" w:leftChars="0" w:firstLine="481" w:firstLineChars="200"/>
              <w:rPr>
                <w:rFonts w:hint="eastAsia" w:ascii="宋体" w:hAnsi="宋体" w:eastAsia="宋体" w:cs="宋体"/>
                <w:color w:val="000000"/>
                <w:kern w:val="2"/>
                <w:sz w:val="24"/>
                <w:szCs w:val="24"/>
                <w:lang w:val="en-US" w:eastAsia="zh-CN" w:bidi="ar-SA"/>
              </w:rPr>
            </w:pPr>
            <w:r>
              <w:rPr>
                <w:rFonts w:hint="eastAsia" w:ascii="宋体" w:hAnsi="宋体" w:cs="宋体"/>
                <w:b/>
                <w:bCs/>
                <w:color w:val="auto"/>
                <w:kern w:val="2"/>
                <w:sz w:val="24"/>
                <w:szCs w:val="24"/>
                <w:lang w:val="en-US" w:eastAsia="zh-CN" w:bidi="ar-SA"/>
              </w:rPr>
              <w:t>磋商小组</w:t>
            </w:r>
            <w:r>
              <w:rPr>
                <w:rFonts w:hint="eastAsia" w:ascii="宋体" w:hAnsi="宋体" w:eastAsia="宋体" w:cs="宋体"/>
                <w:b/>
                <w:bCs/>
                <w:color w:val="auto"/>
                <w:kern w:val="2"/>
                <w:sz w:val="24"/>
                <w:szCs w:val="24"/>
                <w:lang w:val="en-US" w:eastAsia="zh-CN" w:bidi="ar-SA"/>
              </w:rPr>
              <w:t>认为投标</w:t>
            </w:r>
            <w:r>
              <w:rPr>
                <w:rFonts w:hint="eastAsia" w:ascii="宋体" w:hAnsi="宋体" w:cs="宋体"/>
                <w:b/>
                <w:bCs/>
                <w:color w:val="auto"/>
                <w:kern w:val="2"/>
                <w:sz w:val="24"/>
                <w:szCs w:val="24"/>
                <w:lang w:val="en-US" w:eastAsia="zh-CN" w:bidi="ar-SA"/>
              </w:rPr>
              <w:t>供应商</w:t>
            </w:r>
            <w:r>
              <w:rPr>
                <w:rFonts w:hint="eastAsia" w:ascii="宋体" w:hAnsi="宋体" w:eastAsia="宋体" w:cs="宋体"/>
                <w:b/>
                <w:bCs/>
                <w:color w:val="auto"/>
                <w:kern w:val="2"/>
                <w:sz w:val="24"/>
                <w:szCs w:val="24"/>
                <w:lang w:val="en-US" w:eastAsia="zh-CN" w:bidi="ar-SA"/>
              </w:rPr>
              <w:t>的报价明显低于其他通过符合性审查投标</w:t>
            </w:r>
            <w:r>
              <w:rPr>
                <w:rFonts w:hint="eastAsia" w:ascii="宋体" w:hAnsi="宋体" w:cs="宋体"/>
                <w:b/>
                <w:bCs/>
                <w:color w:val="auto"/>
                <w:kern w:val="2"/>
                <w:sz w:val="24"/>
                <w:szCs w:val="24"/>
                <w:lang w:val="en-US" w:eastAsia="zh-CN" w:bidi="ar-SA"/>
              </w:rPr>
              <w:t>供应商</w:t>
            </w:r>
            <w:r>
              <w:rPr>
                <w:rFonts w:hint="eastAsia" w:ascii="宋体" w:hAnsi="宋体" w:eastAsia="宋体" w:cs="宋体"/>
                <w:b/>
                <w:bCs/>
                <w:color w:val="auto"/>
                <w:kern w:val="2"/>
                <w:sz w:val="24"/>
                <w:szCs w:val="24"/>
                <w:lang w:val="en-US" w:eastAsia="zh-CN" w:bidi="ar-SA"/>
              </w:rPr>
              <w:t>的报价，有可能影响产品质量或者不能诚信履约的，应当要求其在合理的时间内提供相关说明，必要时提交相关证明材料；投标</w:t>
            </w:r>
            <w:r>
              <w:rPr>
                <w:rFonts w:hint="eastAsia" w:ascii="宋体" w:hAnsi="宋体" w:cs="宋体"/>
                <w:b/>
                <w:bCs/>
                <w:color w:val="auto"/>
                <w:kern w:val="2"/>
                <w:sz w:val="24"/>
                <w:szCs w:val="24"/>
                <w:lang w:val="en-US" w:eastAsia="zh-CN" w:bidi="ar-SA"/>
              </w:rPr>
              <w:t>供应商</w:t>
            </w:r>
            <w:r>
              <w:rPr>
                <w:rFonts w:hint="eastAsia" w:ascii="宋体" w:hAnsi="宋体" w:eastAsia="宋体" w:cs="宋体"/>
                <w:b/>
                <w:bCs/>
                <w:color w:val="auto"/>
                <w:kern w:val="2"/>
                <w:sz w:val="24"/>
                <w:szCs w:val="24"/>
                <w:lang w:val="en-US" w:eastAsia="zh-CN" w:bidi="ar-SA"/>
              </w:rPr>
              <w:t>不能证明其报价合理性的，</w:t>
            </w:r>
            <w:r>
              <w:rPr>
                <w:rFonts w:hint="eastAsia" w:ascii="宋体" w:hAnsi="宋体" w:cs="宋体"/>
                <w:b/>
                <w:bCs/>
                <w:color w:val="auto"/>
                <w:kern w:val="2"/>
                <w:sz w:val="24"/>
                <w:szCs w:val="24"/>
                <w:lang w:val="en-US" w:eastAsia="zh-CN" w:bidi="ar-SA"/>
              </w:rPr>
              <w:t>磋商小组</w:t>
            </w:r>
            <w:r>
              <w:rPr>
                <w:rFonts w:hint="eastAsia" w:ascii="宋体" w:hAnsi="宋体" w:eastAsia="宋体" w:cs="宋体"/>
                <w:b/>
                <w:bCs/>
                <w:color w:val="auto"/>
                <w:kern w:val="2"/>
                <w:sz w:val="24"/>
                <w:szCs w:val="24"/>
                <w:lang w:val="en-US" w:eastAsia="zh-CN" w:bidi="ar-SA"/>
              </w:rPr>
              <w:t>应当将其作为无效投标处理。</w:t>
            </w:r>
          </w:p>
        </w:tc>
      </w:tr>
    </w:tbl>
    <w:p>
      <w:pPr>
        <w:pStyle w:val="38"/>
        <w:sectPr>
          <w:pgSz w:w="11850" w:h="16783"/>
          <w:pgMar w:top="1440" w:right="1800" w:bottom="1440" w:left="1800" w:header="850" w:footer="1417" w:gutter="0"/>
          <w:cols w:space="720" w:num="1"/>
        </w:sectPr>
      </w:pPr>
    </w:p>
    <w:p>
      <w:pPr>
        <w:keepNext/>
        <w:keepLines/>
        <w:overflowPunct w:val="0"/>
        <w:topLinePunct/>
        <w:autoSpaceDN w:val="0"/>
        <w:adjustRightInd w:val="0"/>
        <w:snapToGrid w:val="0"/>
        <w:ind w:firstLine="562"/>
        <w:jc w:val="center"/>
        <w:outlineLvl w:val="0"/>
        <w:rPr>
          <w:rFonts w:ascii="宋体" w:hAnsi="宋体" w:cs="宋体"/>
          <w:b/>
          <w:snapToGrid w:val="0"/>
          <w:color w:val="000000" w:themeColor="text1"/>
          <w:kern w:val="0"/>
          <w:sz w:val="28"/>
          <w:szCs w:val="28"/>
          <w14:textFill>
            <w14:solidFill>
              <w14:schemeClr w14:val="tx1"/>
            </w14:solidFill>
          </w14:textFill>
        </w:rPr>
      </w:pPr>
      <w:bookmarkStart w:id="22" w:name="_Toc24154"/>
      <w:r>
        <w:rPr>
          <w:rFonts w:hint="eastAsia" w:ascii="宋体" w:hAnsi="宋体" w:cs="宋体"/>
          <w:b/>
          <w:snapToGrid w:val="0"/>
          <w:color w:val="000000" w:themeColor="text1"/>
          <w:kern w:val="0"/>
          <w:sz w:val="28"/>
          <w:szCs w:val="28"/>
          <w14:textFill>
            <w14:solidFill>
              <w14:schemeClr w14:val="tx1"/>
            </w14:solidFill>
          </w14:textFill>
        </w:rPr>
        <w:t xml:space="preserve">第四部分 </w:t>
      </w:r>
      <w:bookmarkEnd w:id="20"/>
      <w:bookmarkEnd w:id="22"/>
      <w:bookmarkStart w:id="23" w:name="_Toc269549735"/>
      <w:bookmarkStart w:id="24" w:name="_Toc203452224"/>
      <w:bookmarkStart w:id="25" w:name="_Toc243974504"/>
      <w:r>
        <w:rPr>
          <w:rFonts w:hint="eastAsia" w:ascii="宋体" w:hAnsi="宋体" w:cs="宋体"/>
          <w:b/>
          <w:snapToGrid w:val="0"/>
          <w:color w:val="000000" w:themeColor="text1"/>
          <w:kern w:val="0"/>
          <w:sz w:val="28"/>
          <w:szCs w:val="28"/>
          <w14:textFill>
            <w14:solidFill>
              <w14:schemeClr w14:val="tx1"/>
            </w14:solidFill>
          </w14:textFill>
        </w:rPr>
        <w:t>商务、技术要求</w:t>
      </w:r>
    </w:p>
    <w:p>
      <w:pPr>
        <w:keepNext w:val="0"/>
        <w:keepLines w:val="0"/>
        <w:pageBreakBefore w:val="0"/>
        <w:widowControl w:val="0"/>
        <w:kinsoku/>
        <w:wordWrap/>
        <w:overflowPunct/>
        <w:topLinePunct w:val="0"/>
        <w:autoSpaceDE/>
        <w:autoSpaceDN/>
        <w:bidi w:val="0"/>
        <w:adjustRightInd/>
        <w:snapToGrid/>
        <w:spacing w:line="480" w:lineRule="auto"/>
        <w:ind w:firstLine="481" w:firstLineChars="200"/>
        <w:textAlignment w:val="auto"/>
        <w:rPr>
          <w:rFonts w:hint="default" w:ascii="sans-serif" w:hAnsi="sans-serif" w:eastAsia="宋体" w:cs="sans-serif"/>
          <w:b/>
          <w:bCs/>
          <w:sz w:val="24"/>
          <w:szCs w:val="24"/>
          <w:lang w:val="en-US" w:eastAsia="zh-CN"/>
        </w:rPr>
      </w:pPr>
      <w:r>
        <w:rPr>
          <w:rFonts w:hint="eastAsia" w:ascii="sans-serif" w:hAnsi="sans-serif" w:eastAsia="宋体" w:cs="sans-serif"/>
          <w:b/>
          <w:bCs/>
          <w:sz w:val="24"/>
          <w:szCs w:val="24"/>
          <w:lang w:val="en-US" w:eastAsia="zh-CN"/>
        </w:rPr>
        <w:t>采购需求明细及要求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sans-serif" w:hAnsi="sans-serif" w:eastAsia="sans-serif" w:cs="sans-serif"/>
          <w:sz w:val="24"/>
          <w:szCs w:val="24"/>
        </w:rPr>
      </w:pPr>
      <w:r>
        <w:rPr>
          <w:rFonts w:ascii="sans-serif" w:hAnsi="sans-serif" w:eastAsia="sans-serif" w:cs="sans-serif"/>
          <w:sz w:val="24"/>
          <w:szCs w:val="24"/>
        </w:rPr>
        <w:t>为全面贯彻落实党的教育方针，进一步巩固义务教育基本均衡成果，持续改善学校基本办学条件，提高义务教育教学水平和质量，加快优质均衡发展和城乡一体化，促进学生全面发展和健康成长。</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sans-serif" w:hAnsi="sans-serif" w:eastAsia="宋体" w:cs="sans-serif"/>
          <w:sz w:val="24"/>
          <w:szCs w:val="24"/>
          <w:lang w:val="en-US" w:eastAsia="zh-CN"/>
        </w:rPr>
      </w:pPr>
      <w:r>
        <w:rPr>
          <w:rFonts w:hint="eastAsia" w:ascii="sans-serif" w:hAnsi="sans-serif" w:eastAsia="宋体" w:cs="sans-serif"/>
          <w:sz w:val="24"/>
          <w:szCs w:val="24"/>
          <w:lang w:val="en-US" w:eastAsia="zh-CN"/>
        </w:rPr>
        <w:t>需购置一批教学设备，明细如下：</w:t>
      </w:r>
    </w:p>
    <w:tbl>
      <w:tblPr>
        <w:tblStyle w:val="45"/>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2108"/>
        <w:gridCol w:w="1092"/>
        <w:gridCol w:w="1113"/>
        <w:gridCol w:w="1848"/>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210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货物名称</w:t>
            </w:r>
          </w:p>
        </w:tc>
        <w:tc>
          <w:tcPr>
            <w:tcW w:w="10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数量</w:t>
            </w:r>
          </w:p>
        </w:tc>
        <w:tc>
          <w:tcPr>
            <w:tcW w:w="111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质保期</w:t>
            </w:r>
          </w:p>
        </w:tc>
        <w:tc>
          <w:tcPr>
            <w:tcW w:w="184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供货期</w:t>
            </w:r>
          </w:p>
        </w:tc>
        <w:tc>
          <w:tcPr>
            <w:tcW w:w="158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使用单位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10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电子班牌</w:t>
            </w:r>
          </w:p>
        </w:tc>
        <w:tc>
          <w:tcPr>
            <w:tcW w:w="10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24块</w:t>
            </w:r>
          </w:p>
        </w:tc>
        <w:tc>
          <w:tcPr>
            <w:tcW w:w="111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三年</w:t>
            </w:r>
          </w:p>
        </w:tc>
        <w:tc>
          <w:tcPr>
            <w:tcW w:w="184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签订合同之日起10日历天</w:t>
            </w:r>
          </w:p>
        </w:tc>
        <w:tc>
          <w:tcPr>
            <w:tcW w:w="158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长子县丹朱镇东街学校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210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电子班牌</w:t>
            </w:r>
          </w:p>
        </w:tc>
        <w:tc>
          <w:tcPr>
            <w:tcW w:w="10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24块</w:t>
            </w:r>
          </w:p>
        </w:tc>
        <w:tc>
          <w:tcPr>
            <w:tcW w:w="111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三年</w:t>
            </w:r>
          </w:p>
        </w:tc>
        <w:tc>
          <w:tcPr>
            <w:tcW w:w="184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签订合同之日起10日历天</w:t>
            </w:r>
          </w:p>
        </w:tc>
        <w:tc>
          <w:tcPr>
            <w:tcW w:w="158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长子县丹朱镇同旺学校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210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电子班牌</w:t>
            </w:r>
          </w:p>
        </w:tc>
        <w:tc>
          <w:tcPr>
            <w:tcW w:w="10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24块</w:t>
            </w:r>
          </w:p>
        </w:tc>
        <w:tc>
          <w:tcPr>
            <w:tcW w:w="111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三年</w:t>
            </w:r>
          </w:p>
        </w:tc>
        <w:tc>
          <w:tcPr>
            <w:tcW w:w="184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签订合同之日起10日历天</w:t>
            </w:r>
          </w:p>
        </w:tc>
        <w:tc>
          <w:tcPr>
            <w:tcW w:w="158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长子县丹朱镇同昱学校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210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语音互动课堂</w:t>
            </w:r>
          </w:p>
        </w:tc>
        <w:tc>
          <w:tcPr>
            <w:tcW w:w="10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4套</w:t>
            </w:r>
          </w:p>
        </w:tc>
        <w:tc>
          <w:tcPr>
            <w:tcW w:w="111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三年</w:t>
            </w:r>
          </w:p>
        </w:tc>
        <w:tc>
          <w:tcPr>
            <w:tcW w:w="184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签订合同之日起10日历天</w:t>
            </w:r>
          </w:p>
        </w:tc>
        <w:tc>
          <w:tcPr>
            <w:tcW w:w="158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长子县丹朱镇同昱学校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71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210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听讲教室设备</w:t>
            </w:r>
          </w:p>
        </w:tc>
        <w:tc>
          <w:tcPr>
            <w:tcW w:w="10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1套</w:t>
            </w:r>
          </w:p>
        </w:tc>
        <w:tc>
          <w:tcPr>
            <w:tcW w:w="111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三年</w:t>
            </w:r>
          </w:p>
        </w:tc>
        <w:tc>
          <w:tcPr>
            <w:tcW w:w="1848"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签订合同之日起10日历天</w:t>
            </w:r>
          </w:p>
        </w:tc>
        <w:tc>
          <w:tcPr>
            <w:tcW w:w="158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长子县丹朱镇下霍学校</w:t>
            </w:r>
          </w:p>
        </w:tc>
      </w:tr>
    </w:tbl>
    <w:p>
      <w:pPr>
        <w:rPr>
          <w:rFonts w:hint="eastAsia" w:ascii="sans-serif" w:hAnsi="sans-serif" w:cs="sans-serif"/>
          <w:sz w:val="24"/>
          <w:szCs w:val="24"/>
          <w:lang w:val="en-US" w:eastAsia="zh-CN"/>
        </w:rPr>
      </w:pPr>
      <w:r>
        <w:rPr>
          <w:rFonts w:hint="eastAsia" w:ascii="sans-serif" w:hAnsi="sans-serif" w:cs="sans-serif"/>
          <w:sz w:val="24"/>
          <w:szCs w:val="24"/>
          <w:lang w:val="en-US" w:eastAsia="zh-CN"/>
        </w:rPr>
        <w:t xml:space="preserve"> </w:t>
      </w:r>
    </w:p>
    <w:p>
      <w:pPr>
        <w:rPr>
          <w:rFonts w:hint="eastAsia" w:ascii="sans-serif" w:hAnsi="sans-serif" w:cs="sans-serif"/>
          <w:sz w:val="24"/>
          <w:szCs w:val="24"/>
          <w:lang w:val="en-US" w:eastAsia="zh-CN"/>
        </w:rPr>
      </w:pPr>
      <w:r>
        <w:rPr>
          <w:rFonts w:hint="eastAsia" w:ascii="sans-serif" w:hAnsi="sans-serif" w:cs="sans-serif"/>
          <w:sz w:val="24"/>
          <w:szCs w:val="24"/>
          <w:lang w:val="en-US" w:eastAsia="zh-CN"/>
        </w:rPr>
        <w:t>参数如下：</w:t>
      </w:r>
    </w:p>
    <w:p>
      <w:pPr>
        <w:jc w:val="center"/>
        <w:rPr>
          <w:rFonts w:hint="eastAsia" w:ascii="sans-serif" w:hAnsi="sans-serif" w:cs="sans-serif"/>
          <w:b/>
          <w:bCs/>
          <w:sz w:val="24"/>
          <w:szCs w:val="24"/>
          <w:lang w:val="en-US" w:eastAsia="zh-CN"/>
        </w:rPr>
      </w:pPr>
      <w:r>
        <w:rPr>
          <w:rFonts w:hint="eastAsia" w:ascii="sans-serif" w:hAnsi="sans-serif" w:cs="sans-serif"/>
          <w:b/>
          <w:bCs/>
          <w:sz w:val="24"/>
          <w:szCs w:val="24"/>
          <w:lang w:val="en-US" w:eastAsia="zh-CN"/>
        </w:rPr>
        <w:t>电子班牌</w:t>
      </w:r>
    </w:p>
    <w:tbl>
      <w:tblPr>
        <w:tblStyle w:val="44"/>
        <w:tblpPr w:leftFromText="180" w:rightFromText="180" w:vertAnchor="text" w:tblpXSpec="center" w:tblpY="1"/>
        <w:tblOverlap w:val="never"/>
        <w:tblW w:w="8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8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p>
        </w:tc>
        <w:tc>
          <w:tcPr>
            <w:tcW w:w="74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8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电子</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班牌</w:t>
            </w:r>
          </w:p>
        </w:tc>
        <w:tc>
          <w:tcPr>
            <w:tcW w:w="7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.整机背部与墙面微距全贴合，背面与平整墙面间隙最大处≤2.5mm，保障教学环境的安全性。</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.★采用21.5英寸横屏式电容显示屏，支持10点触控，屏幕分辨率≥1920*1080，显示比例16:9；屏幕亮度≥500cd/㎡。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.整机正面覆盖钢化玻璃</w:t>
            </w:r>
            <w:r>
              <w:rPr>
                <w:rFonts w:hint="eastAsia" w:ascii="宋体" w:hAnsi="宋体" w:eastAsia="宋体" w:cs="宋体"/>
                <w:sz w:val="21"/>
                <w:szCs w:val="21"/>
                <w:lang w:eastAsia="zh-CN"/>
              </w:rPr>
              <w:t>，</w:t>
            </w:r>
            <w:r>
              <w:rPr>
                <w:rFonts w:hint="eastAsia" w:ascii="宋体" w:hAnsi="宋体" w:eastAsia="宋体" w:cs="宋体"/>
                <w:sz w:val="21"/>
                <w:szCs w:val="21"/>
              </w:rPr>
              <w:t>整机最大厚度不大于29mm。</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.★整机采用防水防尘结构设计，适用于学校教室半户外环境，防护等级不低于IP65。</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.整机正面不采用贴膜方式具备防眩光功能。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★整机在逆光（人像处于背景照度≥60000Lux）环境下距离≤0.5m可正常进行人脸识别</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7.可拍摄不低于200W像素的照片，支持不少于5人同时进行人脸识别。可支持学生无卡考勤签到、查看个人课程表、家长留言等个人信息。</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.内置高灵敏度的全向麦克风，拾音半径不小于0.5m，支持学生语音留言，留言内容同步发送至家长微信。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.刷卡器：具有内置IC卡刷卡器，支持14443协议。学生可佩带相应的终端设备完成刷卡签到、查看个人信息等操作。</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.整机具备至少一路RJ45网络接口；具备不少于2路USB 2.0接口。</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.内置2.0立体声道功放，支持视频及家长留言的音频播放。</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.★系统运行内存不低于2GB，存储容量不低于8GB；操作系统版本不低于Android 9.0。</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.整机CPU≥4核，最高主频≥1.9G。</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.支持远程开关机功能，远程唤醒待机功耗≤2W。</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.兼容多种多媒体格式，至少支持 MPEG1、MPEG2、MPEG4、 H.263、H.264等视频格式；至少支持 MP3等音频格式；至少支持 JPG、JPEG、BMP、PNG、GIF 等图片格式。</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rPr>
              <w:t>.整套应用系统基于SaaS布局，应用界面采用B/S架构设计，支持学校管理者在Windows、Linux、Android、iOS等多种不同的操作系统上通过网页浏览器登陆进行所有管理指令操作。</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17.班牌</w:t>
            </w:r>
            <w:r>
              <w:rPr>
                <w:rFonts w:hint="eastAsia" w:ascii="宋体" w:hAnsi="宋体" w:eastAsia="宋体" w:cs="宋体"/>
                <w:sz w:val="21"/>
                <w:szCs w:val="21"/>
              </w:rPr>
              <w:t>支持照片、视频、新闻、公告、电子欢迎横幅等类型</w:t>
            </w:r>
            <w:r>
              <w:rPr>
                <w:rFonts w:hint="eastAsia" w:ascii="宋体" w:hAnsi="宋体" w:eastAsia="宋体" w:cs="宋体"/>
                <w:sz w:val="21"/>
                <w:szCs w:val="21"/>
                <w:lang w:val="en-US" w:eastAsia="zh-CN"/>
              </w:rPr>
              <w:t>云端发布</w:t>
            </w:r>
            <w:r>
              <w:rPr>
                <w:rFonts w:hint="eastAsia" w:ascii="宋体" w:hAnsi="宋体" w:eastAsia="宋体" w:cs="宋体"/>
                <w:sz w:val="21"/>
                <w:szCs w:val="21"/>
              </w:rPr>
              <w:t>，内容支持图文混合排版；可按照全校、班级等层级进行定向信息推送</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w:t>
            </w:r>
            <w:r>
              <w:rPr>
                <w:rFonts w:hint="eastAsia" w:ascii="宋体" w:hAnsi="宋体" w:eastAsia="宋体" w:cs="宋体"/>
                <w:sz w:val="21"/>
                <w:szCs w:val="21"/>
              </w:rPr>
              <w:t>.可在后台自由搭配显示组件</w:t>
            </w:r>
            <w:r>
              <w:rPr>
                <w:rFonts w:hint="eastAsia" w:ascii="宋体" w:hAnsi="宋体" w:eastAsia="宋体" w:cs="宋体"/>
                <w:sz w:val="21"/>
                <w:szCs w:val="21"/>
                <w:lang w:eastAsia="zh-CN"/>
              </w:rPr>
              <w:t>，</w:t>
            </w:r>
            <w:r>
              <w:rPr>
                <w:rFonts w:hint="eastAsia" w:ascii="宋体" w:hAnsi="宋体" w:eastAsia="宋体" w:cs="宋体"/>
                <w:sz w:val="21"/>
                <w:szCs w:val="21"/>
              </w:rPr>
              <w:t>自定义班牌界面</w:t>
            </w:r>
            <w:r>
              <w:rPr>
                <w:rFonts w:hint="eastAsia" w:ascii="宋体" w:hAnsi="宋体" w:eastAsia="宋体" w:cs="宋体"/>
                <w:sz w:val="21"/>
                <w:szCs w:val="21"/>
                <w:lang w:eastAsia="zh-CN"/>
              </w:rPr>
              <w:t>；</w:t>
            </w:r>
            <w:r>
              <w:rPr>
                <w:rFonts w:hint="eastAsia" w:ascii="宋体" w:hAnsi="宋体" w:eastAsia="宋体" w:cs="宋体"/>
                <w:sz w:val="21"/>
                <w:szCs w:val="21"/>
              </w:rPr>
              <w:t>预置班级信息、课程表、考勤、新闻、公告、相册、倒数日、天气、视频、学生量化评价排名等不少于20种显示组件。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19</w:t>
            </w:r>
            <w:r>
              <w:rPr>
                <w:rFonts w:hint="eastAsia" w:ascii="宋体" w:hAnsi="宋体" w:eastAsia="宋体" w:cs="宋体"/>
                <w:sz w:val="21"/>
                <w:szCs w:val="21"/>
              </w:rPr>
              <w:t>.</w:t>
            </w:r>
            <w:r>
              <w:rPr>
                <w:rFonts w:hint="eastAsia" w:ascii="宋体" w:hAnsi="宋体" w:eastAsia="宋体" w:cs="宋体"/>
                <w:sz w:val="21"/>
                <w:szCs w:val="21"/>
                <w:lang w:val="en-US" w:eastAsia="zh-CN"/>
              </w:rPr>
              <w:t>自主切换</w:t>
            </w:r>
            <w:r>
              <w:rPr>
                <w:rFonts w:hint="eastAsia" w:ascii="宋体" w:hAnsi="宋体" w:eastAsia="宋体" w:cs="宋体"/>
                <w:sz w:val="21"/>
                <w:szCs w:val="21"/>
              </w:rPr>
              <w:t>无线网络动态获取和静态网址，支持网络模式更改时验证管理员身份，防止学生误操作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满足学校日常需求。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rPr>
              <w:t>.为保证数据安全，系统应采用云服务器部署，支持广域网操作和管理，即管理员可使用账号密码登录网站进行管理。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w:t>
            </w:r>
            <w:r>
              <w:rPr>
                <w:rFonts w:hint="eastAsia" w:ascii="宋体" w:hAnsi="宋体" w:eastAsia="宋体" w:cs="宋体"/>
                <w:sz w:val="21"/>
                <w:szCs w:val="21"/>
              </w:rPr>
              <w:t>. ★系统内置超过200张屏保云图，分属于不同的云图库（如：卫生健康、党建文化、科普知识等），用户可以选择需要的云图库作为班牌屏保。</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w:t>
            </w:r>
            <w:r>
              <w:rPr>
                <w:rFonts w:hint="eastAsia" w:ascii="宋体" w:hAnsi="宋体" w:eastAsia="宋体" w:cs="宋体"/>
                <w:sz w:val="21"/>
                <w:szCs w:val="21"/>
              </w:rPr>
              <w:t>.</w:t>
            </w:r>
            <w:r>
              <w:rPr>
                <w:rFonts w:hint="eastAsia" w:ascii="宋体" w:hAnsi="宋体" w:eastAsia="宋体" w:cs="宋体"/>
                <w:sz w:val="21"/>
                <w:szCs w:val="21"/>
                <w:lang w:val="en-US" w:eastAsia="zh-CN"/>
              </w:rPr>
              <w:t>支持家校沟通</w:t>
            </w:r>
            <w:r>
              <w:rPr>
                <w:rFonts w:hint="eastAsia" w:ascii="宋体" w:hAnsi="宋体" w:eastAsia="宋体" w:cs="宋体"/>
                <w:sz w:val="21"/>
                <w:szCs w:val="21"/>
              </w:rPr>
              <w:t>，</w:t>
            </w:r>
            <w:r>
              <w:rPr>
                <w:rFonts w:hint="eastAsia" w:ascii="宋体" w:hAnsi="宋体" w:eastAsia="宋体" w:cs="宋体"/>
                <w:sz w:val="21"/>
                <w:szCs w:val="21"/>
                <w:lang w:val="en-US" w:eastAsia="zh-CN"/>
              </w:rPr>
              <w:t>学生</w:t>
            </w:r>
            <w:r>
              <w:rPr>
                <w:rFonts w:hint="eastAsia" w:ascii="宋体" w:hAnsi="宋体" w:eastAsia="宋体" w:cs="宋体"/>
                <w:sz w:val="21"/>
                <w:szCs w:val="21"/>
              </w:rPr>
              <w:t>可以主动向家长发起语音留言，留言后家长微信可收到提醒。</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r>
              <w:rPr>
                <w:rFonts w:hint="eastAsia" w:ascii="宋体" w:hAnsi="宋体" w:eastAsia="宋体" w:cs="宋体"/>
                <w:sz w:val="21"/>
                <w:szCs w:val="21"/>
                <w:highlight w:val="none"/>
              </w:rPr>
              <w:t>★</w:t>
            </w:r>
            <w:r>
              <w:rPr>
                <w:rFonts w:hint="eastAsia" w:ascii="宋体" w:hAnsi="宋体" w:eastAsia="宋体" w:cs="宋体"/>
                <w:sz w:val="21"/>
                <w:szCs w:val="21"/>
                <w:lang w:val="en-US" w:eastAsia="zh-CN"/>
              </w:rPr>
              <w:t>支持考试模式：班牌会根据设定的时间自动进入考场模式，展示考场号，场地，考试时间，科目等。</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w:t>
            </w:r>
            <w:r>
              <w:rPr>
                <w:rFonts w:hint="eastAsia" w:ascii="宋体" w:hAnsi="宋体" w:eastAsia="宋体" w:cs="宋体"/>
                <w:sz w:val="21"/>
                <w:szCs w:val="21"/>
              </w:rPr>
              <w:t>.支持刷卡、人脸识别等多种考勤</w:t>
            </w:r>
            <w:r>
              <w:rPr>
                <w:rFonts w:hint="eastAsia" w:ascii="宋体" w:hAnsi="宋体" w:eastAsia="宋体" w:cs="宋体"/>
                <w:sz w:val="21"/>
                <w:szCs w:val="21"/>
                <w:lang w:val="en-US" w:eastAsia="zh-CN"/>
              </w:rPr>
              <w:t>模式</w:t>
            </w:r>
            <w:r>
              <w:rPr>
                <w:rFonts w:hint="eastAsia" w:ascii="宋体" w:hAnsi="宋体" w:eastAsia="宋体" w:cs="宋体"/>
                <w:sz w:val="21"/>
                <w:szCs w:val="21"/>
              </w:rPr>
              <w:t>，班牌可</w:t>
            </w:r>
            <w:r>
              <w:rPr>
                <w:rFonts w:hint="eastAsia" w:ascii="宋体" w:hAnsi="宋体" w:eastAsia="宋体" w:cs="宋体"/>
                <w:sz w:val="21"/>
                <w:szCs w:val="21"/>
                <w:lang w:val="en-US" w:eastAsia="zh-CN"/>
              </w:rPr>
              <w:t>拍摄</w:t>
            </w:r>
            <w:r>
              <w:rPr>
                <w:rFonts w:hint="eastAsia" w:ascii="宋体" w:hAnsi="宋体" w:eastAsia="宋体" w:cs="宋体"/>
                <w:sz w:val="21"/>
                <w:szCs w:val="21"/>
              </w:rPr>
              <w:t>学生近照，家长可手机端</w:t>
            </w:r>
            <w:r>
              <w:rPr>
                <w:rFonts w:hint="eastAsia" w:ascii="宋体" w:hAnsi="宋体" w:eastAsia="宋体" w:cs="宋体"/>
                <w:sz w:val="21"/>
                <w:szCs w:val="21"/>
                <w:lang w:val="en-US" w:eastAsia="zh-CN"/>
              </w:rPr>
              <w:t>查询</w:t>
            </w:r>
            <w:r>
              <w:rPr>
                <w:rFonts w:hint="eastAsia" w:ascii="宋体" w:hAnsi="宋体" w:eastAsia="宋体" w:cs="宋体"/>
                <w:sz w:val="21"/>
                <w:szCs w:val="21"/>
              </w:rPr>
              <w:t>学生的考勤照片.</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25</w:t>
            </w:r>
            <w:r>
              <w:rPr>
                <w:rFonts w:hint="eastAsia" w:ascii="宋体" w:hAnsi="宋体" w:eastAsia="宋体" w:cs="宋体"/>
                <w:sz w:val="21"/>
                <w:szCs w:val="21"/>
              </w:rPr>
              <w:t>.</w:t>
            </w:r>
            <w:r>
              <w:rPr>
                <w:rFonts w:hint="eastAsia" w:ascii="宋体" w:hAnsi="宋体" w:eastAsia="宋体" w:cs="宋体"/>
                <w:sz w:val="21"/>
                <w:szCs w:val="21"/>
                <w:lang w:val="en-US" w:eastAsia="zh-CN"/>
              </w:rPr>
              <w:t>支持</w:t>
            </w:r>
            <w:r>
              <w:rPr>
                <w:rFonts w:hint="eastAsia" w:ascii="宋体" w:hAnsi="宋体" w:eastAsia="宋体" w:cs="宋体"/>
                <w:sz w:val="21"/>
                <w:szCs w:val="21"/>
              </w:rPr>
              <w:t>人脸识别考勤功能，考勤界面里会显示摄像头采集到的实时画面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可</w:t>
            </w:r>
            <w:r>
              <w:rPr>
                <w:rFonts w:hint="eastAsia" w:ascii="宋体" w:hAnsi="宋体" w:eastAsia="宋体" w:cs="宋体"/>
                <w:sz w:val="21"/>
                <w:szCs w:val="21"/>
              </w:rPr>
              <w:t>支持同一画面至少5人同时识别。</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26</w:t>
            </w:r>
            <w:r>
              <w:rPr>
                <w:rFonts w:hint="eastAsia" w:ascii="宋体" w:hAnsi="宋体" w:eastAsia="宋体" w:cs="宋体"/>
                <w:sz w:val="21"/>
                <w:szCs w:val="21"/>
              </w:rPr>
              <w:t>.支持离线识别人脸考勤功能，无网络环境下班牌仍可以进行人脸识别考勤</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支</w:t>
            </w:r>
            <w:r>
              <w:rPr>
                <w:rFonts w:hint="eastAsia" w:ascii="宋体" w:hAnsi="宋体" w:eastAsia="宋体" w:cs="宋体"/>
                <w:sz w:val="21"/>
                <w:szCs w:val="21"/>
                <w:lang w:val="en-US" w:eastAsia="zh-CN"/>
              </w:rPr>
              <w:t>持高级考勤模式：支持在多个场地中的任意一个场地考勤。</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w:t>
            </w:r>
            <w:r>
              <w:rPr>
                <w:rFonts w:hint="eastAsia" w:ascii="宋体" w:hAnsi="宋体" w:eastAsia="宋体" w:cs="宋体"/>
                <w:sz w:val="21"/>
                <w:szCs w:val="21"/>
              </w:rPr>
              <w:t>. ★涉及解除触控锁定、绑定教室、系统设置（网络设置、解绑教室）、退出软件和重启设备的设置或操作时，均需进行用户身份二维码扫描认证。</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w:t>
            </w:r>
            <w:r>
              <w:rPr>
                <w:rFonts w:hint="eastAsia" w:ascii="宋体" w:hAnsi="宋体" w:eastAsia="宋体" w:cs="宋体"/>
                <w:sz w:val="21"/>
                <w:szCs w:val="21"/>
              </w:rPr>
              <w:t>.支持</w:t>
            </w:r>
            <w:r>
              <w:rPr>
                <w:rFonts w:hint="eastAsia" w:ascii="宋体" w:hAnsi="宋体" w:eastAsia="宋体" w:cs="宋体"/>
                <w:sz w:val="21"/>
                <w:szCs w:val="21"/>
                <w:lang w:val="en-US" w:eastAsia="zh-CN"/>
              </w:rPr>
              <w:t>校园德育建设，</w:t>
            </w:r>
            <w:r>
              <w:rPr>
                <w:rFonts w:hint="eastAsia" w:ascii="宋体" w:hAnsi="宋体" w:eastAsia="宋体" w:cs="宋体"/>
                <w:sz w:val="21"/>
                <w:szCs w:val="21"/>
              </w:rPr>
              <w:t>自定义班级评分标准，设定全校评价维度，督导教师可通过扫描班牌显示的班级专属二维码对班级进行评分，可按日、周、月查看班级总分，可以柱状图查看各评价维度的分数。</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r>
              <w:rPr>
                <w:rFonts w:hint="eastAsia" w:ascii="宋体" w:hAnsi="宋体" w:eastAsia="宋体" w:cs="宋体"/>
                <w:sz w:val="21"/>
                <w:szCs w:val="21"/>
              </w:rPr>
              <w:t>.班牌可展示过去一周、一月的本班评分名次，及全校前三名的光荣班级，激励学生自觉维护班级冗余，提升学生综合素质。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w:t>
            </w:r>
            <w:r>
              <w:rPr>
                <w:rFonts w:hint="eastAsia" w:ascii="宋体" w:hAnsi="宋体" w:eastAsia="宋体" w:cs="宋体"/>
                <w:sz w:val="21"/>
                <w:szCs w:val="21"/>
              </w:rPr>
              <w:t>.可批量为班级颁发具备有效期限的流动红旗，获奖班级班牌界面使用荣誉班级专用主题风格，提升班级荣誉感，激励其他班级。</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r>
              <w:rPr>
                <w:rFonts w:hint="eastAsia" w:ascii="宋体" w:hAnsi="宋体" w:eastAsia="宋体" w:cs="宋体"/>
                <w:sz w:val="21"/>
                <w:szCs w:val="21"/>
                <w:highlight w:val="none"/>
              </w:rPr>
              <w:t>★</w:t>
            </w:r>
            <w:r>
              <w:rPr>
                <w:rFonts w:hint="eastAsia" w:ascii="宋体" w:hAnsi="宋体" w:eastAsia="宋体" w:cs="宋体"/>
                <w:sz w:val="21"/>
                <w:szCs w:val="21"/>
                <w:lang w:val="en-US" w:eastAsia="zh-CN"/>
              </w:rPr>
              <w:t>为更好的进行课堂及学生民主管理，可以支持老师在手机端发布投票到班牌，然后学生可以在班牌端通过刷脸或者刷卡方式进行投票表决。</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33</w:t>
            </w:r>
            <w:r>
              <w:rPr>
                <w:rFonts w:hint="eastAsia" w:ascii="宋体" w:hAnsi="宋体" w:eastAsia="宋体" w:cs="宋体"/>
                <w:sz w:val="21"/>
                <w:szCs w:val="21"/>
              </w:rPr>
              <w:t>.</w:t>
            </w:r>
            <w:r>
              <w:rPr>
                <w:rFonts w:hint="eastAsia" w:ascii="宋体" w:hAnsi="宋体" w:eastAsia="宋体" w:cs="宋体"/>
                <w:sz w:val="21"/>
                <w:szCs w:val="21"/>
                <w:highlight w:val="none"/>
              </w:rPr>
              <w:t xml:space="preserve"> ★</w:t>
            </w:r>
            <w:r>
              <w:rPr>
                <w:rFonts w:hint="eastAsia" w:ascii="宋体" w:hAnsi="宋体" w:eastAsia="宋体" w:cs="宋体"/>
                <w:sz w:val="21"/>
                <w:szCs w:val="21"/>
              </w:rPr>
              <w:t>班牌可连接对应场地内的多个网络摄像头或录播设备，在班牌即可查看教室内的上课画面，实现电子可视化巡课，避免进班巡课影响教学秩序；可在单个班牌查看全校所有部署可视化巡课系统的课堂画面。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34</w:t>
            </w:r>
            <w:r>
              <w:rPr>
                <w:rFonts w:hint="eastAsia" w:ascii="宋体" w:hAnsi="宋体" w:eastAsia="宋体" w:cs="宋体"/>
                <w:sz w:val="21"/>
                <w:szCs w:val="21"/>
              </w:rPr>
              <w:t>.支持在班牌自定义嵌入多个第三方系统，以满足学校多样化的系统应用需求。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w:t>
            </w:r>
            <w:r>
              <w:rPr>
                <w:rFonts w:hint="eastAsia" w:ascii="宋体" w:hAnsi="宋体" w:eastAsia="宋体" w:cs="宋体"/>
                <w:sz w:val="21"/>
                <w:szCs w:val="21"/>
              </w:rPr>
              <w:t>.可在班牌应用菜单嵌入第三方应用，使用第三方应用时，显示当前使用的第三方应用名称与开发者信息，方便用户识别。</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w:t>
            </w:r>
            <w:r>
              <w:rPr>
                <w:rFonts w:hint="eastAsia" w:ascii="宋体" w:hAnsi="宋体" w:eastAsia="宋体" w:cs="宋体"/>
                <w:sz w:val="21"/>
                <w:szCs w:val="21"/>
              </w:rPr>
              <w:t>.提供班牌NFC读卡功能的开放标准接口。第三方应用可通过标准接口自行采集班牌刷卡信息用于自身系统。便于学校后续拓展建设。</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37</w:t>
            </w:r>
            <w:r>
              <w:rPr>
                <w:rFonts w:hint="eastAsia" w:ascii="宋体" w:hAnsi="宋体" w:eastAsia="宋体" w:cs="宋体"/>
                <w:sz w:val="21"/>
                <w:szCs w:val="21"/>
              </w:rPr>
              <w:t>.支持信息发布IP白名暈管理，可将相关管理人员的办公网络IP地址纳入“IP白名单”，白名单外的IP地址无法获取信息发布权限。</w:t>
            </w:r>
          </w:p>
        </w:tc>
      </w:tr>
    </w:tbl>
    <w:p>
      <w:pPr>
        <w:numPr>
          <w:ilvl w:val="0"/>
          <w:numId w:val="0"/>
        </w:numPr>
        <w:jc w:val="center"/>
        <w:rPr>
          <w:rFonts w:hint="eastAsia" w:ascii="宋体" w:hAnsi="宋体" w:eastAsia="宋体" w:cs="宋体"/>
          <w:b/>
          <w:bCs/>
          <w:sz w:val="24"/>
          <w:szCs w:val="24"/>
          <w:vertAlign w:val="baseline"/>
          <w:lang w:val="en-US" w:eastAsia="zh-CN"/>
        </w:rPr>
      </w:pPr>
    </w:p>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语音互动课堂</w:t>
      </w:r>
    </w:p>
    <w:tbl>
      <w:tblPr>
        <w:tblStyle w:val="44"/>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063"/>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1063"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名称</w:t>
            </w:r>
          </w:p>
        </w:tc>
        <w:tc>
          <w:tcPr>
            <w:tcW w:w="6350"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0"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063"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语音答</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题器</w:t>
            </w:r>
          </w:p>
        </w:tc>
        <w:tc>
          <w:tcPr>
            <w:tcW w:w="6350" w:type="dxa"/>
            <w:vAlign w:val="center"/>
          </w:tcPr>
          <w:p>
            <w:pPr>
              <w:pStyle w:val="63"/>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外壳采用高强度PC材质，坚固耐用；按键为硅胶材质，操作手感好，无按键声响，按键数量7个，按键耐用性可达60万次。</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外壳圆润，握感良好，并在按键处配有图案点缀。</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1.5英寸液晶点阵屏，可显示答题器ID、信号状态、电量状态、题型、学生信息及作答情况等信息。满屏最多可同时显示24个中文字（可显示各种生僻字），或48个英文字母。</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支持题型、作答结果，作答正确与否等中文提示语，还可动态显示其他内容，如显示积分等，且支持显示内容自定义。</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支持语音采集功能、单题单选、单题多选、判断、小游戏（抢红包等）。</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音频格式为MP3音频格式。</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单次音频采集无时长限制，可进行实时音频流传输，实现实时麦克风功能。</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rPr>
              <w:t>内置DSP自适应降噪算法，避免相邻声音的干扰。</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rPr>
              <w:t>支持教师控制功能，支持开始答题时学生发送答题内容，答题结束后答题器无法提交答案。</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eastAsia="宋体" w:cs="宋体"/>
                <w:sz w:val="21"/>
                <w:szCs w:val="21"/>
              </w:rPr>
              <w:t>支持快速提交功能，选择答案的同时完成提交，且不能重复提交。</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11</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支持60台并发答题，成功率可达99.9%。</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12</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与接收器有效通讯距离不小于15米。</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13</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支持双向通信机制，提供智能收发控制器嵌入式</w:t>
            </w:r>
            <w:r>
              <w:rPr>
                <w:rFonts w:hint="eastAsia" w:ascii="宋体" w:hAnsi="宋体" w:eastAsia="宋体" w:cs="宋体"/>
                <w:color w:val="000000" w:themeColor="text1"/>
                <w:kern w:val="0"/>
                <w:sz w:val="21"/>
                <w:szCs w:val="21"/>
                <w14:textFill>
                  <w14:solidFill>
                    <w14:schemeClr w14:val="tx1"/>
                  </w14:solidFill>
                </w14:textFill>
              </w:rPr>
              <w:t>软件《计算机软件著作权登记证书》</w:t>
            </w:r>
            <w:r>
              <w:rPr>
                <w:rFonts w:hint="eastAsia" w:ascii="宋体" w:hAnsi="宋体" w:eastAsia="宋体" w:cs="宋体"/>
                <w:color w:val="000000" w:themeColor="text1"/>
                <w:sz w:val="21"/>
                <w:szCs w:val="21"/>
                <w14:textFill>
                  <w14:solidFill>
                    <w14:schemeClr w14:val="tx1"/>
                  </w14:solidFill>
                </w14:textFill>
              </w:rPr>
              <w:t>。</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w:t>
            </w:r>
            <w:r>
              <w:rPr>
                <w:rFonts w:hint="eastAsia" w:ascii="宋体" w:hAnsi="宋体" w:eastAsia="宋体" w:cs="宋体"/>
                <w:sz w:val="21"/>
                <w:szCs w:val="21"/>
                <w:lang w:eastAsia="zh-CN"/>
              </w:rPr>
              <w:t>）</w:t>
            </w:r>
            <w:r>
              <w:rPr>
                <w:rFonts w:hint="eastAsia" w:ascii="宋体" w:hAnsi="宋体" w:eastAsia="宋体" w:cs="宋体"/>
                <w:sz w:val="21"/>
                <w:szCs w:val="21"/>
              </w:rPr>
              <w:t>支持屏幕自动锁定休眠功能，按任意键唤醒。</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w:t>
            </w:r>
            <w:r>
              <w:rPr>
                <w:rFonts w:hint="eastAsia" w:ascii="宋体" w:hAnsi="宋体" w:eastAsia="宋体" w:cs="宋体"/>
                <w:sz w:val="21"/>
                <w:szCs w:val="21"/>
              </w:rPr>
              <w:t>内置不可拆卸可充电锂电池，电池容量不小于1200mAh，满电情况下可进行超过20个小时连续音频采集，满足一般作答（非连续不间断作答）使用3-5天。</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16</w:t>
            </w:r>
            <w:r>
              <w:rPr>
                <w:rFonts w:hint="eastAsia" w:ascii="宋体" w:hAnsi="宋体" w:eastAsia="宋体" w:cs="宋体"/>
                <w:sz w:val="21"/>
                <w:szCs w:val="21"/>
                <w:lang w:eastAsia="zh-CN"/>
              </w:rPr>
              <w:t>）</w:t>
            </w:r>
            <w:r>
              <w:rPr>
                <w:rFonts w:hint="eastAsia" w:ascii="宋体" w:hAnsi="宋体" w:eastAsia="宋体" w:cs="宋体"/>
                <w:sz w:val="21"/>
                <w:szCs w:val="21"/>
              </w:rPr>
              <w:t>内置NFC模块，答题器在接收器上刷卡的同时，可以完成答题器与接收器的绑定、2.4G射频信道的修改、答题器显示屏上学生姓名的显示。无需其他复杂的手动操作。</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17</w:t>
            </w:r>
            <w:r>
              <w:rPr>
                <w:rFonts w:hint="eastAsia" w:ascii="宋体" w:hAnsi="宋体" w:eastAsia="宋体" w:cs="宋体"/>
                <w:sz w:val="21"/>
                <w:szCs w:val="21"/>
                <w:lang w:eastAsia="zh-CN"/>
              </w:rPr>
              <w:t>）</w:t>
            </w:r>
            <w:r>
              <w:rPr>
                <w:rFonts w:hint="eastAsia" w:ascii="宋体" w:hAnsi="宋体" w:eastAsia="宋体" w:cs="宋体"/>
                <w:sz w:val="21"/>
                <w:szCs w:val="21"/>
              </w:rPr>
              <w:t>免电源按钮设计，在无操作状态下，答题器保持低功耗状态，可通过任意按键唤醒。</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18</w:t>
            </w:r>
            <w:r>
              <w:rPr>
                <w:rFonts w:hint="eastAsia" w:ascii="宋体" w:hAnsi="宋体" w:eastAsia="宋体" w:cs="宋体"/>
                <w:sz w:val="21"/>
                <w:szCs w:val="21"/>
                <w:lang w:eastAsia="zh-CN"/>
              </w:rPr>
              <w:t>）</w:t>
            </w:r>
            <w:r>
              <w:rPr>
                <w:rFonts w:hint="eastAsia" w:ascii="宋体" w:hAnsi="宋体" w:eastAsia="宋体" w:cs="宋体"/>
                <w:sz w:val="21"/>
                <w:szCs w:val="21"/>
              </w:rPr>
              <w:t>环境：温度工作：-10℃</w:t>
            </w:r>
            <w:r>
              <w:rPr>
                <w:rFonts w:hint="default" w:ascii="Times New Roman" w:hAnsi="Times New Roman" w:eastAsia="宋体" w:cs="Times New Roman"/>
                <w:sz w:val="21"/>
                <w:szCs w:val="21"/>
              </w:rPr>
              <w:t>~</w:t>
            </w:r>
            <w:r>
              <w:rPr>
                <w:rFonts w:hint="eastAsia" w:ascii="宋体" w:hAnsi="宋体" w:eastAsia="宋体" w:cs="宋体"/>
                <w:sz w:val="21"/>
                <w:szCs w:val="21"/>
              </w:rPr>
              <w:t>60°C储存-10℃</w:t>
            </w:r>
            <w:r>
              <w:rPr>
                <w:rFonts w:hint="default" w:ascii="Times New Roman" w:hAnsi="Times New Roman" w:eastAsia="宋体" w:cs="Times New Roman"/>
                <w:sz w:val="21"/>
                <w:szCs w:val="21"/>
              </w:rPr>
              <w:t>~</w:t>
            </w:r>
            <w:r>
              <w:rPr>
                <w:rFonts w:hint="eastAsia" w:ascii="宋体" w:hAnsi="宋体" w:eastAsia="宋体" w:cs="宋体"/>
                <w:sz w:val="21"/>
                <w:szCs w:val="21"/>
              </w:rPr>
              <w:t>60℃；湿度工作：5%</w:t>
            </w:r>
            <w:r>
              <w:rPr>
                <w:rFonts w:hint="default" w:ascii="Times New Roman" w:hAnsi="Times New Roman" w:eastAsia="宋体" w:cs="Times New Roman"/>
                <w:sz w:val="21"/>
                <w:szCs w:val="21"/>
              </w:rPr>
              <w:t>~</w:t>
            </w:r>
            <w:r>
              <w:rPr>
                <w:rFonts w:hint="eastAsia" w:ascii="宋体" w:hAnsi="宋体" w:eastAsia="宋体" w:cs="宋体"/>
                <w:sz w:val="21"/>
                <w:szCs w:val="21"/>
              </w:rPr>
              <w:t>95%（非冷凝）。</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19</w:t>
            </w:r>
            <w:r>
              <w:rPr>
                <w:rFonts w:hint="eastAsia" w:ascii="宋体" w:hAnsi="宋体" w:eastAsia="宋体" w:cs="宋体"/>
                <w:sz w:val="21"/>
                <w:szCs w:val="21"/>
                <w:lang w:eastAsia="zh-CN"/>
              </w:rPr>
              <w:t>）</w:t>
            </w:r>
            <w:r>
              <w:rPr>
                <w:rFonts w:hint="eastAsia" w:ascii="宋体" w:hAnsi="宋体" w:eastAsia="宋体" w:cs="宋体"/>
                <w:sz w:val="21"/>
                <w:szCs w:val="21"/>
              </w:rPr>
              <w:t>工作电流：待机电流＜11mA，语音题型电流＜60mA。</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0"/>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w:t>
            </w:r>
            <w:r>
              <w:rPr>
                <w:rFonts w:hint="eastAsia" w:ascii="宋体" w:hAnsi="宋体" w:eastAsia="宋体" w:cs="宋体"/>
                <w:sz w:val="21"/>
                <w:szCs w:val="21"/>
                <w:lang w:eastAsia="zh-CN"/>
              </w:rPr>
              <w:t>）</w:t>
            </w:r>
            <w:r>
              <w:rPr>
                <w:rFonts w:hint="eastAsia" w:ascii="宋体" w:hAnsi="宋体" w:eastAsia="宋体" w:cs="宋体"/>
                <w:sz w:val="21"/>
                <w:szCs w:val="21"/>
              </w:rPr>
              <w:t>2.4G射频特性，信号调制方式：GFSK；答题通信速率：2Mbit/s；发射功率：4dBm。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1063"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电子教鞭</w:t>
            </w:r>
          </w:p>
        </w:tc>
        <w:tc>
          <w:tcPr>
            <w:tcW w:w="6350" w:type="dxa"/>
          </w:tcPr>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外壳采用高强度PC材质，坚固耐用；按键为硅胶材质，操作手感好，无按键声响，按键数量7个，按键耐用性可达60万次。</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1.5英寸液晶点阵屏，显示答题器ID、信号状态、电量状态；显示学生麦克风、老师麦克风功能状态。</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bookmarkStart w:id="26" w:name="_Hlk41554668"/>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无需互动软件即可控制学生及电子教鞭麦克风功能，可调节接收器3.5mm音频口输出音量。</w:t>
            </w:r>
            <w:bookmarkEnd w:id="26"/>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电子教鞭配合互动软件控制学生语音答题器，支持开始答题时学生发送答题内容，答题结束后答题器无法提交答案；电子教鞭具备控制ppt翻页功能，方便老师操作。</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与接收器有效通讯距离不小于15米。</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支持双向通信机制和超低功耗。</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支持屏幕自动锁定休眠功能，按任意键唤醒。</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内置不可拆卸可充电锂电池，电池容量不小于1200mAh，满电情况下可进行超过20个小时连续音频采集。</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免电源按钮设计，在无操作状态下，答题器保持低功耗状态，可通过任意按键唤醒。</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环境：温度工作：-10℃</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60°C储存-10℃</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60℃；湿度工作：5%</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95%（非冷凝）。</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11</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工作电流：待机电流＜11mA，语音题型电流＜60mA。</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12</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2.4G射频特性，信号调制方式：GFSK；答题通信速率：2Mbit/s；发射功率：≤4dBm。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1063"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接收器</w:t>
            </w:r>
          </w:p>
        </w:tc>
        <w:tc>
          <w:tcPr>
            <w:tcW w:w="6350" w:type="dxa"/>
          </w:tcPr>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独立内置天线，采用壁挂式安装方式。</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数据传输：2.4G通信，接收器和语音答题器之间采用交互式通讯；与电脑通讯采用USB通讯。</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USB HID接口，可兼容Windows和Android主流操作系统，且无需安装驱动，即插即用，同时支持热插拔，USB接口供电，无需额外适配器。</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bookmarkStart w:id="27" w:name="_Hlk41556526"/>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具备一路3.5mm音频口，无需互动软件支持，外接音箱即可实现实时音频（麦克风功能）外放</w:t>
            </w:r>
            <w:bookmarkEnd w:id="27"/>
            <w:r>
              <w:rPr>
                <w:rFonts w:hint="eastAsia" w:ascii="宋体" w:hAnsi="宋体" w:eastAsia="宋体" w:cs="宋体"/>
                <w:color w:val="000000" w:themeColor="text1"/>
                <w:sz w:val="21"/>
                <w:szCs w:val="21"/>
                <w14:textFill>
                  <w14:solidFill>
                    <w14:schemeClr w14:val="tx1"/>
                  </w14:solidFill>
                </w14:textFill>
              </w:rPr>
              <w:t>。</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与语音答题器的有效通信距离不低于15米。</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软件升级：支持USB连接电脑进行升级软件；支持软件版本查询。</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防碰撞技术：采用信号防碰撞技术，能同时支持60台语音答题器互动。</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rPr>
              <w:t>支持接收器根据题目的作答规则，控制答题器输入结果，如选择题，则答题器上只能输入字母，无法输入√、×，避免题目类型与按键类型不一致。</w:t>
            </w:r>
          </w:p>
          <w:p>
            <w:pPr>
              <w:keepNext w:val="0"/>
              <w:keepLines w:val="0"/>
              <w:pageBreakBefore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内置显示屏可显示接收器软件版本、绑定答题器数量、设备运行状态等信息。</w:t>
            </w:r>
          </w:p>
          <w:p>
            <w:pPr>
              <w:keepNext w:val="0"/>
              <w:keepLines w:val="0"/>
              <w:pageBreakBefore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eastAsia="宋体" w:cs="宋体"/>
                <w:sz w:val="21"/>
                <w:szCs w:val="21"/>
              </w:rPr>
              <w:t>支持NFC刷卡绑定，无需让互动软件切换到绑定界面。</w:t>
            </w:r>
          </w:p>
          <w:p>
            <w:pPr>
              <w:keepNext w:val="0"/>
              <w:keepLines w:val="0"/>
              <w:pageBreakBefore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w:t>
            </w:r>
            <w:r>
              <w:rPr>
                <w:rFonts w:hint="eastAsia" w:ascii="宋体" w:hAnsi="宋体" w:eastAsia="宋体" w:cs="宋体"/>
                <w:sz w:val="21"/>
                <w:szCs w:val="21"/>
              </w:rPr>
              <w:t>可在答题过程中随时进行新的语音答题器绑定，且不中断已进行的互动过程。</w:t>
            </w:r>
          </w:p>
          <w:p>
            <w:pPr>
              <w:keepNext w:val="0"/>
              <w:keepLines w:val="0"/>
              <w:pageBreakBefore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w:t>
            </w:r>
            <w:r>
              <w:rPr>
                <w:rFonts w:hint="eastAsia" w:ascii="宋体" w:hAnsi="宋体" w:eastAsia="宋体" w:cs="宋体"/>
                <w:sz w:val="21"/>
                <w:szCs w:val="21"/>
                <w:lang w:eastAsia="zh-CN"/>
              </w:rPr>
              <w:t>）</w:t>
            </w:r>
            <w:r>
              <w:rPr>
                <w:rFonts w:hint="eastAsia" w:ascii="宋体" w:hAnsi="宋体" w:eastAsia="宋体" w:cs="宋体"/>
                <w:sz w:val="21"/>
                <w:szCs w:val="21"/>
              </w:rPr>
              <w:t>配备双磁环USB A转B数据电源一体化线，双磁环减少周围的电子设备对于数据传输的干扰和影响。</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w:t>
            </w:r>
            <w:r>
              <w:rPr>
                <w:rFonts w:hint="eastAsia" w:ascii="宋体" w:hAnsi="宋体" w:eastAsia="宋体" w:cs="宋体"/>
                <w:sz w:val="21"/>
                <w:szCs w:val="21"/>
                <w:lang w:eastAsia="zh-CN"/>
              </w:rPr>
              <w:t>）</w:t>
            </w:r>
            <w:r>
              <w:rPr>
                <w:rFonts w:hint="eastAsia" w:ascii="宋体" w:hAnsi="宋体" w:eastAsia="宋体" w:cs="宋体"/>
                <w:sz w:val="21"/>
                <w:szCs w:val="21"/>
              </w:rPr>
              <w:t>环境：温度工作：-10℃</w:t>
            </w:r>
            <w:r>
              <w:rPr>
                <w:rFonts w:hint="default" w:ascii="Times New Roman" w:hAnsi="Times New Roman" w:eastAsia="宋体" w:cs="Times New Roman"/>
                <w:sz w:val="21"/>
                <w:szCs w:val="21"/>
              </w:rPr>
              <w:t>~</w:t>
            </w:r>
            <w:r>
              <w:rPr>
                <w:rFonts w:hint="eastAsia" w:ascii="宋体" w:hAnsi="宋体" w:eastAsia="宋体" w:cs="宋体"/>
                <w:sz w:val="21"/>
                <w:szCs w:val="21"/>
              </w:rPr>
              <w:t>60°C储存-10℃</w:t>
            </w:r>
            <w:r>
              <w:rPr>
                <w:rFonts w:hint="default" w:ascii="Times New Roman" w:hAnsi="Times New Roman" w:eastAsia="宋体" w:cs="Times New Roman"/>
                <w:sz w:val="21"/>
                <w:szCs w:val="21"/>
              </w:rPr>
              <w:t>~</w:t>
            </w:r>
            <w:r>
              <w:rPr>
                <w:rFonts w:hint="eastAsia" w:ascii="宋体" w:hAnsi="宋体" w:eastAsia="宋体" w:cs="宋体"/>
                <w:sz w:val="21"/>
                <w:szCs w:val="21"/>
              </w:rPr>
              <w:t>60℃；湿度工作：5%</w:t>
            </w:r>
            <w:r>
              <w:rPr>
                <w:rFonts w:hint="default" w:ascii="Times New Roman" w:hAnsi="Times New Roman" w:eastAsia="宋体" w:cs="Times New Roman"/>
                <w:sz w:val="21"/>
                <w:szCs w:val="21"/>
              </w:rPr>
              <w:t>~</w:t>
            </w:r>
            <w:r>
              <w:rPr>
                <w:rFonts w:hint="eastAsia" w:ascii="宋体" w:hAnsi="宋体" w:eastAsia="宋体" w:cs="宋体"/>
                <w:sz w:val="21"/>
                <w:szCs w:val="21"/>
              </w:rPr>
              <w:t>95%（非冷凝）。</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w:t>
            </w:r>
            <w:r>
              <w:rPr>
                <w:rFonts w:hint="eastAsia" w:ascii="宋体" w:hAnsi="宋体" w:eastAsia="宋体" w:cs="宋体"/>
                <w:sz w:val="21"/>
                <w:szCs w:val="21"/>
                <w:lang w:eastAsia="zh-CN"/>
              </w:rPr>
              <w:t>）</w:t>
            </w:r>
            <w:r>
              <w:rPr>
                <w:rFonts w:hint="eastAsia" w:ascii="宋体" w:hAnsi="宋体" w:eastAsia="宋体" w:cs="宋体"/>
                <w:sz w:val="21"/>
                <w:szCs w:val="21"/>
              </w:rPr>
              <w:t>工作电流：&lt;260mA，工作电压5V。</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w:t>
            </w:r>
            <w:r>
              <w:rPr>
                <w:rFonts w:hint="eastAsia" w:ascii="宋体" w:hAnsi="宋体" w:eastAsia="宋体" w:cs="宋体"/>
                <w:sz w:val="21"/>
                <w:szCs w:val="21"/>
              </w:rPr>
              <w:t>2.4G射频特性，工作频率：2.4GHz ～ 2.5GHz ISM微波段；信号调制方式：GFSK；答题通信速率：2Mbit/s；发射功率：≤4dBm。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1063"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充电座</w:t>
            </w:r>
          </w:p>
        </w:tc>
        <w:tc>
          <w:tcPr>
            <w:tcW w:w="6350" w:type="dxa"/>
          </w:tcPr>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环保ABS防火材料。</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可支持36台语音答题器同时充电。</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智能充电控制，避免充电电流过大造成答题器或者充电座发热，保障使用安全。</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内置电源指示灯及充电指示灯，可显示充电座通电状态及对充电电路的运行状态提示。</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环境：温度工作：-10℃</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60°C储存-10℃</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60℃；湿度工作：5%</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95%（非冷凝）。</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工作电流：&lt;3.2A，工作电压15V外接适配器。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1063"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云平台及互动软件</w:t>
            </w:r>
          </w:p>
        </w:tc>
        <w:tc>
          <w:tcPr>
            <w:tcW w:w="6350" w:type="dxa"/>
          </w:tcPr>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云平台及互动软件采用C/S架构，本地客户端配合云平台共同使用。</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云平台系统管理模块可以对用户信息账号进行设置，可根据不用学校和用户设置不同的权限；学校可根据自身需求设置创建用户信息。</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云平台系统基础管理可以获取互动软件版本信息，支持互动软件下载。</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云平台系统信息管理模块可对校区、班级、学生信息进行管理；学生信息支持标准模板导入。</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云平台系统数据管理模块可查看设备接入情况，老师发题记录（已截屏形式保存），查看学生答题记录，支持学生语音评测录音回放。</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云平台系统数据备课管理支持按标准模板导入题目类型、正确答案、得分信息，具有相关课件及试卷资源。</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云平台系统统计模块</w:t>
            </w:r>
            <w:r>
              <w:rPr>
                <w:rFonts w:hint="eastAsia" w:ascii="宋体" w:hAnsi="宋体" w:eastAsia="宋体" w:cs="宋体"/>
                <w:color w:val="000000"/>
                <w:kern w:val="0"/>
                <w:sz w:val="21"/>
                <w:szCs w:val="21"/>
              </w:rPr>
              <w:t>课堂结束后自动生成报告，</w:t>
            </w:r>
            <w:r>
              <w:rPr>
                <w:rFonts w:hint="eastAsia" w:ascii="宋体" w:hAnsi="宋体" w:eastAsia="宋体" w:cs="宋体"/>
                <w:sz w:val="21"/>
                <w:szCs w:val="21"/>
              </w:rPr>
              <w:t>支持按班级或学生生成课堂互动结果统计报表，包括所有</w:t>
            </w:r>
            <w:r>
              <w:rPr>
                <w:rFonts w:hint="eastAsia" w:ascii="宋体" w:hAnsi="宋体" w:eastAsia="宋体" w:cs="宋体"/>
                <w:color w:val="000000"/>
                <w:kern w:val="0"/>
                <w:sz w:val="21"/>
                <w:szCs w:val="21"/>
              </w:rPr>
              <w:t>学生正确率及参与率的数据，为教学管理提供真实可靠的大数据支撑</w:t>
            </w:r>
            <w:r>
              <w:rPr>
                <w:rFonts w:hint="eastAsia" w:ascii="宋体" w:hAnsi="宋体" w:eastAsia="宋体" w:cs="宋体"/>
                <w:sz w:val="21"/>
                <w:szCs w:val="21"/>
              </w:rPr>
              <w:t>。</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rPr>
              <w:t>云平台系统可生成学生错题本（单选、判断题、多选题），学生账号可登录查看并订正</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rPr>
              <w:t>互动软件答题功能：答题类型包括单题单选、单题多选、判断、语音测评（中/英文）、语音识别（中/英文）、麦克风（单人/多人）、跟读评测。</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互动软件可将互动结果展示出来，单题单选、单题多选、判断题型生成统计结果，点击不同选项可查看详细作答学生名单，为老师教学提供数据统计分析。</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11</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悬浮快捷按钮：互动软件不用时最小化为悬浮快捷按钮，老师随时可以通过点击悬浮窗打开/隐藏软件操作界面。</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bookmarkStart w:id="28" w:name="_Hlk41556782"/>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12</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互动软件语音评测（中/英文）可对学生发音进行评分，评分结果在学生答题器和软件互动界面展现</w:t>
            </w:r>
            <w:bookmarkEnd w:id="28"/>
            <w:r>
              <w:rPr>
                <w:rFonts w:hint="eastAsia" w:ascii="宋体" w:hAnsi="宋体" w:eastAsia="宋体" w:cs="宋体"/>
                <w:color w:val="000000" w:themeColor="text1"/>
                <w:sz w:val="21"/>
                <w:szCs w:val="21"/>
                <w14:textFill>
                  <w14:solidFill>
                    <w14:schemeClr w14:val="tx1"/>
                  </w14:solidFill>
                </w14:textFill>
              </w:rPr>
              <w:t>，支持老师根据模板导入相关评测内容。</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13</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互动软件语音题型支持点名及随机点名方式提问，被点名学生声音可通过音响设备广播。</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14</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互动软件平台需要已经对接主流版本教材资源、题库资源。</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15</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互动软件跟读评测题型需接入主流版本的英语教材跟读资源，方便老师选择使用，支持领读后同时可对学生发音评分，支持学生语音跟读内容回放功能。</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16</w:t>
            </w:r>
            <w:r>
              <w:rPr>
                <w:rFonts w:hint="eastAsia" w:ascii="宋体" w:hAnsi="宋体" w:eastAsia="宋体" w:cs="宋体"/>
                <w:sz w:val="21"/>
                <w:szCs w:val="21"/>
                <w:lang w:eastAsia="zh-CN"/>
              </w:rPr>
              <w:t>）</w:t>
            </w:r>
            <w:r>
              <w:rPr>
                <w:rFonts w:hint="eastAsia" w:ascii="宋体" w:hAnsi="宋体" w:eastAsia="宋体" w:cs="宋体"/>
                <w:sz w:val="21"/>
                <w:szCs w:val="21"/>
              </w:rPr>
              <w:t>互动软件支持答题倒计时设置，时间到将自动停止学生答题。</w:t>
            </w:r>
          </w:p>
          <w:p>
            <w:pPr>
              <w:pStyle w:val="6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17</w:t>
            </w:r>
            <w:r>
              <w:rPr>
                <w:rFonts w:hint="eastAsia" w:ascii="宋体" w:hAnsi="宋体" w:eastAsia="宋体" w:cs="宋体"/>
                <w:sz w:val="21"/>
                <w:szCs w:val="21"/>
                <w:lang w:eastAsia="zh-CN"/>
              </w:rPr>
              <w:t>）</w:t>
            </w:r>
            <w:r>
              <w:rPr>
                <w:rFonts w:hint="eastAsia" w:ascii="宋体" w:hAnsi="宋体" w:eastAsia="宋体" w:cs="宋体"/>
                <w:sz w:val="21"/>
                <w:szCs w:val="21"/>
              </w:rPr>
              <w:t>互动软件涂鸦、截屏功能；涂鸦</w:t>
            </w:r>
            <w:r>
              <w:rPr>
                <w:rFonts w:hint="eastAsia" w:ascii="宋体" w:hAnsi="宋体" w:eastAsia="宋体" w:cs="宋体"/>
                <w:color w:val="000000"/>
                <w:kern w:val="0"/>
                <w:sz w:val="21"/>
                <w:szCs w:val="21"/>
              </w:rPr>
              <w:t>集成电子白板功能，教师可以直接在任意的电子课件界面上使用画笔进行批注，可以</w:t>
            </w:r>
            <w:r>
              <w:rPr>
                <w:rFonts w:hint="eastAsia" w:ascii="宋体" w:hAnsi="宋体" w:eastAsia="宋体" w:cs="宋体"/>
                <w:color w:val="000000"/>
                <w:kern w:val="0"/>
                <w:sz w:val="21"/>
                <w:szCs w:val="21"/>
                <w:lang w:eastAsia="zh-CN"/>
              </w:rPr>
              <w:t>撤销</w:t>
            </w:r>
            <w:r>
              <w:rPr>
                <w:rFonts w:hint="eastAsia" w:ascii="宋体" w:hAnsi="宋体" w:eastAsia="宋体" w:cs="宋体"/>
                <w:color w:val="000000"/>
                <w:kern w:val="0"/>
                <w:sz w:val="21"/>
                <w:szCs w:val="21"/>
              </w:rPr>
              <w:t>，支持一键清屏</w:t>
            </w:r>
            <w:r>
              <w:rPr>
                <w:rFonts w:hint="eastAsia" w:ascii="宋体" w:hAnsi="宋体" w:eastAsia="宋体" w:cs="宋体"/>
                <w:sz w:val="21"/>
                <w:szCs w:val="21"/>
              </w:rPr>
              <w:t>。</w:t>
            </w:r>
          </w:p>
        </w:tc>
      </w:tr>
    </w:tbl>
    <w:p>
      <w:pPr>
        <w:numPr>
          <w:ilvl w:val="0"/>
          <w:numId w:val="0"/>
        </w:numPr>
        <w:jc w:val="center"/>
        <w:rPr>
          <w:rFonts w:hint="eastAsia" w:ascii="宋体" w:hAnsi="宋体" w:eastAsia="宋体" w:cs="宋体"/>
          <w:sz w:val="21"/>
          <w:szCs w:val="21"/>
          <w:vertAlign w:val="baseline"/>
          <w:lang w:val="en-US" w:eastAsia="zh-CN"/>
        </w:rPr>
      </w:pPr>
    </w:p>
    <w:p>
      <w:pPr>
        <w:numPr>
          <w:ilvl w:val="0"/>
          <w:numId w:val="0"/>
        </w:num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1"/>
          <w:szCs w:val="21"/>
          <w:vertAlign w:val="baseline"/>
          <w:lang w:val="en-US" w:eastAsia="zh-CN"/>
        </w:rPr>
        <w:t>听讲教室设备</w:t>
      </w:r>
    </w:p>
    <w:tbl>
      <w:tblPr>
        <w:tblStyle w:val="44"/>
        <w:tblpPr w:leftFromText="180" w:rightFromText="180" w:vertAnchor="text" w:horzAnchor="page" w:tblpX="1787" w:tblpY="290"/>
        <w:tblOverlap w:val="never"/>
        <w:tblW w:w="85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3"/>
        <w:gridCol w:w="1075"/>
        <w:gridCol w:w="4937"/>
        <w:gridCol w:w="938"/>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序号</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设备</w:t>
            </w:r>
          </w:p>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名称</w:t>
            </w:r>
          </w:p>
        </w:tc>
        <w:tc>
          <w:tcPr>
            <w:tcW w:w="493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numPr>
                <w:ilvl w:val="0"/>
                <w:numId w:val="0"/>
              </w:numPr>
              <w:jc w:val="center"/>
              <w:rPr>
                <w:rFonts w:hint="default" w:ascii="宋体" w:hAnsi="宋体" w:eastAsia="宋体" w:cs="宋体"/>
                <w:sz w:val="21"/>
                <w:szCs w:val="21"/>
                <w:vertAlign w:val="baseline"/>
                <w:lang w:val="en-US" w:eastAsia="zh-CN"/>
              </w:rPr>
            </w:pPr>
          </w:p>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60288" behindDoc="0" locked="0" layoutInCell="1" allowOverlap="1">
                  <wp:simplePos x="0" y="0"/>
                  <wp:positionH relativeFrom="column">
                    <wp:posOffset>417195</wp:posOffset>
                  </wp:positionH>
                  <wp:positionV relativeFrom="paragraph">
                    <wp:posOffset>0</wp:posOffset>
                  </wp:positionV>
                  <wp:extent cx="188595" cy="114935"/>
                  <wp:effectExtent l="0" t="0" r="0" b="0"/>
                  <wp:wrapNone/>
                  <wp:docPr id="13" name="矩形_7"/>
                  <wp:cNvGraphicFramePr/>
                  <a:graphic xmlns:a="http://schemas.openxmlformats.org/drawingml/2006/main">
                    <a:graphicData uri="http://schemas.openxmlformats.org/drawingml/2006/picture">
                      <pic:pic xmlns:pic="http://schemas.openxmlformats.org/drawingml/2006/picture">
                        <pic:nvPicPr>
                          <pic:cNvPr id="13" name="矩形_7"/>
                          <pic:cNvPicPr/>
                        </pic:nvPicPr>
                        <pic:blipFill>
                          <a:blip r:embed="rId15"/>
                          <a:stretch>
                            <a:fillRect/>
                          </a:stretch>
                        </pic:blipFill>
                        <pic:spPr>
                          <a:xfrm>
                            <a:off x="0" y="0"/>
                            <a:ext cx="188595" cy="114935"/>
                          </a:xfrm>
                          <a:prstGeom prst="rect">
                            <a:avLst/>
                          </a:prstGeom>
                          <a:noFill/>
                          <a:ln>
                            <a:noFill/>
                          </a:ln>
                        </pic:spPr>
                      </pic:pic>
                    </a:graphicData>
                  </a:graphic>
                </wp:anchor>
              </w:drawing>
            </w:r>
            <w:r>
              <w:rPr>
                <w:rFonts w:hint="default" w:ascii="宋体" w:hAnsi="宋体" w:eastAsia="宋体" w:cs="宋体"/>
                <w:sz w:val="21"/>
                <w:szCs w:val="21"/>
                <w:vertAlign w:val="baseline"/>
                <w:lang w:val="en-US" w:eastAsia="zh-CN"/>
              </w:rPr>
              <w:drawing>
                <wp:anchor distT="0" distB="0" distL="114300" distR="114300" simplePos="0" relativeHeight="251660288" behindDoc="0" locked="0" layoutInCell="1" allowOverlap="1">
                  <wp:simplePos x="0" y="0"/>
                  <wp:positionH relativeFrom="column">
                    <wp:posOffset>417195</wp:posOffset>
                  </wp:positionH>
                  <wp:positionV relativeFrom="paragraph">
                    <wp:posOffset>0</wp:posOffset>
                  </wp:positionV>
                  <wp:extent cx="188595" cy="114935"/>
                  <wp:effectExtent l="0" t="0" r="0" b="0"/>
                  <wp:wrapNone/>
                  <wp:docPr id="4" name="矩形_7_SpCnt_1"/>
                  <wp:cNvGraphicFramePr/>
                  <a:graphic xmlns:a="http://schemas.openxmlformats.org/drawingml/2006/main">
                    <a:graphicData uri="http://schemas.openxmlformats.org/drawingml/2006/picture">
                      <pic:pic xmlns:pic="http://schemas.openxmlformats.org/drawingml/2006/picture">
                        <pic:nvPicPr>
                          <pic:cNvPr id="4" name="矩形_7_SpCnt_1"/>
                          <pic:cNvPicPr/>
                        </pic:nvPicPr>
                        <pic:blipFill>
                          <a:blip r:embed="rId15"/>
                          <a:stretch>
                            <a:fillRect/>
                          </a:stretch>
                        </pic:blipFill>
                        <pic:spPr>
                          <a:xfrm>
                            <a:off x="0" y="0"/>
                            <a:ext cx="188595" cy="114935"/>
                          </a:xfrm>
                          <a:prstGeom prst="rect">
                            <a:avLst/>
                          </a:prstGeom>
                          <a:noFill/>
                          <a:ln>
                            <a:noFill/>
                          </a:ln>
                        </pic:spPr>
                      </pic:pic>
                    </a:graphicData>
                  </a:graphic>
                </wp:anchor>
              </w:drawing>
            </w:r>
            <w:r>
              <w:rPr>
                <w:rFonts w:hint="default" w:ascii="宋体" w:hAnsi="宋体" w:eastAsia="宋体" w:cs="宋体"/>
                <w:sz w:val="21"/>
                <w:szCs w:val="21"/>
                <w:vertAlign w:val="baseline"/>
                <w:lang w:val="en-US" w:eastAsia="zh-CN"/>
              </w:rPr>
              <w:drawing>
                <wp:anchor distT="0" distB="0" distL="114300" distR="114300" simplePos="0" relativeHeight="251660288" behindDoc="0" locked="0" layoutInCell="1" allowOverlap="1">
                  <wp:simplePos x="0" y="0"/>
                  <wp:positionH relativeFrom="column">
                    <wp:posOffset>417195</wp:posOffset>
                  </wp:positionH>
                  <wp:positionV relativeFrom="paragraph">
                    <wp:posOffset>0</wp:posOffset>
                  </wp:positionV>
                  <wp:extent cx="188595" cy="114935"/>
                  <wp:effectExtent l="0" t="0" r="0" b="0"/>
                  <wp:wrapNone/>
                  <wp:docPr id="3" name="矩形_7_SpCnt_2"/>
                  <wp:cNvGraphicFramePr/>
                  <a:graphic xmlns:a="http://schemas.openxmlformats.org/drawingml/2006/main">
                    <a:graphicData uri="http://schemas.openxmlformats.org/drawingml/2006/picture">
                      <pic:pic xmlns:pic="http://schemas.openxmlformats.org/drawingml/2006/picture">
                        <pic:nvPicPr>
                          <pic:cNvPr id="3" name="矩形_7_SpCnt_2"/>
                          <pic:cNvPicPr/>
                        </pic:nvPicPr>
                        <pic:blipFill>
                          <a:blip r:embed="rId15"/>
                          <a:stretch>
                            <a:fillRect/>
                          </a:stretch>
                        </pic:blipFill>
                        <pic:spPr>
                          <a:xfrm>
                            <a:off x="0" y="0"/>
                            <a:ext cx="188595" cy="114935"/>
                          </a:xfrm>
                          <a:prstGeom prst="rect">
                            <a:avLst/>
                          </a:prstGeom>
                          <a:noFill/>
                          <a:ln>
                            <a:noFill/>
                          </a:ln>
                        </pic:spPr>
                      </pic:pic>
                    </a:graphicData>
                  </a:graphic>
                </wp:anchor>
              </w:drawing>
            </w:r>
            <w:r>
              <w:rPr>
                <w:rFonts w:hint="default" w:ascii="宋体" w:hAnsi="宋体" w:eastAsia="宋体" w:cs="宋体"/>
                <w:sz w:val="21"/>
                <w:szCs w:val="21"/>
                <w:vertAlign w:val="baseline"/>
                <w:lang w:val="en-US" w:eastAsia="zh-CN"/>
              </w:rPr>
              <w:drawing>
                <wp:anchor distT="0" distB="0" distL="114300" distR="114300" simplePos="0" relativeHeight="251660288" behindDoc="0" locked="0" layoutInCell="1" allowOverlap="1">
                  <wp:simplePos x="0" y="0"/>
                  <wp:positionH relativeFrom="column">
                    <wp:posOffset>417195</wp:posOffset>
                  </wp:positionH>
                  <wp:positionV relativeFrom="paragraph">
                    <wp:posOffset>0</wp:posOffset>
                  </wp:positionV>
                  <wp:extent cx="188595" cy="114935"/>
                  <wp:effectExtent l="0" t="0" r="0" b="0"/>
                  <wp:wrapNone/>
                  <wp:docPr id="8" name="矩形_7_SpCnt_3"/>
                  <wp:cNvGraphicFramePr/>
                  <a:graphic xmlns:a="http://schemas.openxmlformats.org/drawingml/2006/main">
                    <a:graphicData uri="http://schemas.openxmlformats.org/drawingml/2006/picture">
                      <pic:pic xmlns:pic="http://schemas.openxmlformats.org/drawingml/2006/picture">
                        <pic:nvPicPr>
                          <pic:cNvPr id="8" name="矩形_7_SpCnt_3"/>
                          <pic:cNvPicPr/>
                        </pic:nvPicPr>
                        <pic:blipFill>
                          <a:blip r:embed="rId15"/>
                          <a:stretch>
                            <a:fillRect/>
                          </a:stretch>
                        </pic:blipFill>
                        <pic:spPr>
                          <a:xfrm>
                            <a:off x="0" y="0"/>
                            <a:ext cx="188595" cy="114935"/>
                          </a:xfrm>
                          <a:prstGeom prst="rect">
                            <a:avLst/>
                          </a:prstGeom>
                          <a:noFill/>
                          <a:ln>
                            <a:noFill/>
                          </a:ln>
                        </pic:spPr>
                      </pic:pic>
                    </a:graphicData>
                  </a:graphic>
                </wp:anchor>
              </w:drawing>
            </w:r>
            <w:r>
              <w:rPr>
                <w:rFonts w:hint="default" w:ascii="宋体" w:hAnsi="宋体" w:eastAsia="宋体" w:cs="宋体"/>
                <w:sz w:val="21"/>
                <w:szCs w:val="21"/>
                <w:vertAlign w:val="baseline"/>
                <w:lang w:val="en-US" w:eastAsia="zh-CN"/>
              </w:rPr>
              <w:drawing>
                <wp:anchor distT="0" distB="0" distL="114300" distR="114300" simplePos="0" relativeHeight="251660288" behindDoc="0" locked="0" layoutInCell="1" allowOverlap="1">
                  <wp:simplePos x="0" y="0"/>
                  <wp:positionH relativeFrom="column">
                    <wp:posOffset>417195</wp:posOffset>
                  </wp:positionH>
                  <wp:positionV relativeFrom="paragraph">
                    <wp:posOffset>0</wp:posOffset>
                  </wp:positionV>
                  <wp:extent cx="188595" cy="114935"/>
                  <wp:effectExtent l="0" t="0" r="0" b="0"/>
                  <wp:wrapNone/>
                  <wp:docPr id="14" name="矩形_7_SpCnt_4"/>
                  <wp:cNvGraphicFramePr/>
                  <a:graphic xmlns:a="http://schemas.openxmlformats.org/drawingml/2006/main">
                    <a:graphicData uri="http://schemas.openxmlformats.org/drawingml/2006/picture">
                      <pic:pic xmlns:pic="http://schemas.openxmlformats.org/drawingml/2006/picture">
                        <pic:nvPicPr>
                          <pic:cNvPr id="14" name="矩形_7_SpCnt_4"/>
                          <pic:cNvPicPr/>
                        </pic:nvPicPr>
                        <pic:blipFill>
                          <a:blip r:embed="rId15"/>
                          <a:stretch>
                            <a:fillRect/>
                          </a:stretch>
                        </pic:blipFill>
                        <pic:spPr>
                          <a:xfrm>
                            <a:off x="0" y="0"/>
                            <a:ext cx="188595" cy="114935"/>
                          </a:xfrm>
                          <a:prstGeom prst="rect">
                            <a:avLst/>
                          </a:prstGeom>
                          <a:noFill/>
                          <a:ln>
                            <a:noFill/>
                          </a:ln>
                        </pic:spPr>
                      </pic:pic>
                    </a:graphicData>
                  </a:graphic>
                </wp:anchor>
              </w:drawing>
            </w:r>
            <w:r>
              <w:rPr>
                <w:rFonts w:hint="default" w:ascii="宋体" w:hAnsi="宋体" w:eastAsia="宋体" w:cs="宋体"/>
                <w:sz w:val="21"/>
                <w:szCs w:val="21"/>
                <w:vertAlign w:val="baseline"/>
                <w:lang w:val="en-US" w:eastAsia="zh-CN"/>
              </w:rPr>
              <w:drawing>
                <wp:anchor distT="0" distB="0" distL="114300" distR="114300" simplePos="0" relativeHeight="251660288" behindDoc="0" locked="0" layoutInCell="1" allowOverlap="1">
                  <wp:simplePos x="0" y="0"/>
                  <wp:positionH relativeFrom="column">
                    <wp:posOffset>417195</wp:posOffset>
                  </wp:positionH>
                  <wp:positionV relativeFrom="paragraph">
                    <wp:posOffset>0</wp:posOffset>
                  </wp:positionV>
                  <wp:extent cx="188595" cy="114935"/>
                  <wp:effectExtent l="0" t="0" r="0" b="0"/>
                  <wp:wrapNone/>
                  <wp:docPr id="1" name="矩形_7_SpCnt_5"/>
                  <wp:cNvGraphicFramePr/>
                  <a:graphic xmlns:a="http://schemas.openxmlformats.org/drawingml/2006/main">
                    <a:graphicData uri="http://schemas.openxmlformats.org/drawingml/2006/picture">
                      <pic:pic xmlns:pic="http://schemas.openxmlformats.org/drawingml/2006/picture">
                        <pic:nvPicPr>
                          <pic:cNvPr id="1" name="矩形_7_SpCnt_5"/>
                          <pic:cNvPicPr/>
                        </pic:nvPicPr>
                        <pic:blipFill>
                          <a:blip r:embed="rId15"/>
                          <a:stretch>
                            <a:fillRect/>
                          </a:stretch>
                        </pic:blipFill>
                        <pic:spPr>
                          <a:xfrm>
                            <a:off x="0" y="0"/>
                            <a:ext cx="188595" cy="114935"/>
                          </a:xfrm>
                          <a:prstGeom prst="rect">
                            <a:avLst/>
                          </a:prstGeom>
                          <a:noFill/>
                          <a:ln>
                            <a:noFill/>
                          </a:ln>
                        </pic:spPr>
                      </pic:pic>
                    </a:graphicData>
                  </a:graphic>
                </wp:anchor>
              </w:drawing>
            </w:r>
            <w:r>
              <w:rPr>
                <w:rFonts w:hint="default" w:ascii="宋体" w:hAnsi="宋体" w:eastAsia="宋体" w:cs="宋体"/>
                <w:sz w:val="21"/>
                <w:szCs w:val="21"/>
                <w:vertAlign w:val="baseline"/>
                <w:lang w:val="en-US" w:eastAsia="zh-CN"/>
              </w:rPr>
              <w:t>主要技术参数</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 xml:space="preserve">1 </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智慧教育互动录播主机</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default" w:ascii="宋体" w:hAnsi="宋体" w:eastAsia="宋体" w:cs="宋体"/>
                <w:sz w:val="21"/>
                <w:szCs w:val="21"/>
                <w:vertAlign w:val="baseline"/>
                <w:lang w:val="en-US" w:eastAsia="zh-CN"/>
              </w:rPr>
              <w:t>为了系统的安全稳定， 要求录播主机必须采用嵌入式硬件设计，内置Linux操作系统，支持7*24小时工作；不接受PC架构以及服务器设计方式；</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lang w:val="en-US" w:eastAsia="zh-CN"/>
              </w:rPr>
              <w:t>系统集成录播系统、音频处理、编解码技术为一体，更符合信息化行业有关产品发展微小型化、低功耗、智能化和高可靠性政策；</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（3）</w:t>
            </w:r>
            <w:r>
              <w:rPr>
                <w:rFonts w:hint="default" w:ascii="宋体" w:hAnsi="宋体" w:eastAsia="宋体" w:cs="宋体"/>
                <w:sz w:val="21"/>
                <w:szCs w:val="21"/>
                <w:vertAlign w:val="baseline"/>
                <w:lang w:val="en-US" w:eastAsia="zh-CN"/>
              </w:rPr>
              <w:t>支持不小于5路高清3G-SDI、支持不小于1路HDMI输入接口；支持不小于1路VGA输入接口，不小于2路HDMI接口视频输出；</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（4）</w:t>
            </w:r>
            <w:r>
              <w:rPr>
                <w:rFonts w:hint="default" w:ascii="宋体" w:hAnsi="宋体" w:eastAsia="宋体" w:cs="宋体"/>
                <w:sz w:val="21"/>
                <w:szCs w:val="21"/>
                <w:vertAlign w:val="baseline"/>
                <w:lang w:val="en-US" w:eastAsia="zh-CN"/>
              </w:rPr>
              <w:t>录播主机支持本地导播功能，接上鼠标、标准键盘与显示器就可实现无延时本地导播，可以扩展硬件导播台；</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（5）</w:t>
            </w:r>
            <w:r>
              <w:rPr>
                <w:rFonts w:hint="default" w:ascii="宋体" w:hAnsi="宋体" w:eastAsia="宋体" w:cs="宋体"/>
                <w:sz w:val="21"/>
                <w:szCs w:val="21"/>
                <w:vertAlign w:val="baseline"/>
                <w:lang w:val="en-US" w:eastAsia="zh-CN"/>
              </w:rPr>
              <w:t>为了便于录播主机连接鼠、标准键盘、导播控制键盘、双USB移动存储设备，要求录播主机支持不小于5路USB接口 ；</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（6）</w:t>
            </w:r>
            <w:r>
              <w:rPr>
                <w:rFonts w:hint="default" w:ascii="宋体" w:hAnsi="宋体" w:eastAsia="宋体" w:cs="宋体"/>
                <w:sz w:val="21"/>
                <w:szCs w:val="21"/>
                <w:vertAlign w:val="baseline"/>
                <w:lang w:val="en-US" w:eastAsia="zh-CN"/>
              </w:rPr>
              <w:t>录播主机支持不小于1路千兆RJ45网络接口；</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（7）</w:t>
            </w:r>
            <w:r>
              <w:rPr>
                <w:rFonts w:hint="default" w:ascii="宋体" w:hAnsi="宋体" w:eastAsia="宋体" w:cs="宋体"/>
                <w:sz w:val="21"/>
                <w:szCs w:val="21"/>
                <w:vertAlign w:val="baseline"/>
                <w:lang w:val="en-US" w:eastAsia="zh-CN"/>
              </w:rPr>
              <w:t>主机包含Reset按键，可以实现出厂设置恢复，能够实时初始化系统状态；</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（8）</w:t>
            </w:r>
            <w:r>
              <w:rPr>
                <w:rFonts w:hint="default" w:ascii="宋体" w:hAnsi="宋体" w:eastAsia="宋体" w:cs="宋体"/>
                <w:sz w:val="21"/>
                <w:szCs w:val="21"/>
                <w:vertAlign w:val="baseline"/>
                <w:lang w:val="en-US" w:eastAsia="zh-CN"/>
              </w:rPr>
              <w:t>主机前面板配置液晶屏，支持显示主机版本、IP地址等信息，实时清晰管理设备操控，为确保清晰显示，液晶屏尺寸不小于2寸；</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（9）</w:t>
            </w:r>
            <w:r>
              <w:rPr>
                <w:rFonts w:hint="default" w:ascii="宋体" w:hAnsi="宋体" w:eastAsia="宋体" w:cs="宋体"/>
                <w:sz w:val="21"/>
                <w:szCs w:val="21"/>
                <w:vertAlign w:val="baseline"/>
                <w:lang w:val="en-US" w:eastAsia="zh-CN"/>
              </w:rPr>
              <w:t xml:space="preserve">控制接口不小于8路，可用于控制摄像机云台与控制面板等设备；  </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（10）</w:t>
            </w:r>
            <w:r>
              <w:rPr>
                <w:rFonts w:hint="default" w:ascii="宋体" w:hAnsi="宋体" w:eastAsia="宋体" w:cs="宋体"/>
                <w:sz w:val="21"/>
                <w:szCs w:val="21"/>
                <w:vertAlign w:val="baseline"/>
                <w:lang w:val="en-US" w:eastAsia="zh-CN"/>
              </w:rPr>
              <w:t>系统内置不小于2T存储空间，支持双硬盘接入，最大支持不少于16T硬盘存储空间，录制文件既可存储在本地硬盘，可以上传到云资源管理平台或第三方FTP服务器；</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（11）</w:t>
            </w:r>
            <w:r>
              <w:rPr>
                <w:rFonts w:hint="default" w:ascii="宋体" w:hAnsi="宋体" w:eastAsia="宋体" w:cs="宋体"/>
                <w:sz w:val="21"/>
                <w:szCs w:val="21"/>
                <w:vertAlign w:val="baseline"/>
                <w:lang w:val="en-US" w:eastAsia="zh-CN"/>
              </w:rPr>
              <w:t>支持H.323、SIP协议，能够对接第三方视频会议终端，实现互动场景录制</w:t>
            </w:r>
            <w:r>
              <w:rPr>
                <w:rFonts w:hint="eastAsia" w:ascii="宋体" w:hAnsi="宋体" w:eastAsia="宋体" w:cs="宋体"/>
                <w:sz w:val="21"/>
                <w:szCs w:val="21"/>
                <w:vertAlign w:val="baseline"/>
                <w:lang w:val="en-US"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 xml:space="preserve">2 </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多媒体录播一体机软件</w:t>
            </w:r>
          </w:p>
        </w:tc>
        <w:tc>
          <w:tcPr>
            <w:tcW w:w="4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default" w:ascii="宋体" w:hAnsi="宋体" w:eastAsia="宋体" w:cs="宋体"/>
                <w:sz w:val="21"/>
                <w:szCs w:val="21"/>
                <w:vertAlign w:val="baseline"/>
                <w:lang w:val="en-US" w:eastAsia="zh-CN"/>
              </w:rPr>
              <w:t>录播主机系统软件须出厂即安装于录播主机内，要求支持网络导播与本地导播两种导播方式；</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lang w:val="en-US" w:eastAsia="zh-CN"/>
              </w:rPr>
              <w:t>为了更清楚了解系统状态，系统应支持版本信息、序列号、设备型号、硬盘空间、剩余硬盘空间、跟踪机位信息、网络连接、平台接入信息等显示；</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（3）</w:t>
            </w:r>
            <w:r>
              <w:rPr>
                <w:rFonts w:hint="default" w:ascii="宋体" w:hAnsi="宋体" w:eastAsia="宋体" w:cs="宋体"/>
                <w:sz w:val="21"/>
                <w:szCs w:val="21"/>
                <w:vertAlign w:val="baseline"/>
                <w:lang w:val="en-US" w:eastAsia="zh-CN"/>
              </w:rPr>
              <w:t>支持远程登录管理系统，可设置用户密码、视频输入、视频输出、互动、推流方式及模式、VGA图像微调等功能；</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（4）</w:t>
            </w:r>
            <w:r>
              <w:rPr>
                <w:rFonts w:hint="default" w:ascii="宋体" w:hAnsi="宋体" w:eastAsia="宋体" w:cs="宋体"/>
                <w:sz w:val="21"/>
                <w:szCs w:val="21"/>
                <w:vertAlign w:val="baseline"/>
                <w:lang w:val="en-US" w:eastAsia="zh-CN"/>
              </w:rPr>
              <w:t>系统支持视频文件上传、下载、异常修复、本地点播、删除等基本功能，支持通过状态标记自动检测课件上传是否成功，对于状态标记上传失败的课件资源支持人工手动续传；</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（5）</w:t>
            </w:r>
            <w:r>
              <w:rPr>
                <w:rFonts w:hint="default" w:ascii="宋体" w:hAnsi="宋体" w:eastAsia="宋体" w:cs="宋体"/>
                <w:sz w:val="21"/>
                <w:szCs w:val="21"/>
                <w:vertAlign w:val="baseline"/>
                <w:lang w:val="en-US" w:eastAsia="zh-CN"/>
              </w:rPr>
              <w:t>系统支持插入外接移动存储设备一键拷贝下载功能，并可选择多路外接移动设备；</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（6）</w:t>
            </w:r>
            <w:r>
              <w:rPr>
                <w:rFonts w:hint="default" w:ascii="宋体" w:hAnsi="宋体" w:eastAsia="宋体" w:cs="宋体"/>
                <w:sz w:val="21"/>
                <w:szCs w:val="21"/>
                <w:vertAlign w:val="baseline"/>
                <w:lang w:val="en-US" w:eastAsia="zh-CN"/>
              </w:rPr>
              <w:t>系统支持异常课件修复功能，在录制过程中或其他不可抗拒因素导致设备突然断电使录制的课件异常时，可通过录播主机管理页面一键修复功能，修复异常课件为正常课件资源；</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（7）</w:t>
            </w:r>
            <w:r>
              <w:rPr>
                <w:rFonts w:hint="default" w:ascii="宋体" w:hAnsi="宋体" w:eastAsia="宋体" w:cs="宋体"/>
                <w:sz w:val="21"/>
                <w:szCs w:val="21"/>
                <w:vertAlign w:val="baseline"/>
                <w:lang w:val="en-US" w:eastAsia="zh-CN"/>
              </w:rPr>
              <w:t>系统采用主流RTMP/RTSP/HTTP流媒体直播推送技术，支持基于Flash技术和HTML5技术的直播和点播方式，能够让用户免安装插件即可接收和观看直播和点播，无论在移动端还是电脑端都享受一流视频观看体验；</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（8）</w:t>
            </w:r>
            <w:r>
              <w:rPr>
                <w:rFonts w:hint="default" w:ascii="宋体" w:hAnsi="宋体" w:eastAsia="宋体" w:cs="宋体"/>
                <w:sz w:val="21"/>
                <w:szCs w:val="21"/>
                <w:vertAlign w:val="baseline"/>
                <w:lang w:val="en-US" w:eastAsia="zh-CN"/>
              </w:rPr>
              <w:t>要求系统支持高低码流直播，并可以单独控制每一路直播的启用与停止；</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（9）</w:t>
            </w:r>
            <w:r>
              <w:rPr>
                <w:rFonts w:hint="default" w:ascii="宋体" w:hAnsi="宋体" w:eastAsia="宋体" w:cs="宋体"/>
                <w:sz w:val="21"/>
                <w:szCs w:val="21"/>
                <w:vertAlign w:val="baseline"/>
                <w:lang w:val="en-US" w:eastAsia="zh-CN"/>
              </w:rPr>
              <w:t>系统支持音频管理，可以进行回声消除、噪声消除、延时器、音量等设置；</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（10）</w:t>
            </w:r>
            <w:r>
              <w:rPr>
                <w:rFonts w:hint="default" w:ascii="宋体" w:hAnsi="宋体" w:eastAsia="宋体" w:cs="宋体"/>
                <w:sz w:val="21"/>
                <w:szCs w:val="21"/>
                <w:vertAlign w:val="baseline"/>
                <w:lang w:val="en-US" w:eastAsia="zh-CN"/>
              </w:rPr>
              <w:t>系统支持输入接口管理，显示当前接口信息与连接状态；</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（11）</w:t>
            </w:r>
            <w:r>
              <w:rPr>
                <w:rFonts w:hint="default" w:ascii="宋体" w:hAnsi="宋体" w:eastAsia="宋体" w:cs="宋体"/>
                <w:sz w:val="21"/>
                <w:szCs w:val="21"/>
                <w:vertAlign w:val="baseline"/>
                <w:lang w:val="en-US" w:eastAsia="zh-CN"/>
              </w:rPr>
              <w:t>系统支持与资源平台无缝对接，实现视频自动上传功能，可以兼容多种资源管理平台与第三方FTP服务器；</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（12）</w:t>
            </w:r>
            <w:r>
              <w:rPr>
                <w:rFonts w:hint="default" w:ascii="宋体" w:hAnsi="宋体" w:eastAsia="宋体" w:cs="宋体"/>
                <w:sz w:val="21"/>
                <w:szCs w:val="21"/>
                <w:vertAlign w:val="baseline"/>
                <w:lang w:val="en-US" w:eastAsia="zh-CN"/>
              </w:rPr>
              <w:t>系统可以设置多种教室类型，支持常规教室、互动录播教室与第三方互动录播教室三种模式；</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（13）</w:t>
            </w:r>
            <w:r>
              <w:rPr>
                <w:rFonts w:hint="default" w:ascii="宋体" w:hAnsi="宋体" w:eastAsia="宋体" w:cs="宋体"/>
                <w:sz w:val="21"/>
                <w:szCs w:val="21"/>
                <w:vertAlign w:val="baseline"/>
                <w:lang w:val="en-US" w:eastAsia="zh-CN"/>
              </w:rPr>
              <w:t>录播系统内置互动功能，支持标准H.323和SIP协议，支持与标准视频会议系统对接实现互动教学；</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（14）</w:t>
            </w:r>
            <w:r>
              <w:rPr>
                <w:rFonts w:hint="default" w:ascii="宋体" w:hAnsi="宋体" w:eastAsia="宋体" w:cs="宋体"/>
                <w:sz w:val="21"/>
                <w:szCs w:val="21"/>
                <w:vertAlign w:val="baseline"/>
                <w:lang w:val="en-US" w:eastAsia="zh-CN"/>
              </w:rPr>
              <w:t>录播系统互动功能，要求支持录播主机与录播主机之间互动，录播主机与视频会议终端之间互动、录播主机与MCU之间互动等3种互动场景；</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（15）</w:t>
            </w:r>
            <w:r>
              <w:rPr>
                <w:rFonts w:hint="default" w:ascii="宋体" w:hAnsi="宋体" w:eastAsia="宋体" w:cs="宋体"/>
                <w:sz w:val="21"/>
                <w:szCs w:val="21"/>
                <w:vertAlign w:val="baseline"/>
                <w:lang w:val="en-US" w:eastAsia="zh-CN"/>
              </w:rPr>
              <w:t>录播系统互动功能要求同时支持公网与内网同时互动；</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（16）</w:t>
            </w:r>
            <w:r>
              <w:rPr>
                <w:rFonts w:hint="default" w:ascii="宋体" w:hAnsi="宋体" w:eastAsia="宋体" w:cs="宋体"/>
                <w:sz w:val="21"/>
                <w:szCs w:val="21"/>
                <w:vertAlign w:val="baseline"/>
                <w:lang w:val="en-US" w:eastAsia="zh-CN"/>
              </w:rPr>
              <w:t>录播系统支持双流、单流模式互动：单流互动时要求听讲教室一个屏幕即可显示主讲教室的人物视频主流画面与PPT或板书的辅流画面；双流互动时，听讲教室使用两台显示器，分别显示主流老师画面与副流电脑PPT、板书画面；</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（17）</w:t>
            </w:r>
            <w:r>
              <w:rPr>
                <w:rFonts w:hint="default" w:ascii="宋体" w:hAnsi="宋体" w:eastAsia="宋体" w:cs="宋体"/>
                <w:sz w:val="21"/>
                <w:szCs w:val="21"/>
                <w:vertAlign w:val="baseline"/>
                <w:lang w:val="en-US" w:eastAsia="zh-CN"/>
              </w:rPr>
              <w:t>主讲教室可根据需要切换互动模式，如自由讨论、课间休息、对讲模式等，各互动教室录播设备跟随互动模式变化，切换为对应的画面输出效果。</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（18）</w:t>
            </w:r>
            <w:r>
              <w:rPr>
                <w:rFonts w:hint="default" w:ascii="宋体" w:hAnsi="宋体" w:eastAsia="宋体" w:cs="宋体"/>
                <w:sz w:val="21"/>
                <w:szCs w:val="21"/>
                <w:vertAlign w:val="baseline"/>
                <w:lang w:val="en-US" w:eastAsia="zh-CN"/>
              </w:rPr>
              <w:t>系统支持一键式连接远程录播教室进行互动教学，支持互动教室数据的批量导入和导出功能；</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（19）</w:t>
            </w:r>
            <w:r>
              <w:rPr>
                <w:rFonts w:hint="default" w:ascii="宋体" w:hAnsi="宋体" w:eastAsia="宋体" w:cs="宋体"/>
                <w:sz w:val="21"/>
                <w:szCs w:val="21"/>
                <w:vertAlign w:val="baseline"/>
                <w:lang w:val="en-US" w:eastAsia="zh-CN"/>
              </w:rPr>
              <w:t>录播系统互动要求支持主讲教室与听讲教室两种角色自由切换；</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（20）</w:t>
            </w:r>
            <w:r>
              <w:rPr>
                <w:rFonts w:hint="default" w:ascii="宋体" w:hAnsi="宋体" w:eastAsia="宋体" w:cs="宋体"/>
                <w:sz w:val="21"/>
                <w:szCs w:val="21"/>
                <w:vertAlign w:val="baseline"/>
                <w:lang w:val="en-US" w:eastAsia="zh-CN"/>
              </w:rPr>
              <w:t>系统支持英文、简体、繁体三语版本切换，满足不同用户的应用需求</w:t>
            </w:r>
            <w:r>
              <w:rPr>
                <w:rFonts w:hint="eastAsia" w:ascii="宋体" w:hAnsi="宋体" w:eastAsia="宋体" w:cs="宋体"/>
                <w:sz w:val="21"/>
                <w:szCs w:val="21"/>
                <w:vertAlign w:val="baseline"/>
                <w:lang w:val="en-US"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 xml:space="preserve">3 </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双输出学生摄像机</w:t>
            </w:r>
          </w:p>
        </w:tc>
        <w:tc>
          <w:tcPr>
            <w:tcW w:w="4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both"/>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60288" behindDoc="0" locked="0" layoutInCell="1" allowOverlap="1">
                  <wp:simplePos x="0" y="0"/>
                  <wp:positionH relativeFrom="column">
                    <wp:posOffset>417195</wp:posOffset>
                  </wp:positionH>
                  <wp:positionV relativeFrom="paragraph">
                    <wp:posOffset>0</wp:posOffset>
                  </wp:positionV>
                  <wp:extent cx="188595" cy="114935"/>
                  <wp:effectExtent l="0" t="0" r="0" b="0"/>
                  <wp:wrapNone/>
                  <wp:docPr id="9" name="矩形_7_SpCnt_6"/>
                  <wp:cNvGraphicFramePr/>
                  <a:graphic xmlns:a="http://schemas.openxmlformats.org/drawingml/2006/main">
                    <a:graphicData uri="http://schemas.openxmlformats.org/drawingml/2006/picture">
                      <pic:pic xmlns:pic="http://schemas.openxmlformats.org/drawingml/2006/picture">
                        <pic:nvPicPr>
                          <pic:cNvPr id="9" name="矩形_7_SpCnt_6"/>
                          <pic:cNvPicPr/>
                        </pic:nvPicPr>
                        <pic:blipFill>
                          <a:blip r:embed="rId15"/>
                          <a:stretch>
                            <a:fillRect/>
                          </a:stretch>
                        </pic:blipFill>
                        <pic:spPr>
                          <a:xfrm>
                            <a:off x="0" y="0"/>
                            <a:ext cx="188595" cy="114935"/>
                          </a:xfrm>
                          <a:prstGeom prst="rect">
                            <a:avLst/>
                          </a:prstGeom>
                          <a:noFill/>
                          <a:ln>
                            <a:noFill/>
                          </a:ln>
                        </pic:spPr>
                      </pic:pic>
                    </a:graphicData>
                  </a:graphic>
                </wp:anchor>
              </w:drawing>
            </w:r>
            <w:r>
              <w:rPr>
                <w:rFonts w:hint="default" w:ascii="宋体" w:hAnsi="宋体" w:eastAsia="宋体" w:cs="宋体"/>
                <w:sz w:val="21"/>
                <w:szCs w:val="21"/>
                <w:vertAlign w:val="baseline"/>
                <w:lang w:val="en-US" w:eastAsia="zh-CN"/>
              </w:rPr>
              <w:drawing>
                <wp:anchor distT="0" distB="0" distL="114300" distR="114300" simplePos="0" relativeHeight="251660288" behindDoc="0" locked="0" layoutInCell="1" allowOverlap="1">
                  <wp:simplePos x="0" y="0"/>
                  <wp:positionH relativeFrom="column">
                    <wp:posOffset>417195</wp:posOffset>
                  </wp:positionH>
                  <wp:positionV relativeFrom="paragraph">
                    <wp:posOffset>0</wp:posOffset>
                  </wp:positionV>
                  <wp:extent cx="188595" cy="114935"/>
                  <wp:effectExtent l="0" t="0" r="0" b="0"/>
                  <wp:wrapNone/>
                  <wp:docPr id="2" name="矩形_7_SpCnt_7"/>
                  <wp:cNvGraphicFramePr/>
                  <a:graphic xmlns:a="http://schemas.openxmlformats.org/drawingml/2006/main">
                    <a:graphicData uri="http://schemas.openxmlformats.org/drawingml/2006/picture">
                      <pic:pic xmlns:pic="http://schemas.openxmlformats.org/drawingml/2006/picture">
                        <pic:nvPicPr>
                          <pic:cNvPr id="2" name="矩形_7_SpCnt_7"/>
                          <pic:cNvPicPr/>
                        </pic:nvPicPr>
                        <pic:blipFill>
                          <a:blip r:embed="rId15"/>
                          <a:stretch>
                            <a:fillRect/>
                          </a:stretch>
                        </pic:blipFill>
                        <pic:spPr>
                          <a:xfrm>
                            <a:off x="0" y="0"/>
                            <a:ext cx="188595" cy="114935"/>
                          </a:xfrm>
                          <a:prstGeom prst="rect">
                            <a:avLst/>
                          </a:prstGeom>
                          <a:noFill/>
                          <a:ln>
                            <a:noFill/>
                          </a:ln>
                        </pic:spPr>
                      </pic:pic>
                    </a:graphicData>
                  </a:graphic>
                </wp:anchor>
              </w:drawing>
            </w:r>
            <w:r>
              <w:rPr>
                <w:rFonts w:hint="default" w:ascii="宋体" w:hAnsi="宋体" w:eastAsia="宋体" w:cs="宋体"/>
                <w:sz w:val="21"/>
                <w:szCs w:val="21"/>
                <w:vertAlign w:val="baseline"/>
                <w:lang w:val="en-US" w:eastAsia="zh-CN"/>
              </w:rPr>
              <w:drawing>
                <wp:anchor distT="0" distB="0" distL="114300" distR="114300" simplePos="0" relativeHeight="251660288" behindDoc="0" locked="0" layoutInCell="1" allowOverlap="1">
                  <wp:simplePos x="0" y="0"/>
                  <wp:positionH relativeFrom="column">
                    <wp:posOffset>417195</wp:posOffset>
                  </wp:positionH>
                  <wp:positionV relativeFrom="paragraph">
                    <wp:posOffset>0</wp:posOffset>
                  </wp:positionV>
                  <wp:extent cx="188595" cy="114935"/>
                  <wp:effectExtent l="0" t="0" r="0" b="0"/>
                  <wp:wrapNone/>
                  <wp:docPr id="10" name="矩形_7_SpCnt_8"/>
                  <wp:cNvGraphicFramePr/>
                  <a:graphic xmlns:a="http://schemas.openxmlformats.org/drawingml/2006/main">
                    <a:graphicData uri="http://schemas.openxmlformats.org/drawingml/2006/picture">
                      <pic:pic xmlns:pic="http://schemas.openxmlformats.org/drawingml/2006/picture">
                        <pic:nvPicPr>
                          <pic:cNvPr id="10" name="矩形_7_SpCnt_8"/>
                          <pic:cNvPicPr/>
                        </pic:nvPicPr>
                        <pic:blipFill>
                          <a:blip r:embed="rId15"/>
                          <a:stretch>
                            <a:fillRect/>
                          </a:stretch>
                        </pic:blipFill>
                        <pic:spPr>
                          <a:xfrm>
                            <a:off x="0" y="0"/>
                            <a:ext cx="188595" cy="114935"/>
                          </a:xfrm>
                          <a:prstGeom prst="rect">
                            <a:avLst/>
                          </a:prstGeom>
                          <a:noFill/>
                          <a:ln>
                            <a:noFill/>
                          </a:ln>
                        </pic:spPr>
                      </pic:pic>
                    </a:graphicData>
                  </a:graphic>
                </wp:anchor>
              </w:drawing>
            </w:r>
            <w:r>
              <w:rPr>
                <w:rFonts w:hint="default" w:ascii="宋体" w:hAnsi="宋体" w:eastAsia="宋体" w:cs="宋体"/>
                <w:sz w:val="21"/>
                <w:szCs w:val="21"/>
                <w:vertAlign w:val="baseline"/>
                <w:lang w:val="en-US" w:eastAsia="zh-CN"/>
              </w:rPr>
              <w:drawing>
                <wp:anchor distT="0" distB="0" distL="114300" distR="114300" simplePos="0" relativeHeight="251660288" behindDoc="0" locked="0" layoutInCell="1" allowOverlap="1">
                  <wp:simplePos x="0" y="0"/>
                  <wp:positionH relativeFrom="column">
                    <wp:posOffset>417195</wp:posOffset>
                  </wp:positionH>
                  <wp:positionV relativeFrom="paragraph">
                    <wp:posOffset>0</wp:posOffset>
                  </wp:positionV>
                  <wp:extent cx="188595" cy="114935"/>
                  <wp:effectExtent l="0" t="0" r="0" b="0"/>
                  <wp:wrapNone/>
                  <wp:docPr id="11" name="矩形_7_SpCnt_9"/>
                  <wp:cNvGraphicFramePr/>
                  <a:graphic xmlns:a="http://schemas.openxmlformats.org/drawingml/2006/main">
                    <a:graphicData uri="http://schemas.openxmlformats.org/drawingml/2006/picture">
                      <pic:pic xmlns:pic="http://schemas.openxmlformats.org/drawingml/2006/picture">
                        <pic:nvPicPr>
                          <pic:cNvPr id="11" name="矩形_7_SpCnt_9"/>
                          <pic:cNvPicPr/>
                        </pic:nvPicPr>
                        <pic:blipFill>
                          <a:blip r:embed="rId15"/>
                          <a:stretch>
                            <a:fillRect/>
                          </a:stretch>
                        </pic:blipFill>
                        <pic:spPr>
                          <a:xfrm>
                            <a:off x="0" y="0"/>
                            <a:ext cx="188595" cy="114935"/>
                          </a:xfrm>
                          <a:prstGeom prst="rect">
                            <a:avLst/>
                          </a:prstGeom>
                          <a:noFill/>
                          <a:ln>
                            <a:noFill/>
                          </a:ln>
                        </pic:spPr>
                      </pic:pic>
                    </a:graphicData>
                  </a:graphic>
                </wp:anchor>
              </w:drawing>
            </w:r>
            <w:r>
              <w:rPr>
                <w:rFonts w:hint="default" w:ascii="宋体" w:hAnsi="宋体" w:eastAsia="宋体" w:cs="宋体"/>
                <w:sz w:val="21"/>
                <w:szCs w:val="21"/>
                <w:vertAlign w:val="baseline"/>
                <w:lang w:val="en-US" w:eastAsia="zh-CN"/>
              </w:rPr>
              <w:drawing>
                <wp:anchor distT="0" distB="0" distL="114300" distR="114300" simplePos="0" relativeHeight="251660288" behindDoc="0" locked="0" layoutInCell="1" allowOverlap="1">
                  <wp:simplePos x="0" y="0"/>
                  <wp:positionH relativeFrom="column">
                    <wp:posOffset>417195</wp:posOffset>
                  </wp:positionH>
                  <wp:positionV relativeFrom="paragraph">
                    <wp:posOffset>0</wp:posOffset>
                  </wp:positionV>
                  <wp:extent cx="188595" cy="114935"/>
                  <wp:effectExtent l="0" t="0" r="0" b="0"/>
                  <wp:wrapNone/>
                  <wp:docPr id="5" name="矩形_7_SpCnt_10"/>
                  <wp:cNvGraphicFramePr/>
                  <a:graphic xmlns:a="http://schemas.openxmlformats.org/drawingml/2006/main">
                    <a:graphicData uri="http://schemas.openxmlformats.org/drawingml/2006/picture">
                      <pic:pic xmlns:pic="http://schemas.openxmlformats.org/drawingml/2006/picture">
                        <pic:nvPicPr>
                          <pic:cNvPr id="5" name="矩形_7_SpCnt_10"/>
                          <pic:cNvPicPr/>
                        </pic:nvPicPr>
                        <pic:blipFill>
                          <a:blip r:embed="rId15"/>
                          <a:stretch>
                            <a:fillRect/>
                          </a:stretch>
                        </pic:blipFill>
                        <pic:spPr>
                          <a:xfrm>
                            <a:off x="0" y="0"/>
                            <a:ext cx="188595" cy="114935"/>
                          </a:xfrm>
                          <a:prstGeom prst="rect">
                            <a:avLst/>
                          </a:prstGeom>
                          <a:noFill/>
                          <a:ln>
                            <a:noFill/>
                          </a:ln>
                        </pic:spPr>
                      </pic:pic>
                    </a:graphicData>
                  </a:graphic>
                </wp:anchor>
              </w:drawing>
            </w:r>
            <w:r>
              <w:rPr>
                <w:rFonts w:hint="default" w:ascii="宋体" w:hAnsi="宋体" w:eastAsia="宋体" w:cs="宋体"/>
                <w:sz w:val="21"/>
                <w:szCs w:val="21"/>
                <w:vertAlign w:val="baseline"/>
                <w:lang w:val="en-US" w:eastAsia="zh-CN"/>
              </w:rPr>
              <w:drawing>
                <wp:anchor distT="0" distB="0" distL="114300" distR="114300" simplePos="0" relativeHeight="251660288" behindDoc="0" locked="0" layoutInCell="1" allowOverlap="1">
                  <wp:simplePos x="0" y="0"/>
                  <wp:positionH relativeFrom="column">
                    <wp:posOffset>417195</wp:posOffset>
                  </wp:positionH>
                  <wp:positionV relativeFrom="paragraph">
                    <wp:posOffset>0</wp:posOffset>
                  </wp:positionV>
                  <wp:extent cx="188595" cy="114935"/>
                  <wp:effectExtent l="0" t="0" r="0" b="0"/>
                  <wp:wrapNone/>
                  <wp:docPr id="7" name="矩形_7_SpCnt_11"/>
                  <wp:cNvGraphicFramePr/>
                  <a:graphic xmlns:a="http://schemas.openxmlformats.org/drawingml/2006/main">
                    <a:graphicData uri="http://schemas.openxmlformats.org/drawingml/2006/picture">
                      <pic:pic xmlns:pic="http://schemas.openxmlformats.org/drawingml/2006/picture">
                        <pic:nvPicPr>
                          <pic:cNvPr id="7" name="矩形_7_SpCnt_11"/>
                          <pic:cNvPicPr/>
                        </pic:nvPicPr>
                        <pic:blipFill>
                          <a:blip r:embed="rId15"/>
                          <a:stretch>
                            <a:fillRect/>
                          </a:stretch>
                        </pic:blipFill>
                        <pic:spPr>
                          <a:xfrm>
                            <a:off x="0" y="0"/>
                            <a:ext cx="188595" cy="114935"/>
                          </a:xfrm>
                          <a:prstGeom prst="rect">
                            <a:avLst/>
                          </a:prstGeom>
                          <a:noFill/>
                          <a:ln>
                            <a:noFill/>
                          </a:ln>
                        </pic:spPr>
                      </pic:pic>
                    </a:graphicData>
                  </a:graphic>
                </wp:anchor>
              </w:drawing>
            </w:r>
            <w:r>
              <w:rPr>
                <w:rFonts w:hint="default" w:ascii="宋体" w:hAnsi="宋体" w:eastAsia="宋体" w:cs="宋体"/>
                <w:sz w:val="21"/>
                <w:szCs w:val="21"/>
                <w:vertAlign w:val="baseline"/>
                <w:lang w:val="en-US" w:eastAsia="zh-CN"/>
              </w:rPr>
              <w:drawing>
                <wp:anchor distT="0" distB="0" distL="114300" distR="114300" simplePos="0" relativeHeight="251660288" behindDoc="0" locked="0" layoutInCell="1" allowOverlap="1">
                  <wp:simplePos x="0" y="0"/>
                  <wp:positionH relativeFrom="column">
                    <wp:posOffset>417195</wp:posOffset>
                  </wp:positionH>
                  <wp:positionV relativeFrom="paragraph">
                    <wp:posOffset>0</wp:posOffset>
                  </wp:positionV>
                  <wp:extent cx="188595" cy="114935"/>
                  <wp:effectExtent l="0" t="0" r="0" b="0"/>
                  <wp:wrapNone/>
                  <wp:docPr id="12" name="矩形_7_SpCnt_12"/>
                  <wp:cNvGraphicFramePr/>
                  <a:graphic xmlns:a="http://schemas.openxmlformats.org/drawingml/2006/main">
                    <a:graphicData uri="http://schemas.openxmlformats.org/drawingml/2006/picture">
                      <pic:pic xmlns:pic="http://schemas.openxmlformats.org/drawingml/2006/picture">
                        <pic:nvPicPr>
                          <pic:cNvPr id="12" name="矩形_7_SpCnt_12"/>
                          <pic:cNvPicPr/>
                        </pic:nvPicPr>
                        <pic:blipFill>
                          <a:blip r:embed="rId15"/>
                          <a:stretch>
                            <a:fillRect/>
                          </a:stretch>
                        </pic:blipFill>
                        <pic:spPr>
                          <a:xfrm>
                            <a:off x="0" y="0"/>
                            <a:ext cx="188595" cy="114935"/>
                          </a:xfrm>
                          <a:prstGeom prst="rect">
                            <a:avLst/>
                          </a:prstGeom>
                          <a:noFill/>
                          <a:ln>
                            <a:noFill/>
                          </a:ln>
                        </pic:spPr>
                      </pic:pic>
                    </a:graphicData>
                  </a:graphic>
                </wp:anchor>
              </w:drawing>
            </w:r>
            <w:r>
              <w:rPr>
                <w:rFonts w:hint="default" w:ascii="宋体" w:hAnsi="宋体" w:eastAsia="宋体" w:cs="宋体"/>
                <w:sz w:val="21"/>
                <w:szCs w:val="21"/>
                <w:vertAlign w:val="baseline"/>
                <w:lang w:val="en-US" w:eastAsia="zh-CN"/>
              </w:rPr>
              <w:drawing>
                <wp:anchor distT="0" distB="0" distL="114300" distR="114300" simplePos="0" relativeHeight="251660288" behindDoc="0" locked="0" layoutInCell="1" allowOverlap="1">
                  <wp:simplePos x="0" y="0"/>
                  <wp:positionH relativeFrom="column">
                    <wp:posOffset>417195</wp:posOffset>
                  </wp:positionH>
                  <wp:positionV relativeFrom="paragraph">
                    <wp:posOffset>0</wp:posOffset>
                  </wp:positionV>
                  <wp:extent cx="188595" cy="114935"/>
                  <wp:effectExtent l="0" t="0" r="0" b="0"/>
                  <wp:wrapNone/>
                  <wp:docPr id="20" name="矩形_7_SpCnt_13"/>
                  <wp:cNvGraphicFramePr/>
                  <a:graphic xmlns:a="http://schemas.openxmlformats.org/drawingml/2006/main">
                    <a:graphicData uri="http://schemas.openxmlformats.org/drawingml/2006/picture">
                      <pic:pic xmlns:pic="http://schemas.openxmlformats.org/drawingml/2006/picture">
                        <pic:nvPicPr>
                          <pic:cNvPr id="20" name="矩形_7_SpCnt_13"/>
                          <pic:cNvPicPr/>
                        </pic:nvPicPr>
                        <pic:blipFill>
                          <a:blip r:embed="rId15"/>
                          <a:stretch>
                            <a:fillRect/>
                          </a:stretch>
                        </pic:blipFill>
                        <pic:spPr>
                          <a:xfrm>
                            <a:off x="0" y="0"/>
                            <a:ext cx="188595" cy="114935"/>
                          </a:xfrm>
                          <a:prstGeom prst="rect">
                            <a:avLst/>
                          </a:prstGeom>
                          <a:noFill/>
                          <a:ln>
                            <a:noFill/>
                          </a:ln>
                        </pic:spPr>
                      </pic:pic>
                    </a:graphicData>
                  </a:graphic>
                </wp:anchor>
              </w:drawing>
            </w:r>
            <w:r>
              <w:rPr>
                <w:rFonts w:hint="default" w:ascii="宋体" w:hAnsi="宋体" w:eastAsia="宋体" w:cs="宋体"/>
                <w:sz w:val="21"/>
                <w:szCs w:val="21"/>
                <w:vertAlign w:val="baseline"/>
                <w:lang w:val="en-US" w:eastAsia="zh-CN"/>
              </w:rPr>
              <w:drawing>
                <wp:anchor distT="0" distB="0" distL="114300" distR="114300" simplePos="0" relativeHeight="251660288" behindDoc="0" locked="0" layoutInCell="1" allowOverlap="1">
                  <wp:simplePos x="0" y="0"/>
                  <wp:positionH relativeFrom="column">
                    <wp:posOffset>417195</wp:posOffset>
                  </wp:positionH>
                  <wp:positionV relativeFrom="paragraph">
                    <wp:posOffset>0</wp:posOffset>
                  </wp:positionV>
                  <wp:extent cx="188595" cy="114935"/>
                  <wp:effectExtent l="0" t="0" r="0" b="0"/>
                  <wp:wrapNone/>
                  <wp:docPr id="16" name="矩形_7_SpCnt_14"/>
                  <wp:cNvGraphicFramePr/>
                  <a:graphic xmlns:a="http://schemas.openxmlformats.org/drawingml/2006/main">
                    <a:graphicData uri="http://schemas.openxmlformats.org/drawingml/2006/picture">
                      <pic:pic xmlns:pic="http://schemas.openxmlformats.org/drawingml/2006/picture">
                        <pic:nvPicPr>
                          <pic:cNvPr id="16" name="矩形_7_SpCnt_14"/>
                          <pic:cNvPicPr/>
                        </pic:nvPicPr>
                        <pic:blipFill>
                          <a:blip r:embed="rId15"/>
                          <a:stretch>
                            <a:fillRect/>
                          </a:stretch>
                        </pic:blipFill>
                        <pic:spPr>
                          <a:xfrm>
                            <a:off x="0" y="0"/>
                            <a:ext cx="188595" cy="114935"/>
                          </a:xfrm>
                          <a:prstGeom prst="rect">
                            <a:avLst/>
                          </a:prstGeom>
                          <a:noFill/>
                          <a:ln>
                            <a:noFill/>
                          </a:ln>
                        </pic:spPr>
                      </pic:pic>
                    </a:graphicData>
                  </a:graphic>
                </wp:anchor>
              </w:drawing>
            </w:r>
            <w:r>
              <w:rPr>
                <w:rFonts w:hint="default" w:ascii="宋体" w:hAnsi="宋体" w:eastAsia="宋体" w:cs="宋体"/>
                <w:sz w:val="21"/>
                <w:szCs w:val="21"/>
                <w:vertAlign w:val="baseline"/>
                <w:lang w:val="en-US" w:eastAsia="zh-CN"/>
              </w:rPr>
              <w:drawing>
                <wp:anchor distT="0" distB="0" distL="114300" distR="114300" simplePos="0" relativeHeight="251660288" behindDoc="0" locked="0" layoutInCell="1" allowOverlap="1">
                  <wp:simplePos x="0" y="0"/>
                  <wp:positionH relativeFrom="column">
                    <wp:posOffset>417195</wp:posOffset>
                  </wp:positionH>
                  <wp:positionV relativeFrom="paragraph">
                    <wp:posOffset>0</wp:posOffset>
                  </wp:positionV>
                  <wp:extent cx="188595" cy="114935"/>
                  <wp:effectExtent l="0" t="0" r="0" b="0"/>
                  <wp:wrapNone/>
                  <wp:docPr id="18" name="矩形_7_SpCnt_15"/>
                  <wp:cNvGraphicFramePr/>
                  <a:graphic xmlns:a="http://schemas.openxmlformats.org/drawingml/2006/main">
                    <a:graphicData uri="http://schemas.openxmlformats.org/drawingml/2006/picture">
                      <pic:pic xmlns:pic="http://schemas.openxmlformats.org/drawingml/2006/picture">
                        <pic:nvPicPr>
                          <pic:cNvPr id="18" name="矩形_7_SpCnt_15"/>
                          <pic:cNvPicPr/>
                        </pic:nvPicPr>
                        <pic:blipFill>
                          <a:blip r:embed="rId15"/>
                          <a:stretch>
                            <a:fillRect/>
                          </a:stretch>
                        </pic:blipFill>
                        <pic:spPr>
                          <a:xfrm>
                            <a:off x="0" y="0"/>
                            <a:ext cx="188595" cy="114935"/>
                          </a:xfrm>
                          <a:prstGeom prst="rect">
                            <a:avLst/>
                          </a:prstGeom>
                          <a:noFill/>
                          <a:ln>
                            <a:noFill/>
                          </a:ln>
                        </pic:spPr>
                      </pic:pic>
                    </a:graphicData>
                  </a:graphic>
                </wp:anchor>
              </w:drawing>
            </w:r>
            <w:r>
              <w:rPr>
                <w:rFonts w:hint="eastAsia" w:ascii="宋体" w:hAnsi="宋体" w:eastAsia="宋体" w:cs="宋体"/>
                <w:sz w:val="21"/>
                <w:szCs w:val="21"/>
                <w:vertAlign w:val="baseline"/>
                <w:lang w:val="en-US" w:eastAsia="zh-CN"/>
              </w:rPr>
              <w:t>（1）</w:t>
            </w:r>
            <w:r>
              <w:rPr>
                <w:rFonts w:hint="default" w:ascii="宋体" w:hAnsi="宋体" w:eastAsia="宋体" w:cs="宋体"/>
                <w:sz w:val="21"/>
                <w:szCs w:val="21"/>
                <w:vertAlign w:val="baseline"/>
                <w:lang w:val="en-US" w:eastAsia="zh-CN"/>
              </w:rPr>
              <w:t>图像传感器：采用不低于1/1.8" Progressive Scan CMOS；</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lang w:val="en-US" w:eastAsia="zh-CN"/>
              </w:rPr>
              <w:t>CMOS最大分辨率支持≥3840×2160；</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（3）</w:t>
            </w:r>
            <w:r>
              <w:rPr>
                <w:rFonts w:hint="default" w:ascii="宋体" w:hAnsi="宋体" w:eastAsia="宋体" w:cs="宋体"/>
                <w:sz w:val="21"/>
                <w:szCs w:val="21"/>
                <w:vertAlign w:val="baseline"/>
                <w:lang w:val="en-US" w:eastAsia="zh-CN"/>
              </w:rPr>
              <w:t xml:space="preserve">最低照度≥彩色:0.001 Lux @(F1.2,AGC ON) </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（4）</w:t>
            </w:r>
            <w:r>
              <w:rPr>
                <w:rFonts w:hint="default" w:ascii="宋体" w:hAnsi="宋体" w:eastAsia="宋体" w:cs="宋体"/>
                <w:sz w:val="21"/>
                <w:szCs w:val="21"/>
                <w:vertAlign w:val="baseline"/>
                <w:lang w:val="en-US" w:eastAsia="zh-CN"/>
              </w:rPr>
              <w:t>数字增益：-30dB-23、9dB；</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（5）</w:t>
            </w:r>
            <w:r>
              <w:rPr>
                <w:rFonts w:hint="default" w:ascii="宋体" w:hAnsi="宋体" w:eastAsia="宋体" w:cs="宋体"/>
                <w:sz w:val="21"/>
                <w:szCs w:val="21"/>
                <w:vertAlign w:val="baseline"/>
                <w:lang w:val="en-US" w:eastAsia="zh-CN"/>
              </w:rPr>
              <w:t>日夜转换模式支持ICR红外滤片式；</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（6）</w:t>
            </w:r>
            <w:r>
              <w:rPr>
                <w:rFonts w:hint="default" w:ascii="宋体" w:hAnsi="宋体" w:eastAsia="宋体" w:cs="宋体"/>
                <w:sz w:val="21"/>
                <w:szCs w:val="21"/>
                <w:vertAlign w:val="baseline"/>
                <w:lang w:val="en-US" w:eastAsia="zh-CN"/>
              </w:rPr>
              <w:t>视频压缩标准支持：H.264/H.265；</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（7）</w:t>
            </w:r>
            <w:r>
              <w:rPr>
                <w:rFonts w:hint="default" w:ascii="宋体" w:hAnsi="宋体" w:eastAsia="宋体" w:cs="宋体"/>
                <w:sz w:val="21"/>
                <w:szCs w:val="21"/>
                <w:vertAlign w:val="baseline"/>
                <w:lang w:val="en-US" w:eastAsia="zh-CN"/>
              </w:rPr>
              <w:t>视频输出分辨率：1080P@30、720P@30；</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（8）</w:t>
            </w:r>
            <w:r>
              <w:rPr>
                <w:rFonts w:hint="default" w:ascii="宋体" w:hAnsi="宋体" w:eastAsia="宋体" w:cs="宋体"/>
                <w:sz w:val="21"/>
                <w:szCs w:val="21"/>
                <w:vertAlign w:val="baseline"/>
                <w:lang w:val="en-US" w:eastAsia="zh-CN"/>
              </w:rPr>
              <w:t>压缩输出编码率：128Kbps～30Mbps可调；</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（9）</w:t>
            </w:r>
            <w:r>
              <w:rPr>
                <w:rFonts w:hint="default" w:ascii="宋体" w:hAnsi="宋体" w:eastAsia="宋体" w:cs="宋体"/>
                <w:sz w:val="21"/>
                <w:szCs w:val="21"/>
                <w:vertAlign w:val="baseline"/>
                <w:lang w:val="en-US" w:eastAsia="zh-CN"/>
              </w:rPr>
              <w:t>音频压缩编码率：AAC 32K/48；</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（10）</w:t>
            </w:r>
            <w:r>
              <w:rPr>
                <w:rFonts w:hint="default" w:ascii="宋体" w:hAnsi="宋体" w:eastAsia="宋体" w:cs="宋体"/>
                <w:sz w:val="21"/>
                <w:szCs w:val="21"/>
                <w:vertAlign w:val="baseline"/>
                <w:lang w:val="en-US" w:eastAsia="zh-CN"/>
              </w:rPr>
              <w:t>图像设置支持：饱和度，亮度，对比度，锐度，色度通过客户端可调；</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（11）</w:t>
            </w:r>
            <w:r>
              <w:rPr>
                <w:rFonts w:hint="default" w:ascii="宋体" w:hAnsi="宋体" w:eastAsia="宋体" w:cs="宋体"/>
                <w:sz w:val="21"/>
                <w:szCs w:val="21"/>
                <w:vertAlign w:val="baseline"/>
                <w:lang w:val="en-US" w:eastAsia="zh-CN"/>
              </w:rPr>
              <w:t>支持抗闪烁、电子防抖、电子快门、背光补偿、长曝光模式等功能；</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（12）</w:t>
            </w:r>
            <w:r>
              <w:rPr>
                <w:rFonts w:hint="default" w:ascii="宋体" w:hAnsi="宋体" w:eastAsia="宋体" w:cs="宋体"/>
                <w:sz w:val="21"/>
                <w:szCs w:val="21"/>
                <w:vertAlign w:val="baseline"/>
                <w:lang w:val="en-US" w:eastAsia="zh-CN"/>
              </w:rPr>
              <w:t>ISO模式支持：ISO100、ISO200、ISO400、ISO800、ISO1600、ISO3200；</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（13）</w:t>
            </w:r>
            <w:r>
              <w:rPr>
                <w:rFonts w:hint="default" w:ascii="宋体" w:hAnsi="宋体" w:eastAsia="宋体" w:cs="宋体"/>
                <w:sz w:val="21"/>
                <w:szCs w:val="21"/>
                <w:vertAlign w:val="baseline"/>
                <w:lang w:val="en-US" w:eastAsia="zh-CN"/>
              </w:rPr>
              <w:t>支持老师跟踪、学生跟踪、电子云台跟踪；</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（14）</w:t>
            </w:r>
            <w:r>
              <w:rPr>
                <w:rFonts w:hint="default" w:ascii="宋体" w:hAnsi="宋体" w:eastAsia="宋体" w:cs="宋体"/>
                <w:sz w:val="21"/>
                <w:szCs w:val="21"/>
                <w:vertAlign w:val="baseline"/>
                <w:lang w:val="en-US" w:eastAsia="zh-CN"/>
              </w:rPr>
              <w:t>工作温度和湿度：-10℃~60℃,湿度小于90%(无凝结)；</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（15）</w:t>
            </w:r>
            <w:r>
              <w:rPr>
                <w:rFonts w:hint="default" w:ascii="宋体" w:hAnsi="宋体" w:eastAsia="宋体" w:cs="宋体"/>
                <w:sz w:val="21"/>
                <w:szCs w:val="21"/>
                <w:vertAlign w:val="baseline"/>
                <w:lang w:val="en-US" w:eastAsia="zh-CN"/>
              </w:rPr>
              <w:t xml:space="preserve">最大功耗≤6W； </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（16）</w:t>
            </w:r>
            <w:r>
              <w:rPr>
                <w:rFonts w:hint="default" w:ascii="宋体" w:hAnsi="宋体" w:eastAsia="宋体" w:cs="宋体"/>
                <w:sz w:val="21"/>
                <w:szCs w:val="21"/>
                <w:vertAlign w:val="baseline"/>
                <w:lang w:val="en-US" w:eastAsia="zh-CN"/>
              </w:rPr>
              <w:t>要求Sensor有效像素是不小于800万</w:t>
            </w:r>
            <w:r>
              <w:rPr>
                <w:rFonts w:hint="eastAsia" w:ascii="宋体" w:hAnsi="宋体" w:eastAsia="宋体" w:cs="宋体"/>
                <w:sz w:val="21"/>
                <w:szCs w:val="21"/>
                <w:vertAlign w:val="baseline"/>
                <w:lang w:val="en-US"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 xml:space="preserve">4 </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4K双目AI摄像机管理软件</w:t>
            </w:r>
          </w:p>
        </w:tc>
        <w:tc>
          <w:tcPr>
            <w:tcW w:w="49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both"/>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60288" behindDoc="0" locked="0" layoutInCell="1" allowOverlap="1">
                  <wp:simplePos x="0" y="0"/>
                  <wp:positionH relativeFrom="column">
                    <wp:posOffset>417195</wp:posOffset>
                  </wp:positionH>
                  <wp:positionV relativeFrom="paragraph">
                    <wp:posOffset>0</wp:posOffset>
                  </wp:positionV>
                  <wp:extent cx="188595" cy="114935"/>
                  <wp:effectExtent l="0" t="0" r="0" b="0"/>
                  <wp:wrapNone/>
                  <wp:docPr id="15" name="矩形_7_SpCnt_16"/>
                  <wp:cNvGraphicFramePr/>
                  <a:graphic xmlns:a="http://schemas.openxmlformats.org/drawingml/2006/main">
                    <a:graphicData uri="http://schemas.openxmlformats.org/drawingml/2006/picture">
                      <pic:pic xmlns:pic="http://schemas.openxmlformats.org/drawingml/2006/picture">
                        <pic:nvPicPr>
                          <pic:cNvPr id="15" name="矩形_7_SpCnt_16"/>
                          <pic:cNvPicPr/>
                        </pic:nvPicPr>
                        <pic:blipFill>
                          <a:blip r:embed="rId15"/>
                          <a:stretch>
                            <a:fillRect/>
                          </a:stretch>
                        </pic:blipFill>
                        <pic:spPr>
                          <a:xfrm>
                            <a:off x="0" y="0"/>
                            <a:ext cx="188595" cy="114935"/>
                          </a:xfrm>
                          <a:prstGeom prst="rect">
                            <a:avLst/>
                          </a:prstGeom>
                          <a:noFill/>
                          <a:ln>
                            <a:noFill/>
                          </a:ln>
                        </pic:spPr>
                      </pic:pic>
                    </a:graphicData>
                  </a:graphic>
                </wp:anchor>
              </w:drawing>
            </w:r>
            <w:r>
              <w:rPr>
                <w:rFonts w:hint="default" w:ascii="宋体" w:hAnsi="宋体" w:eastAsia="宋体" w:cs="宋体"/>
                <w:sz w:val="21"/>
                <w:szCs w:val="21"/>
                <w:vertAlign w:val="baseline"/>
                <w:lang w:val="en-US" w:eastAsia="zh-CN"/>
              </w:rPr>
              <w:drawing>
                <wp:anchor distT="0" distB="0" distL="114300" distR="114300" simplePos="0" relativeHeight="251660288" behindDoc="0" locked="0" layoutInCell="1" allowOverlap="1">
                  <wp:simplePos x="0" y="0"/>
                  <wp:positionH relativeFrom="column">
                    <wp:posOffset>417195</wp:posOffset>
                  </wp:positionH>
                  <wp:positionV relativeFrom="paragraph">
                    <wp:posOffset>0</wp:posOffset>
                  </wp:positionV>
                  <wp:extent cx="188595" cy="114935"/>
                  <wp:effectExtent l="0" t="0" r="0" b="0"/>
                  <wp:wrapNone/>
                  <wp:docPr id="17" name="矩形_7_SpCnt_17"/>
                  <wp:cNvGraphicFramePr/>
                  <a:graphic xmlns:a="http://schemas.openxmlformats.org/drawingml/2006/main">
                    <a:graphicData uri="http://schemas.openxmlformats.org/drawingml/2006/picture">
                      <pic:pic xmlns:pic="http://schemas.openxmlformats.org/drawingml/2006/picture">
                        <pic:nvPicPr>
                          <pic:cNvPr id="17" name="矩形_7_SpCnt_17"/>
                          <pic:cNvPicPr/>
                        </pic:nvPicPr>
                        <pic:blipFill>
                          <a:blip r:embed="rId15"/>
                          <a:stretch>
                            <a:fillRect/>
                          </a:stretch>
                        </pic:blipFill>
                        <pic:spPr>
                          <a:xfrm>
                            <a:off x="0" y="0"/>
                            <a:ext cx="188595" cy="114935"/>
                          </a:xfrm>
                          <a:prstGeom prst="rect">
                            <a:avLst/>
                          </a:prstGeom>
                          <a:noFill/>
                          <a:ln>
                            <a:noFill/>
                          </a:ln>
                        </pic:spPr>
                      </pic:pic>
                    </a:graphicData>
                  </a:graphic>
                </wp:anchor>
              </w:drawing>
            </w:r>
            <w:r>
              <w:rPr>
                <w:rFonts w:hint="default" w:ascii="宋体" w:hAnsi="宋体" w:eastAsia="宋体" w:cs="宋体"/>
                <w:sz w:val="21"/>
                <w:szCs w:val="21"/>
                <w:vertAlign w:val="baseline"/>
                <w:lang w:val="en-US" w:eastAsia="zh-CN"/>
              </w:rPr>
              <w:drawing>
                <wp:anchor distT="0" distB="0" distL="114300" distR="114300" simplePos="0" relativeHeight="251660288" behindDoc="0" locked="0" layoutInCell="1" allowOverlap="1">
                  <wp:simplePos x="0" y="0"/>
                  <wp:positionH relativeFrom="column">
                    <wp:posOffset>417195</wp:posOffset>
                  </wp:positionH>
                  <wp:positionV relativeFrom="paragraph">
                    <wp:posOffset>0</wp:posOffset>
                  </wp:positionV>
                  <wp:extent cx="188595" cy="114935"/>
                  <wp:effectExtent l="0" t="0" r="0" b="0"/>
                  <wp:wrapNone/>
                  <wp:docPr id="22" name="矩形_7_SpCnt_18"/>
                  <wp:cNvGraphicFramePr/>
                  <a:graphic xmlns:a="http://schemas.openxmlformats.org/drawingml/2006/main">
                    <a:graphicData uri="http://schemas.openxmlformats.org/drawingml/2006/picture">
                      <pic:pic xmlns:pic="http://schemas.openxmlformats.org/drawingml/2006/picture">
                        <pic:nvPicPr>
                          <pic:cNvPr id="22" name="矩形_7_SpCnt_18"/>
                          <pic:cNvPicPr/>
                        </pic:nvPicPr>
                        <pic:blipFill>
                          <a:blip r:embed="rId15"/>
                          <a:stretch>
                            <a:fillRect/>
                          </a:stretch>
                        </pic:blipFill>
                        <pic:spPr>
                          <a:xfrm>
                            <a:off x="0" y="0"/>
                            <a:ext cx="188595" cy="114935"/>
                          </a:xfrm>
                          <a:prstGeom prst="rect">
                            <a:avLst/>
                          </a:prstGeom>
                          <a:noFill/>
                          <a:ln>
                            <a:noFill/>
                          </a:ln>
                        </pic:spPr>
                      </pic:pic>
                    </a:graphicData>
                  </a:graphic>
                </wp:anchor>
              </w:drawing>
            </w:r>
            <w:r>
              <w:rPr>
                <w:rFonts w:hint="default" w:ascii="宋体" w:hAnsi="宋体" w:eastAsia="宋体" w:cs="宋体"/>
                <w:sz w:val="21"/>
                <w:szCs w:val="21"/>
                <w:vertAlign w:val="baseline"/>
                <w:lang w:val="en-US" w:eastAsia="zh-CN"/>
              </w:rPr>
              <w:drawing>
                <wp:anchor distT="0" distB="0" distL="114300" distR="114300" simplePos="0" relativeHeight="251660288" behindDoc="0" locked="0" layoutInCell="1" allowOverlap="1">
                  <wp:simplePos x="0" y="0"/>
                  <wp:positionH relativeFrom="column">
                    <wp:posOffset>417195</wp:posOffset>
                  </wp:positionH>
                  <wp:positionV relativeFrom="paragraph">
                    <wp:posOffset>0</wp:posOffset>
                  </wp:positionV>
                  <wp:extent cx="188595" cy="114935"/>
                  <wp:effectExtent l="0" t="0" r="0" b="0"/>
                  <wp:wrapNone/>
                  <wp:docPr id="19" name="矩形_7_SpCnt_19"/>
                  <wp:cNvGraphicFramePr/>
                  <a:graphic xmlns:a="http://schemas.openxmlformats.org/drawingml/2006/main">
                    <a:graphicData uri="http://schemas.openxmlformats.org/drawingml/2006/picture">
                      <pic:pic xmlns:pic="http://schemas.openxmlformats.org/drawingml/2006/picture">
                        <pic:nvPicPr>
                          <pic:cNvPr id="19" name="矩形_7_SpCnt_19"/>
                          <pic:cNvPicPr/>
                        </pic:nvPicPr>
                        <pic:blipFill>
                          <a:blip r:embed="rId15"/>
                          <a:stretch>
                            <a:fillRect/>
                          </a:stretch>
                        </pic:blipFill>
                        <pic:spPr>
                          <a:xfrm>
                            <a:off x="0" y="0"/>
                            <a:ext cx="188595" cy="114935"/>
                          </a:xfrm>
                          <a:prstGeom prst="rect">
                            <a:avLst/>
                          </a:prstGeom>
                          <a:noFill/>
                          <a:ln>
                            <a:noFill/>
                          </a:ln>
                        </pic:spPr>
                      </pic:pic>
                    </a:graphicData>
                  </a:graphic>
                </wp:anchor>
              </w:drawing>
            </w:r>
            <w:r>
              <w:rPr>
                <w:rFonts w:hint="default" w:ascii="宋体" w:hAnsi="宋体" w:eastAsia="宋体" w:cs="宋体"/>
                <w:sz w:val="21"/>
                <w:szCs w:val="21"/>
                <w:vertAlign w:val="baseline"/>
                <w:lang w:val="en-US" w:eastAsia="zh-CN"/>
              </w:rPr>
              <w:drawing>
                <wp:anchor distT="0" distB="0" distL="114300" distR="114300" simplePos="0" relativeHeight="251660288" behindDoc="0" locked="0" layoutInCell="1" allowOverlap="1">
                  <wp:simplePos x="0" y="0"/>
                  <wp:positionH relativeFrom="column">
                    <wp:posOffset>417195</wp:posOffset>
                  </wp:positionH>
                  <wp:positionV relativeFrom="paragraph">
                    <wp:posOffset>0</wp:posOffset>
                  </wp:positionV>
                  <wp:extent cx="188595" cy="114935"/>
                  <wp:effectExtent l="0" t="0" r="0" b="0"/>
                  <wp:wrapNone/>
                  <wp:docPr id="21" name="矩形_7_SpCnt_20"/>
                  <wp:cNvGraphicFramePr/>
                  <a:graphic xmlns:a="http://schemas.openxmlformats.org/drawingml/2006/main">
                    <a:graphicData uri="http://schemas.openxmlformats.org/drawingml/2006/picture">
                      <pic:pic xmlns:pic="http://schemas.openxmlformats.org/drawingml/2006/picture">
                        <pic:nvPicPr>
                          <pic:cNvPr id="21" name="矩形_7_SpCnt_20"/>
                          <pic:cNvPicPr/>
                        </pic:nvPicPr>
                        <pic:blipFill>
                          <a:blip r:embed="rId15"/>
                          <a:stretch>
                            <a:fillRect/>
                          </a:stretch>
                        </pic:blipFill>
                        <pic:spPr>
                          <a:xfrm>
                            <a:off x="0" y="0"/>
                            <a:ext cx="188595" cy="114935"/>
                          </a:xfrm>
                          <a:prstGeom prst="rect">
                            <a:avLst/>
                          </a:prstGeom>
                          <a:noFill/>
                          <a:ln>
                            <a:noFill/>
                          </a:ln>
                        </pic:spPr>
                      </pic:pic>
                    </a:graphicData>
                  </a:graphic>
                </wp:anchor>
              </w:drawing>
            </w:r>
            <w:r>
              <w:rPr>
                <w:rFonts w:hint="default" w:ascii="宋体" w:hAnsi="宋体" w:eastAsia="宋体" w:cs="宋体"/>
                <w:sz w:val="21"/>
                <w:szCs w:val="21"/>
                <w:vertAlign w:val="baseline"/>
                <w:lang w:val="en-US" w:eastAsia="zh-CN"/>
              </w:rPr>
              <w:drawing>
                <wp:anchor distT="0" distB="0" distL="114300" distR="114300" simplePos="0" relativeHeight="251660288" behindDoc="0" locked="0" layoutInCell="1" allowOverlap="1">
                  <wp:simplePos x="0" y="0"/>
                  <wp:positionH relativeFrom="column">
                    <wp:posOffset>417195</wp:posOffset>
                  </wp:positionH>
                  <wp:positionV relativeFrom="paragraph">
                    <wp:posOffset>0</wp:posOffset>
                  </wp:positionV>
                  <wp:extent cx="188595" cy="114935"/>
                  <wp:effectExtent l="0" t="0" r="0" b="0"/>
                  <wp:wrapNone/>
                  <wp:docPr id="23" name="矩形_7_SpCnt_21"/>
                  <wp:cNvGraphicFramePr/>
                  <a:graphic xmlns:a="http://schemas.openxmlformats.org/drawingml/2006/main">
                    <a:graphicData uri="http://schemas.openxmlformats.org/drawingml/2006/picture">
                      <pic:pic xmlns:pic="http://schemas.openxmlformats.org/drawingml/2006/picture">
                        <pic:nvPicPr>
                          <pic:cNvPr id="23" name="矩形_7_SpCnt_21"/>
                          <pic:cNvPicPr/>
                        </pic:nvPicPr>
                        <pic:blipFill>
                          <a:blip r:embed="rId15"/>
                          <a:stretch>
                            <a:fillRect/>
                          </a:stretch>
                        </pic:blipFill>
                        <pic:spPr>
                          <a:xfrm>
                            <a:off x="0" y="0"/>
                            <a:ext cx="188595" cy="114935"/>
                          </a:xfrm>
                          <a:prstGeom prst="rect">
                            <a:avLst/>
                          </a:prstGeom>
                          <a:noFill/>
                          <a:ln>
                            <a:noFill/>
                          </a:ln>
                        </pic:spPr>
                      </pic:pic>
                    </a:graphicData>
                  </a:graphic>
                </wp:anchor>
              </w:drawing>
            </w:r>
            <w:r>
              <w:rPr>
                <w:rFonts w:hint="eastAsia" w:ascii="宋体" w:hAnsi="宋体" w:eastAsia="宋体" w:cs="宋体"/>
                <w:sz w:val="21"/>
                <w:szCs w:val="21"/>
                <w:vertAlign w:val="baseline"/>
                <w:lang w:val="en-US" w:eastAsia="zh-CN"/>
              </w:rPr>
              <w:t>（1）</w:t>
            </w:r>
            <w:r>
              <w:rPr>
                <w:rFonts w:hint="default" w:ascii="宋体" w:hAnsi="宋体" w:eastAsia="宋体" w:cs="宋体"/>
                <w:sz w:val="21"/>
                <w:szCs w:val="21"/>
                <w:vertAlign w:val="baseline"/>
                <w:lang w:val="en-US" w:eastAsia="zh-CN"/>
              </w:rPr>
              <w:t>支持摄像机模式设置，分别有室内自然模式、室内暗光模式、室内亮光模式、户外晴天模式、户外阴天模式、户外夜间模式、自动识别模式、自动抗闪烁模式、全自动模式等9种模式设置；</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lang w:val="en-US" w:eastAsia="zh-CN"/>
              </w:rPr>
              <w:t>支持智能局域网搜索摄像机IP功能；</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（3）</w:t>
            </w:r>
            <w:r>
              <w:rPr>
                <w:rFonts w:hint="default" w:ascii="宋体" w:hAnsi="宋体" w:eastAsia="宋体" w:cs="宋体"/>
                <w:sz w:val="21"/>
                <w:szCs w:val="21"/>
                <w:vertAlign w:val="baseline"/>
                <w:lang w:val="en-US" w:eastAsia="zh-CN"/>
              </w:rPr>
              <w:t>支持手动调节摄像机亮度、对比度、色度、锐度、饱和度、白平衡等功能；</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（4）</w:t>
            </w:r>
            <w:r>
              <w:rPr>
                <w:rFonts w:hint="default" w:ascii="宋体" w:hAnsi="宋体" w:eastAsia="宋体" w:cs="宋体"/>
                <w:sz w:val="21"/>
                <w:szCs w:val="21"/>
                <w:vertAlign w:val="baseline"/>
                <w:lang w:val="en-US" w:eastAsia="zh-CN"/>
              </w:rPr>
              <w:t>支持编码参数快速设置，对码流、码率、关键帧等自由调节；</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（5）</w:t>
            </w:r>
            <w:r>
              <w:rPr>
                <w:rFonts w:hint="default" w:ascii="宋体" w:hAnsi="宋体" w:eastAsia="宋体" w:cs="宋体"/>
                <w:sz w:val="21"/>
                <w:szCs w:val="21"/>
                <w:vertAlign w:val="baseline"/>
                <w:lang w:val="en-US" w:eastAsia="zh-CN"/>
              </w:rPr>
              <w:t>调试工具具备电子云台功能，对摄像机放大、缩小、上下左右等操作；</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（6）</w:t>
            </w:r>
            <w:r>
              <w:rPr>
                <w:rFonts w:hint="default" w:ascii="宋体" w:hAnsi="宋体" w:eastAsia="宋体" w:cs="宋体"/>
                <w:sz w:val="21"/>
                <w:szCs w:val="21"/>
                <w:vertAlign w:val="baseline"/>
                <w:lang w:val="en-US" w:eastAsia="zh-CN"/>
              </w:rPr>
              <w:t>支持全景与特写双输出画面预览；</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（7）</w:t>
            </w:r>
            <w:r>
              <w:rPr>
                <w:rFonts w:hint="default" w:ascii="宋体" w:hAnsi="宋体" w:eastAsia="宋体" w:cs="宋体"/>
                <w:sz w:val="21"/>
                <w:szCs w:val="21"/>
                <w:vertAlign w:val="baseline"/>
                <w:lang w:val="en-US" w:eastAsia="zh-CN"/>
              </w:rPr>
              <w:t>支持实时显示CPU占用率；</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 xml:space="preserve">5 </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可视化互动控制面板</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default" w:ascii="宋体" w:hAnsi="宋体" w:eastAsia="宋体" w:cs="宋体"/>
                <w:sz w:val="21"/>
                <w:szCs w:val="21"/>
                <w:vertAlign w:val="baseline"/>
                <w:lang w:val="en-US" w:eastAsia="zh-CN"/>
              </w:rPr>
              <w:t>液晶面板尺寸≥7寸，支持TF存储卡接入，支持不少于4路USB接口；</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lang w:val="en-US" w:eastAsia="zh-CN"/>
              </w:rPr>
              <w:t>支持不少于1路HDMI高清信号接口和1路3.5音频输出接口</w:t>
            </w:r>
            <w:r>
              <w:rPr>
                <w:rFonts w:hint="eastAsia" w:ascii="宋体" w:hAnsi="宋体" w:eastAsia="宋体" w:cs="宋体"/>
                <w:sz w:val="21"/>
                <w:szCs w:val="21"/>
                <w:vertAlign w:val="baseline"/>
                <w:lang w:val="en-US" w:eastAsia="zh-CN"/>
              </w:rPr>
              <w:t>；</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（3）</w:t>
            </w:r>
            <w:r>
              <w:rPr>
                <w:rFonts w:hint="default" w:ascii="宋体" w:hAnsi="宋体" w:eastAsia="宋体" w:cs="宋体"/>
                <w:sz w:val="21"/>
                <w:szCs w:val="21"/>
                <w:vertAlign w:val="baseline"/>
                <w:lang w:val="en-US" w:eastAsia="zh-CN"/>
              </w:rPr>
              <w:t>系统要求支持安卓7.0以上操作系统。</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9" w:hRule="atLeast"/>
        </w:trPr>
        <w:tc>
          <w:tcPr>
            <w:tcW w:w="713" w:type="dxa"/>
            <w:tcBorders>
              <w:top w:val="single" w:color="000000" w:sz="4" w:space="0"/>
              <w:left w:val="single" w:color="000000" w:sz="4" w:space="0"/>
              <w:bottom w:val="single" w:color="auto" w:sz="4" w:space="0"/>
              <w:right w:val="single" w:color="000000" w:sz="4" w:space="0"/>
            </w:tcBorders>
            <w:shd w:val="clear" w:color="auto" w:fill="FFFFFF"/>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 xml:space="preserve">6 </w:t>
            </w:r>
          </w:p>
        </w:tc>
        <w:tc>
          <w:tcPr>
            <w:tcW w:w="10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互动课堂控制软件</w:t>
            </w:r>
          </w:p>
        </w:tc>
        <w:tc>
          <w:tcPr>
            <w:tcW w:w="4937" w:type="dxa"/>
            <w:tcBorders>
              <w:top w:val="single" w:color="000000" w:sz="4" w:space="0"/>
              <w:left w:val="single" w:color="000000" w:sz="4" w:space="0"/>
              <w:bottom w:val="single" w:color="auto" w:sz="4" w:space="0"/>
              <w:right w:val="single" w:color="000000" w:sz="4" w:space="0"/>
            </w:tcBorders>
            <w:shd w:val="clear" w:color="auto" w:fill="auto"/>
            <w:vAlign w:val="center"/>
          </w:tcPr>
          <w:p>
            <w:pPr>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default" w:ascii="宋体" w:hAnsi="宋体" w:eastAsia="宋体" w:cs="宋体"/>
                <w:sz w:val="21"/>
                <w:szCs w:val="21"/>
                <w:vertAlign w:val="baseline"/>
                <w:lang w:val="en-US" w:eastAsia="zh-CN"/>
              </w:rPr>
              <w:t>系统配置</w:t>
            </w:r>
            <w:r>
              <w:rPr>
                <w:rFonts w:hint="default" w:ascii="宋体" w:hAnsi="宋体" w:eastAsia="宋体" w:cs="宋体"/>
                <w:sz w:val="21"/>
                <w:szCs w:val="21"/>
                <w:vertAlign w:val="baseline"/>
                <w:lang w:val="en-US" w:eastAsia="zh-CN"/>
              </w:rPr>
              <w:br w:type="textWrapping"/>
            </w:r>
            <w:r>
              <w:rPr>
                <w:rFonts w:hint="default"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val="en-US" w:eastAsia="zh-CN"/>
              </w:rPr>
              <w:t>）</w:t>
            </w:r>
            <w:r>
              <w:rPr>
                <w:rFonts w:hint="default" w:ascii="宋体" w:hAnsi="宋体" w:eastAsia="宋体" w:cs="宋体"/>
                <w:sz w:val="21"/>
                <w:szCs w:val="21"/>
                <w:vertAlign w:val="baseline"/>
                <w:lang w:val="en-US" w:eastAsia="zh-CN"/>
              </w:rPr>
              <w:t>系统配置，支持输入录播用户名，密码，IP进行录播设备绑定。</w:t>
            </w:r>
            <w:r>
              <w:rPr>
                <w:rFonts w:hint="default" w:ascii="宋体" w:hAnsi="宋体" w:eastAsia="宋体" w:cs="宋体"/>
                <w:sz w:val="21"/>
                <w:szCs w:val="21"/>
                <w:vertAlign w:val="baseline"/>
                <w:lang w:val="en-US" w:eastAsia="zh-CN"/>
              </w:rPr>
              <w:br w:type="textWrapping"/>
            </w:r>
            <w:r>
              <w:rPr>
                <w:rFonts w:hint="default" w:ascii="宋体" w:hAnsi="宋体" w:eastAsia="宋体" w:cs="宋体"/>
                <w:sz w:val="21"/>
                <w:szCs w:val="21"/>
                <w:vertAlign w:val="baseline"/>
                <w:lang w:val="en-US" w:eastAsia="zh-CN"/>
              </w:rPr>
              <w:t>2</w:t>
            </w:r>
            <w:r>
              <w:rPr>
                <w:rFonts w:hint="eastAsia" w:ascii="宋体" w:hAnsi="宋体" w:eastAsia="宋体" w:cs="宋体"/>
                <w:sz w:val="21"/>
                <w:szCs w:val="21"/>
                <w:vertAlign w:val="baseline"/>
                <w:lang w:val="en-US" w:eastAsia="zh-CN"/>
              </w:rPr>
              <w:t>）</w:t>
            </w:r>
            <w:r>
              <w:rPr>
                <w:rFonts w:hint="default" w:ascii="宋体" w:hAnsi="宋体" w:eastAsia="宋体" w:cs="宋体"/>
                <w:sz w:val="21"/>
                <w:szCs w:val="21"/>
                <w:vertAlign w:val="baseline"/>
                <w:lang w:val="en-US" w:eastAsia="zh-CN"/>
              </w:rPr>
              <w:t xml:space="preserve">支持设定锁屏密码，防止随意操作。                          </w:t>
            </w:r>
            <w:r>
              <w:rPr>
                <w:rFonts w:hint="default" w:ascii="宋体" w:hAnsi="宋体" w:eastAsia="宋体" w:cs="宋体"/>
                <w:sz w:val="21"/>
                <w:szCs w:val="21"/>
                <w:vertAlign w:val="baseline"/>
                <w:lang w:val="en-US" w:eastAsia="zh-CN"/>
              </w:rPr>
              <w:br w:type="textWrapping"/>
            </w:r>
            <w:r>
              <w:rPr>
                <w:rFonts w:hint="default" w:ascii="宋体" w:hAnsi="宋体" w:eastAsia="宋体" w:cs="宋体"/>
                <w:sz w:val="21"/>
                <w:szCs w:val="21"/>
                <w:vertAlign w:val="baseline"/>
                <w:lang w:val="en-US" w:eastAsia="zh-CN"/>
              </w:rPr>
              <w:t>3</w:t>
            </w:r>
            <w:r>
              <w:rPr>
                <w:rFonts w:hint="eastAsia" w:ascii="宋体" w:hAnsi="宋体" w:eastAsia="宋体" w:cs="宋体"/>
                <w:sz w:val="21"/>
                <w:szCs w:val="21"/>
                <w:vertAlign w:val="baseline"/>
                <w:lang w:val="en-US" w:eastAsia="zh-CN"/>
              </w:rPr>
              <w:t>）</w:t>
            </w:r>
            <w:r>
              <w:rPr>
                <w:rFonts w:hint="default" w:ascii="宋体" w:hAnsi="宋体" w:eastAsia="宋体" w:cs="宋体"/>
                <w:sz w:val="21"/>
                <w:szCs w:val="21"/>
                <w:vertAlign w:val="baseline"/>
                <w:lang w:val="en-US" w:eastAsia="zh-CN"/>
              </w:rPr>
              <w:t>支持录播设备配置的资源平台以及互动平台地址的同步显示。</w:t>
            </w:r>
            <w:r>
              <w:rPr>
                <w:rFonts w:hint="default" w:ascii="宋体" w:hAnsi="宋体" w:eastAsia="宋体" w:cs="宋体"/>
                <w:sz w:val="21"/>
                <w:szCs w:val="21"/>
                <w:vertAlign w:val="baseline"/>
                <w:lang w:val="en-US" w:eastAsia="zh-CN"/>
              </w:rPr>
              <w:br w:type="textWrapping"/>
            </w:r>
            <w:r>
              <w:rPr>
                <w:rFonts w:hint="default" w:ascii="宋体" w:hAnsi="宋体" w:eastAsia="宋体" w:cs="宋体"/>
                <w:sz w:val="21"/>
                <w:szCs w:val="21"/>
                <w:vertAlign w:val="baseline"/>
                <w:lang w:val="en-US" w:eastAsia="zh-CN"/>
              </w:rPr>
              <w:t>4</w:t>
            </w:r>
            <w:r>
              <w:rPr>
                <w:rFonts w:hint="eastAsia" w:ascii="宋体" w:hAnsi="宋体" w:eastAsia="宋体" w:cs="宋体"/>
                <w:sz w:val="21"/>
                <w:szCs w:val="21"/>
                <w:vertAlign w:val="baseline"/>
                <w:lang w:val="en-US" w:eastAsia="zh-CN"/>
              </w:rPr>
              <w:t>)</w:t>
            </w:r>
            <w:r>
              <w:rPr>
                <w:rFonts w:hint="default" w:ascii="宋体" w:hAnsi="宋体" w:eastAsia="宋体" w:cs="宋体"/>
                <w:sz w:val="21"/>
                <w:szCs w:val="21"/>
                <w:vertAlign w:val="baseline"/>
                <w:lang w:val="en-US" w:eastAsia="zh-CN"/>
              </w:rPr>
              <w:t>支持当前教室计划课程列表显示。</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lang w:val="en-US" w:eastAsia="zh-CN"/>
              </w:rPr>
              <w:t>常规模式</w:t>
            </w:r>
            <w:r>
              <w:rPr>
                <w:rFonts w:hint="default" w:ascii="宋体" w:hAnsi="宋体" w:eastAsia="宋体" w:cs="宋体"/>
                <w:sz w:val="21"/>
                <w:szCs w:val="21"/>
                <w:vertAlign w:val="baseline"/>
                <w:lang w:val="en-US" w:eastAsia="zh-CN"/>
              </w:rPr>
              <w:br w:type="textWrapping"/>
            </w:r>
            <w:r>
              <w:rPr>
                <w:rFonts w:hint="default"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val="en-US" w:eastAsia="zh-CN"/>
              </w:rPr>
              <w:t>）</w:t>
            </w:r>
            <w:r>
              <w:rPr>
                <w:rFonts w:hint="default" w:ascii="宋体" w:hAnsi="宋体" w:eastAsia="宋体" w:cs="宋体"/>
                <w:sz w:val="21"/>
                <w:szCs w:val="21"/>
                <w:vertAlign w:val="baseline"/>
                <w:lang w:val="en-US" w:eastAsia="zh-CN"/>
              </w:rPr>
              <w:t>支持常规录播控制，如录制、暂停、停止。</w:t>
            </w:r>
            <w:r>
              <w:rPr>
                <w:rFonts w:hint="default" w:ascii="宋体" w:hAnsi="宋体" w:eastAsia="宋体" w:cs="宋体"/>
                <w:sz w:val="21"/>
                <w:szCs w:val="21"/>
                <w:vertAlign w:val="baseline"/>
                <w:lang w:val="en-US" w:eastAsia="zh-CN"/>
              </w:rPr>
              <w:br w:type="textWrapping"/>
            </w:r>
            <w:r>
              <w:rPr>
                <w:rFonts w:hint="default" w:ascii="宋体" w:hAnsi="宋体" w:eastAsia="宋体" w:cs="宋体"/>
                <w:sz w:val="21"/>
                <w:szCs w:val="21"/>
                <w:vertAlign w:val="baseline"/>
                <w:lang w:val="en-US" w:eastAsia="zh-CN"/>
              </w:rPr>
              <w:t>2</w:t>
            </w:r>
            <w:r>
              <w:rPr>
                <w:rFonts w:hint="eastAsia" w:ascii="宋体" w:hAnsi="宋体" w:eastAsia="宋体" w:cs="宋体"/>
                <w:sz w:val="21"/>
                <w:szCs w:val="21"/>
                <w:vertAlign w:val="baseline"/>
                <w:lang w:val="en-US" w:eastAsia="zh-CN"/>
              </w:rPr>
              <w:t>）</w:t>
            </w:r>
            <w:r>
              <w:rPr>
                <w:rFonts w:hint="default" w:ascii="宋体" w:hAnsi="宋体" w:eastAsia="宋体" w:cs="宋体"/>
                <w:sz w:val="21"/>
                <w:szCs w:val="21"/>
                <w:vertAlign w:val="baseline"/>
                <w:lang w:val="en-US" w:eastAsia="zh-CN"/>
              </w:rPr>
              <w:t>支持导播模式选择，如自动导播，自动导播（屏蔽学生），以及手动导播（老师全景、特写，学生全景、特写，PPT）等，</w:t>
            </w:r>
            <w:r>
              <w:rPr>
                <w:rFonts w:hint="default" w:ascii="宋体" w:hAnsi="宋体" w:eastAsia="宋体" w:cs="宋体"/>
                <w:sz w:val="21"/>
                <w:szCs w:val="21"/>
                <w:vertAlign w:val="baseline"/>
                <w:lang w:val="en-US" w:eastAsia="zh-CN"/>
              </w:rPr>
              <w:br w:type="textWrapping"/>
            </w:r>
            <w:r>
              <w:rPr>
                <w:rFonts w:hint="default" w:ascii="宋体" w:hAnsi="宋体" w:eastAsia="宋体" w:cs="宋体"/>
                <w:sz w:val="21"/>
                <w:szCs w:val="21"/>
                <w:vertAlign w:val="baseline"/>
                <w:lang w:val="en-US" w:eastAsia="zh-CN"/>
              </w:rPr>
              <w:t>4</w:t>
            </w:r>
            <w:r>
              <w:rPr>
                <w:rFonts w:hint="eastAsia" w:ascii="宋体" w:hAnsi="宋体" w:eastAsia="宋体" w:cs="宋体"/>
                <w:sz w:val="21"/>
                <w:szCs w:val="21"/>
                <w:vertAlign w:val="baseline"/>
                <w:lang w:val="en-US" w:eastAsia="zh-CN"/>
              </w:rPr>
              <w:t>）</w:t>
            </w:r>
            <w:r>
              <w:rPr>
                <w:rFonts w:hint="default" w:ascii="宋体" w:hAnsi="宋体" w:eastAsia="宋体" w:cs="宋体"/>
                <w:sz w:val="21"/>
                <w:szCs w:val="21"/>
                <w:vertAlign w:val="baseline"/>
                <w:lang w:val="en-US" w:eastAsia="zh-CN"/>
              </w:rPr>
              <w:t>预留与第三方中控、物联等对接接口，可实现如声音控制、信号切换等功能。</w:t>
            </w:r>
            <w:r>
              <w:rPr>
                <w:rFonts w:hint="default" w:ascii="宋体" w:hAnsi="宋体" w:eastAsia="宋体" w:cs="宋体"/>
                <w:sz w:val="21"/>
                <w:szCs w:val="21"/>
                <w:vertAlign w:val="baseline"/>
                <w:lang w:val="en-US" w:eastAsia="zh-CN"/>
              </w:rPr>
              <w:br w:type="textWrapping"/>
            </w:r>
            <w:r>
              <w:rPr>
                <w:rFonts w:hint="default" w:ascii="宋体" w:hAnsi="宋体" w:eastAsia="宋体" w:cs="宋体"/>
                <w:sz w:val="21"/>
                <w:szCs w:val="21"/>
                <w:vertAlign w:val="baseline"/>
                <w:lang w:val="en-US" w:eastAsia="zh-CN"/>
              </w:rPr>
              <w:t>5</w:t>
            </w:r>
            <w:r>
              <w:rPr>
                <w:rFonts w:hint="eastAsia" w:ascii="宋体" w:hAnsi="宋体" w:eastAsia="宋体" w:cs="宋体"/>
                <w:sz w:val="21"/>
                <w:szCs w:val="21"/>
                <w:vertAlign w:val="baseline"/>
                <w:lang w:val="en-US" w:eastAsia="zh-CN"/>
              </w:rPr>
              <w:t>）</w:t>
            </w:r>
            <w:r>
              <w:rPr>
                <w:rFonts w:hint="default" w:ascii="宋体" w:hAnsi="宋体" w:eastAsia="宋体" w:cs="宋体"/>
                <w:sz w:val="21"/>
                <w:szCs w:val="21"/>
                <w:vertAlign w:val="baseline"/>
                <w:lang w:val="en-US" w:eastAsia="zh-CN"/>
              </w:rPr>
              <w:t>支持录制课程中导播画面的预览。</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（3）</w:t>
            </w:r>
            <w:r>
              <w:rPr>
                <w:rFonts w:hint="default" w:ascii="宋体" w:hAnsi="宋体" w:eastAsia="宋体" w:cs="宋体"/>
                <w:sz w:val="21"/>
                <w:szCs w:val="21"/>
                <w:vertAlign w:val="baseline"/>
                <w:lang w:val="en-US" w:eastAsia="zh-CN"/>
              </w:rPr>
              <w:t>互动模式控制</w:t>
            </w:r>
            <w:r>
              <w:rPr>
                <w:rFonts w:hint="default" w:ascii="宋体" w:hAnsi="宋体" w:eastAsia="宋体" w:cs="宋体"/>
                <w:sz w:val="21"/>
                <w:szCs w:val="21"/>
                <w:vertAlign w:val="baseline"/>
                <w:lang w:val="en-US" w:eastAsia="zh-CN"/>
              </w:rPr>
              <w:br w:type="textWrapping"/>
            </w:r>
            <w:r>
              <w:rPr>
                <w:rFonts w:hint="default" w:ascii="宋体" w:hAnsi="宋体" w:eastAsia="宋体" w:cs="宋体"/>
                <w:sz w:val="21"/>
                <w:szCs w:val="21"/>
                <w:vertAlign w:val="baseline"/>
                <w:lang w:val="en-US" w:eastAsia="zh-CN"/>
              </w:rPr>
              <w:t>1</w:t>
            </w:r>
            <w:r>
              <w:rPr>
                <w:rFonts w:hint="eastAsia" w:ascii="宋体" w:hAnsi="宋体" w:eastAsia="宋体" w:cs="宋体"/>
                <w:sz w:val="21"/>
                <w:szCs w:val="21"/>
                <w:vertAlign w:val="baseline"/>
                <w:lang w:val="en-US" w:eastAsia="zh-CN"/>
              </w:rPr>
              <w:t>）</w:t>
            </w:r>
            <w:r>
              <w:rPr>
                <w:rFonts w:hint="default" w:ascii="宋体" w:hAnsi="宋体" w:eastAsia="宋体" w:cs="宋体"/>
                <w:sz w:val="21"/>
                <w:szCs w:val="21"/>
                <w:vertAlign w:val="baseline"/>
                <w:lang w:val="en-US" w:eastAsia="zh-CN"/>
              </w:rPr>
              <w:t>支持使用邀请码加入到已经创建的互动课程中，能够根据邀请码识别教室角色；</w:t>
            </w:r>
            <w:r>
              <w:rPr>
                <w:rFonts w:hint="default" w:ascii="宋体" w:hAnsi="宋体" w:eastAsia="宋体" w:cs="宋体"/>
                <w:sz w:val="21"/>
                <w:szCs w:val="21"/>
                <w:vertAlign w:val="baseline"/>
                <w:lang w:val="en-US" w:eastAsia="zh-CN"/>
              </w:rPr>
              <w:br w:type="textWrapping"/>
            </w:r>
            <w:r>
              <w:rPr>
                <w:rFonts w:hint="default" w:ascii="宋体" w:hAnsi="宋体" w:eastAsia="宋体" w:cs="宋体"/>
                <w:sz w:val="21"/>
                <w:szCs w:val="21"/>
                <w:vertAlign w:val="baseline"/>
                <w:lang w:val="en-US" w:eastAsia="zh-CN"/>
              </w:rPr>
              <w:t>2</w:t>
            </w:r>
            <w:r>
              <w:rPr>
                <w:rFonts w:hint="eastAsia" w:ascii="宋体" w:hAnsi="宋体" w:eastAsia="宋体" w:cs="宋体"/>
                <w:sz w:val="21"/>
                <w:szCs w:val="21"/>
                <w:vertAlign w:val="baseline"/>
                <w:lang w:val="en-US" w:eastAsia="zh-CN"/>
              </w:rPr>
              <w:t>）</w:t>
            </w:r>
            <w:r>
              <w:rPr>
                <w:rFonts w:hint="default" w:ascii="宋体" w:hAnsi="宋体" w:eastAsia="宋体" w:cs="宋体"/>
                <w:sz w:val="21"/>
                <w:szCs w:val="21"/>
                <w:vertAlign w:val="baseline"/>
                <w:lang w:val="en-US" w:eastAsia="zh-CN"/>
              </w:rPr>
              <w:t>支持课表方式加入互动课堂，当前教室有互动课计划时，可查看到课程信息，并可一键加入互动课堂；</w:t>
            </w:r>
            <w:r>
              <w:rPr>
                <w:rFonts w:hint="default" w:ascii="宋体" w:hAnsi="宋体" w:eastAsia="宋体" w:cs="宋体"/>
                <w:sz w:val="21"/>
                <w:szCs w:val="21"/>
                <w:vertAlign w:val="baseline"/>
                <w:lang w:val="en-US" w:eastAsia="zh-CN"/>
              </w:rPr>
              <w:br w:type="textWrapping"/>
            </w:r>
            <w:r>
              <w:rPr>
                <w:rFonts w:hint="default" w:ascii="宋体" w:hAnsi="宋体" w:eastAsia="宋体" w:cs="宋体"/>
                <w:sz w:val="21"/>
                <w:szCs w:val="21"/>
                <w:vertAlign w:val="baseline"/>
                <w:lang w:val="en-US" w:eastAsia="zh-CN"/>
              </w:rPr>
              <w:t>3</w:t>
            </w:r>
            <w:r>
              <w:rPr>
                <w:rFonts w:hint="eastAsia" w:ascii="宋体" w:hAnsi="宋体" w:eastAsia="宋体" w:cs="宋体"/>
                <w:sz w:val="21"/>
                <w:szCs w:val="21"/>
                <w:vertAlign w:val="baseline"/>
                <w:lang w:val="en-US" w:eastAsia="zh-CN"/>
              </w:rPr>
              <w:t>）</w:t>
            </w:r>
            <w:r>
              <w:rPr>
                <w:rFonts w:hint="default" w:ascii="宋体" w:hAnsi="宋体" w:eastAsia="宋体" w:cs="宋体"/>
                <w:sz w:val="21"/>
                <w:szCs w:val="21"/>
                <w:vertAlign w:val="baseline"/>
                <w:lang w:val="en-US" w:eastAsia="zh-CN"/>
              </w:rPr>
              <w:t>支持临时创建互动课程、设定课程属性，如课程名称、老师名称、控会密码、是否开启录制和直播、双流或者单流选择等；</w:t>
            </w:r>
            <w:r>
              <w:rPr>
                <w:rFonts w:hint="default" w:ascii="宋体" w:hAnsi="宋体" w:eastAsia="宋体" w:cs="宋体"/>
                <w:sz w:val="21"/>
                <w:szCs w:val="21"/>
                <w:vertAlign w:val="baseline"/>
                <w:lang w:val="en-US" w:eastAsia="zh-CN"/>
              </w:rPr>
              <w:br w:type="textWrapping"/>
            </w:r>
            <w:r>
              <w:rPr>
                <w:rFonts w:hint="default" w:ascii="宋体" w:hAnsi="宋体" w:eastAsia="宋体" w:cs="宋体"/>
                <w:sz w:val="21"/>
                <w:szCs w:val="21"/>
                <w:vertAlign w:val="baseline"/>
                <w:lang w:val="en-US" w:eastAsia="zh-CN"/>
              </w:rPr>
              <w:t>4</w:t>
            </w:r>
            <w:r>
              <w:rPr>
                <w:rFonts w:hint="eastAsia" w:ascii="宋体" w:hAnsi="宋体" w:eastAsia="宋体" w:cs="宋体"/>
                <w:sz w:val="21"/>
                <w:szCs w:val="21"/>
                <w:vertAlign w:val="baseline"/>
                <w:lang w:val="en-US" w:eastAsia="zh-CN"/>
              </w:rPr>
              <w:t>）</w:t>
            </w:r>
            <w:r>
              <w:rPr>
                <w:rFonts w:hint="default" w:ascii="宋体" w:hAnsi="宋体" w:eastAsia="宋体" w:cs="宋体"/>
                <w:sz w:val="21"/>
                <w:szCs w:val="21"/>
                <w:vertAlign w:val="baseline"/>
                <w:lang w:val="en-US" w:eastAsia="zh-CN"/>
              </w:rPr>
              <w:t>主讲教室可设定互动课堂模式为课间休息状态，此时主讲仍可观看听讲教室的动态画面，其他教室录播设备主流输出的画面静止，并且全体静音；</w:t>
            </w:r>
            <w:r>
              <w:rPr>
                <w:rFonts w:hint="default" w:ascii="宋体" w:hAnsi="宋体" w:eastAsia="宋体" w:cs="宋体"/>
                <w:sz w:val="21"/>
                <w:szCs w:val="21"/>
                <w:vertAlign w:val="baseline"/>
                <w:lang w:val="en-US" w:eastAsia="zh-CN"/>
              </w:rPr>
              <w:br w:type="textWrapping"/>
            </w:r>
            <w:r>
              <w:rPr>
                <w:rFonts w:hint="default" w:ascii="宋体" w:hAnsi="宋体" w:eastAsia="宋体" w:cs="宋体"/>
                <w:sz w:val="21"/>
                <w:szCs w:val="21"/>
                <w:vertAlign w:val="baseline"/>
                <w:lang w:val="en-US" w:eastAsia="zh-CN"/>
              </w:rPr>
              <w:t>5</w:t>
            </w:r>
            <w:r>
              <w:rPr>
                <w:rFonts w:hint="eastAsia" w:ascii="宋体" w:hAnsi="宋体" w:eastAsia="宋体" w:cs="宋体"/>
                <w:sz w:val="21"/>
                <w:szCs w:val="21"/>
                <w:vertAlign w:val="baseline"/>
                <w:lang w:val="en-US" w:eastAsia="zh-CN"/>
              </w:rPr>
              <w:t>）</w:t>
            </w:r>
            <w:r>
              <w:rPr>
                <w:rFonts w:hint="default" w:ascii="宋体" w:hAnsi="宋体" w:eastAsia="宋体" w:cs="宋体"/>
                <w:sz w:val="21"/>
                <w:szCs w:val="21"/>
                <w:vertAlign w:val="baseline"/>
                <w:lang w:val="en-US" w:eastAsia="zh-CN"/>
              </w:rPr>
              <w:t>互动课堂支持自由讨论模式，各参与方显示主讲和听讲的4等分屏画面，各听讲教室麦克风全部开启，可自由互动交流；</w:t>
            </w:r>
            <w:r>
              <w:rPr>
                <w:rFonts w:hint="default" w:ascii="宋体" w:hAnsi="宋体" w:eastAsia="宋体" w:cs="宋体"/>
                <w:sz w:val="21"/>
                <w:szCs w:val="21"/>
                <w:vertAlign w:val="baseline"/>
                <w:lang w:val="en-US" w:eastAsia="zh-CN"/>
              </w:rPr>
              <w:br w:type="textWrapping"/>
            </w:r>
            <w:r>
              <w:rPr>
                <w:rFonts w:hint="default" w:ascii="宋体" w:hAnsi="宋体" w:eastAsia="宋体" w:cs="宋体"/>
                <w:sz w:val="21"/>
                <w:szCs w:val="21"/>
                <w:vertAlign w:val="baseline"/>
                <w:lang w:val="en-US" w:eastAsia="zh-CN"/>
              </w:rPr>
              <w:t>6</w:t>
            </w:r>
            <w:r>
              <w:rPr>
                <w:rFonts w:hint="eastAsia" w:ascii="宋体" w:hAnsi="宋体" w:eastAsia="宋体" w:cs="宋体"/>
                <w:sz w:val="21"/>
                <w:szCs w:val="21"/>
                <w:vertAlign w:val="baseline"/>
                <w:lang w:val="en-US" w:eastAsia="zh-CN"/>
              </w:rPr>
              <w:t>）</w:t>
            </w:r>
            <w:r>
              <w:rPr>
                <w:rFonts w:hint="default" w:ascii="宋体" w:hAnsi="宋体" w:eastAsia="宋体" w:cs="宋体"/>
                <w:sz w:val="21"/>
                <w:szCs w:val="21"/>
                <w:vertAlign w:val="baseline"/>
                <w:lang w:val="en-US" w:eastAsia="zh-CN"/>
              </w:rPr>
              <w:t>当主讲选定某间教室发言时，主讲教室可以观看发言教室全屏画面，非发言教室可以观看主讲+发言教室的两分屏画面；</w:t>
            </w:r>
            <w:r>
              <w:rPr>
                <w:rFonts w:hint="default" w:ascii="宋体" w:hAnsi="宋体" w:eastAsia="宋体" w:cs="宋体"/>
                <w:sz w:val="21"/>
                <w:szCs w:val="21"/>
                <w:vertAlign w:val="baseline"/>
                <w:lang w:val="en-US" w:eastAsia="zh-CN"/>
              </w:rPr>
              <w:br w:type="textWrapping"/>
            </w:r>
            <w:r>
              <w:rPr>
                <w:rFonts w:hint="default" w:ascii="宋体" w:hAnsi="宋体" w:eastAsia="宋体" w:cs="宋体"/>
                <w:sz w:val="21"/>
                <w:szCs w:val="21"/>
                <w:vertAlign w:val="baseline"/>
                <w:lang w:val="en-US" w:eastAsia="zh-CN"/>
              </w:rPr>
              <w:t>7</w:t>
            </w:r>
            <w:r>
              <w:rPr>
                <w:rFonts w:hint="eastAsia" w:ascii="宋体" w:hAnsi="宋体" w:eastAsia="宋体" w:cs="宋体"/>
                <w:sz w:val="21"/>
                <w:szCs w:val="21"/>
                <w:vertAlign w:val="baseline"/>
                <w:lang w:val="en-US" w:eastAsia="zh-CN"/>
              </w:rPr>
              <w:t>）</w:t>
            </w:r>
            <w:r>
              <w:rPr>
                <w:rFonts w:hint="default" w:ascii="宋体" w:hAnsi="宋体" w:eastAsia="宋体" w:cs="宋体"/>
                <w:sz w:val="21"/>
                <w:szCs w:val="21"/>
                <w:vertAlign w:val="baseline"/>
                <w:lang w:val="en-US" w:eastAsia="zh-CN"/>
              </w:rPr>
              <w:t>听讲和旁听支持当前课程信息显示，如课程名称、主讲老师、当前教室的类型，以及课程模式等；可一键加入、退出课堂，发言申请等；</w:t>
            </w:r>
            <w:r>
              <w:rPr>
                <w:rFonts w:hint="default" w:ascii="宋体" w:hAnsi="宋体" w:eastAsia="宋体" w:cs="宋体"/>
                <w:sz w:val="21"/>
                <w:szCs w:val="21"/>
                <w:vertAlign w:val="baseline"/>
                <w:lang w:val="en-US" w:eastAsia="zh-CN"/>
              </w:rPr>
              <w:br w:type="textWrapping"/>
            </w:r>
            <w:r>
              <w:rPr>
                <w:rFonts w:hint="default" w:ascii="宋体" w:hAnsi="宋体" w:eastAsia="宋体" w:cs="宋体"/>
                <w:sz w:val="21"/>
                <w:szCs w:val="21"/>
                <w:vertAlign w:val="baseline"/>
                <w:lang w:val="en-US" w:eastAsia="zh-CN"/>
              </w:rPr>
              <w:t>8</w:t>
            </w:r>
            <w:r>
              <w:rPr>
                <w:rFonts w:hint="eastAsia" w:ascii="宋体" w:hAnsi="宋体" w:eastAsia="宋体" w:cs="宋体"/>
                <w:sz w:val="21"/>
                <w:szCs w:val="21"/>
                <w:vertAlign w:val="baseline"/>
                <w:lang w:val="en-US" w:eastAsia="zh-CN"/>
              </w:rPr>
              <w:t>）</w:t>
            </w:r>
            <w:r>
              <w:rPr>
                <w:rFonts w:hint="default" w:ascii="宋体" w:hAnsi="宋体" w:eastAsia="宋体" w:cs="宋体"/>
                <w:sz w:val="21"/>
                <w:szCs w:val="21"/>
                <w:vertAlign w:val="baseline"/>
                <w:lang w:val="en-US" w:eastAsia="zh-CN"/>
              </w:rPr>
              <w:t>支持标准H.323或SIP，以及对接第三方互动终端模式切换</w:t>
            </w:r>
            <w:r>
              <w:rPr>
                <w:rFonts w:hint="eastAsia" w:ascii="宋体" w:hAnsi="宋体" w:eastAsia="宋体" w:cs="宋体"/>
                <w:sz w:val="21"/>
                <w:szCs w:val="21"/>
                <w:vertAlign w:val="baseline"/>
                <w:lang w:val="en-US" w:eastAsia="zh-CN"/>
              </w:rPr>
              <w:t>。</w:t>
            </w:r>
          </w:p>
        </w:tc>
        <w:tc>
          <w:tcPr>
            <w:tcW w:w="93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 xml:space="preserve">1 </w:t>
            </w:r>
          </w:p>
        </w:tc>
        <w:tc>
          <w:tcPr>
            <w:tcW w:w="900"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4" w:hRule="atLeast"/>
        </w:trPr>
        <w:tc>
          <w:tcPr>
            <w:tcW w:w="713" w:type="dxa"/>
            <w:tcBorders>
              <w:top w:val="single" w:color="auto" w:sz="4" w:space="0"/>
              <w:left w:val="single" w:color="auto" w:sz="4" w:space="0"/>
              <w:bottom w:val="single" w:color="auto" w:sz="4" w:space="0"/>
              <w:right w:val="single" w:color="000000" w:sz="4" w:space="0"/>
            </w:tcBorders>
            <w:shd w:val="clear" w:color="auto" w:fill="FFFFFF"/>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 xml:space="preserve">7 </w:t>
            </w:r>
          </w:p>
        </w:tc>
        <w:tc>
          <w:tcPr>
            <w:tcW w:w="107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回声抑制音频处理器</w:t>
            </w:r>
          </w:p>
        </w:tc>
        <w:tc>
          <w:tcPr>
            <w:tcW w:w="4937" w:type="dxa"/>
            <w:tcBorders>
              <w:top w:val="single" w:color="auto" w:sz="4" w:space="0"/>
              <w:left w:val="single" w:color="000000" w:sz="4" w:space="0"/>
              <w:bottom w:val="single" w:color="auto" w:sz="4" w:space="0"/>
              <w:right w:val="single" w:color="000000" w:sz="4" w:space="0"/>
            </w:tcBorders>
            <w:shd w:val="clear" w:color="auto" w:fill="auto"/>
            <w:vAlign w:val="center"/>
          </w:tcPr>
          <w:p>
            <w:pPr>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default" w:ascii="宋体" w:hAnsi="宋体" w:eastAsia="宋体" w:cs="宋体"/>
                <w:sz w:val="21"/>
                <w:szCs w:val="21"/>
                <w:vertAlign w:val="baseline"/>
                <w:lang w:val="en-US" w:eastAsia="zh-CN"/>
              </w:rPr>
              <w:t>2路话筒输入，4路线路输入，采用裸线接口端子</w:t>
            </w:r>
            <w:r>
              <w:rPr>
                <w:rFonts w:hint="eastAsia" w:ascii="宋体" w:hAnsi="宋体" w:eastAsia="宋体" w:cs="宋体"/>
                <w:sz w:val="21"/>
                <w:szCs w:val="21"/>
                <w:vertAlign w:val="baseline"/>
                <w:lang w:val="en-US" w:eastAsia="zh-CN"/>
              </w:rPr>
              <w:t>；</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lang w:val="en-US" w:eastAsia="zh-CN"/>
              </w:rPr>
              <w:t>6路平衡式输出，采用裸线接口端子</w:t>
            </w:r>
            <w:r>
              <w:rPr>
                <w:rFonts w:hint="eastAsia" w:ascii="宋体" w:hAnsi="宋体" w:eastAsia="宋体" w:cs="宋体"/>
                <w:sz w:val="21"/>
                <w:szCs w:val="21"/>
                <w:vertAlign w:val="baseline"/>
                <w:lang w:val="en-US" w:eastAsia="zh-CN"/>
              </w:rPr>
              <w:t>；</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（3）</w:t>
            </w:r>
            <w:r>
              <w:rPr>
                <w:rFonts w:hint="default" w:ascii="宋体" w:hAnsi="宋体" w:eastAsia="宋体" w:cs="宋体"/>
                <w:sz w:val="21"/>
                <w:szCs w:val="21"/>
                <w:vertAlign w:val="baseline"/>
                <w:lang w:val="en-US" w:eastAsia="zh-CN"/>
              </w:rPr>
              <w:t>自适应回声消除技术</w:t>
            </w:r>
            <w:r>
              <w:rPr>
                <w:rFonts w:hint="eastAsia" w:ascii="宋体" w:hAnsi="宋体" w:eastAsia="宋体" w:cs="宋体"/>
                <w:sz w:val="21"/>
                <w:szCs w:val="21"/>
                <w:vertAlign w:val="baseline"/>
                <w:lang w:val="en-US" w:eastAsia="zh-CN"/>
              </w:rPr>
              <w:t>；</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（4）</w:t>
            </w:r>
            <w:r>
              <w:rPr>
                <w:rFonts w:hint="default" w:ascii="宋体" w:hAnsi="宋体" w:eastAsia="宋体" w:cs="宋体"/>
                <w:sz w:val="21"/>
                <w:szCs w:val="21"/>
                <w:vertAlign w:val="baseline"/>
                <w:lang w:val="en-US" w:eastAsia="zh-CN"/>
              </w:rPr>
              <w:t>智能混音和话筒优选技术</w:t>
            </w:r>
            <w:r>
              <w:rPr>
                <w:rFonts w:hint="eastAsia" w:ascii="宋体" w:hAnsi="宋体" w:eastAsia="宋体" w:cs="宋体"/>
                <w:sz w:val="21"/>
                <w:szCs w:val="21"/>
                <w:vertAlign w:val="baseline"/>
                <w:lang w:val="en-US" w:eastAsia="zh-CN"/>
              </w:rPr>
              <w:t>；</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（5）</w:t>
            </w:r>
            <w:r>
              <w:rPr>
                <w:rFonts w:hint="default" w:ascii="宋体" w:hAnsi="宋体" w:eastAsia="宋体" w:cs="宋体"/>
                <w:sz w:val="21"/>
                <w:szCs w:val="21"/>
                <w:vertAlign w:val="baseline"/>
                <w:lang w:val="en-US" w:eastAsia="zh-CN"/>
              </w:rPr>
              <w:t>动态自适应降噪技术，降噪电平最高达18DB</w:t>
            </w:r>
            <w:r>
              <w:rPr>
                <w:rFonts w:hint="eastAsia" w:ascii="宋体" w:hAnsi="宋体" w:eastAsia="宋体" w:cs="宋体"/>
                <w:sz w:val="21"/>
                <w:szCs w:val="21"/>
                <w:vertAlign w:val="baseline"/>
                <w:lang w:val="en-US" w:eastAsia="zh-CN"/>
              </w:rPr>
              <w:t>；</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（6）</w:t>
            </w:r>
            <w:r>
              <w:rPr>
                <w:rFonts w:hint="default" w:ascii="宋体" w:hAnsi="宋体" w:eastAsia="宋体" w:cs="宋体"/>
                <w:sz w:val="21"/>
                <w:szCs w:val="21"/>
                <w:vertAlign w:val="baseline"/>
                <w:lang w:val="en-US" w:eastAsia="zh-CN"/>
              </w:rPr>
              <w:t>2路话筒支持48V幻象供电</w:t>
            </w:r>
            <w:r>
              <w:rPr>
                <w:rFonts w:hint="eastAsia" w:ascii="宋体" w:hAnsi="宋体" w:eastAsia="宋体" w:cs="宋体"/>
                <w:sz w:val="21"/>
                <w:szCs w:val="21"/>
                <w:vertAlign w:val="baseline"/>
                <w:lang w:val="en-US" w:eastAsia="zh-CN"/>
              </w:rPr>
              <w:t>；</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（7）</w:t>
            </w:r>
            <w:r>
              <w:rPr>
                <w:rFonts w:hint="default" w:ascii="宋体" w:hAnsi="宋体" w:eastAsia="宋体" w:cs="宋体"/>
                <w:sz w:val="21"/>
                <w:szCs w:val="21"/>
                <w:vertAlign w:val="baseline"/>
                <w:lang w:val="en-US" w:eastAsia="zh-CN"/>
              </w:rPr>
              <w:t>采样率48KHZ，A/D和D/A、24bit</w:t>
            </w:r>
            <w:r>
              <w:rPr>
                <w:rFonts w:hint="eastAsia" w:ascii="宋体" w:hAnsi="宋体" w:eastAsia="宋体" w:cs="宋体"/>
                <w:sz w:val="21"/>
                <w:szCs w:val="21"/>
                <w:vertAlign w:val="baseline"/>
                <w:lang w:val="en-US" w:eastAsia="zh-CN"/>
              </w:rPr>
              <w:t>；</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（8）</w:t>
            </w:r>
            <w:r>
              <w:rPr>
                <w:rFonts w:hint="default" w:ascii="宋体" w:hAnsi="宋体" w:eastAsia="宋体" w:cs="宋体"/>
                <w:sz w:val="21"/>
                <w:szCs w:val="21"/>
                <w:vertAlign w:val="baseline"/>
                <w:lang w:val="en-US" w:eastAsia="zh-CN"/>
              </w:rPr>
              <w:t>输入输出独立的音量调节旋钮</w:t>
            </w:r>
            <w:r>
              <w:rPr>
                <w:rFonts w:hint="eastAsia" w:ascii="宋体" w:hAnsi="宋体" w:eastAsia="宋体" w:cs="宋体"/>
                <w:sz w:val="21"/>
                <w:szCs w:val="21"/>
                <w:vertAlign w:val="baseline"/>
                <w:lang w:val="en-US" w:eastAsia="zh-CN"/>
              </w:rPr>
              <w:t>；</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（9）</w:t>
            </w:r>
            <w:r>
              <w:rPr>
                <w:rFonts w:hint="default" w:ascii="宋体" w:hAnsi="宋体" w:eastAsia="宋体" w:cs="宋体"/>
                <w:sz w:val="21"/>
                <w:szCs w:val="21"/>
                <w:vertAlign w:val="baseline"/>
                <w:lang w:val="en-US" w:eastAsia="zh-CN"/>
              </w:rPr>
              <w:t>支持监听功能</w:t>
            </w:r>
            <w:r>
              <w:rPr>
                <w:rFonts w:hint="eastAsia" w:ascii="宋体" w:hAnsi="宋体" w:eastAsia="宋体" w:cs="宋体"/>
                <w:sz w:val="21"/>
                <w:szCs w:val="21"/>
                <w:vertAlign w:val="baseline"/>
                <w:lang w:val="en-US" w:eastAsia="zh-CN"/>
              </w:rPr>
              <w:t>；</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（10）</w:t>
            </w:r>
            <w:r>
              <w:rPr>
                <w:rFonts w:hint="default" w:ascii="宋体" w:hAnsi="宋体" w:eastAsia="宋体" w:cs="宋体"/>
                <w:sz w:val="21"/>
                <w:szCs w:val="21"/>
                <w:vertAlign w:val="baseline"/>
                <w:lang w:val="en-US" w:eastAsia="zh-CN"/>
              </w:rPr>
              <w:t>4路拨码开关，配置不同的功能</w:t>
            </w:r>
            <w:r>
              <w:rPr>
                <w:rFonts w:hint="eastAsia" w:ascii="宋体" w:hAnsi="宋体" w:eastAsia="宋体" w:cs="宋体"/>
                <w:sz w:val="21"/>
                <w:szCs w:val="21"/>
                <w:vertAlign w:val="baseline"/>
                <w:lang w:val="en-US" w:eastAsia="zh-CN"/>
              </w:rPr>
              <w:t>。</w:t>
            </w:r>
          </w:p>
        </w:tc>
        <w:tc>
          <w:tcPr>
            <w:tcW w:w="938"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 xml:space="preserve">1 </w:t>
            </w:r>
          </w:p>
        </w:tc>
        <w:tc>
          <w:tcPr>
            <w:tcW w:w="900" w:type="dxa"/>
            <w:tcBorders>
              <w:top w:val="single" w:color="auto" w:sz="4" w:space="0"/>
              <w:left w:val="single" w:color="000000" w:sz="4" w:space="0"/>
              <w:bottom w:val="single" w:color="auto" w:sz="4" w:space="0"/>
              <w:right w:val="single" w:color="auto" w:sz="4" w:space="0"/>
            </w:tcBorders>
            <w:shd w:val="clear" w:color="auto" w:fill="FFFFFF"/>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7" w:hRule="atLeast"/>
        </w:trPr>
        <w:tc>
          <w:tcPr>
            <w:tcW w:w="713" w:type="dxa"/>
            <w:tcBorders>
              <w:top w:val="single" w:color="auto"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 xml:space="preserve">8 </w:t>
            </w:r>
          </w:p>
        </w:tc>
        <w:tc>
          <w:tcPr>
            <w:tcW w:w="107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互动全向麦克风</w:t>
            </w:r>
          </w:p>
        </w:tc>
        <w:tc>
          <w:tcPr>
            <w:tcW w:w="4937" w:type="dxa"/>
            <w:tcBorders>
              <w:top w:val="single" w:color="auto" w:sz="4" w:space="0"/>
              <w:left w:val="single" w:color="000000" w:sz="4" w:space="0"/>
              <w:bottom w:val="single" w:color="000000" w:sz="4" w:space="0"/>
              <w:right w:val="single" w:color="000000" w:sz="4" w:space="0"/>
            </w:tcBorders>
            <w:shd w:val="clear" w:color="auto" w:fill="FFFFFF"/>
            <w:vAlign w:val="center"/>
          </w:tcPr>
          <w:p>
            <w:pPr>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default" w:ascii="宋体" w:hAnsi="宋体" w:eastAsia="宋体" w:cs="宋体"/>
                <w:sz w:val="21"/>
                <w:szCs w:val="21"/>
                <w:vertAlign w:val="baseline"/>
                <w:lang w:val="en-US" w:eastAsia="zh-CN"/>
              </w:rPr>
              <w:t>360度全向拾音，拾音半径可达8米</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lang w:val="en-US" w:eastAsia="zh-CN"/>
              </w:rPr>
              <w:t>传感器类型：背极式驻极体电容极头</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（3）</w:t>
            </w:r>
            <w:r>
              <w:rPr>
                <w:rFonts w:hint="default" w:ascii="宋体" w:hAnsi="宋体" w:eastAsia="宋体" w:cs="宋体"/>
                <w:sz w:val="21"/>
                <w:szCs w:val="21"/>
                <w:vertAlign w:val="baseline"/>
                <w:lang w:val="en-US" w:eastAsia="zh-CN"/>
              </w:rPr>
              <w:t>供电方式：48V幻象电源</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（4）</w:t>
            </w:r>
            <w:r>
              <w:rPr>
                <w:rFonts w:hint="default" w:ascii="宋体" w:hAnsi="宋体" w:eastAsia="宋体" w:cs="宋体"/>
                <w:sz w:val="21"/>
                <w:szCs w:val="21"/>
                <w:vertAlign w:val="baseline"/>
                <w:lang w:val="en-US" w:eastAsia="zh-CN"/>
              </w:rPr>
              <w:t>输出接口：迷你XLR-3公型</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（5）</w:t>
            </w:r>
            <w:r>
              <w:rPr>
                <w:rFonts w:hint="default" w:ascii="宋体" w:hAnsi="宋体" w:eastAsia="宋体" w:cs="宋体"/>
                <w:sz w:val="21"/>
                <w:szCs w:val="21"/>
                <w:vertAlign w:val="baseline"/>
                <w:lang w:val="en-US" w:eastAsia="zh-CN"/>
              </w:rPr>
              <w:t>安装方式：悬挂安装</w:t>
            </w:r>
          </w:p>
        </w:tc>
        <w:tc>
          <w:tcPr>
            <w:tcW w:w="93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 xml:space="preserve">1 </w:t>
            </w:r>
          </w:p>
        </w:tc>
        <w:tc>
          <w:tcPr>
            <w:tcW w:w="900"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0"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 xml:space="preserve">9 </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音响</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default" w:ascii="宋体" w:hAnsi="宋体" w:eastAsia="宋体" w:cs="宋体"/>
                <w:sz w:val="21"/>
                <w:szCs w:val="21"/>
                <w:vertAlign w:val="baseline"/>
                <w:lang w:val="en-US" w:eastAsia="zh-CN"/>
              </w:rPr>
              <w:t>声学系统：二路四阶倒相式</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（2）</w:t>
            </w:r>
            <w:r>
              <w:rPr>
                <w:rFonts w:hint="default" w:ascii="宋体" w:hAnsi="宋体" w:eastAsia="宋体" w:cs="宋体"/>
                <w:sz w:val="21"/>
                <w:szCs w:val="21"/>
                <w:vertAlign w:val="baseline"/>
                <w:lang w:val="en-US" w:eastAsia="zh-CN"/>
              </w:rPr>
              <w:t>高音扬声器：20mm软球顶高音</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（3）</w:t>
            </w:r>
            <w:r>
              <w:rPr>
                <w:rFonts w:hint="default" w:ascii="宋体" w:hAnsi="宋体" w:eastAsia="宋体" w:cs="宋体"/>
                <w:sz w:val="21"/>
                <w:szCs w:val="21"/>
                <w:vertAlign w:val="baseline"/>
                <w:lang w:val="en-US" w:eastAsia="zh-CN"/>
              </w:rPr>
              <w:t>低音扬声器：4"PP盆中低音</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（4）</w:t>
            </w:r>
            <w:r>
              <w:rPr>
                <w:rFonts w:hint="default" w:ascii="宋体" w:hAnsi="宋体" w:eastAsia="宋体" w:cs="宋体"/>
                <w:sz w:val="21"/>
                <w:szCs w:val="21"/>
                <w:vertAlign w:val="baseline"/>
                <w:lang w:val="en-US" w:eastAsia="zh-CN"/>
              </w:rPr>
              <w:t>功率放大器：25WX2</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（5）</w:t>
            </w:r>
            <w:r>
              <w:rPr>
                <w:rFonts w:hint="default" w:ascii="宋体" w:hAnsi="宋体" w:eastAsia="宋体" w:cs="宋体"/>
                <w:sz w:val="21"/>
                <w:szCs w:val="21"/>
                <w:vertAlign w:val="baseline"/>
                <w:lang w:val="en-US" w:eastAsia="zh-CN"/>
              </w:rPr>
              <w:t>信噪比（A）：≥85dB</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（6）</w:t>
            </w:r>
            <w:r>
              <w:rPr>
                <w:rFonts w:hint="default" w:ascii="宋体" w:hAnsi="宋体" w:eastAsia="宋体" w:cs="宋体"/>
                <w:sz w:val="21"/>
                <w:szCs w:val="21"/>
                <w:vertAlign w:val="baseline"/>
                <w:lang w:val="en-US" w:eastAsia="zh-CN"/>
              </w:rPr>
              <w:t>频率响应：60Hz-20kHz@-8dB</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（7）</w:t>
            </w:r>
            <w:r>
              <w:rPr>
                <w:rFonts w:hint="default" w:ascii="宋体" w:hAnsi="宋体" w:eastAsia="宋体" w:cs="宋体"/>
                <w:sz w:val="21"/>
                <w:szCs w:val="21"/>
                <w:vertAlign w:val="baseline"/>
                <w:lang w:val="en-US" w:eastAsia="zh-CN"/>
              </w:rPr>
              <w:t>总功率：45W@10%</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（8）</w:t>
            </w:r>
            <w:r>
              <w:rPr>
                <w:rFonts w:hint="default" w:ascii="宋体" w:hAnsi="宋体" w:eastAsia="宋体" w:cs="宋体"/>
                <w:sz w:val="21"/>
                <w:szCs w:val="21"/>
                <w:vertAlign w:val="baseline"/>
                <w:lang w:val="en-US" w:eastAsia="zh-CN"/>
              </w:rPr>
              <w:t>总谐波失真度：THD≤0.2%@1m,1W</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（9）</w:t>
            </w:r>
            <w:r>
              <w:rPr>
                <w:rFonts w:hint="default" w:ascii="宋体" w:hAnsi="宋体" w:eastAsia="宋体" w:cs="宋体"/>
                <w:sz w:val="21"/>
                <w:szCs w:val="21"/>
                <w:vertAlign w:val="baseline"/>
                <w:lang w:val="en-US" w:eastAsia="zh-CN"/>
              </w:rPr>
              <w:t>蓝牙版本：Ver:5.0</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（10）</w:t>
            </w:r>
            <w:r>
              <w:rPr>
                <w:rFonts w:hint="default" w:ascii="宋体" w:hAnsi="宋体" w:eastAsia="宋体" w:cs="宋体"/>
                <w:sz w:val="21"/>
                <w:szCs w:val="21"/>
                <w:vertAlign w:val="baseline"/>
                <w:lang w:val="en-US" w:eastAsia="zh-CN"/>
              </w:rPr>
              <w:t>电源：18V2.5A电源适配器</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（11）</w:t>
            </w:r>
            <w:r>
              <w:rPr>
                <w:rFonts w:hint="default" w:ascii="宋体" w:hAnsi="宋体" w:eastAsia="宋体" w:cs="宋体"/>
                <w:sz w:val="21"/>
                <w:szCs w:val="21"/>
                <w:vertAlign w:val="baseline"/>
                <w:lang w:val="en-US" w:eastAsia="zh-CN"/>
              </w:rPr>
              <w:t>尺寸(HxWxD)：153(宽)x195(深)x210(高)mm</w:t>
            </w:r>
            <w:r>
              <w:rPr>
                <w:rFonts w:hint="default" w:ascii="宋体" w:hAnsi="宋体" w:eastAsia="宋体" w:cs="宋体"/>
                <w:sz w:val="21"/>
                <w:szCs w:val="21"/>
                <w:vertAlign w:val="baseline"/>
                <w:lang w:val="en-US" w:eastAsia="zh-CN"/>
              </w:rPr>
              <w:br w:type="textWrapping"/>
            </w:r>
            <w:r>
              <w:rPr>
                <w:rFonts w:hint="eastAsia" w:ascii="宋体" w:hAnsi="宋体" w:eastAsia="宋体" w:cs="宋体"/>
                <w:sz w:val="21"/>
                <w:szCs w:val="21"/>
                <w:vertAlign w:val="baseline"/>
                <w:lang w:val="en-US" w:eastAsia="zh-CN"/>
              </w:rPr>
              <w:t>（12）</w:t>
            </w:r>
            <w:r>
              <w:rPr>
                <w:rFonts w:hint="default" w:ascii="宋体" w:hAnsi="宋体" w:eastAsia="宋体" w:cs="宋体"/>
                <w:sz w:val="21"/>
                <w:szCs w:val="21"/>
                <w:vertAlign w:val="baseline"/>
                <w:lang w:val="en-US" w:eastAsia="zh-CN"/>
              </w:rPr>
              <w:t>重量：4.9kg</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 xml:space="preserve">10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交换机</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8口千兆交换机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 xml:space="preserve">11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互动画面显示器</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4K高清58寸液晶电视、HDMI接口</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 xml:space="preserve">12 </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机柜</w:t>
            </w:r>
          </w:p>
        </w:tc>
        <w:tc>
          <w:tcPr>
            <w:tcW w:w="493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600*600*600mm</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t>个</w:t>
            </w:r>
          </w:p>
        </w:tc>
      </w:tr>
    </w:tbl>
    <w:p>
      <w:pPr>
        <w:pStyle w:val="17"/>
        <w:numPr>
          <w:ilvl w:val="0"/>
          <w:numId w:val="0"/>
        </w:numPr>
        <w:rPr>
          <w:rFonts w:hint="eastAsia"/>
          <w:lang w:val="en-US" w:eastAsia="zh-CN"/>
        </w:rPr>
      </w:pPr>
    </w:p>
    <w:p>
      <w:pPr>
        <w:pStyle w:val="20"/>
        <w:ind w:left="480" w:firstLine="400"/>
        <w:rPr>
          <w:rFonts w:hint="eastAsia" w:ascii="宋体" w:hAnsi="宋体" w:eastAsia="宋体" w:cs="宋体"/>
        </w:rPr>
      </w:pPr>
    </w:p>
    <w:bookmarkEnd w:id="23"/>
    <w:bookmarkEnd w:id="24"/>
    <w:bookmarkEnd w:id="25"/>
    <w:p>
      <w:pPr>
        <w:pStyle w:val="3"/>
        <w:snapToGrid w:val="0"/>
        <w:ind w:firstLine="560"/>
        <w:rPr>
          <w:rFonts w:hint="eastAsia" w:cs="宋体"/>
          <w:b/>
          <w:bCs/>
          <w:color w:val="000000" w:themeColor="text1"/>
          <w:sz w:val="28"/>
          <w:szCs w:val="28"/>
          <w14:textFill>
            <w14:solidFill>
              <w14:schemeClr w14:val="tx1"/>
            </w14:solidFill>
          </w14:textFill>
        </w:rPr>
        <w:sectPr>
          <w:pgSz w:w="11850" w:h="16783"/>
          <w:pgMar w:top="1440" w:right="1800" w:bottom="1440" w:left="1800" w:header="851" w:footer="1417" w:gutter="0"/>
          <w:cols w:space="720" w:num="1"/>
          <w:docGrid w:type="lines" w:linePitch="312" w:charSpace="0"/>
        </w:sectPr>
      </w:pPr>
      <w:bookmarkStart w:id="29" w:name="2、项目组织机构"/>
      <w:bookmarkEnd w:id="29"/>
      <w:bookmarkStart w:id="30" w:name="7、付款方式"/>
      <w:bookmarkEnd w:id="30"/>
      <w:bookmarkStart w:id="31" w:name="1、项目组织管理"/>
      <w:bookmarkEnd w:id="31"/>
      <w:bookmarkStart w:id="32" w:name="3、项目质量控制"/>
      <w:bookmarkEnd w:id="32"/>
      <w:bookmarkStart w:id="33" w:name="4、项目风险管理"/>
      <w:bookmarkEnd w:id="33"/>
      <w:bookmarkStart w:id="34" w:name="八、其他说明"/>
      <w:bookmarkEnd w:id="34"/>
      <w:bookmarkStart w:id="35" w:name="_Toc6530"/>
    </w:p>
    <w:p>
      <w:pPr>
        <w:pStyle w:val="3"/>
        <w:snapToGrid w:val="0"/>
        <w:ind w:firstLine="560"/>
        <w:rPr>
          <w:rFonts w:cs="宋体"/>
          <w:b/>
          <w:bCs/>
          <w:color w:val="000000" w:themeColor="text1"/>
          <w:sz w:val="28"/>
          <w:szCs w:val="28"/>
          <w14:textFill>
            <w14:solidFill>
              <w14:schemeClr w14:val="tx1"/>
            </w14:solidFill>
          </w14:textFill>
        </w:rPr>
      </w:pPr>
      <w:r>
        <w:rPr>
          <w:rFonts w:hint="eastAsia" w:cs="宋体"/>
          <w:b/>
          <w:bCs/>
          <w:color w:val="000000" w:themeColor="text1"/>
          <w:sz w:val="28"/>
          <w:szCs w:val="28"/>
          <w14:textFill>
            <w14:solidFill>
              <w14:schemeClr w14:val="tx1"/>
            </w14:solidFill>
          </w14:textFill>
        </w:rPr>
        <w:t>第五部分  合同原则</w:t>
      </w:r>
      <w:bookmarkEnd w:id="35"/>
    </w:p>
    <w:p>
      <w:pPr>
        <w:keepNext/>
        <w:adjustRightInd w:val="0"/>
        <w:snapToGrid w:val="0"/>
        <w:ind w:firstLine="482"/>
        <w:jc w:val="center"/>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（本合同为样稿，最终以双方签订合同为准）</w:t>
      </w:r>
    </w:p>
    <w:p>
      <w:pPr>
        <w:keepNext/>
        <w:adjustRightInd w:val="0"/>
        <w:snapToGrid w:val="0"/>
        <w:ind w:firstLine="0" w:firstLineChars="0"/>
        <w:rPr>
          <w:rFonts w:ascii="宋体" w:hAnsi="宋体" w:cs="宋体"/>
          <w:b/>
          <w:color w:val="000000" w:themeColor="text1"/>
          <w14:textFill>
            <w14:solidFill>
              <w14:schemeClr w14:val="tx1"/>
            </w14:solidFill>
          </w14:textFill>
        </w:rPr>
      </w:pPr>
    </w:p>
    <w:p>
      <w:pPr>
        <w:keepNext/>
        <w:keepLines/>
        <w:tabs>
          <w:tab w:val="left" w:pos="-737"/>
        </w:tabs>
        <w:overflowPunct w:val="0"/>
        <w:topLinePunct/>
        <w:autoSpaceDN w:val="0"/>
        <w:adjustRightInd w:val="0"/>
        <w:snapToGrid w:val="0"/>
        <w:ind w:firstLine="482"/>
        <w:rPr>
          <w:rFonts w:ascii="宋体" w:cs="宋体"/>
          <w:b/>
          <w:snapToGrid w:val="0"/>
          <w:color w:val="000000" w:themeColor="text1"/>
          <w:kern w:val="0"/>
          <w:u w:val="single"/>
          <w14:textFill>
            <w14:solidFill>
              <w14:schemeClr w14:val="tx1"/>
            </w14:solidFill>
          </w14:textFill>
        </w:rPr>
      </w:pPr>
      <w:bookmarkStart w:id="36" w:name="_Toc278543501"/>
      <w:bookmarkStart w:id="37" w:name="_Toc32497"/>
      <w:bookmarkStart w:id="38" w:name="_Toc175644061"/>
      <w:r>
        <w:rPr>
          <w:rFonts w:hint="eastAsia" w:ascii="宋体" w:hAnsi="宋体" w:cs="宋体"/>
          <w:b/>
          <w:snapToGrid w:val="0"/>
          <w:color w:val="000000" w:themeColor="text1"/>
          <w:kern w:val="0"/>
          <w:lang w:bidi="ar"/>
          <w14:textFill>
            <w14:solidFill>
              <w14:schemeClr w14:val="tx1"/>
            </w14:solidFill>
          </w14:textFill>
        </w:rPr>
        <w:t>需方：</w:t>
      </w:r>
      <w:r>
        <w:rPr>
          <w:rFonts w:hint="eastAsia" w:ascii="宋体" w:hAnsi="宋体" w:cs="宋体"/>
          <w:b/>
          <w:color w:val="000000" w:themeColor="text1"/>
          <w:kern w:val="0"/>
          <w:u w:val="single"/>
          <w:lang w:bidi="ar"/>
          <w14:textFill>
            <w14:solidFill>
              <w14:schemeClr w14:val="tx1"/>
            </w14:solidFill>
          </w14:textFill>
        </w:rPr>
        <w:t xml:space="preserve">                                    </w:t>
      </w:r>
    </w:p>
    <w:p>
      <w:pPr>
        <w:keepNext/>
        <w:keepLines/>
        <w:tabs>
          <w:tab w:val="left" w:pos="-737"/>
        </w:tabs>
        <w:overflowPunct w:val="0"/>
        <w:topLinePunct/>
        <w:autoSpaceDN w:val="0"/>
        <w:adjustRightInd w:val="0"/>
        <w:snapToGrid w:val="0"/>
        <w:ind w:firstLine="482"/>
        <w:rPr>
          <w:rFonts w:ascii="宋体" w:cs="宋体"/>
          <w:b/>
          <w:snapToGrid w:val="0"/>
          <w:color w:val="000000" w:themeColor="text1"/>
          <w:kern w:val="0"/>
          <w:u w:val="single"/>
          <w14:textFill>
            <w14:solidFill>
              <w14:schemeClr w14:val="tx1"/>
            </w14:solidFill>
          </w14:textFill>
        </w:rPr>
      </w:pPr>
      <w:r>
        <w:rPr>
          <w:rFonts w:hint="eastAsia" w:ascii="宋体" w:hAnsi="宋体" w:cs="宋体"/>
          <w:b/>
          <w:snapToGrid w:val="0"/>
          <w:color w:val="000000" w:themeColor="text1"/>
          <w:kern w:val="0"/>
          <w:lang w:bidi="ar"/>
          <w14:textFill>
            <w14:solidFill>
              <w14:schemeClr w14:val="tx1"/>
            </w14:solidFill>
          </w14:textFill>
        </w:rPr>
        <w:t>供方：</w:t>
      </w:r>
      <w:r>
        <w:rPr>
          <w:rFonts w:hint="eastAsia" w:ascii="宋体" w:hAnsi="宋体" w:cs="宋体"/>
          <w:b/>
          <w:color w:val="000000" w:themeColor="text1"/>
          <w:kern w:val="0"/>
          <w:u w:val="single"/>
          <w:lang w:bidi="ar"/>
          <w14:textFill>
            <w14:solidFill>
              <w14:schemeClr w14:val="tx1"/>
            </w14:solidFill>
          </w14:textFill>
        </w:rPr>
        <w:t xml:space="preserve">                                    </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供方在</w:t>
      </w:r>
      <w:r>
        <w:rPr>
          <w:rFonts w:hint="eastAsia" w:ascii="宋体" w:hAnsi="宋体" w:cs="宋体"/>
          <w:color w:val="000000" w:themeColor="text1"/>
          <w:kern w:val="0"/>
          <w:u w:val="single"/>
          <w:lang w:bidi="ar"/>
          <w14:textFill>
            <w14:solidFill>
              <w14:schemeClr w14:val="tx1"/>
            </w14:solidFill>
          </w14:textFill>
        </w:rPr>
        <w:t xml:space="preserve">                    </w:t>
      </w:r>
      <w:r>
        <w:rPr>
          <w:rFonts w:hint="eastAsia" w:ascii="宋体" w:hAnsi="宋体" w:cs="宋体"/>
          <w:snapToGrid w:val="0"/>
          <w:color w:val="000000" w:themeColor="text1"/>
          <w:kern w:val="0"/>
          <w:lang w:bidi="ar"/>
          <w14:textFill>
            <w14:solidFill>
              <w14:schemeClr w14:val="tx1"/>
            </w14:solidFill>
          </w14:textFill>
        </w:rPr>
        <w:t>组织的</w:t>
      </w:r>
      <w:r>
        <w:rPr>
          <w:rFonts w:hint="eastAsia" w:ascii="宋体" w:hAnsi="宋体" w:cs="宋体"/>
          <w:color w:val="000000" w:themeColor="text1"/>
          <w:kern w:val="0"/>
          <w:u w:val="single"/>
          <w:lang w:bidi="ar"/>
          <w14:textFill>
            <w14:solidFill>
              <w14:schemeClr w14:val="tx1"/>
            </w14:solidFill>
          </w14:textFill>
        </w:rPr>
        <w:t xml:space="preserve">             </w:t>
      </w:r>
      <w:r>
        <w:rPr>
          <w:rFonts w:hint="eastAsia" w:ascii="宋体" w:hAnsi="宋体" w:cs="宋体"/>
          <w:snapToGrid w:val="0"/>
          <w:color w:val="000000" w:themeColor="text1"/>
          <w:kern w:val="0"/>
          <w:lang w:bidi="ar"/>
          <w14:textFill>
            <w14:solidFill>
              <w14:schemeClr w14:val="tx1"/>
            </w14:solidFill>
          </w14:textFill>
        </w:rPr>
        <w:t>磋商采购项目中成交，经双方协商一致，签订本合同。</w:t>
      </w:r>
    </w:p>
    <w:p>
      <w:pPr>
        <w:keepNext/>
        <w:keepLines/>
        <w:tabs>
          <w:tab w:val="left" w:pos="-737"/>
        </w:tabs>
        <w:overflowPunct w:val="0"/>
        <w:topLinePunct/>
        <w:autoSpaceDN w:val="0"/>
        <w:adjustRightInd w:val="0"/>
        <w:snapToGrid w:val="0"/>
        <w:ind w:firstLine="482"/>
        <w:rPr>
          <w:rFonts w:asci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lang w:bidi="ar"/>
          <w14:textFill>
            <w14:solidFill>
              <w14:schemeClr w14:val="tx1"/>
            </w14:solidFill>
          </w14:textFill>
        </w:rPr>
        <w:t>一、货物条款</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供方向需方提供</w:t>
      </w:r>
      <w:r>
        <w:rPr>
          <w:rFonts w:hint="eastAsia" w:ascii="宋体" w:hAnsi="宋体" w:cs="宋体"/>
          <w:color w:val="000000" w:themeColor="text1"/>
          <w:kern w:val="0"/>
          <w:u w:val="single"/>
          <w:lang w:bidi="ar"/>
          <w14:textFill>
            <w14:solidFill>
              <w14:schemeClr w14:val="tx1"/>
            </w14:solidFill>
          </w14:textFill>
        </w:rPr>
        <w:t xml:space="preserve">                                  </w:t>
      </w:r>
      <w:r>
        <w:rPr>
          <w:rFonts w:hint="eastAsia" w:ascii="宋体" w:hAnsi="宋体" w:cs="宋体"/>
          <w:snapToGrid w:val="0"/>
          <w:color w:val="000000" w:themeColor="text1"/>
          <w:kern w:val="0"/>
          <w:lang w:bidi="ar"/>
          <w14:textFill>
            <w14:solidFill>
              <w14:schemeClr w14:val="tx1"/>
            </w14:solidFill>
          </w14:textFill>
        </w:rPr>
        <w:t>。</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（具体品牌、数量、技术参数及质保期等见后附货物清单）</w:t>
      </w:r>
    </w:p>
    <w:p>
      <w:pPr>
        <w:keepNext/>
        <w:keepLines/>
        <w:tabs>
          <w:tab w:val="left" w:pos="-737"/>
        </w:tabs>
        <w:overflowPunct w:val="0"/>
        <w:topLinePunct/>
        <w:autoSpaceDN w:val="0"/>
        <w:adjustRightInd w:val="0"/>
        <w:snapToGrid w:val="0"/>
        <w:ind w:firstLine="482"/>
        <w:rPr>
          <w:rFonts w:asci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lang w:bidi="ar"/>
          <w14:textFill>
            <w14:solidFill>
              <w14:schemeClr w14:val="tx1"/>
            </w14:solidFill>
          </w14:textFill>
        </w:rPr>
        <w:t>二、合同总金额</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人民币（大写）：</w:t>
      </w:r>
      <w:r>
        <w:rPr>
          <w:rFonts w:hint="eastAsia" w:ascii="宋体" w:hAnsi="宋体" w:cs="宋体"/>
          <w:color w:val="000000" w:themeColor="text1"/>
          <w:kern w:val="0"/>
          <w:u w:val="single"/>
          <w:lang w:bidi="ar"/>
          <w14:textFill>
            <w14:solidFill>
              <w14:schemeClr w14:val="tx1"/>
            </w14:solidFill>
          </w14:textFill>
        </w:rPr>
        <w:t xml:space="preserve">                                       </w:t>
      </w:r>
      <w:r>
        <w:rPr>
          <w:rFonts w:hint="eastAsia" w:ascii="宋体" w:hAnsi="宋体" w:cs="宋体"/>
          <w:snapToGrid w:val="0"/>
          <w:color w:val="000000" w:themeColor="text1"/>
          <w:kern w:val="0"/>
          <w:lang w:bidi="ar"/>
          <w14:textFill>
            <w14:solidFill>
              <w14:schemeClr w14:val="tx1"/>
            </w14:solidFill>
          </w14:textFill>
        </w:rPr>
        <w:t>。</w:t>
      </w:r>
    </w:p>
    <w:p>
      <w:pPr>
        <w:keepNext/>
        <w:keepLines/>
        <w:tabs>
          <w:tab w:val="left" w:pos="-737"/>
        </w:tabs>
        <w:overflowPunct w:val="0"/>
        <w:topLinePunct/>
        <w:autoSpaceDN w:val="0"/>
        <w:adjustRightInd w:val="0"/>
        <w:snapToGrid w:val="0"/>
        <w:ind w:firstLine="1320" w:firstLineChars="55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（小写）：</w:t>
      </w:r>
      <w:r>
        <w:rPr>
          <w:rFonts w:hint="eastAsia" w:ascii="宋体" w:hAnsi="宋体" w:cs="宋体"/>
          <w:color w:val="000000" w:themeColor="text1"/>
          <w:kern w:val="0"/>
          <w:u w:val="single"/>
          <w:lang w:bidi="ar"/>
          <w14:textFill>
            <w14:solidFill>
              <w14:schemeClr w14:val="tx1"/>
            </w14:solidFill>
          </w14:textFill>
        </w:rPr>
        <w:t xml:space="preserve">                                       </w:t>
      </w:r>
      <w:r>
        <w:rPr>
          <w:rFonts w:hint="eastAsia" w:ascii="宋体" w:hAnsi="宋体" w:cs="宋体"/>
          <w:snapToGrid w:val="0"/>
          <w:color w:val="000000" w:themeColor="text1"/>
          <w:kern w:val="0"/>
          <w:lang w:bidi="ar"/>
          <w14:textFill>
            <w14:solidFill>
              <w14:schemeClr w14:val="tx1"/>
            </w14:solidFill>
          </w14:textFill>
        </w:rPr>
        <w:t>。</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此价格为合同执行不变价，不因国家政策变化而变化。</w:t>
      </w:r>
    </w:p>
    <w:p>
      <w:pPr>
        <w:keepNext/>
        <w:keepLines/>
        <w:tabs>
          <w:tab w:val="left" w:pos="-737"/>
        </w:tabs>
        <w:overflowPunct w:val="0"/>
        <w:topLinePunct/>
        <w:autoSpaceDN w:val="0"/>
        <w:adjustRightInd w:val="0"/>
        <w:snapToGrid w:val="0"/>
        <w:ind w:firstLine="482"/>
        <w:rPr>
          <w:rFonts w:asci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lang w:bidi="ar"/>
          <w14:textFill>
            <w14:solidFill>
              <w14:schemeClr w14:val="tx1"/>
            </w14:solidFill>
          </w14:textFill>
        </w:rPr>
        <w:t>三、货款支付</w:t>
      </w:r>
    </w:p>
    <w:p>
      <w:pPr>
        <w:keepNext/>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由采购人按下列程序付款：</w:t>
      </w:r>
    </w:p>
    <w:p>
      <w:pPr>
        <w:keepNext/>
        <w:overflowPunct w:val="0"/>
        <w:topLinePunct/>
        <w:autoSpaceDN w:val="0"/>
        <w:adjustRightInd w:val="0"/>
        <w:snapToGrid w:val="0"/>
        <w:ind w:firstLine="480"/>
        <w:rPr>
          <w:rFonts w:ascii="宋体" w:cs="宋体"/>
          <w:snapToGrid w:val="0"/>
          <w:color w:val="auto"/>
          <w:kern w:val="0"/>
        </w:rPr>
      </w:pPr>
      <w:r>
        <w:rPr>
          <w:rFonts w:hint="eastAsia" w:ascii="宋体" w:hAnsi="宋体" w:cs="宋体"/>
          <w:snapToGrid w:val="0"/>
          <w:color w:val="auto"/>
          <w:kern w:val="0"/>
          <w:lang w:bidi="ar"/>
        </w:rPr>
        <w:t>1.</w:t>
      </w:r>
      <w:r>
        <w:rPr>
          <w:rFonts w:hint="eastAsia" w:ascii="宋体" w:hAnsi="宋体" w:cs="宋体"/>
          <w:color w:val="auto"/>
          <w:kern w:val="0"/>
        </w:rPr>
        <w:t>供应商货物交付采购人</w:t>
      </w:r>
      <w:r>
        <w:rPr>
          <w:rFonts w:hint="eastAsia" w:ascii="宋体" w:hAnsi="宋体" w:cs="宋体"/>
          <w:color w:val="auto"/>
          <w:kern w:val="0"/>
          <w:lang w:eastAsia="zh-CN"/>
        </w:rPr>
        <w:t>，</w:t>
      </w:r>
      <w:r>
        <w:rPr>
          <w:rFonts w:hint="eastAsia" w:ascii="宋体" w:hAnsi="宋体" w:cs="宋体"/>
          <w:color w:val="auto"/>
          <w:kern w:val="0"/>
          <w:lang w:val="en-US" w:eastAsia="zh-CN"/>
        </w:rPr>
        <w:t>经验收合格</w:t>
      </w:r>
      <w:r>
        <w:rPr>
          <w:rFonts w:hint="eastAsia" w:ascii="宋体" w:hAnsi="宋体" w:cs="宋体"/>
          <w:color w:val="auto"/>
          <w:kern w:val="0"/>
        </w:rPr>
        <w:t>并提供发票后</w:t>
      </w:r>
      <w:r>
        <w:rPr>
          <w:rFonts w:hint="eastAsia" w:ascii="宋体" w:hAnsi="宋体" w:cs="宋体"/>
          <w:color w:val="auto"/>
          <w:kern w:val="0"/>
          <w:lang w:val="en-US" w:eastAsia="zh-CN"/>
        </w:rPr>
        <w:t>10个工作日</w:t>
      </w:r>
      <w:r>
        <w:rPr>
          <w:rFonts w:hint="eastAsia" w:ascii="宋体" w:hAnsi="宋体" w:cs="宋体"/>
          <w:color w:val="auto"/>
          <w:kern w:val="0"/>
        </w:rPr>
        <w:t>内，一次性支付</w:t>
      </w:r>
      <w:r>
        <w:rPr>
          <w:rFonts w:hint="eastAsia" w:ascii="宋体" w:hAnsi="宋体" w:cs="宋体"/>
          <w:color w:val="auto"/>
          <w:kern w:val="0"/>
          <w:lang w:eastAsia="zh-CN"/>
        </w:rPr>
        <w:t>，</w:t>
      </w:r>
      <w:r>
        <w:rPr>
          <w:rFonts w:hint="eastAsia" w:ascii="宋体" w:hAnsi="宋体" w:cs="宋体"/>
          <w:color w:val="auto"/>
          <w:kern w:val="0"/>
          <w:lang w:val="en-US" w:eastAsia="zh-CN"/>
        </w:rPr>
        <w:t>具体付款方式签订合同时约定</w:t>
      </w:r>
      <w:r>
        <w:rPr>
          <w:rFonts w:hint="eastAsia" w:ascii="宋体" w:hAnsi="宋体" w:cs="宋体"/>
          <w:color w:val="auto"/>
          <w:kern w:val="0"/>
        </w:rPr>
        <w:t>。</w:t>
      </w:r>
    </w:p>
    <w:p>
      <w:pPr>
        <w:keepNext/>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2.成交人凭以下有效文件与采购人结算：</w:t>
      </w:r>
    </w:p>
    <w:p>
      <w:pPr>
        <w:keepNext/>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w:t>
      </w:r>
      <w:r>
        <w:rPr>
          <w:rFonts w:hint="eastAsia" w:ascii="宋体" w:hAnsi="宋体" w:cs="宋体"/>
          <w:color w:val="000000" w:themeColor="text1"/>
          <w:kern w:val="0"/>
          <w:lang w:bidi="ar"/>
          <w14:textFill>
            <w14:solidFill>
              <w14:schemeClr w14:val="tx1"/>
            </w14:solidFill>
          </w14:textFill>
        </w:rPr>
        <w:t>1</w:t>
      </w:r>
      <w:r>
        <w:rPr>
          <w:rFonts w:hint="eastAsia" w:ascii="宋体" w:hAnsi="宋体" w:cs="宋体"/>
          <w:snapToGrid w:val="0"/>
          <w:color w:val="000000" w:themeColor="text1"/>
          <w:kern w:val="0"/>
          <w:lang w:bidi="ar"/>
          <w14:textFill>
            <w14:solidFill>
              <w14:schemeClr w14:val="tx1"/>
            </w14:solidFill>
          </w14:textFill>
        </w:rPr>
        <w:t>）成交通知书；</w:t>
      </w:r>
    </w:p>
    <w:p>
      <w:pPr>
        <w:keepNext/>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w:t>
      </w:r>
      <w:r>
        <w:rPr>
          <w:rFonts w:hint="eastAsia" w:ascii="宋体" w:hAnsi="宋体" w:cs="宋体"/>
          <w:color w:val="000000" w:themeColor="text1"/>
          <w:kern w:val="0"/>
          <w:lang w:bidi="ar"/>
          <w14:textFill>
            <w14:solidFill>
              <w14:schemeClr w14:val="tx1"/>
            </w14:solidFill>
          </w14:textFill>
        </w:rPr>
        <w:t>2</w:t>
      </w:r>
      <w:r>
        <w:rPr>
          <w:rFonts w:hint="eastAsia" w:ascii="宋体" w:hAnsi="宋体" w:cs="宋体"/>
          <w:snapToGrid w:val="0"/>
          <w:color w:val="000000" w:themeColor="text1"/>
          <w:kern w:val="0"/>
          <w:lang w:bidi="ar"/>
          <w14:textFill>
            <w14:solidFill>
              <w14:schemeClr w14:val="tx1"/>
            </w14:solidFill>
          </w14:textFill>
        </w:rPr>
        <w:t>）合同；</w:t>
      </w:r>
    </w:p>
    <w:p>
      <w:pPr>
        <w:keepNext/>
        <w:overflowPunct w:val="0"/>
        <w:topLinePunct/>
        <w:autoSpaceDN w:val="0"/>
        <w:adjustRightInd w:val="0"/>
        <w:snapToGrid w:val="0"/>
        <w:ind w:firstLine="480"/>
        <w:rPr>
          <w:rFonts w:ascii="宋体" w:hAnsi="宋体" w:cs="宋体"/>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w:t>
      </w:r>
      <w:r>
        <w:rPr>
          <w:rFonts w:hint="eastAsia" w:ascii="宋体" w:hAnsi="宋体" w:cs="宋体"/>
          <w:color w:val="000000" w:themeColor="text1"/>
          <w:kern w:val="0"/>
          <w:lang w:bidi="ar"/>
          <w14:textFill>
            <w14:solidFill>
              <w14:schemeClr w14:val="tx1"/>
            </w14:solidFill>
          </w14:textFill>
        </w:rPr>
        <w:t>3</w:t>
      </w:r>
      <w:r>
        <w:rPr>
          <w:rFonts w:hint="eastAsia" w:ascii="宋体" w:hAnsi="宋体" w:cs="宋体"/>
          <w:snapToGrid w:val="0"/>
          <w:color w:val="000000" w:themeColor="text1"/>
          <w:kern w:val="0"/>
          <w:lang w:bidi="ar"/>
          <w14:textFill>
            <w14:solidFill>
              <w14:schemeClr w14:val="tx1"/>
            </w14:solidFill>
          </w14:textFill>
        </w:rPr>
        <w:t>）成交人开具的正式发票；</w:t>
      </w:r>
    </w:p>
    <w:p>
      <w:pPr>
        <w:keepNext/>
        <w:overflowPunct w:val="0"/>
        <w:topLinePunct/>
        <w:autoSpaceDN w:val="0"/>
        <w:adjustRightInd w:val="0"/>
        <w:snapToGrid w:val="0"/>
        <w:ind w:firstLine="480"/>
        <w:rPr>
          <w:color w:val="000000" w:themeColor="text1"/>
          <w14:textFill>
            <w14:solidFill>
              <w14:schemeClr w14:val="tx1"/>
            </w14:solidFill>
          </w14:textFill>
        </w:rPr>
      </w:pPr>
      <w:r>
        <w:rPr>
          <w:rFonts w:hint="eastAsia" w:cs="宋体"/>
          <w:snapToGrid w:val="0"/>
          <w:color w:val="000000" w:themeColor="text1"/>
          <w:kern w:val="0"/>
          <w:lang w:bidi="ar"/>
          <w14:textFill>
            <w14:solidFill>
              <w14:schemeClr w14:val="tx1"/>
            </w14:solidFill>
          </w14:textFill>
        </w:rPr>
        <w:t>（</w:t>
      </w:r>
      <w:r>
        <w:rPr>
          <w:snapToGrid w:val="0"/>
          <w:color w:val="000000" w:themeColor="text1"/>
          <w:kern w:val="0"/>
          <w:lang w:bidi="ar"/>
          <w14:textFill>
            <w14:solidFill>
              <w14:schemeClr w14:val="tx1"/>
            </w14:solidFill>
          </w14:textFill>
        </w:rPr>
        <w:t>4</w:t>
      </w:r>
      <w:r>
        <w:rPr>
          <w:rFonts w:hint="eastAsia" w:cs="宋体"/>
          <w:snapToGrid w:val="0"/>
          <w:color w:val="000000" w:themeColor="text1"/>
          <w:kern w:val="0"/>
          <w:lang w:bidi="ar"/>
          <w14:textFill>
            <w14:solidFill>
              <w14:schemeClr w14:val="tx1"/>
            </w14:solidFill>
          </w14:textFill>
        </w:rPr>
        <w:t>）验收报告（加盖采购人公章）。</w:t>
      </w:r>
      <w:r>
        <w:rPr>
          <w:color w:val="000000" w:themeColor="text1"/>
          <w:lang w:bidi="ar"/>
          <w14:textFill>
            <w14:solidFill>
              <w14:schemeClr w14:val="tx1"/>
            </w14:solidFill>
          </w14:textFill>
        </w:rPr>
        <w:tab/>
      </w:r>
    </w:p>
    <w:p>
      <w:pPr>
        <w:keepNext/>
        <w:keepLines/>
        <w:tabs>
          <w:tab w:val="left" w:pos="-737"/>
        </w:tabs>
        <w:overflowPunct w:val="0"/>
        <w:topLinePunct/>
        <w:autoSpaceDN w:val="0"/>
        <w:adjustRightInd w:val="0"/>
        <w:snapToGrid w:val="0"/>
        <w:ind w:firstLine="482"/>
        <w:rPr>
          <w:rFonts w:asci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lang w:bidi="ar"/>
          <w14:textFill>
            <w14:solidFill>
              <w14:schemeClr w14:val="tx1"/>
            </w14:solidFill>
          </w14:textFill>
        </w:rPr>
        <w:t>四、售后服务及承诺</w:t>
      </w:r>
    </w:p>
    <w:p>
      <w:pPr>
        <w:keepNext/>
        <w:keepLines/>
        <w:tabs>
          <w:tab w:val="left" w:pos="-737"/>
        </w:tabs>
        <w:overflowPunct w:val="0"/>
        <w:topLinePunct/>
        <w:autoSpaceDN w:val="0"/>
        <w:adjustRightInd w:val="0"/>
        <w:snapToGrid w:val="0"/>
        <w:ind w:firstLine="482"/>
        <w:rPr>
          <w:rFonts w:ascii="宋体" w:cs="宋体"/>
          <w:snapToGrid w:val="0"/>
          <w:color w:val="000000" w:themeColor="text1"/>
          <w:kern w:val="0"/>
          <w14:textFill>
            <w14:solidFill>
              <w14:schemeClr w14:val="tx1"/>
            </w14:solidFill>
          </w14:textFill>
        </w:rPr>
      </w:pPr>
      <w:r>
        <w:rPr>
          <w:rFonts w:hint="eastAsia" w:ascii="宋体" w:hAnsi="宋体" w:cs="宋体"/>
          <w:b/>
          <w:color w:val="000000" w:themeColor="text1"/>
          <w:kern w:val="0"/>
          <w:u w:val="single"/>
          <w:lang w:bidi="ar"/>
          <w14:textFill>
            <w14:solidFill>
              <w14:schemeClr w14:val="tx1"/>
            </w14:solidFill>
          </w14:textFill>
        </w:rPr>
        <w:t xml:space="preserve">                                                               </w:t>
      </w:r>
      <w:r>
        <w:rPr>
          <w:rFonts w:hint="eastAsia" w:ascii="宋体" w:hAnsi="宋体" w:cs="宋体"/>
          <w:snapToGrid w:val="0"/>
          <w:color w:val="000000" w:themeColor="text1"/>
          <w:kern w:val="0"/>
          <w:lang w:bidi="ar"/>
          <w14:textFill>
            <w14:solidFill>
              <w14:schemeClr w14:val="tx1"/>
            </w14:solidFill>
          </w14:textFill>
        </w:rPr>
        <w:t>。</w:t>
      </w:r>
    </w:p>
    <w:p>
      <w:pPr>
        <w:keepNext/>
        <w:keepLines/>
        <w:tabs>
          <w:tab w:val="left" w:pos="-737"/>
        </w:tabs>
        <w:overflowPunct w:val="0"/>
        <w:topLinePunct/>
        <w:autoSpaceDN w:val="0"/>
        <w:adjustRightInd w:val="0"/>
        <w:snapToGrid w:val="0"/>
        <w:ind w:firstLine="482"/>
        <w:rPr>
          <w:rFonts w:asci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lang w:bidi="ar"/>
          <w14:textFill>
            <w14:solidFill>
              <w14:schemeClr w14:val="tx1"/>
            </w14:solidFill>
          </w14:textFill>
        </w:rPr>
        <w:t>五、交货</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u w:val="single"/>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1、交货时间：</w:t>
      </w:r>
      <w:r>
        <w:rPr>
          <w:rFonts w:hint="eastAsia" w:ascii="宋体" w:hAnsi="宋体" w:cs="宋体"/>
          <w:color w:val="000000" w:themeColor="text1"/>
          <w:kern w:val="0"/>
          <w:u w:val="single"/>
          <w:lang w:bidi="ar"/>
          <w14:textFill>
            <w14:solidFill>
              <w14:schemeClr w14:val="tx1"/>
            </w14:solidFill>
          </w14:textFill>
        </w:rPr>
        <w:t xml:space="preserve">                                       </w:t>
      </w:r>
      <w:r>
        <w:rPr>
          <w:rFonts w:hint="eastAsia" w:ascii="宋体" w:hAnsi="宋体" w:cs="宋体"/>
          <w:snapToGrid w:val="0"/>
          <w:color w:val="000000" w:themeColor="text1"/>
          <w:kern w:val="0"/>
          <w:lang w:bidi="ar"/>
          <w14:textFill>
            <w14:solidFill>
              <w14:schemeClr w14:val="tx1"/>
            </w14:solidFill>
          </w14:textFill>
        </w:rPr>
        <w:t>。</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2、交货地点：</w:t>
      </w:r>
      <w:r>
        <w:rPr>
          <w:rFonts w:hint="eastAsia" w:ascii="宋体" w:hAnsi="宋体" w:cs="宋体"/>
          <w:color w:val="000000" w:themeColor="text1"/>
          <w:kern w:val="0"/>
          <w:u w:val="single"/>
          <w:lang w:bidi="ar"/>
          <w14:textFill>
            <w14:solidFill>
              <w14:schemeClr w14:val="tx1"/>
            </w14:solidFill>
          </w14:textFill>
        </w:rPr>
        <w:t xml:space="preserve">                                       </w:t>
      </w:r>
      <w:r>
        <w:rPr>
          <w:rFonts w:hint="eastAsia" w:ascii="宋体" w:hAnsi="宋体" w:cs="宋体"/>
          <w:snapToGrid w:val="0"/>
          <w:color w:val="000000" w:themeColor="text1"/>
          <w:kern w:val="0"/>
          <w:lang w:bidi="ar"/>
          <w14:textFill>
            <w14:solidFill>
              <w14:schemeClr w14:val="tx1"/>
            </w14:solidFill>
          </w14:textFill>
        </w:rPr>
        <w:t>。</w:t>
      </w:r>
    </w:p>
    <w:p>
      <w:pPr>
        <w:keepNext/>
        <w:keepLines/>
        <w:tabs>
          <w:tab w:val="left" w:pos="-737"/>
        </w:tabs>
        <w:overflowPunct w:val="0"/>
        <w:topLinePunct/>
        <w:autoSpaceDN w:val="0"/>
        <w:adjustRightInd w:val="0"/>
        <w:snapToGrid w:val="0"/>
        <w:ind w:firstLine="482"/>
        <w:rPr>
          <w:rFonts w:asci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lang w:bidi="ar"/>
          <w14:textFill>
            <w14:solidFill>
              <w14:schemeClr w14:val="tx1"/>
            </w14:solidFill>
          </w14:textFill>
        </w:rPr>
        <w:t>六、交验</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1、依据货物装箱单，对所有货物进行初步点验，如有不符应及时加以解决。</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2、开箱检查货物外观，如有损伤或质量缺陷，及时进行解决。</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3、依据合同货物清单，对货物品牌、型号、数量、技术参数、质保书等必备附件进行检查。</w:t>
      </w:r>
    </w:p>
    <w:p>
      <w:pPr>
        <w:keepNext/>
        <w:keepLines/>
        <w:tabs>
          <w:tab w:val="left" w:pos="-737"/>
        </w:tabs>
        <w:overflowPunct w:val="0"/>
        <w:topLinePunct/>
        <w:autoSpaceDN w:val="0"/>
        <w:adjustRightInd w:val="0"/>
        <w:snapToGrid w:val="0"/>
        <w:ind w:firstLine="482"/>
        <w:rPr>
          <w:rFonts w:asci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lang w:bidi="ar"/>
          <w14:textFill>
            <w14:solidFill>
              <w14:schemeClr w14:val="tx1"/>
            </w14:solidFill>
          </w14:textFill>
        </w:rPr>
        <w:t>七、需方责任</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1、及时办理付款手续。</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2、负责提供工作场地，协助供方办理有关事宜。</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3、对合同条款及价格负有保密义务。</w:t>
      </w:r>
    </w:p>
    <w:p>
      <w:pPr>
        <w:keepNext/>
        <w:keepLines/>
        <w:tabs>
          <w:tab w:val="left" w:pos="-737"/>
        </w:tabs>
        <w:overflowPunct w:val="0"/>
        <w:topLinePunct/>
        <w:autoSpaceDN w:val="0"/>
        <w:adjustRightInd w:val="0"/>
        <w:snapToGrid w:val="0"/>
        <w:ind w:firstLine="482"/>
        <w:rPr>
          <w:rFonts w:asci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lang w:bidi="ar"/>
          <w14:textFill>
            <w14:solidFill>
              <w14:schemeClr w14:val="tx1"/>
            </w14:solidFill>
          </w14:textFill>
        </w:rPr>
        <w:t>八、供方责任</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1、保证所供货物均为标书承诺货物，符合相关质量检测标准，具有该产品的出厂标准或国家鉴定证书。</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2、保证货物的售后服务，严格依据响应文件及相关承诺，对货物及系统进行保修、维护等服务。</w:t>
      </w:r>
    </w:p>
    <w:p>
      <w:pPr>
        <w:keepNext/>
        <w:keepLines/>
        <w:tabs>
          <w:tab w:val="left" w:pos="-737"/>
        </w:tabs>
        <w:overflowPunct w:val="0"/>
        <w:topLinePunct/>
        <w:autoSpaceDN w:val="0"/>
        <w:adjustRightInd w:val="0"/>
        <w:snapToGrid w:val="0"/>
        <w:ind w:firstLine="482"/>
        <w:rPr>
          <w:rFonts w:ascii="宋体" w:cs="宋体"/>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lang w:bidi="ar"/>
          <w14:textFill>
            <w14:solidFill>
              <w14:schemeClr w14:val="tx1"/>
            </w14:solidFill>
          </w14:textFill>
        </w:rPr>
        <w:t>九、违约责任</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1、供方所交的货物品种、型号、规格、质量不符合合同规定标准，或所交货物未完全响应磋商文件所提技术指标要求的，需方有权拒收。同时，供方向需方支付合同款总额</w:t>
      </w:r>
      <w:r>
        <w:rPr>
          <w:rFonts w:hint="eastAsia" w:ascii="宋体" w:hAnsi="宋体" w:cs="宋体"/>
          <w:color w:val="000000" w:themeColor="text1"/>
          <w:kern w:val="0"/>
          <w:lang w:bidi="ar"/>
          <w14:textFill>
            <w14:solidFill>
              <w14:schemeClr w14:val="tx1"/>
            </w14:solidFill>
          </w14:textFill>
        </w:rPr>
        <w:t>2%</w:t>
      </w:r>
      <w:r>
        <w:rPr>
          <w:rFonts w:hint="eastAsia" w:ascii="宋体" w:hAnsi="宋体" w:cs="宋体"/>
          <w:snapToGrid w:val="0"/>
          <w:color w:val="000000" w:themeColor="text1"/>
          <w:kern w:val="0"/>
          <w:lang w:bidi="ar"/>
          <w14:textFill>
            <w14:solidFill>
              <w14:schemeClr w14:val="tx1"/>
            </w14:solidFill>
          </w14:textFill>
        </w:rPr>
        <w:t>的违约金。</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2、供方不能交付货物时，供方向需方偿付合同款总额</w:t>
      </w:r>
      <w:r>
        <w:rPr>
          <w:rFonts w:hint="eastAsia" w:ascii="宋体" w:hAnsi="宋体" w:cs="宋体"/>
          <w:color w:val="000000" w:themeColor="text1"/>
          <w:kern w:val="0"/>
          <w:lang w:bidi="ar"/>
          <w14:textFill>
            <w14:solidFill>
              <w14:schemeClr w14:val="tx1"/>
            </w14:solidFill>
          </w14:textFill>
        </w:rPr>
        <w:t>2%</w:t>
      </w:r>
      <w:r>
        <w:rPr>
          <w:rFonts w:hint="eastAsia" w:ascii="宋体" w:hAnsi="宋体" w:cs="宋体"/>
          <w:snapToGrid w:val="0"/>
          <w:color w:val="000000" w:themeColor="text1"/>
          <w:kern w:val="0"/>
          <w:lang w:bidi="ar"/>
          <w14:textFill>
            <w14:solidFill>
              <w14:schemeClr w14:val="tx1"/>
            </w14:solidFill>
          </w14:textFill>
        </w:rPr>
        <w:t>的违约金。</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3、供方逾期交付货物时，每逾</w:t>
      </w:r>
      <w:r>
        <w:rPr>
          <w:rFonts w:hint="eastAsia" w:ascii="宋体" w:hAnsi="宋体" w:cs="宋体"/>
          <w:color w:val="000000" w:themeColor="text1"/>
          <w:kern w:val="0"/>
          <w:lang w:bidi="ar"/>
          <w14:textFill>
            <w14:solidFill>
              <w14:schemeClr w14:val="tx1"/>
            </w14:solidFill>
          </w14:textFill>
        </w:rPr>
        <w:t>1</w:t>
      </w:r>
      <w:r>
        <w:rPr>
          <w:rFonts w:hint="eastAsia" w:ascii="宋体" w:hAnsi="宋体" w:cs="宋体"/>
          <w:snapToGrid w:val="0"/>
          <w:color w:val="000000" w:themeColor="text1"/>
          <w:kern w:val="0"/>
          <w:lang w:bidi="ar"/>
          <w14:textFill>
            <w14:solidFill>
              <w14:schemeClr w14:val="tx1"/>
            </w14:solidFill>
          </w14:textFill>
        </w:rPr>
        <w:t>日供方向需方偿付合同款总额</w:t>
      </w:r>
      <w:r>
        <w:rPr>
          <w:rFonts w:hint="eastAsia" w:ascii="宋体" w:hAnsi="宋体" w:cs="宋体"/>
          <w:color w:val="000000" w:themeColor="text1"/>
          <w:kern w:val="0"/>
          <w:lang w:bidi="ar"/>
          <w14:textFill>
            <w14:solidFill>
              <w14:schemeClr w14:val="tx1"/>
            </w14:solidFill>
          </w14:textFill>
        </w:rPr>
        <w:t>3</w:t>
      </w:r>
      <w:r>
        <w:rPr>
          <w:rFonts w:hint="eastAsia" w:ascii="宋体" w:hAnsi="宋体" w:cs="宋体"/>
          <w:snapToGrid w:val="0"/>
          <w:color w:val="000000" w:themeColor="text1"/>
          <w:kern w:val="0"/>
          <w:lang w:bidi="ar"/>
          <w14:textFill>
            <w14:solidFill>
              <w14:schemeClr w14:val="tx1"/>
            </w14:solidFill>
          </w14:textFill>
        </w:rPr>
        <w:t>‰的滞纳金。逾期交货超过</w:t>
      </w:r>
      <w:r>
        <w:rPr>
          <w:rFonts w:hint="eastAsia" w:ascii="宋体" w:hAnsi="宋体" w:cs="宋体"/>
          <w:color w:val="000000" w:themeColor="text1"/>
          <w:kern w:val="0"/>
          <w:lang w:bidi="ar"/>
          <w14:textFill>
            <w14:solidFill>
              <w14:schemeClr w14:val="tx1"/>
            </w14:solidFill>
          </w14:textFill>
        </w:rPr>
        <w:t>30</w:t>
      </w:r>
      <w:r>
        <w:rPr>
          <w:rFonts w:hint="eastAsia" w:ascii="宋体" w:hAnsi="宋体" w:cs="宋体"/>
          <w:snapToGrid w:val="0"/>
          <w:color w:val="000000" w:themeColor="text1"/>
          <w:kern w:val="0"/>
          <w:lang w:bidi="ar"/>
          <w14:textFill>
            <w14:solidFill>
              <w14:schemeClr w14:val="tx1"/>
            </w14:solidFill>
          </w14:textFill>
        </w:rPr>
        <w:t>天后，需方有权决定是否继续履行合同。</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4、因需方错告或变更到货地点而给供方造成的损失，由需方负担。</w:t>
      </w:r>
    </w:p>
    <w:p>
      <w:pPr>
        <w:keepNext/>
        <w:keepLines/>
        <w:tabs>
          <w:tab w:val="left" w:pos="-737"/>
        </w:tabs>
        <w:overflowPunct w:val="0"/>
        <w:topLinePunct/>
        <w:autoSpaceDN w:val="0"/>
        <w:adjustRightInd w:val="0"/>
        <w:snapToGrid w:val="0"/>
        <w:ind w:firstLine="482"/>
        <w:rPr>
          <w:rFonts w:asci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lang w:bidi="ar"/>
          <w14:textFill>
            <w14:solidFill>
              <w14:schemeClr w14:val="tx1"/>
            </w14:solidFill>
          </w14:textFill>
        </w:rPr>
        <w:t>十、不可抗力</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供需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pPr>
        <w:keepNext/>
        <w:keepLines/>
        <w:tabs>
          <w:tab w:val="left" w:pos="-737"/>
        </w:tabs>
        <w:overflowPunct w:val="0"/>
        <w:topLinePunct/>
        <w:autoSpaceDN w:val="0"/>
        <w:adjustRightInd w:val="0"/>
        <w:snapToGrid w:val="0"/>
        <w:ind w:firstLine="482"/>
        <w:rPr>
          <w:rFonts w:asci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lang w:bidi="ar"/>
          <w14:textFill>
            <w14:solidFill>
              <w14:schemeClr w14:val="tx1"/>
            </w14:solidFill>
          </w14:textFill>
        </w:rPr>
        <w:t>十一、争议解决</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供需双方在执行合同中发生争议，应通过协商解决。如协商不成，可以向合同签署所在地法院提出诉讼。</w:t>
      </w:r>
    </w:p>
    <w:p>
      <w:pPr>
        <w:keepNext/>
        <w:keepLines/>
        <w:tabs>
          <w:tab w:val="left" w:pos="-737"/>
        </w:tabs>
        <w:overflowPunct w:val="0"/>
        <w:topLinePunct/>
        <w:autoSpaceDN w:val="0"/>
        <w:adjustRightInd w:val="0"/>
        <w:snapToGrid w:val="0"/>
        <w:ind w:firstLine="482"/>
        <w:rPr>
          <w:rFonts w:asci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lang w:bidi="ar"/>
          <w14:textFill>
            <w14:solidFill>
              <w14:schemeClr w14:val="tx1"/>
            </w14:solidFill>
          </w14:textFill>
        </w:rPr>
        <w:t>十二、合同生效及其他</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1、合同由供、需双方代表签章确认后，即行生效。</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2、本合同一式</w:t>
      </w:r>
      <w:r>
        <w:rPr>
          <w:rFonts w:hint="eastAsia" w:ascii="宋体" w:hAnsi="宋体" w:cs="宋体"/>
          <w:color w:val="000000" w:themeColor="text1"/>
          <w:kern w:val="0"/>
          <w:u w:val="single"/>
          <w:lang w:bidi="ar"/>
          <w14:textFill>
            <w14:solidFill>
              <w14:schemeClr w14:val="tx1"/>
            </w14:solidFill>
          </w14:textFill>
        </w:rPr>
        <w:t xml:space="preserve">    </w:t>
      </w:r>
      <w:r>
        <w:rPr>
          <w:rFonts w:hint="eastAsia" w:ascii="宋体" w:hAnsi="宋体" w:cs="宋体"/>
          <w:snapToGrid w:val="0"/>
          <w:color w:val="000000" w:themeColor="text1"/>
          <w:kern w:val="0"/>
          <w:lang w:bidi="ar"/>
          <w14:textFill>
            <w14:solidFill>
              <w14:schemeClr w14:val="tx1"/>
            </w14:solidFill>
          </w14:textFill>
        </w:rPr>
        <w:t>份，供方持</w:t>
      </w:r>
      <w:r>
        <w:rPr>
          <w:rFonts w:hint="eastAsia" w:ascii="宋体" w:hAnsi="宋体" w:cs="宋体"/>
          <w:color w:val="000000" w:themeColor="text1"/>
          <w:kern w:val="0"/>
          <w:u w:val="single"/>
          <w:lang w:bidi="ar"/>
          <w14:textFill>
            <w14:solidFill>
              <w14:schemeClr w14:val="tx1"/>
            </w14:solidFill>
          </w14:textFill>
        </w:rPr>
        <w:t xml:space="preserve">   </w:t>
      </w:r>
      <w:r>
        <w:rPr>
          <w:rFonts w:hint="eastAsia" w:ascii="宋体" w:hAnsi="宋体" w:cs="宋体"/>
          <w:snapToGrid w:val="0"/>
          <w:color w:val="000000" w:themeColor="text1"/>
          <w:kern w:val="0"/>
          <w:lang w:bidi="ar"/>
          <w14:textFill>
            <w14:solidFill>
              <w14:schemeClr w14:val="tx1"/>
            </w14:solidFill>
          </w14:textFill>
        </w:rPr>
        <w:t>份，需方持</w:t>
      </w:r>
      <w:r>
        <w:rPr>
          <w:rFonts w:hint="eastAsia" w:ascii="宋体" w:hAnsi="宋体" w:cs="宋体"/>
          <w:color w:val="000000" w:themeColor="text1"/>
          <w:kern w:val="0"/>
          <w:u w:val="single"/>
          <w:lang w:bidi="ar"/>
          <w14:textFill>
            <w14:solidFill>
              <w14:schemeClr w14:val="tx1"/>
            </w14:solidFill>
          </w14:textFill>
        </w:rPr>
        <w:t xml:space="preserve">   </w:t>
      </w:r>
      <w:r>
        <w:rPr>
          <w:rFonts w:hint="eastAsia" w:ascii="宋体" w:hAnsi="宋体" w:cs="宋体"/>
          <w:snapToGrid w:val="0"/>
          <w:color w:val="000000" w:themeColor="text1"/>
          <w:kern w:val="0"/>
          <w:lang w:bidi="ar"/>
          <w14:textFill>
            <w14:solidFill>
              <w14:schemeClr w14:val="tx1"/>
            </w14:solidFill>
          </w14:textFill>
        </w:rPr>
        <w:t>份。</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3、合同执行过程中出现的未尽事宜，双方在不违背合同和磋商文件的前提下协商解决。协商结果以“纪要”形式作为合同附件，与合同具有同等效力。</w:t>
      </w:r>
    </w:p>
    <w:p>
      <w:pPr>
        <w:keepNext/>
        <w:keepLines/>
        <w:tabs>
          <w:tab w:val="left" w:pos="-737"/>
        </w:tabs>
        <w:overflowPunct w:val="0"/>
        <w:topLinePunct/>
        <w:autoSpaceDN w:val="0"/>
        <w:adjustRightInd w:val="0"/>
        <w:snapToGrid w:val="0"/>
        <w:ind w:firstLine="482"/>
        <w:rPr>
          <w:rFonts w:ascii="宋体" w:cs="宋体"/>
          <w:b/>
          <w:snapToGrid w:val="0"/>
          <w:color w:val="000000" w:themeColor="text1"/>
          <w:kern w:val="0"/>
          <w14:textFill>
            <w14:solidFill>
              <w14:schemeClr w14:val="tx1"/>
            </w14:solidFill>
          </w14:textFill>
        </w:rPr>
      </w:pPr>
      <w:r>
        <w:rPr>
          <w:rFonts w:hint="eastAsia" w:ascii="宋体" w:hAnsi="宋体" w:cs="宋体"/>
          <w:b/>
          <w:snapToGrid w:val="0"/>
          <w:color w:val="000000" w:themeColor="text1"/>
          <w:kern w:val="0"/>
          <w:lang w:bidi="ar"/>
          <w14:textFill>
            <w14:solidFill>
              <w14:schemeClr w14:val="tx1"/>
            </w14:solidFill>
          </w14:textFill>
        </w:rPr>
        <w:t>十三、下列文件为本合同不可分割部分</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1、响应文件</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2、磋商文件</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3、供应商所做的其他承诺</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需方（章）：</w:t>
      </w:r>
      <w:r>
        <w:rPr>
          <w:rFonts w:hint="eastAsia" w:ascii="宋体" w:hAnsi="宋体" w:cs="宋体"/>
          <w:color w:val="000000" w:themeColor="text1"/>
          <w:kern w:val="0"/>
          <w:u w:val="single"/>
          <w:lang w:bidi="ar"/>
          <w14:textFill>
            <w14:solidFill>
              <w14:schemeClr w14:val="tx1"/>
            </w14:solidFill>
          </w14:textFill>
        </w:rPr>
        <w:t xml:space="preserve">                     </w:t>
      </w:r>
      <w:r>
        <w:rPr>
          <w:rFonts w:hint="eastAsia" w:ascii="宋体" w:hAnsi="宋体" w:cs="宋体"/>
          <w:color w:val="000000" w:themeColor="text1"/>
          <w:kern w:val="0"/>
          <w:lang w:bidi="ar"/>
          <w14:textFill>
            <w14:solidFill>
              <w14:schemeClr w14:val="tx1"/>
            </w14:solidFill>
          </w14:textFill>
        </w:rPr>
        <w:t xml:space="preserve">    </w:t>
      </w:r>
      <w:r>
        <w:rPr>
          <w:rFonts w:hint="eastAsia" w:ascii="宋体" w:hAnsi="宋体" w:cs="宋体"/>
          <w:snapToGrid w:val="0"/>
          <w:color w:val="000000" w:themeColor="text1"/>
          <w:kern w:val="0"/>
          <w:lang w:bidi="ar"/>
          <w14:textFill>
            <w14:solidFill>
              <w14:schemeClr w14:val="tx1"/>
            </w14:solidFill>
          </w14:textFill>
        </w:rPr>
        <w:t>供方（章）：</w:t>
      </w:r>
      <w:r>
        <w:rPr>
          <w:rFonts w:hint="eastAsia" w:ascii="宋体" w:hAnsi="宋体" w:cs="宋体"/>
          <w:color w:val="000000" w:themeColor="text1"/>
          <w:kern w:val="0"/>
          <w:u w:val="single"/>
          <w:lang w:bidi="ar"/>
          <w14:textFill>
            <w14:solidFill>
              <w14:schemeClr w14:val="tx1"/>
            </w14:solidFill>
          </w14:textFill>
        </w:rPr>
        <w:t xml:space="preserve">                     </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法人代表：</w:t>
      </w:r>
      <w:r>
        <w:rPr>
          <w:rFonts w:hint="eastAsia" w:ascii="宋体" w:hAnsi="宋体" w:cs="宋体"/>
          <w:color w:val="000000" w:themeColor="text1"/>
          <w:kern w:val="0"/>
          <w:u w:val="single"/>
          <w:lang w:bidi="ar"/>
          <w14:textFill>
            <w14:solidFill>
              <w14:schemeClr w14:val="tx1"/>
            </w14:solidFill>
          </w14:textFill>
        </w:rPr>
        <w:t xml:space="preserve">                       </w:t>
      </w:r>
      <w:r>
        <w:rPr>
          <w:rFonts w:hint="eastAsia" w:ascii="宋体" w:hAnsi="宋体" w:cs="宋体"/>
          <w:color w:val="000000" w:themeColor="text1"/>
          <w:kern w:val="0"/>
          <w:lang w:bidi="ar"/>
          <w14:textFill>
            <w14:solidFill>
              <w14:schemeClr w14:val="tx1"/>
            </w14:solidFill>
          </w14:textFill>
        </w:rPr>
        <w:t xml:space="preserve">    </w:t>
      </w:r>
      <w:r>
        <w:rPr>
          <w:rFonts w:hint="eastAsia" w:ascii="宋体" w:hAnsi="宋体" w:cs="宋体"/>
          <w:snapToGrid w:val="0"/>
          <w:color w:val="000000" w:themeColor="text1"/>
          <w:kern w:val="0"/>
          <w:lang w:bidi="ar"/>
          <w14:textFill>
            <w14:solidFill>
              <w14:schemeClr w14:val="tx1"/>
            </w14:solidFill>
          </w14:textFill>
        </w:rPr>
        <w:t>法人代表：</w:t>
      </w:r>
      <w:r>
        <w:rPr>
          <w:rFonts w:hint="eastAsia" w:ascii="宋体" w:hAnsi="宋体" w:cs="宋体"/>
          <w:color w:val="000000" w:themeColor="text1"/>
          <w:kern w:val="0"/>
          <w:u w:val="single"/>
          <w:lang w:bidi="ar"/>
          <w14:textFill>
            <w14:solidFill>
              <w14:schemeClr w14:val="tx1"/>
            </w14:solidFill>
          </w14:textFill>
        </w:rPr>
        <w:t xml:space="preserve">                       </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委托代理人：</w:t>
      </w:r>
      <w:r>
        <w:rPr>
          <w:rFonts w:hint="eastAsia" w:ascii="宋体" w:hAnsi="宋体" w:cs="宋体"/>
          <w:color w:val="000000" w:themeColor="text1"/>
          <w:kern w:val="0"/>
          <w:u w:val="single"/>
          <w:lang w:bidi="ar"/>
          <w14:textFill>
            <w14:solidFill>
              <w14:schemeClr w14:val="tx1"/>
            </w14:solidFill>
          </w14:textFill>
        </w:rPr>
        <w:t xml:space="preserve">                     </w:t>
      </w:r>
      <w:r>
        <w:rPr>
          <w:rFonts w:hint="eastAsia" w:ascii="宋体" w:hAnsi="宋体" w:cs="宋体"/>
          <w:color w:val="000000" w:themeColor="text1"/>
          <w:kern w:val="0"/>
          <w:lang w:bidi="ar"/>
          <w14:textFill>
            <w14:solidFill>
              <w14:schemeClr w14:val="tx1"/>
            </w14:solidFill>
          </w14:textFill>
        </w:rPr>
        <w:t xml:space="preserve">    </w:t>
      </w:r>
      <w:r>
        <w:rPr>
          <w:rFonts w:hint="eastAsia" w:ascii="宋体" w:hAnsi="宋体" w:cs="宋体"/>
          <w:snapToGrid w:val="0"/>
          <w:color w:val="000000" w:themeColor="text1"/>
          <w:kern w:val="0"/>
          <w:lang w:bidi="ar"/>
          <w14:textFill>
            <w14:solidFill>
              <w14:schemeClr w14:val="tx1"/>
            </w14:solidFill>
          </w14:textFill>
        </w:rPr>
        <w:t>委托代理人：</w:t>
      </w:r>
      <w:r>
        <w:rPr>
          <w:rFonts w:hint="eastAsia" w:ascii="宋体" w:hAnsi="宋体" w:cs="宋体"/>
          <w:color w:val="000000" w:themeColor="text1"/>
          <w:kern w:val="0"/>
          <w:u w:val="single"/>
          <w:lang w:bidi="ar"/>
          <w14:textFill>
            <w14:solidFill>
              <w14:schemeClr w14:val="tx1"/>
            </w14:solidFill>
          </w14:textFill>
        </w:rPr>
        <w:t xml:space="preserve">                     </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地 址：</w:t>
      </w:r>
      <w:r>
        <w:rPr>
          <w:rFonts w:hint="eastAsia" w:ascii="宋体" w:hAnsi="宋体" w:cs="宋体"/>
          <w:color w:val="000000" w:themeColor="text1"/>
          <w:kern w:val="0"/>
          <w:u w:val="single"/>
          <w:lang w:bidi="ar"/>
          <w14:textFill>
            <w14:solidFill>
              <w14:schemeClr w14:val="tx1"/>
            </w14:solidFill>
          </w14:textFill>
        </w:rPr>
        <w:t xml:space="preserve">                          </w:t>
      </w:r>
      <w:r>
        <w:rPr>
          <w:rFonts w:hint="eastAsia" w:ascii="宋体" w:hAnsi="宋体" w:cs="宋体"/>
          <w:color w:val="000000" w:themeColor="text1"/>
          <w:kern w:val="0"/>
          <w:lang w:bidi="ar"/>
          <w14:textFill>
            <w14:solidFill>
              <w14:schemeClr w14:val="tx1"/>
            </w14:solidFill>
          </w14:textFill>
        </w:rPr>
        <w:t xml:space="preserve">    </w:t>
      </w:r>
      <w:r>
        <w:rPr>
          <w:rFonts w:hint="eastAsia" w:ascii="宋体" w:hAnsi="宋体" w:cs="宋体"/>
          <w:snapToGrid w:val="0"/>
          <w:color w:val="000000" w:themeColor="text1"/>
          <w:kern w:val="0"/>
          <w:lang w:bidi="ar"/>
          <w14:textFill>
            <w14:solidFill>
              <w14:schemeClr w14:val="tx1"/>
            </w14:solidFill>
          </w14:textFill>
        </w:rPr>
        <w:t>地 址：</w:t>
      </w:r>
      <w:r>
        <w:rPr>
          <w:rFonts w:hint="eastAsia" w:ascii="宋体" w:hAnsi="宋体" w:cs="宋体"/>
          <w:color w:val="000000" w:themeColor="text1"/>
          <w:kern w:val="0"/>
          <w:u w:val="single"/>
          <w:lang w:bidi="ar"/>
          <w14:textFill>
            <w14:solidFill>
              <w14:schemeClr w14:val="tx1"/>
            </w14:solidFill>
          </w14:textFill>
        </w:rPr>
        <w:t xml:space="preserve">                          </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电 话：</w:t>
      </w:r>
      <w:r>
        <w:rPr>
          <w:rFonts w:hint="eastAsia" w:ascii="宋体" w:hAnsi="宋体" w:cs="宋体"/>
          <w:color w:val="000000" w:themeColor="text1"/>
          <w:kern w:val="0"/>
          <w:u w:val="single"/>
          <w:lang w:bidi="ar"/>
          <w14:textFill>
            <w14:solidFill>
              <w14:schemeClr w14:val="tx1"/>
            </w14:solidFill>
          </w14:textFill>
        </w:rPr>
        <w:t xml:space="preserve">                          </w:t>
      </w:r>
      <w:r>
        <w:rPr>
          <w:rFonts w:hint="eastAsia" w:ascii="宋体" w:hAnsi="宋体" w:cs="宋体"/>
          <w:color w:val="000000" w:themeColor="text1"/>
          <w:kern w:val="0"/>
          <w:lang w:bidi="ar"/>
          <w14:textFill>
            <w14:solidFill>
              <w14:schemeClr w14:val="tx1"/>
            </w14:solidFill>
          </w14:textFill>
        </w:rPr>
        <w:t xml:space="preserve">    </w:t>
      </w:r>
      <w:r>
        <w:rPr>
          <w:rFonts w:hint="eastAsia" w:ascii="宋体" w:hAnsi="宋体" w:cs="宋体"/>
          <w:snapToGrid w:val="0"/>
          <w:color w:val="000000" w:themeColor="text1"/>
          <w:kern w:val="0"/>
          <w:lang w:bidi="ar"/>
          <w14:textFill>
            <w14:solidFill>
              <w14:schemeClr w14:val="tx1"/>
            </w14:solidFill>
          </w14:textFill>
        </w:rPr>
        <w:t>电 话：</w:t>
      </w:r>
      <w:r>
        <w:rPr>
          <w:rFonts w:hint="eastAsia" w:ascii="宋体" w:hAnsi="宋体" w:cs="宋体"/>
          <w:color w:val="000000" w:themeColor="text1"/>
          <w:kern w:val="0"/>
          <w:u w:val="single"/>
          <w:lang w:bidi="ar"/>
          <w14:textFill>
            <w14:solidFill>
              <w14:schemeClr w14:val="tx1"/>
            </w14:solidFill>
          </w14:textFill>
        </w:rPr>
        <w:t xml:space="preserve">                          </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开户银行：</w:t>
      </w:r>
      <w:r>
        <w:rPr>
          <w:rFonts w:hint="eastAsia" w:ascii="宋体" w:hAnsi="宋体" w:cs="宋体"/>
          <w:color w:val="000000" w:themeColor="text1"/>
          <w:kern w:val="0"/>
          <w:u w:val="single"/>
          <w:lang w:bidi="ar"/>
          <w14:textFill>
            <w14:solidFill>
              <w14:schemeClr w14:val="tx1"/>
            </w14:solidFill>
          </w14:textFill>
        </w:rPr>
        <w:t xml:space="preserve">                       </w:t>
      </w:r>
      <w:r>
        <w:rPr>
          <w:rFonts w:hint="eastAsia" w:ascii="宋体" w:hAnsi="宋体" w:cs="宋体"/>
          <w:color w:val="000000" w:themeColor="text1"/>
          <w:kern w:val="0"/>
          <w:lang w:bidi="ar"/>
          <w14:textFill>
            <w14:solidFill>
              <w14:schemeClr w14:val="tx1"/>
            </w14:solidFill>
          </w14:textFill>
        </w:rPr>
        <w:t xml:space="preserve">    </w:t>
      </w:r>
      <w:r>
        <w:rPr>
          <w:rFonts w:hint="eastAsia" w:ascii="宋体" w:hAnsi="宋体" w:cs="宋体"/>
          <w:snapToGrid w:val="0"/>
          <w:color w:val="000000" w:themeColor="text1"/>
          <w:kern w:val="0"/>
          <w:lang w:bidi="ar"/>
          <w14:textFill>
            <w14:solidFill>
              <w14:schemeClr w14:val="tx1"/>
            </w14:solidFill>
          </w14:textFill>
        </w:rPr>
        <w:t>开户银行：</w:t>
      </w:r>
      <w:r>
        <w:rPr>
          <w:rFonts w:hint="eastAsia" w:ascii="宋体" w:hAnsi="宋体" w:cs="宋体"/>
          <w:color w:val="000000" w:themeColor="text1"/>
          <w:kern w:val="0"/>
          <w:u w:val="single"/>
          <w:lang w:bidi="ar"/>
          <w14:textFill>
            <w14:solidFill>
              <w14:schemeClr w14:val="tx1"/>
            </w14:solidFill>
          </w14:textFill>
        </w:rPr>
        <w:t xml:space="preserve">                       </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账 号：</w:t>
      </w:r>
      <w:r>
        <w:rPr>
          <w:rFonts w:hint="eastAsia" w:ascii="宋体" w:hAnsi="宋体" w:cs="宋体"/>
          <w:color w:val="000000" w:themeColor="text1"/>
          <w:kern w:val="0"/>
          <w:u w:val="single"/>
          <w:lang w:bidi="ar"/>
          <w14:textFill>
            <w14:solidFill>
              <w14:schemeClr w14:val="tx1"/>
            </w14:solidFill>
          </w14:textFill>
        </w:rPr>
        <w:t xml:space="preserve">                          </w:t>
      </w:r>
      <w:r>
        <w:rPr>
          <w:rFonts w:hint="eastAsia" w:ascii="宋体" w:hAnsi="宋体" w:cs="宋体"/>
          <w:color w:val="000000" w:themeColor="text1"/>
          <w:kern w:val="0"/>
          <w:lang w:bidi="ar"/>
          <w14:textFill>
            <w14:solidFill>
              <w14:schemeClr w14:val="tx1"/>
            </w14:solidFill>
          </w14:textFill>
        </w:rPr>
        <w:t xml:space="preserve">    </w:t>
      </w:r>
      <w:r>
        <w:rPr>
          <w:rFonts w:hint="eastAsia" w:ascii="宋体" w:hAnsi="宋体" w:cs="宋体"/>
          <w:snapToGrid w:val="0"/>
          <w:color w:val="000000" w:themeColor="text1"/>
          <w:kern w:val="0"/>
          <w:lang w:bidi="ar"/>
          <w14:textFill>
            <w14:solidFill>
              <w14:schemeClr w14:val="tx1"/>
            </w14:solidFill>
          </w14:textFill>
        </w:rPr>
        <w:t>账 号：</w:t>
      </w:r>
      <w:r>
        <w:rPr>
          <w:rFonts w:hint="eastAsia" w:ascii="宋体" w:hAnsi="宋体" w:cs="宋体"/>
          <w:color w:val="000000" w:themeColor="text1"/>
          <w:kern w:val="0"/>
          <w:u w:val="single"/>
          <w:lang w:bidi="ar"/>
          <w14:textFill>
            <w14:solidFill>
              <w14:schemeClr w14:val="tx1"/>
            </w14:solidFill>
          </w14:textFill>
        </w:rPr>
        <w:t xml:space="preserve">                          </w:t>
      </w:r>
    </w:p>
    <w:p>
      <w:pPr>
        <w:keepNext/>
        <w:keepLines/>
        <w:tabs>
          <w:tab w:val="left" w:pos="-737"/>
        </w:tabs>
        <w:overflowPunct w:val="0"/>
        <w:topLinePunct/>
        <w:autoSpaceDN w:val="0"/>
        <w:adjustRightInd w:val="0"/>
        <w:snapToGrid w:val="0"/>
        <w:ind w:firstLine="480"/>
        <w:rPr>
          <w:rFonts w:asci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bidi="ar"/>
          <w14:textFill>
            <w14:solidFill>
              <w14:schemeClr w14:val="tx1"/>
            </w14:solidFill>
          </w14:textFill>
        </w:rPr>
        <w:t>日 期：</w:t>
      </w:r>
      <w:r>
        <w:rPr>
          <w:rFonts w:hint="eastAsia" w:ascii="宋体" w:hAnsi="宋体" w:cs="宋体"/>
          <w:color w:val="000000" w:themeColor="text1"/>
          <w:kern w:val="0"/>
          <w:u w:val="single"/>
          <w:lang w:bidi="ar"/>
          <w14:textFill>
            <w14:solidFill>
              <w14:schemeClr w14:val="tx1"/>
            </w14:solidFill>
          </w14:textFill>
        </w:rPr>
        <w:t xml:space="preserve">        </w:t>
      </w:r>
      <w:r>
        <w:rPr>
          <w:rFonts w:hint="eastAsia" w:ascii="宋体" w:hAnsi="宋体" w:cs="宋体"/>
          <w:snapToGrid w:val="0"/>
          <w:color w:val="000000" w:themeColor="text1"/>
          <w:kern w:val="0"/>
          <w:lang w:bidi="ar"/>
          <w14:textFill>
            <w14:solidFill>
              <w14:schemeClr w14:val="tx1"/>
            </w14:solidFill>
          </w14:textFill>
        </w:rPr>
        <w:t>年</w:t>
      </w:r>
      <w:r>
        <w:rPr>
          <w:rFonts w:hint="eastAsia" w:ascii="宋体" w:hAnsi="宋体" w:cs="宋体"/>
          <w:color w:val="000000" w:themeColor="text1"/>
          <w:kern w:val="0"/>
          <w:u w:val="single"/>
          <w:lang w:bidi="ar"/>
          <w14:textFill>
            <w14:solidFill>
              <w14:schemeClr w14:val="tx1"/>
            </w14:solidFill>
          </w14:textFill>
        </w:rPr>
        <w:t xml:space="preserve">    </w:t>
      </w:r>
      <w:r>
        <w:rPr>
          <w:rFonts w:hint="eastAsia" w:ascii="宋体" w:hAnsi="宋体" w:cs="宋体"/>
          <w:snapToGrid w:val="0"/>
          <w:color w:val="000000" w:themeColor="text1"/>
          <w:kern w:val="0"/>
          <w:lang w:bidi="ar"/>
          <w14:textFill>
            <w14:solidFill>
              <w14:schemeClr w14:val="tx1"/>
            </w14:solidFill>
          </w14:textFill>
        </w:rPr>
        <w:t>月</w:t>
      </w:r>
      <w:r>
        <w:rPr>
          <w:rFonts w:hint="eastAsia" w:ascii="宋体" w:hAnsi="宋体" w:cs="宋体"/>
          <w:color w:val="000000" w:themeColor="text1"/>
          <w:kern w:val="0"/>
          <w:u w:val="single"/>
          <w:lang w:bidi="ar"/>
          <w14:textFill>
            <w14:solidFill>
              <w14:schemeClr w14:val="tx1"/>
            </w14:solidFill>
          </w14:textFill>
        </w:rPr>
        <w:t xml:space="preserve">    </w:t>
      </w:r>
      <w:r>
        <w:rPr>
          <w:rFonts w:hint="eastAsia" w:ascii="宋体" w:hAnsi="宋体" w:cs="宋体"/>
          <w:snapToGrid w:val="0"/>
          <w:color w:val="000000" w:themeColor="text1"/>
          <w:kern w:val="0"/>
          <w:lang w:bidi="ar"/>
          <w14:textFill>
            <w14:solidFill>
              <w14:schemeClr w14:val="tx1"/>
            </w14:solidFill>
          </w14:textFill>
        </w:rPr>
        <w:t>日</w:t>
      </w:r>
      <w:r>
        <w:rPr>
          <w:rFonts w:hint="eastAsia" w:ascii="宋体" w:hAnsi="宋体" w:cs="宋体"/>
          <w:color w:val="000000" w:themeColor="text1"/>
          <w:kern w:val="0"/>
          <w:lang w:bidi="ar"/>
          <w14:textFill>
            <w14:solidFill>
              <w14:schemeClr w14:val="tx1"/>
            </w14:solidFill>
          </w14:textFill>
        </w:rPr>
        <w:t xml:space="preserve">        </w:t>
      </w:r>
      <w:r>
        <w:rPr>
          <w:rFonts w:hint="eastAsia" w:ascii="宋体" w:hAnsi="宋体" w:cs="宋体"/>
          <w:snapToGrid w:val="0"/>
          <w:color w:val="000000" w:themeColor="text1"/>
          <w:kern w:val="0"/>
          <w:lang w:bidi="ar"/>
          <w14:textFill>
            <w14:solidFill>
              <w14:schemeClr w14:val="tx1"/>
            </w14:solidFill>
          </w14:textFill>
        </w:rPr>
        <w:t>日 期：</w:t>
      </w:r>
      <w:r>
        <w:rPr>
          <w:rFonts w:hint="eastAsia" w:ascii="宋体" w:hAnsi="宋体" w:cs="宋体"/>
          <w:color w:val="000000" w:themeColor="text1"/>
          <w:kern w:val="0"/>
          <w:u w:val="single"/>
          <w:lang w:bidi="ar"/>
          <w14:textFill>
            <w14:solidFill>
              <w14:schemeClr w14:val="tx1"/>
            </w14:solidFill>
          </w14:textFill>
        </w:rPr>
        <w:t xml:space="preserve">        </w:t>
      </w:r>
      <w:r>
        <w:rPr>
          <w:rFonts w:hint="eastAsia" w:ascii="宋体" w:hAnsi="宋体" w:cs="宋体"/>
          <w:snapToGrid w:val="0"/>
          <w:color w:val="000000" w:themeColor="text1"/>
          <w:kern w:val="0"/>
          <w:lang w:bidi="ar"/>
          <w14:textFill>
            <w14:solidFill>
              <w14:schemeClr w14:val="tx1"/>
            </w14:solidFill>
          </w14:textFill>
        </w:rPr>
        <w:t>年</w:t>
      </w:r>
      <w:r>
        <w:rPr>
          <w:rFonts w:hint="eastAsia" w:ascii="宋体" w:hAnsi="宋体" w:cs="宋体"/>
          <w:color w:val="000000" w:themeColor="text1"/>
          <w:kern w:val="0"/>
          <w:u w:val="single"/>
          <w:lang w:bidi="ar"/>
          <w14:textFill>
            <w14:solidFill>
              <w14:schemeClr w14:val="tx1"/>
            </w14:solidFill>
          </w14:textFill>
        </w:rPr>
        <w:t xml:space="preserve">    </w:t>
      </w:r>
      <w:r>
        <w:rPr>
          <w:rFonts w:hint="eastAsia" w:ascii="宋体" w:hAnsi="宋体" w:cs="宋体"/>
          <w:snapToGrid w:val="0"/>
          <w:color w:val="000000" w:themeColor="text1"/>
          <w:kern w:val="0"/>
          <w:lang w:bidi="ar"/>
          <w14:textFill>
            <w14:solidFill>
              <w14:schemeClr w14:val="tx1"/>
            </w14:solidFill>
          </w14:textFill>
        </w:rPr>
        <w:t>月</w:t>
      </w:r>
      <w:r>
        <w:rPr>
          <w:rFonts w:hint="eastAsia" w:ascii="宋体" w:hAnsi="宋体" w:cs="宋体"/>
          <w:color w:val="000000" w:themeColor="text1"/>
          <w:kern w:val="0"/>
          <w:u w:val="single"/>
          <w:lang w:bidi="ar"/>
          <w14:textFill>
            <w14:solidFill>
              <w14:schemeClr w14:val="tx1"/>
            </w14:solidFill>
          </w14:textFill>
        </w:rPr>
        <w:t xml:space="preserve">    </w:t>
      </w:r>
      <w:r>
        <w:rPr>
          <w:rFonts w:hint="eastAsia" w:ascii="宋体" w:hAnsi="宋体" w:cs="宋体"/>
          <w:snapToGrid w:val="0"/>
          <w:color w:val="000000" w:themeColor="text1"/>
          <w:kern w:val="0"/>
          <w:lang w:bidi="ar"/>
          <w14:textFill>
            <w14:solidFill>
              <w14:schemeClr w14:val="tx1"/>
            </w14:solidFill>
          </w14:textFill>
        </w:rPr>
        <w:t>日</w:t>
      </w:r>
    </w:p>
    <w:p>
      <w:pPr>
        <w:pStyle w:val="3"/>
        <w:rPr>
          <w:rFonts w:cs="宋体"/>
          <w:b/>
          <w:bCs/>
          <w:color w:val="000000" w:themeColor="text1"/>
          <w:sz w:val="28"/>
          <w:szCs w:val="28"/>
          <w14:textFill>
            <w14:solidFill>
              <w14:schemeClr w14:val="tx1"/>
            </w14:solidFill>
          </w14:textFill>
        </w:rPr>
        <w:sectPr>
          <w:pgSz w:w="11850" w:h="16783"/>
          <w:pgMar w:top="1440" w:right="1800" w:bottom="1440" w:left="1800" w:header="851" w:footer="1417" w:gutter="0"/>
          <w:cols w:space="720" w:num="1"/>
          <w:docGrid w:type="lines" w:linePitch="312" w:charSpace="0"/>
        </w:sectPr>
      </w:pPr>
    </w:p>
    <w:p>
      <w:pPr>
        <w:ind w:firstLine="480"/>
        <w:rPr>
          <w:color w:val="000000" w:themeColor="text1"/>
          <w14:textFill>
            <w14:solidFill>
              <w14:schemeClr w14:val="tx1"/>
            </w14:solidFill>
          </w14:textFill>
        </w:rPr>
      </w:pPr>
    </w:p>
    <w:p>
      <w:pPr>
        <w:pStyle w:val="3"/>
        <w:rPr>
          <w:rFonts w:cs="宋体"/>
          <w:b/>
          <w:bCs/>
          <w:color w:val="000000" w:themeColor="text1"/>
          <w:sz w:val="28"/>
          <w:szCs w:val="28"/>
          <w14:textFill>
            <w14:solidFill>
              <w14:schemeClr w14:val="tx1"/>
            </w14:solidFill>
          </w14:textFill>
        </w:rPr>
      </w:pPr>
      <w:r>
        <w:rPr>
          <w:rFonts w:hint="eastAsia" w:cs="宋体"/>
          <w:b/>
          <w:bCs/>
          <w:color w:val="000000" w:themeColor="text1"/>
          <w:sz w:val="28"/>
          <w:szCs w:val="28"/>
          <w14:textFill>
            <w14:solidFill>
              <w14:schemeClr w14:val="tx1"/>
            </w14:solidFill>
          </w14:textFill>
        </w:rPr>
        <w:t xml:space="preserve">第六部分  </w:t>
      </w:r>
      <w:bookmarkStart w:id="39" w:name="_Toc86202632"/>
      <w:r>
        <w:rPr>
          <w:rFonts w:hint="eastAsia" w:cs="宋体"/>
          <w:b/>
          <w:bCs/>
          <w:color w:val="000000" w:themeColor="text1"/>
          <w:sz w:val="28"/>
          <w:szCs w:val="28"/>
          <w14:textFill>
            <w14:solidFill>
              <w14:schemeClr w14:val="tx1"/>
            </w14:solidFill>
          </w14:textFill>
        </w:rPr>
        <w:t>响应文件格式</w:t>
      </w:r>
      <w:bookmarkEnd w:id="36"/>
      <w:bookmarkEnd w:id="37"/>
      <w:bookmarkEnd w:id="38"/>
      <w:bookmarkEnd w:id="39"/>
    </w:p>
    <w:p>
      <w:pPr>
        <w:tabs>
          <w:tab w:val="left" w:pos="-737"/>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bookmarkStart w:id="40" w:name="_Toc175644062"/>
      <w:bookmarkStart w:id="41" w:name="_Toc86202633"/>
      <w:r>
        <w:rPr>
          <w:rFonts w:hint="eastAsia" w:ascii="宋体" w:hAnsi="宋体" w:cs="宋体"/>
          <w:snapToGrid w:val="0"/>
          <w:color w:val="000000" w:themeColor="text1"/>
          <w:kern w:val="0"/>
          <w14:textFill>
            <w14:solidFill>
              <w14:schemeClr w14:val="tx1"/>
            </w14:solidFill>
          </w14:textFill>
        </w:rPr>
        <w:t>一、供应商提交文件须知</w:t>
      </w:r>
      <w:bookmarkEnd w:id="40"/>
      <w:bookmarkEnd w:id="41"/>
    </w:p>
    <w:p>
      <w:pPr>
        <w:tabs>
          <w:tab w:val="left" w:pos="0"/>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1.供应商应严格按照第二部分供应商须知8.2规定的内容、顺序填写和提交下述规定的全部格式文件以及其他有关资料，混乱的编排导致响应文件被误读或查找不到，后果由供应商承担。</w:t>
      </w:r>
    </w:p>
    <w:p>
      <w:pPr>
        <w:tabs>
          <w:tab w:val="left" w:pos="0"/>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2.所附表格中要求回答的全部问题和信息都必须正面回答。</w:t>
      </w:r>
    </w:p>
    <w:p>
      <w:pPr>
        <w:tabs>
          <w:tab w:val="left" w:pos="0"/>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3.本资格声明的签字人应保证全部声明和问题的回答是真实的和准确的。</w:t>
      </w:r>
    </w:p>
    <w:p>
      <w:pPr>
        <w:tabs>
          <w:tab w:val="left" w:pos="0"/>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val="en-US" w:eastAsia="zh-CN"/>
          <w14:textFill>
            <w14:solidFill>
              <w14:schemeClr w14:val="tx1"/>
            </w14:solidFill>
          </w14:textFill>
        </w:rPr>
        <w:t>4</w:t>
      </w:r>
      <w:r>
        <w:rPr>
          <w:rFonts w:hint="eastAsia" w:ascii="宋体" w:hAnsi="宋体" w:cs="宋体"/>
          <w:snapToGrid w:val="0"/>
          <w:color w:val="000000" w:themeColor="text1"/>
          <w:kern w:val="0"/>
          <w14:textFill>
            <w14:solidFill>
              <w14:schemeClr w14:val="tx1"/>
            </w14:solidFill>
          </w14:textFill>
        </w:rPr>
        <w:t>.供应商提交的材料将被妥善保存，但不退还。</w:t>
      </w:r>
    </w:p>
    <w:p>
      <w:pPr>
        <w:tabs>
          <w:tab w:val="left" w:pos="0"/>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lang w:val="en-US" w:eastAsia="zh-CN"/>
          <w14:textFill>
            <w14:solidFill>
              <w14:schemeClr w14:val="tx1"/>
            </w14:solidFill>
          </w14:textFill>
        </w:rPr>
        <w:t>5</w:t>
      </w:r>
      <w:r>
        <w:rPr>
          <w:rFonts w:hint="eastAsia" w:ascii="宋体" w:hAnsi="宋体" w:cs="宋体"/>
          <w:snapToGrid w:val="0"/>
          <w:color w:val="000000" w:themeColor="text1"/>
          <w:kern w:val="0"/>
          <w14:textFill>
            <w14:solidFill>
              <w14:schemeClr w14:val="tx1"/>
            </w14:solidFill>
          </w14:textFill>
        </w:rPr>
        <w:t>.全部文件应按供应商须知中规定的语言和份数提交。</w:t>
      </w:r>
    </w:p>
    <w:p>
      <w:pPr>
        <w:ind w:firstLine="0" w:firstLineChars="0"/>
        <w:rPr>
          <w:rFonts w:ascii="宋体" w:hAnsi="宋体" w:cs="宋体"/>
          <w:color w:val="000000" w:themeColor="text1"/>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br w:type="page"/>
      </w:r>
    </w:p>
    <w:p>
      <w:pPr>
        <w:pStyle w:val="79"/>
        <w:spacing w:line="360" w:lineRule="auto"/>
        <w:jc w:val="both"/>
        <w:rPr>
          <w:rFonts w:hint="default" w:ascii="宋体" w:hAnsi="宋体" w:cs="宋体"/>
          <w:color w:val="000000" w:themeColor="text1"/>
          <w14:textFill>
            <w14:solidFill>
              <w14:schemeClr w14:val="tx1"/>
            </w14:solidFill>
          </w14:textFill>
        </w:rPr>
      </w:pPr>
    </w:p>
    <w:p>
      <w:pPr>
        <w:pStyle w:val="79"/>
        <w:spacing w:line="360" w:lineRule="auto"/>
        <w:jc w:val="both"/>
        <w:rPr>
          <w:rFonts w:hint="default" w:ascii="宋体" w:hAnsi="宋体" w:cs="宋体"/>
          <w:color w:val="000000" w:themeColor="text1"/>
          <w14:textFill>
            <w14:solidFill>
              <w14:schemeClr w14:val="tx1"/>
            </w14:solidFill>
          </w14:textFill>
        </w:rPr>
      </w:pPr>
    </w:p>
    <w:p>
      <w:pPr>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（格式）</w:t>
      </w:r>
    </w:p>
    <w:p>
      <w:pPr>
        <w:pStyle w:val="79"/>
        <w:spacing w:line="360" w:lineRule="auto"/>
        <w:jc w:val="both"/>
        <w:rPr>
          <w:rFonts w:hint="default" w:ascii="宋体" w:hAnsi="宋体" w:cs="宋体"/>
          <w:color w:val="000000" w:themeColor="text1"/>
          <w14:textFill>
            <w14:solidFill>
              <w14:schemeClr w14:val="tx1"/>
            </w14:solidFill>
          </w14:textFill>
        </w:rPr>
      </w:pPr>
    </w:p>
    <w:p>
      <w:pPr>
        <w:pStyle w:val="79"/>
        <w:spacing w:line="360" w:lineRule="auto"/>
        <w:jc w:val="both"/>
        <w:rPr>
          <w:rFonts w:hint="default" w:ascii="宋体" w:hAnsi="宋体" w:cs="宋体"/>
          <w:color w:val="000000" w:themeColor="text1"/>
          <w14:textFill>
            <w14:solidFill>
              <w14:schemeClr w14:val="tx1"/>
            </w14:solidFill>
          </w14:textFill>
        </w:rPr>
      </w:pPr>
    </w:p>
    <w:p>
      <w:pPr>
        <w:overflowPunct w:val="0"/>
        <w:topLinePunct/>
        <w:autoSpaceDN w:val="0"/>
        <w:adjustRightInd w:val="0"/>
        <w:snapToGrid w:val="0"/>
        <w:ind w:firstLine="0" w:firstLineChars="0"/>
        <w:jc w:val="center"/>
        <w:outlineLvl w:val="0"/>
        <w:rPr>
          <w:rFonts w:ascii="宋体" w:hAnsi="宋体" w:cs="宋体"/>
          <w:b/>
          <w:snapToGrid w:val="0"/>
          <w:color w:val="000000" w:themeColor="text1"/>
          <w:kern w:val="0"/>
          <w:sz w:val="100"/>
          <w14:textFill>
            <w14:solidFill>
              <w14:schemeClr w14:val="tx1"/>
            </w14:solidFill>
          </w14:textFill>
        </w:rPr>
      </w:pPr>
      <w:bookmarkStart w:id="42" w:name="_Toc20284"/>
      <w:bookmarkStart w:id="43" w:name="_Toc19366"/>
      <w:bookmarkStart w:id="44" w:name="_Toc28391"/>
      <w:r>
        <w:rPr>
          <w:rFonts w:hint="eastAsia" w:ascii="宋体" w:hAnsi="宋体" w:cs="宋体"/>
          <w:b/>
          <w:snapToGrid w:val="0"/>
          <w:color w:val="000000" w:themeColor="text1"/>
          <w:kern w:val="0"/>
          <w:sz w:val="100"/>
          <w14:textFill>
            <w14:solidFill>
              <w14:schemeClr w14:val="tx1"/>
            </w14:solidFill>
          </w14:textFill>
        </w:rPr>
        <w:t>响应文件</w:t>
      </w:r>
      <w:bookmarkEnd w:id="42"/>
      <w:bookmarkEnd w:id="43"/>
      <w:bookmarkEnd w:id="44"/>
    </w:p>
    <w:p>
      <w:pPr>
        <w:overflowPunct w:val="0"/>
        <w:topLinePunct/>
        <w:autoSpaceDN w:val="0"/>
        <w:adjustRightInd w:val="0"/>
        <w:snapToGrid w:val="0"/>
        <w:ind w:firstLine="602"/>
        <w:outlineLvl w:val="0"/>
        <w:rPr>
          <w:rFonts w:ascii="宋体" w:hAnsi="宋体" w:cs="宋体"/>
          <w:b/>
          <w:snapToGrid w:val="0"/>
          <w:color w:val="000000" w:themeColor="text1"/>
          <w:sz w:val="30"/>
          <w:u w:val="single"/>
          <w14:textFill>
            <w14:solidFill>
              <w14:schemeClr w14:val="tx1"/>
            </w14:solidFill>
          </w14:textFill>
        </w:rPr>
      </w:pPr>
      <w:bookmarkStart w:id="45" w:name="_Toc26993"/>
      <w:bookmarkStart w:id="46" w:name="_Toc13881"/>
      <w:bookmarkStart w:id="47" w:name="_Toc5684"/>
      <w:r>
        <w:rPr>
          <w:rFonts w:hint="eastAsia" w:ascii="宋体" w:hAnsi="宋体" w:cs="宋体"/>
          <w:b/>
          <w:snapToGrid w:val="0"/>
          <w:color w:val="000000" w:themeColor="text1"/>
          <w:sz w:val="30"/>
          <w14:textFill>
            <w14:solidFill>
              <w14:schemeClr w14:val="tx1"/>
            </w14:solidFill>
          </w14:textFill>
        </w:rPr>
        <w:t>项目名称：</w:t>
      </w:r>
      <w:bookmarkEnd w:id="45"/>
      <w:bookmarkEnd w:id="46"/>
      <w:bookmarkEnd w:id="47"/>
      <w:bookmarkStart w:id="48" w:name="_Toc21377"/>
      <w:bookmarkStart w:id="49" w:name="_Toc18645"/>
      <w:r>
        <w:rPr>
          <w:rFonts w:hint="eastAsia" w:ascii="宋体" w:hAnsi="宋体" w:cs="宋体"/>
          <w:b/>
          <w:snapToGrid w:val="0"/>
          <w:color w:val="000000" w:themeColor="text1"/>
          <w:sz w:val="30"/>
          <w:u w:val="single"/>
          <w14:textFill>
            <w14:solidFill>
              <w14:schemeClr w14:val="tx1"/>
            </w14:solidFill>
          </w14:textFill>
        </w:rPr>
        <w:t xml:space="preserve">                         </w:t>
      </w:r>
    </w:p>
    <w:p>
      <w:pPr>
        <w:overflowPunct w:val="0"/>
        <w:topLinePunct/>
        <w:autoSpaceDN w:val="0"/>
        <w:adjustRightInd w:val="0"/>
        <w:snapToGrid w:val="0"/>
        <w:ind w:firstLine="602"/>
        <w:outlineLvl w:val="0"/>
        <w:rPr>
          <w:rFonts w:ascii="宋体" w:hAnsi="宋体" w:cs="宋体"/>
          <w:b/>
          <w:snapToGrid w:val="0"/>
          <w:color w:val="000000" w:themeColor="text1"/>
          <w:kern w:val="0"/>
          <w:sz w:val="30"/>
          <w:u w:val="single"/>
          <w14:textFill>
            <w14:solidFill>
              <w14:schemeClr w14:val="tx1"/>
            </w14:solidFill>
          </w14:textFill>
        </w:rPr>
      </w:pPr>
      <w:bookmarkStart w:id="50" w:name="_Toc7094"/>
      <w:r>
        <w:rPr>
          <w:rFonts w:hint="eastAsia" w:ascii="宋体" w:hAnsi="宋体" w:cs="宋体"/>
          <w:b/>
          <w:snapToGrid w:val="0"/>
          <w:color w:val="000000" w:themeColor="text1"/>
          <w:kern w:val="0"/>
          <w:sz w:val="30"/>
          <w14:textFill>
            <w14:solidFill>
              <w14:schemeClr w14:val="tx1"/>
            </w14:solidFill>
          </w14:textFill>
        </w:rPr>
        <w:t>项目编号：</w:t>
      </w:r>
      <w:bookmarkEnd w:id="48"/>
      <w:bookmarkEnd w:id="49"/>
      <w:bookmarkEnd w:id="50"/>
      <w:r>
        <w:rPr>
          <w:rFonts w:hint="eastAsia" w:ascii="宋体" w:hAnsi="宋体" w:cs="宋体"/>
          <w:b/>
          <w:snapToGrid w:val="0"/>
          <w:color w:val="000000" w:themeColor="text1"/>
          <w:kern w:val="0"/>
          <w:sz w:val="30"/>
          <w:u w:val="single"/>
          <w14:textFill>
            <w14:solidFill>
              <w14:schemeClr w14:val="tx1"/>
            </w14:solidFill>
          </w14:textFill>
        </w:rPr>
        <w:t xml:space="preserve">                         </w:t>
      </w:r>
    </w:p>
    <w:p>
      <w:pPr>
        <w:ind w:firstLine="295" w:firstLineChars="98"/>
        <w:rPr>
          <w:rFonts w:ascii="宋体" w:hAnsi="宋体" w:cs="宋体"/>
          <w:b/>
          <w:color w:val="000000" w:themeColor="text1"/>
          <w:sz w:val="30"/>
          <w14:textFill>
            <w14:solidFill>
              <w14:schemeClr w14:val="tx1"/>
            </w14:solidFill>
          </w14:textFill>
        </w:rPr>
      </w:pPr>
      <w:r>
        <w:rPr>
          <w:rFonts w:hint="eastAsia" w:ascii="宋体" w:hAnsi="宋体" w:cs="宋体"/>
          <w:b/>
          <w:color w:val="000000" w:themeColor="text1"/>
          <w:sz w:val="30"/>
          <w14:textFill>
            <w14:solidFill>
              <w14:schemeClr w14:val="tx1"/>
            </w14:solidFill>
          </w14:textFill>
        </w:rPr>
        <w:t xml:space="preserve"> </w:t>
      </w:r>
    </w:p>
    <w:p>
      <w:pPr>
        <w:pStyle w:val="79"/>
        <w:spacing w:line="360" w:lineRule="auto"/>
        <w:jc w:val="center"/>
        <w:rPr>
          <w:rFonts w:hint="default" w:ascii="宋体" w:hAnsi="宋体" w:cs="宋体"/>
          <w:b/>
          <w:color w:val="000000" w:themeColor="text1"/>
          <w:sz w:val="30"/>
          <w14:textFill>
            <w14:solidFill>
              <w14:schemeClr w14:val="tx1"/>
            </w14:solidFill>
          </w14:textFill>
        </w:rPr>
      </w:pPr>
    </w:p>
    <w:p>
      <w:pPr>
        <w:pStyle w:val="79"/>
        <w:spacing w:line="360" w:lineRule="auto"/>
        <w:rPr>
          <w:rFonts w:hint="default" w:ascii="宋体" w:hAnsi="宋体" w:cs="宋体"/>
          <w:b/>
          <w:color w:val="000000" w:themeColor="text1"/>
          <w:sz w:val="30"/>
          <w14:textFill>
            <w14:solidFill>
              <w14:schemeClr w14:val="tx1"/>
            </w14:solidFill>
          </w14:textFill>
        </w:rPr>
      </w:pPr>
    </w:p>
    <w:p>
      <w:pPr>
        <w:pStyle w:val="79"/>
        <w:spacing w:line="360" w:lineRule="auto"/>
        <w:rPr>
          <w:rFonts w:hint="default" w:ascii="宋体" w:hAnsi="宋体" w:cs="宋体"/>
          <w:b/>
          <w:color w:val="000000" w:themeColor="text1"/>
          <w:sz w:val="30"/>
          <w14:textFill>
            <w14:solidFill>
              <w14:schemeClr w14:val="tx1"/>
            </w14:solidFill>
          </w14:textFill>
        </w:rPr>
      </w:pPr>
    </w:p>
    <w:p>
      <w:pPr>
        <w:pStyle w:val="79"/>
        <w:spacing w:line="360" w:lineRule="auto"/>
        <w:rPr>
          <w:rFonts w:hint="default" w:ascii="宋体" w:hAnsi="宋体" w:cs="宋体"/>
          <w:b/>
          <w:color w:val="000000" w:themeColor="text1"/>
          <w:sz w:val="30"/>
          <w14:textFill>
            <w14:solidFill>
              <w14:schemeClr w14:val="tx1"/>
            </w14:solidFill>
          </w14:textFill>
        </w:rPr>
      </w:pPr>
    </w:p>
    <w:p>
      <w:pPr>
        <w:pStyle w:val="79"/>
        <w:spacing w:line="360" w:lineRule="auto"/>
        <w:rPr>
          <w:rFonts w:hint="default" w:ascii="宋体" w:hAnsi="宋体" w:cs="宋体"/>
          <w:b/>
          <w:color w:val="000000" w:themeColor="text1"/>
          <w:sz w:val="30"/>
          <w14:textFill>
            <w14:solidFill>
              <w14:schemeClr w14:val="tx1"/>
            </w14:solidFill>
          </w14:textFill>
        </w:rPr>
      </w:pPr>
    </w:p>
    <w:p>
      <w:pPr>
        <w:pStyle w:val="79"/>
        <w:spacing w:line="360" w:lineRule="auto"/>
        <w:rPr>
          <w:rFonts w:hint="default" w:ascii="宋体" w:hAnsi="宋体" w:cs="宋体"/>
          <w:b/>
          <w:color w:val="000000" w:themeColor="text1"/>
          <w:sz w:val="30"/>
          <w14:textFill>
            <w14:solidFill>
              <w14:schemeClr w14:val="tx1"/>
            </w14:solidFill>
          </w14:textFill>
        </w:rPr>
      </w:pPr>
    </w:p>
    <w:p>
      <w:pPr>
        <w:pStyle w:val="79"/>
        <w:spacing w:line="360" w:lineRule="auto"/>
        <w:outlineLvl w:val="0"/>
        <w:rPr>
          <w:rFonts w:hint="default" w:ascii="宋体" w:hAnsi="宋体" w:cs="宋体"/>
          <w:b/>
          <w:color w:val="000000" w:themeColor="text1"/>
          <w:sz w:val="30"/>
          <w14:textFill>
            <w14:solidFill>
              <w14:schemeClr w14:val="tx1"/>
            </w14:solidFill>
          </w14:textFill>
        </w:rPr>
      </w:pPr>
      <w:bookmarkStart w:id="51" w:name="_Toc22931"/>
      <w:bookmarkStart w:id="52" w:name="_Toc7530"/>
      <w:bookmarkStart w:id="53" w:name="_Toc19716"/>
      <w:r>
        <w:rPr>
          <w:rFonts w:ascii="宋体" w:hAnsi="宋体" w:cs="宋体"/>
          <w:b/>
          <w:color w:val="000000" w:themeColor="text1"/>
          <w:sz w:val="30"/>
          <w14:textFill>
            <w14:solidFill>
              <w14:schemeClr w14:val="tx1"/>
            </w14:solidFill>
          </w14:textFill>
        </w:rPr>
        <w:t>供应商单位全称：</w:t>
      </w:r>
      <w:r>
        <w:rPr>
          <w:rFonts w:ascii="宋体" w:hAnsi="宋体" w:cs="宋体"/>
          <w:b/>
          <w:color w:val="000000" w:themeColor="text1"/>
          <w:sz w:val="30"/>
          <w:u w:val="single"/>
          <w14:textFill>
            <w14:solidFill>
              <w14:schemeClr w14:val="tx1"/>
            </w14:solidFill>
          </w14:textFill>
        </w:rPr>
        <w:t xml:space="preserve">                     </w:t>
      </w:r>
      <w:r>
        <w:rPr>
          <w:rFonts w:ascii="宋体" w:hAnsi="宋体" w:cs="宋体"/>
          <w:b/>
          <w:color w:val="000000" w:themeColor="text1"/>
          <w:sz w:val="30"/>
          <w14:textFill>
            <w14:solidFill>
              <w14:schemeClr w14:val="tx1"/>
            </w14:solidFill>
          </w14:textFill>
        </w:rPr>
        <w:t>（签章）</w:t>
      </w:r>
      <w:bookmarkEnd w:id="51"/>
      <w:bookmarkEnd w:id="52"/>
      <w:bookmarkEnd w:id="53"/>
    </w:p>
    <w:p>
      <w:pPr>
        <w:pStyle w:val="79"/>
        <w:spacing w:line="360" w:lineRule="auto"/>
        <w:outlineLvl w:val="0"/>
        <w:rPr>
          <w:rFonts w:hint="default" w:ascii="宋体" w:hAnsi="宋体" w:cs="宋体"/>
          <w:b/>
          <w:color w:val="000000" w:themeColor="text1"/>
          <w:sz w:val="30"/>
          <w14:textFill>
            <w14:solidFill>
              <w14:schemeClr w14:val="tx1"/>
            </w14:solidFill>
          </w14:textFill>
        </w:rPr>
      </w:pPr>
      <w:bookmarkStart w:id="54" w:name="_Toc27440"/>
      <w:bookmarkStart w:id="55" w:name="_Toc28688"/>
      <w:bookmarkStart w:id="56" w:name="_Toc23532"/>
      <w:r>
        <w:rPr>
          <w:rFonts w:ascii="宋体" w:hAnsi="宋体" w:cs="宋体"/>
          <w:b/>
          <w:color w:val="000000" w:themeColor="text1"/>
          <w:sz w:val="30"/>
          <w14:textFill>
            <w14:solidFill>
              <w14:schemeClr w14:val="tx1"/>
            </w14:solidFill>
          </w14:textFill>
        </w:rPr>
        <w:t>法定代表人或授权代表人：</w:t>
      </w:r>
      <w:r>
        <w:rPr>
          <w:rFonts w:ascii="宋体" w:hAnsi="宋体" w:cs="宋体"/>
          <w:b/>
          <w:color w:val="000000" w:themeColor="text1"/>
          <w:sz w:val="30"/>
          <w:u w:val="single"/>
          <w14:textFill>
            <w14:solidFill>
              <w14:schemeClr w14:val="tx1"/>
            </w14:solidFill>
          </w14:textFill>
        </w:rPr>
        <w:t xml:space="preserve">             </w:t>
      </w:r>
      <w:r>
        <w:rPr>
          <w:rFonts w:ascii="宋体" w:hAnsi="宋体" w:cs="宋体"/>
          <w:b/>
          <w:color w:val="000000" w:themeColor="text1"/>
          <w:sz w:val="30"/>
          <w14:textFill>
            <w14:solidFill>
              <w14:schemeClr w14:val="tx1"/>
            </w14:solidFill>
          </w14:textFill>
        </w:rPr>
        <w:t>（签名或签章）</w:t>
      </w:r>
      <w:bookmarkEnd w:id="54"/>
      <w:bookmarkEnd w:id="55"/>
      <w:bookmarkEnd w:id="56"/>
    </w:p>
    <w:p>
      <w:pPr>
        <w:pStyle w:val="79"/>
        <w:spacing w:line="360" w:lineRule="auto"/>
        <w:outlineLvl w:val="0"/>
        <w:rPr>
          <w:rFonts w:hint="default" w:ascii="宋体" w:hAnsi="宋体" w:cs="宋体"/>
          <w:b/>
          <w:color w:val="000000" w:themeColor="text1"/>
          <w:sz w:val="30"/>
          <w14:textFill>
            <w14:solidFill>
              <w14:schemeClr w14:val="tx1"/>
            </w14:solidFill>
          </w14:textFill>
        </w:rPr>
        <w:sectPr>
          <w:pgSz w:w="11850" w:h="16783"/>
          <w:pgMar w:top="1440" w:right="1800" w:bottom="1440" w:left="1800" w:header="851" w:footer="1417" w:gutter="0"/>
          <w:cols w:space="720" w:num="1"/>
          <w:docGrid w:type="lines" w:linePitch="312" w:charSpace="0"/>
        </w:sectPr>
      </w:pPr>
      <w:bookmarkStart w:id="57" w:name="_Toc19518"/>
      <w:bookmarkStart w:id="58" w:name="_Toc19691"/>
      <w:bookmarkStart w:id="59" w:name="_Toc21430"/>
      <w:r>
        <w:rPr>
          <w:rFonts w:ascii="宋体" w:hAnsi="宋体" w:cs="宋体"/>
          <w:b/>
          <w:color w:val="000000" w:themeColor="text1"/>
          <w:sz w:val="30"/>
          <w14:textFill>
            <w14:solidFill>
              <w14:schemeClr w14:val="tx1"/>
            </w14:solidFill>
          </w14:textFill>
        </w:rPr>
        <w:t>日期：二○二二年</w:t>
      </w:r>
      <w:r>
        <w:rPr>
          <w:rFonts w:ascii="宋体" w:hAnsi="宋体" w:cs="宋体"/>
          <w:b/>
          <w:color w:val="000000" w:themeColor="text1"/>
          <w:sz w:val="30"/>
          <w:u w:val="single"/>
          <w14:textFill>
            <w14:solidFill>
              <w14:schemeClr w14:val="tx1"/>
            </w14:solidFill>
          </w14:textFill>
        </w:rPr>
        <w:t xml:space="preserve">     </w:t>
      </w:r>
      <w:r>
        <w:rPr>
          <w:rFonts w:ascii="宋体" w:hAnsi="宋体" w:cs="宋体"/>
          <w:b/>
          <w:color w:val="000000" w:themeColor="text1"/>
          <w:sz w:val="30"/>
          <w14:textFill>
            <w14:solidFill>
              <w14:schemeClr w14:val="tx1"/>
            </w14:solidFill>
          </w14:textFill>
        </w:rPr>
        <w:t>月</w:t>
      </w:r>
      <w:r>
        <w:rPr>
          <w:rFonts w:ascii="宋体" w:hAnsi="宋体" w:cs="宋体"/>
          <w:b/>
          <w:color w:val="000000" w:themeColor="text1"/>
          <w:sz w:val="30"/>
          <w:u w:val="single"/>
          <w14:textFill>
            <w14:solidFill>
              <w14:schemeClr w14:val="tx1"/>
            </w14:solidFill>
          </w14:textFill>
        </w:rPr>
        <w:t xml:space="preserve">     </w:t>
      </w:r>
      <w:r>
        <w:rPr>
          <w:rFonts w:ascii="宋体" w:hAnsi="宋体" w:cs="宋体"/>
          <w:b/>
          <w:color w:val="000000" w:themeColor="text1"/>
          <w:sz w:val="30"/>
          <w14:textFill>
            <w14:solidFill>
              <w14:schemeClr w14:val="tx1"/>
            </w14:solidFill>
          </w14:textFill>
        </w:rPr>
        <w:t>日</w:t>
      </w:r>
      <w:bookmarkEnd w:id="57"/>
      <w:bookmarkEnd w:id="58"/>
      <w:bookmarkEnd w:id="59"/>
    </w:p>
    <w:p>
      <w:pPr>
        <w:pStyle w:val="79"/>
        <w:spacing w:line="360" w:lineRule="auto"/>
        <w:jc w:val="center"/>
        <w:outlineLvl w:val="0"/>
        <w:rPr>
          <w:rFonts w:hint="default" w:ascii="宋体" w:hAnsi="宋体" w:cs="宋体"/>
          <w:b/>
          <w:color w:val="000000" w:themeColor="text1"/>
          <w:sz w:val="30"/>
          <w14:textFill>
            <w14:solidFill>
              <w14:schemeClr w14:val="tx1"/>
            </w14:solidFill>
          </w14:textFill>
        </w:rPr>
      </w:pPr>
    </w:p>
    <w:p>
      <w:pPr>
        <w:pStyle w:val="79"/>
        <w:spacing w:line="360" w:lineRule="auto"/>
        <w:jc w:val="center"/>
        <w:outlineLvl w:val="0"/>
        <w:rPr>
          <w:rFonts w:hint="default" w:ascii="宋体" w:hAnsi="宋体" w:cs="宋体"/>
          <w:b/>
          <w:color w:val="000000" w:themeColor="text1"/>
          <w:sz w:val="30"/>
          <w14:textFill>
            <w14:solidFill>
              <w14:schemeClr w14:val="tx1"/>
            </w14:solidFill>
          </w14:textFill>
        </w:rPr>
      </w:pPr>
      <w:r>
        <w:rPr>
          <w:rFonts w:ascii="宋体" w:hAnsi="宋体" w:cs="宋体"/>
          <w:b/>
          <w:color w:val="000000" w:themeColor="text1"/>
          <w:sz w:val="30"/>
          <w14:textFill>
            <w14:solidFill>
              <w14:schemeClr w14:val="tx1"/>
            </w14:solidFill>
          </w14:textFill>
        </w:rPr>
        <w:t>目 录</w:t>
      </w:r>
    </w:p>
    <w:p>
      <w:pPr>
        <w:pStyle w:val="79"/>
        <w:spacing w:line="360" w:lineRule="auto"/>
        <w:jc w:val="center"/>
        <w:outlineLvl w:val="0"/>
        <w:rPr>
          <w:rFonts w:hint="default" w:ascii="宋体" w:hAnsi="宋体" w:cs="宋体"/>
          <w:b/>
          <w:color w:val="000000" w:themeColor="text1"/>
          <w:sz w:val="30"/>
          <w14:textFill>
            <w14:solidFill>
              <w14:schemeClr w14:val="tx1"/>
            </w14:solidFill>
          </w14:textFill>
        </w:rPr>
      </w:pPr>
      <w:r>
        <w:rPr>
          <w:rFonts w:ascii="宋体" w:hAnsi="宋体" w:cs="宋体"/>
          <w:b/>
          <w:bCs/>
          <w:snapToGrid w:val="0"/>
          <w:color w:val="000000" w:themeColor="text1"/>
          <w14:textFill>
            <w14:solidFill>
              <w14:schemeClr w14:val="tx1"/>
            </w14:solidFill>
          </w14:textFill>
        </w:rPr>
        <w:t>（格式自拟）</w:t>
      </w:r>
    </w:p>
    <w:p>
      <w:pPr>
        <w:pStyle w:val="79"/>
        <w:spacing w:line="360" w:lineRule="auto"/>
        <w:jc w:val="both"/>
        <w:outlineLvl w:val="0"/>
        <w:rPr>
          <w:rFonts w:hint="default" w:ascii="宋体" w:hAnsi="宋体" w:cs="宋体"/>
          <w:b/>
          <w:color w:val="000000" w:themeColor="text1"/>
          <w:szCs w:val="24"/>
          <w14:textFill>
            <w14:solidFill>
              <w14:schemeClr w14:val="tx1"/>
            </w14:solidFill>
          </w14:textFill>
        </w:rPr>
      </w:pPr>
    </w:p>
    <w:p>
      <w:pPr>
        <w:pStyle w:val="79"/>
        <w:spacing w:line="360" w:lineRule="auto"/>
        <w:jc w:val="both"/>
        <w:outlineLvl w:val="0"/>
        <w:rPr>
          <w:rFonts w:hint="default" w:ascii="宋体" w:hAnsi="宋体" w:cs="宋体"/>
          <w:b/>
          <w:color w:val="000000" w:themeColor="text1"/>
          <w:szCs w:val="24"/>
          <w14:textFill>
            <w14:solidFill>
              <w14:schemeClr w14:val="tx1"/>
            </w14:solidFill>
          </w14:textFill>
        </w:rPr>
      </w:pPr>
      <w:r>
        <w:rPr>
          <w:rFonts w:ascii="宋体" w:hAnsi="宋体" w:cs="宋体"/>
          <w:b/>
          <w:color w:val="000000" w:themeColor="text1"/>
          <w:szCs w:val="24"/>
          <w14:textFill>
            <w14:solidFill>
              <w14:schemeClr w14:val="tx1"/>
            </w14:solidFill>
          </w14:textFill>
        </w:rPr>
        <w:t>注：按照本磋商文件</w:t>
      </w:r>
      <w:r>
        <w:rPr>
          <w:rFonts w:ascii="宋体" w:hAnsi="宋体" w:cs="宋体"/>
          <w:b/>
          <w:bCs/>
          <w:snapToGrid w:val="0"/>
          <w:color w:val="000000" w:themeColor="text1"/>
          <w14:textFill>
            <w14:solidFill>
              <w14:schemeClr w14:val="tx1"/>
            </w14:solidFill>
          </w14:textFill>
        </w:rPr>
        <w:t>8.2条款规定的内容、顺序进行编排。</w:t>
      </w:r>
    </w:p>
    <w:p>
      <w:pPr>
        <w:pStyle w:val="79"/>
        <w:spacing w:line="360" w:lineRule="auto"/>
        <w:outlineLvl w:val="0"/>
        <w:rPr>
          <w:rFonts w:hint="default" w:ascii="宋体" w:hAnsi="宋体" w:cs="宋体"/>
          <w:b/>
          <w:color w:val="000000" w:themeColor="text1"/>
          <w:sz w:val="30"/>
          <w14:textFill>
            <w14:solidFill>
              <w14:schemeClr w14:val="tx1"/>
            </w14:solidFill>
          </w14:textFill>
        </w:rPr>
        <w:sectPr>
          <w:pgSz w:w="11850" w:h="16783"/>
          <w:pgMar w:top="1440" w:right="1800" w:bottom="1440" w:left="1800" w:header="851" w:footer="1417" w:gutter="0"/>
          <w:cols w:space="720" w:num="1"/>
          <w:docGrid w:type="lines" w:linePitch="312" w:charSpace="0"/>
        </w:sectPr>
      </w:pPr>
    </w:p>
    <w:p>
      <w:pPr>
        <w:overflowPunct w:val="0"/>
        <w:topLinePunct/>
        <w:autoSpaceDN w:val="0"/>
        <w:adjustRightInd w:val="0"/>
        <w:snapToGrid w:val="0"/>
        <w:ind w:firstLine="480"/>
        <w:jc w:val="center"/>
        <w:rPr>
          <w:rFonts w:ascii="宋体" w:hAnsi="宋体" w:cs="宋体"/>
          <w:snapToGrid w:val="0"/>
          <w:color w:val="000000" w:themeColor="text1"/>
          <w:kern w:val="0"/>
          <w14:textFill>
            <w14:solidFill>
              <w14:schemeClr w14:val="tx1"/>
            </w14:solidFill>
          </w14:textFill>
        </w:rPr>
      </w:pPr>
    </w:p>
    <w:p>
      <w:pPr>
        <w:overflowPunct w:val="0"/>
        <w:topLinePunct/>
        <w:autoSpaceDN w:val="0"/>
        <w:adjustRightInd w:val="0"/>
        <w:snapToGrid w:val="0"/>
        <w:ind w:firstLine="480"/>
        <w:jc w:val="center"/>
        <w:rPr>
          <w:rFonts w:ascii="宋体" w:hAnsi="宋体" w:cs="宋体"/>
          <w:snapToGrid w:val="0"/>
          <w:color w:val="000000" w:themeColor="text1"/>
          <w:kern w:val="0"/>
          <w14:textFill>
            <w14:solidFill>
              <w14:schemeClr w14:val="tx1"/>
            </w14:solidFill>
          </w14:textFill>
        </w:rPr>
      </w:pPr>
    </w:p>
    <w:p>
      <w:pPr>
        <w:overflowPunct w:val="0"/>
        <w:topLinePunct/>
        <w:autoSpaceDN w:val="0"/>
        <w:adjustRightInd w:val="0"/>
        <w:snapToGrid w:val="0"/>
        <w:ind w:firstLine="480"/>
        <w:jc w:val="center"/>
        <w:rPr>
          <w:rFonts w:ascii="宋体" w:hAnsi="宋体" w:cs="宋体"/>
          <w:snapToGrid w:val="0"/>
          <w:color w:val="000000" w:themeColor="text1"/>
          <w:kern w:val="0"/>
          <w14:textFill>
            <w14:solidFill>
              <w14:schemeClr w14:val="tx1"/>
            </w14:solidFill>
          </w14:textFill>
        </w:rPr>
      </w:pPr>
    </w:p>
    <w:p>
      <w:pPr>
        <w:overflowPunct w:val="0"/>
        <w:topLinePunct/>
        <w:autoSpaceDN w:val="0"/>
        <w:adjustRightInd w:val="0"/>
        <w:snapToGrid w:val="0"/>
        <w:ind w:firstLine="480"/>
        <w:jc w:val="center"/>
        <w:rPr>
          <w:rFonts w:ascii="宋体" w:hAnsi="宋体" w:cs="宋体"/>
          <w:snapToGrid w:val="0"/>
          <w:color w:val="000000" w:themeColor="text1"/>
          <w:kern w:val="0"/>
          <w14:textFill>
            <w14:solidFill>
              <w14:schemeClr w14:val="tx1"/>
            </w14:solidFill>
          </w14:textFill>
        </w:rPr>
      </w:pPr>
    </w:p>
    <w:p>
      <w:pPr>
        <w:pStyle w:val="17"/>
        <w:ind w:firstLine="480"/>
        <w:rPr>
          <w:color w:val="000000" w:themeColor="text1"/>
          <w14:textFill>
            <w14:solidFill>
              <w14:schemeClr w14:val="tx1"/>
            </w14:solidFill>
          </w14:textFill>
        </w:rPr>
      </w:pPr>
    </w:p>
    <w:p>
      <w:pPr>
        <w:overflowPunct w:val="0"/>
        <w:topLinePunct/>
        <w:autoSpaceDN w:val="0"/>
        <w:adjustRightInd w:val="0"/>
        <w:snapToGrid w:val="0"/>
        <w:ind w:firstLine="480"/>
        <w:jc w:val="center"/>
        <w:rPr>
          <w:rFonts w:ascii="宋体" w:hAnsi="宋体" w:cs="宋体"/>
          <w:snapToGrid w:val="0"/>
          <w:color w:val="000000" w:themeColor="text1"/>
          <w:kern w:val="0"/>
          <w14:textFill>
            <w14:solidFill>
              <w14:schemeClr w14:val="tx1"/>
            </w14:solidFill>
          </w14:textFill>
        </w:rPr>
      </w:pPr>
    </w:p>
    <w:p>
      <w:pPr>
        <w:overflowPunct w:val="0"/>
        <w:topLinePunct/>
        <w:autoSpaceDN w:val="0"/>
        <w:adjustRightInd w:val="0"/>
        <w:snapToGrid w:val="0"/>
        <w:ind w:firstLine="480"/>
        <w:jc w:val="center"/>
        <w:rPr>
          <w:rFonts w:ascii="宋体" w:hAnsi="宋体" w:cs="宋体"/>
          <w:snapToGrid w:val="0"/>
          <w:color w:val="000000" w:themeColor="text1"/>
          <w:kern w:val="0"/>
          <w14:textFill>
            <w14:solidFill>
              <w14:schemeClr w14:val="tx1"/>
            </w14:solidFill>
          </w14:textFill>
        </w:rPr>
      </w:pPr>
    </w:p>
    <w:p>
      <w:pPr>
        <w:ind w:firstLine="0" w:firstLineChars="0"/>
        <w:jc w:val="center"/>
        <w:rPr>
          <w:b/>
          <w:bCs/>
          <w:color w:val="000000" w:themeColor="text1"/>
          <w:sz w:val="72"/>
          <w:szCs w:val="72"/>
          <w14:textFill>
            <w14:solidFill>
              <w14:schemeClr w14:val="tx1"/>
            </w14:solidFill>
          </w14:textFill>
        </w:rPr>
      </w:pPr>
      <w:bookmarkStart w:id="60" w:name="_Toc17954"/>
      <w:bookmarkStart w:id="61" w:name="_Toc18291"/>
      <w:r>
        <w:rPr>
          <w:rFonts w:hint="eastAsia"/>
          <w:b/>
          <w:bCs/>
          <w:color w:val="000000" w:themeColor="text1"/>
          <w:sz w:val="72"/>
          <w:szCs w:val="72"/>
          <w14:textFill>
            <w14:solidFill>
              <w14:schemeClr w14:val="tx1"/>
            </w14:solidFill>
          </w14:textFill>
        </w:rPr>
        <w:t>商</w:t>
      </w:r>
      <w:bookmarkEnd w:id="60"/>
      <w:bookmarkEnd w:id="61"/>
    </w:p>
    <w:p>
      <w:pPr>
        <w:ind w:firstLine="0" w:firstLineChars="0"/>
        <w:jc w:val="center"/>
        <w:rPr>
          <w:b/>
          <w:bCs/>
          <w:color w:val="000000" w:themeColor="text1"/>
          <w:sz w:val="72"/>
          <w:szCs w:val="72"/>
          <w14:textFill>
            <w14:solidFill>
              <w14:schemeClr w14:val="tx1"/>
            </w14:solidFill>
          </w14:textFill>
        </w:rPr>
      </w:pPr>
      <w:bookmarkStart w:id="62" w:name="_Toc16639"/>
      <w:bookmarkStart w:id="63" w:name="_Toc16538"/>
      <w:r>
        <w:rPr>
          <w:rFonts w:hint="eastAsia"/>
          <w:b/>
          <w:bCs/>
          <w:color w:val="000000" w:themeColor="text1"/>
          <w:sz w:val="72"/>
          <w:szCs w:val="72"/>
          <w14:textFill>
            <w14:solidFill>
              <w14:schemeClr w14:val="tx1"/>
            </w14:solidFill>
          </w14:textFill>
        </w:rPr>
        <w:t>务</w:t>
      </w:r>
      <w:bookmarkEnd w:id="62"/>
      <w:bookmarkEnd w:id="63"/>
    </w:p>
    <w:p>
      <w:pPr>
        <w:ind w:firstLine="0" w:firstLineChars="0"/>
        <w:jc w:val="center"/>
        <w:rPr>
          <w:b/>
          <w:bCs/>
          <w:color w:val="000000" w:themeColor="text1"/>
          <w:sz w:val="72"/>
          <w:szCs w:val="72"/>
          <w14:textFill>
            <w14:solidFill>
              <w14:schemeClr w14:val="tx1"/>
            </w14:solidFill>
          </w14:textFill>
        </w:rPr>
      </w:pPr>
      <w:bookmarkStart w:id="64" w:name="_Toc7821"/>
      <w:bookmarkStart w:id="65" w:name="_Toc5"/>
      <w:r>
        <w:rPr>
          <w:rFonts w:hint="eastAsia"/>
          <w:b/>
          <w:bCs/>
          <w:color w:val="000000" w:themeColor="text1"/>
          <w:sz w:val="72"/>
          <w:szCs w:val="72"/>
          <w14:textFill>
            <w14:solidFill>
              <w14:schemeClr w14:val="tx1"/>
            </w14:solidFill>
          </w14:textFill>
        </w:rPr>
        <w:t>部</w:t>
      </w:r>
      <w:bookmarkEnd w:id="64"/>
      <w:bookmarkEnd w:id="65"/>
    </w:p>
    <w:p>
      <w:pPr>
        <w:ind w:firstLine="0" w:firstLineChars="0"/>
        <w:jc w:val="center"/>
        <w:rPr>
          <w:rFonts w:ascii="宋体" w:hAnsi="宋体" w:cs="宋体"/>
          <w:snapToGrid w:val="0"/>
          <w:color w:val="000000" w:themeColor="text1"/>
          <w:kern w:val="0"/>
          <w14:textFill>
            <w14:solidFill>
              <w14:schemeClr w14:val="tx1"/>
            </w14:solidFill>
          </w14:textFill>
        </w:rPr>
      </w:pPr>
      <w:bookmarkStart w:id="66" w:name="_Toc548"/>
      <w:bookmarkStart w:id="67" w:name="_Toc23954"/>
      <w:r>
        <w:rPr>
          <w:rFonts w:hint="eastAsia"/>
          <w:b/>
          <w:bCs/>
          <w:color w:val="000000" w:themeColor="text1"/>
          <w:sz w:val="72"/>
          <w:szCs w:val="72"/>
          <w14:textFill>
            <w14:solidFill>
              <w14:schemeClr w14:val="tx1"/>
            </w14:solidFill>
          </w14:textFill>
        </w:rPr>
        <w:t>分</w:t>
      </w:r>
      <w:r>
        <w:rPr>
          <w:rFonts w:hint="eastAsia" w:ascii="宋体" w:hAnsi="宋体" w:cs="宋体"/>
          <w:snapToGrid w:val="0"/>
          <w:color w:val="000000" w:themeColor="text1"/>
          <w:kern w:val="0"/>
          <w14:textFill>
            <w14:solidFill>
              <w14:schemeClr w14:val="tx1"/>
            </w14:solidFill>
          </w14:textFill>
        </w:rPr>
        <w:br w:type="page"/>
      </w:r>
      <w:bookmarkEnd w:id="66"/>
      <w:bookmarkEnd w:id="67"/>
    </w:p>
    <w:p>
      <w:pPr>
        <w:pStyle w:val="4"/>
        <w:ind w:firstLine="0" w:firstLineChars="0"/>
        <w:jc w:val="center"/>
        <w:rPr>
          <w:rFonts w:cs="宋体"/>
          <w:snapToGrid w:val="0"/>
          <w:color w:val="000000" w:themeColor="text1"/>
          <w:kern w:val="0"/>
          <w:sz w:val="28"/>
          <w:szCs w:val="28"/>
          <w:u w:val="single"/>
          <w14:textFill>
            <w14:solidFill>
              <w14:schemeClr w14:val="tx1"/>
            </w14:solidFill>
          </w14:textFill>
        </w:rPr>
      </w:pPr>
      <w:r>
        <w:rPr>
          <w:rFonts w:hint="eastAsia"/>
          <w:color w:val="000000" w:themeColor="text1"/>
          <w:sz w:val="28"/>
          <w:szCs w:val="28"/>
          <w14:textFill>
            <w14:solidFill>
              <w14:schemeClr w14:val="tx1"/>
            </w14:solidFill>
          </w14:textFill>
        </w:rPr>
        <w:t>磋商函（格式）</w:t>
      </w:r>
    </w:p>
    <w:p>
      <w:pPr>
        <w:tabs>
          <w:tab w:val="left" w:pos="4860"/>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人名称）</w:t>
      </w:r>
      <w:r>
        <w:rPr>
          <w:rFonts w:hint="eastAsia" w:ascii="宋体" w:hAnsi="宋体" w:cs="宋体"/>
          <w:snapToGrid w:val="0"/>
          <w:color w:val="000000" w:themeColor="text1"/>
          <w:kern w:val="0"/>
          <w14:textFill>
            <w14:solidFill>
              <w14:schemeClr w14:val="tx1"/>
            </w14:solidFill>
          </w14:textFill>
        </w:rPr>
        <w:t>：</w:t>
      </w: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u w:val="single"/>
          <w14:textFill>
            <w14:solidFill>
              <w14:schemeClr w14:val="tx1"/>
            </w14:solidFill>
          </w14:textFill>
        </w:rPr>
        <w:t xml:space="preserve">                              </w:t>
      </w:r>
      <w:r>
        <w:rPr>
          <w:rFonts w:hint="eastAsia" w:ascii="宋体" w:hAnsi="宋体" w:cs="宋体"/>
          <w:snapToGrid w:val="0"/>
          <w:color w:val="000000" w:themeColor="text1"/>
          <w:kern w:val="0"/>
          <w14:textFill>
            <w14:solidFill>
              <w14:schemeClr w14:val="tx1"/>
            </w14:solidFill>
          </w14:textFill>
        </w:rPr>
        <w:t>(供应商全称)授权</w:t>
      </w:r>
      <w:r>
        <w:rPr>
          <w:rFonts w:hint="eastAsia" w:ascii="宋体" w:hAnsi="宋体" w:cs="宋体"/>
          <w:snapToGrid w:val="0"/>
          <w:color w:val="000000" w:themeColor="text1"/>
          <w:kern w:val="0"/>
          <w:u w:val="single"/>
          <w14:textFill>
            <w14:solidFill>
              <w14:schemeClr w14:val="tx1"/>
            </w14:solidFill>
          </w14:textFill>
        </w:rPr>
        <w:t xml:space="preserve">          </w:t>
      </w:r>
      <w:r>
        <w:rPr>
          <w:rFonts w:hint="eastAsia" w:ascii="宋体" w:hAnsi="宋体" w:cs="宋体"/>
          <w:snapToGrid w:val="0"/>
          <w:color w:val="000000" w:themeColor="text1"/>
          <w:kern w:val="0"/>
          <w14:textFill>
            <w14:solidFill>
              <w14:schemeClr w14:val="tx1"/>
            </w14:solidFill>
          </w14:textFill>
        </w:rPr>
        <w:t>(供应商代表姓名)</w:t>
      </w:r>
      <w:r>
        <w:rPr>
          <w:rFonts w:hint="eastAsia" w:ascii="宋体" w:hAnsi="宋体" w:cs="宋体"/>
          <w:snapToGrid w:val="0"/>
          <w:color w:val="000000" w:themeColor="text1"/>
          <w:kern w:val="0"/>
          <w:u w:val="single"/>
          <w14:textFill>
            <w14:solidFill>
              <w14:schemeClr w14:val="tx1"/>
            </w14:solidFill>
          </w14:textFill>
        </w:rPr>
        <w:t xml:space="preserve">            </w:t>
      </w:r>
      <w:r>
        <w:rPr>
          <w:rFonts w:hint="eastAsia" w:ascii="宋体" w:hAnsi="宋体" w:cs="宋体"/>
          <w:snapToGrid w:val="0"/>
          <w:color w:val="000000" w:themeColor="text1"/>
          <w:kern w:val="0"/>
          <w14:textFill>
            <w14:solidFill>
              <w14:schemeClr w14:val="tx1"/>
            </w14:solidFill>
          </w14:textFill>
        </w:rPr>
        <w:t>(职务、职称)为我方代表，参加贵方组织的</w:t>
      </w:r>
      <w:r>
        <w:rPr>
          <w:rFonts w:hint="eastAsia" w:ascii="宋体" w:hAnsi="宋体" w:cs="宋体"/>
          <w:snapToGrid w:val="0"/>
          <w:color w:val="000000" w:themeColor="text1"/>
          <w:kern w:val="0"/>
          <w:u w:val="single"/>
          <w14:textFill>
            <w14:solidFill>
              <w14:schemeClr w14:val="tx1"/>
            </w14:solidFill>
          </w14:textFill>
        </w:rPr>
        <w:t xml:space="preserve">                    </w:t>
      </w:r>
      <w:r>
        <w:rPr>
          <w:rFonts w:hint="eastAsia" w:ascii="宋体" w:hAnsi="宋体" w:cs="宋体"/>
          <w:snapToGrid w:val="0"/>
          <w:color w:val="000000" w:themeColor="text1"/>
          <w:kern w:val="0"/>
          <w14:textFill>
            <w14:solidFill>
              <w14:schemeClr w14:val="tx1"/>
            </w14:solidFill>
          </w14:textFill>
        </w:rPr>
        <w:t>(项目名称、项目编号)竞争性磋商采购的有关活动，并对此项目进行磋商。为此：</w:t>
      </w: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1、我方同意在本项目磋商文件中规定的磋商开启日起的有效期内遵守本响应文件中的承诺且在此期限期满之前均具有约束力。</w:t>
      </w: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2、我方承诺已经具备《中华人民共和国政府采购法》《中华人民共和国政府采购法实施条例》中规定的参加政府采购活动的供应商应当具备的全部条件。</w:t>
      </w: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3、提供供应商须知规定的全部响应文件。</w:t>
      </w: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4、按磋商文件要求提供和交付的服务的磋商报价详见开标一览表。</w:t>
      </w: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5、我方承诺：完全理解磋商报价超过预算金额时，磋商将被拒绝。</w:t>
      </w:r>
    </w:p>
    <w:p>
      <w:pPr>
        <w:kinsoku w:val="0"/>
        <w:overflowPunct w:val="0"/>
        <w:topLinePunct/>
        <w:autoSpaceDE w:val="0"/>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6、保证忠实地执行双方所签订的合同，并承担合同规定的责任和义务。</w:t>
      </w:r>
    </w:p>
    <w:p>
      <w:pPr>
        <w:kinsoku w:val="0"/>
        <w:overflowPunct w:val="0"/>
        <w:topLinePunct/>
        <w:autoSpaceDE w:val="0"/>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7、承诺完全满足和磋商响应磋商文件中的各项服务要求，若有偏差，已在响应文件服务条款偏离表中予以明确特别说明。</w:t>
      </w:r>
    </w:p>
    <w:p>
      <w:pPr>
        <w:kinsoku w:val="0"/>
        <w:overflowPunct w:val="0"/>
        <w:topLinePunct/>
        <w:autoSpaceDE w:val="0"/>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8、保证遵守磋商文件的规定。</w:t>
      </w:r>
    </w:p>
    <w:p>
      <w:pPr>
        <w:kinsoku w:val="0"/>
        <w:overflowPunct w:val="0"/>
        <w:topLinePunct/>
        <w:autoSpaceDE w:val="0"/>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9、如果在磋商开启后规定的投标有效期内撤回投标，我方的磋商保证金可被贵方没收。</w:t>
      </w:r>
    </w:p>
    <w:p>
      <w:pPr>
        <w:kinsoku w:val="0"/>
        <w:overflowPunct w:val="0"/>
        <w:topLinePunct/>
        <w:autoSpaceDE w:val="0"/>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10、我方完全理解贵方不一定接受最低价的投标或收到的任何投标。</w:t>
      </w:r>
    </w:p>
    <w:p>
      <w:pPr>
        <w:kinsoku w:val="0"/>
        <w:overflowPunct w:val="0"/>
        <w:topLinePunct/>
        <w:autoSpaceDE w:val="0"/>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11、我方愿意向贵方提供任何与本项投标有关的数据、情况和技术资料。若贵方需要，我方愿意提供我方做出的一切承诺的证明材料。</w:t>
      </w:r>
    </w:p>
    <w:p>
      <w:pPr>
        <w:kinsoku w:val="0"/>
        <w:overflowPunct w:val="0"/>
        <w:topLinePunct/>
        <w:autoSpaceDE w:val="0"/>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12、我方已详细审核全部响应文件，包括响应文件修改书（如有的话）、参考资料及有关附件，确认无误。</w:t>
      </w: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13、我方承诺：采购人若需追加采购本项目磋商文件所列相关服务的，在不改变合同其他实质性条款的前提下，按相同或更优惠的折扣率保证服务。</w:t>
      </w: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14、我方承诺接受磋商文件中《合同条款》的全部条款且无任何异议。</w:t>
      </w: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15、我方将严格遵守《中华人民共和国政府采购法》《中华人民共和国政府采购法实施条例》的有关规定，若有下列情形之一的，将被处以采购金额5‰以上10%以下的罚款，列入不良行为记录名单，在一至三年内禁止参加政府采购活动；有违法所得的，并处没收违法所得；情节严重的，由相关行政管理机关吊销营业执照或事业单位法人证书；构成犯罪的，依法追究刑事责任：</w:t>
      </w: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（1）提供虚假材料谋取成交、成交的；</w:t>
      </w: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（2）采取不正当手段诋毁、排挤其他供应商的；</w:t>
      </w: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（3）与采购人、其它供应商或者采购代理机构工作人员恶意串通的；</w:t>
      </w: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（4）向采购人、采购代理机构工作人员行贿或者提供其他不正当利益的；</w:t>
      </w: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（5）未经采购代理机构同意，在采购过程中与采购人进行协商磋商的；</w:t>
      </w: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（6）拒绝有关部门监督检查或提供虚假情况的。</w:t>
      </w: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所有有关本磋商的一切往来联系方式为：</w:t>
      </w:r>
    </w:p>
    <w:p>
      <w:pPr>
        <w:overflowPunct w:val="0"/>
        <w:topLinePunct/>
        <w:autoSpaceDN w:val="0"/>
        <w:adjustRightInd w:val="0"/>
        <w:snapToGrid w:val="0"/>
        <w:ind w:firstLine="480"/>
        <w:rPr>
          <w:rFonts w:ascii="宋体" w:hAnsi="宋体" w:cs="宋体"/>
          <w:snapToGrid w:val="0"/>
          <w:color w:val="000000" w:themeColor="text1"/>
          <w:kern w:val="0"/>
          <w:u w:val="single"/>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地址：</w:t>
      </w:r>
      <w:r>
        <w:rPr>
          <w:rFonts w:hint="eastAsia" w:ascii="宋体" w:hAnsi="宋体" w:cs="宋体"/>
          <w:snapToGrid w:val="0"/>
          <w:color w:val="000000" w:themeColor="text1"/>
          <w:kern w:val="0"/>
          <w:u w:val="single"/>
          <w14:textFill>
            <w14:solidFill>
              <w14:schemeClr w14:val="tx1"/>
            </w14:solidFill>
          </w14:textFill>
        </w:rPr>
        <w:tab/>
      </w:r>
      <w:r>
        <w:rPr>
          <w:rFonts w:hint="eastAsia" w:ascii="宋体" w:hAnsi="宋体" w:cs="宋体"/>
          <w:snapToGrid w:val="0"/>
          <w:color w:val="000000" w:themeColor="text1"/>
          <w:kern w:val="0"/>
          <w:u w:val="single"/>
          <w14:textFill>
            <w14:solidFill>
              <w14:schemeClr w14:val="tx1"/>
            </w14:solidFill>
          </w14:textFill>
        </w:rPr>
        <w:t xml:space="preserve">                      </w:t>
      </w:r>
      <w:r>
        <w:rPr>
          <w:rFonts w:hint="eastAsia" w:ascii="宋体" w:hAnsi="宋体" w:cs="宋体"/>
          <w:snapToGrid w:val="0"/>
          <w:color w:val="000000" w:themeColor="text1"/>
          <w:kern w:val="0"/>
          <w14:textFill>
            <w14:solidFill>
              <w14:schemeClr w14:val="tx1"/>
            </w14:solidFill>
          </w14:textFill>
        </w:rPr>
        <w:t xml:space="preserve">      邮编：</w:t>
      </w:r>
      <w:r>
        <w:rPr>
          <w:rFonts w:hint="eastAsia" w:ascii="宋体" w:hAnsi="宋体" w:cs="宋体"/>
          <w:snapToGrid w:val="0"/>
          <w:color w:val="000000" w:themeColor="text1"/>
          <w:kern w:val="0"/>
          <w:u w:val="single"/>
          <w14:textFill>
            <w14:solidFill>
              <w14:schemeClr w14:val="tx1"/>
            </w14:solidFill>
          </w14:textFill>
        </w:rPr>
        <w:t xml:space="preserve">                      </w:t>
      </w:r>
    </w:p>
    <w:p>
      <w:pPr>
        <w:overflowPunct w:val="0"/>
        <w:topLinePunct/>
        <w:autoSpaceDN w:val="0"/>
        <w:adjustRightInd w:val="0"/>
        <w:snapToGrid w:val="0"/>
        <w:ind w:firstLine="480"/>
        <w:rPr>
          <w:rFonts w:ascii="宋体" w:hAnsi="宋体" w:cs="宋体"/>
          <w:snapToGrid w:val="0"/>
          <w:color w:val="000000" w:themeColor="text1"/>
          <w:kern w:val="0"/>
          <w:u w:val="single"/>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电话：</w:t>
      </w:r>
      <w:r>
        <w:rPr>
          <w:rFonts w:hint="eastAsia" w:ascii="宋体" w:hAnsi="宋体" w:cs="宋体"/>
          <w:snapToGrid w:val="0"/>
          <w:color w:val="000000" w:themeColor="text1"/>
          <w:kern w:val="0"/>
          <w:u w:val="single"/>
          <w14:textFill>
            <w14:solidFill>
              <w14:schemeClr w14:val="tx1"/>
            </w14:solidFill>
          </w14:textFill>
        </w:rPr>
        <w:tab/>
      </w:r>
      <w:r>
        <w:rPr>
          <w:rFonts w:hint="eastAsia" w:ascii="宋体" w:hAnsi="宋体" w:cs="宋体"/>
          <w:snapToGrid w:val="0"/>
          <w:color w:val="000000" w:themeColor="text1"/>
          <w:kern w:val="0"/>
          <w:u w:val="single"/>
          <w14:textFill>
            <w14:solidFill>
              <w14:schemeClr w14:val="tx1"/>
            </w14:solidFill>
          </w14:textFill>
        </w:rPr>
        <w:t xml:space="preserve">                      </w:t>
      </w:r>
      <w:r>
        <w:rPr>
          <w:rFonts w:hint="eastAsia" w:ascii="宋体" w:hAnsi="宋体" w:cs="宋体"/>
          <w:snapToGrid w:val="0"/>
          <w:color w:val="000000" w:themeColor="text1"/>
          <w:kern w:val="0"/>
          <w14:textFill>
            <w14:solidFill>
              <w14:schemeClr w14:val="tx1"/>
            </w14:solidFill>
          </w14:textFill>
        </w:rPr>
        <w:t xml:space="preserve">      传真：</w:t>
      </w:r>
      <w:r>
        <w:rPr>
          <w:rFonts w:hint="eastAsia" w:ascii="宋体" w:hAnsi="宋体" w:cs="宋体"/>
          <w:snapToGrid w:val="0"/>
          <w:color w:val="000000" w:themeColor="text1"/>
          <w:kern w:val="0"/>
          <w:u w:val="single"/>
          <w14:textFill>
            <w14:solidFill>
              <w14:schemeClr w14:val="tx1"/>
            </w14:solidFill>
          </w14:textFill>
        </w:rPr>
        <w:t xml:space="preserve">                      </w:t>
      </w:r>
    </w:p>
    <w:p>
      <w:pPr>
        <w:tabs>
          <w:tab w:val="left" w:pos="480"/>
        </w:tabs>
        <w:overflowPunct w:val="0"/>
        <w:topLinePunct/>
        <w:autoSpaceDN w:val="0"/>
        <w:adjustRightInd w:val="0"/>
        <w:snapToGrid w:val="0"/>
        <w:ind w:firstLine="480"/>
        <w:rPr>
          <w:rFonts w:ascii="宋体" w:hAnsi="宋体" w:cs="宋体"/>
          <w:snapToGrid w:val="0"/>
          <w:color w:val="000000" w:themeColor="text1"/>
          <w:kern w:val="0"/>
          <w:u w:val="single"/>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供应商代表姓名：</w:t>
      </w:r>
      <w:r>
        <w:rPr>
          <w:rFonts w:hint="eastAsia" w:ascii="宋体" w:hAnsi="宋体" w:cs="宋体"/>
          <w:snapToGrid w:val="0"/>
          <w:color w:val="000000" w:themeColor="text1"/>
          <w:kern w:val="0"/>
          <w:u w:val="single"/>
          <w14:textFill>
            <w14:solidFill>
              <w14:schemeClr w14:val="tx1"/>
            </w14:solidFill>
          </w14:textFill>
        </w:rPr>
        <w:t xml:space="preserve">            </w:t>
      </w:r>
    </w:p>
    <w:p>
      <w:pPr>
        <w:tabs>
          <w:tab w:val="left" w:pos="480"/>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供应商代表联系电话：</w:t>
      </w:r>
      <w:r>
        <w:rPr>
          <w:rFonts w:hint="eastAsia" w:ascii="宋体" w:hAnsi="宋体" w:cs="宋体"/>
          <w:snapToGrid w:val="0"/>
          <w:color w:val="000000" w:themeColor="text1"/>
          <w:kern w:val="0"/>
          <w:u w:val="single"/>
          <w14:textFill>
            <w14:solidFill>
              <w14:schemeClr w14:val="tx1"/>
            </w14:solidFill>
          </w14:textFill>
        </w:rPr>
        <w:t xml:space="preserve">              </w:t>
      </w:r>
      <w:r>
        <w:rPr>
          <w:rFonts w:hint="eastAsia" w:ascii="宋体" w:hAnsi="宋体" w:cs="宋体"/>
          <w:snapToGrid w:val="0"/>
          <w:color w:val="000000" w:themeColor="text1"/>
          <w:kern w:val="0"/>
          <w14:textFill>
            <w14:solidFill>
              <w14:schemeClr w14:val="tx1"/>
            </w14:solidFill>
          </w14:textFill>
        </w:rPr>
        <w:t xml:space="preserve"> （办公）</w:t>
      </w:r>
      <w:r>
        <w:rPr>
          <w:rFonts w:hint="eastAsia" w:ascii="宋体" w:hAnsi="宋体" w:cs="宋体"/>
          <w:snapToGrid w:val="0"/>
          <w:color w:val="000000" w:themeColor="text1"/>
          <w:kern w:val="0"/>
          <w:u w:val="single"/>
          <w14:textFill>
            <w14:solidFill>
              <w14:schemeClr w14:val="tx1"/>
            </w14:solidFill>
          </w14:textFill>
        </w:rPr>
        <w:t xml:space="preserve">             </w:t>
      </w:r>
      <w:r>
        <w:rPr>
          <w:rFonts w:hint="eastAsia" w:ascii="宋体" w:hAnsi="宋体" w:cs="宋体"/>
          <w:snapToGrid w:val="0"/>
          <w:color w:val="000000" w:themeColor="text1"/>
          <w:kern w:val="0"/>
          <w14:textFill>
            <w14:solidFill>
              <w14:schemeClr w14:val="tx1"/>
            </w14:solidFill>
          </w14:textFill>
        </w:rPr>
        <w:t>（移动）</w:t>
      </w:r>
    </w:p>
    <w:p>
      <w:pPr>
        <w:tabs>
          <w:tab w:val="left" w:pos="480"/>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E-mail：</w:t>
      </w:r>
      <w:r>
        <w:rPr>
          <w:rFonts w:hint="eastAsia" w:ascii="宋体" w:hAnsi="宋体" w:cs="宋体"/>
          <w:snapToGrid w:val="0"/>
          <w:color w:val="000000" w:themeColor="text1"/>
          <w:kern w:val="0"/>
          <w:u w:val="single"/>
          <w14:textFill>
            <w14:solidFill>
              <w14:schemeClr w14:val="tx1"/>
            </w14:solidFill>
          </w14:textFill>
        </w:rPr>
        <w:t xml:space="preserve">                    </w:t>
      </w:r>
    </w:p>
    <w:p>
      <w:pPr>
        <w:tabs>
          <w:tab w:val="left" w:pos="4000"/>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ab/>
      </w:r>
    </w:p>
    <w:p>
      <w:pPr>
        <w:tabs>
          <w:tab w:val="left" w:pos="4000"/>
        </w:tabs>
        <w:overflowPunct w:val="0"/>
        <w:topLinePunct/>
        <w:autoSpaceDN w:val="0"/>
        <w:adjustRightInd w:val="0"/>
        <w:snapToGrid w:val="0"/>
        <w:ind w:firstLine="4080" w:firstLineChars="1700"/>
        <w:rPr>
          <w:rFonts w:ascii="宋体" w:hAnsi="宋体" w:cs="宋体"/>
          <w:snapToGrid w:val="0"/>
          <w:color w:val="000000" w:themeColor="text1"/>
          <w:kern w:val="0"/>
          <w:u w:val="single"/>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供应商(</w:t>
      </w:r>
      <w:r>
        <w:rPr>
          <w:rFonts w:hint="eastAsia" w:ascii="宋体" w:hAnsi="宋体" w:cs="宋体"/>
          <w:color w:val="000000" w:themeColor="text1"/>
          <w14:textFill>
            <w14:solidFill>
              <w14:schemeClr w14:val="tx1"/>
            </w14:solidFill>
          </w14:textFill>
        </w:rPr>
        <w:t>签章</w:t>
      </w:r>
      <w:r>
        <w:rPr>
          <w:rFonts w:hint="eastAsia" w:ascii="宋体" w:hAnsi="宋体" w:cs="宋体"/>
          <w:snapToGrid w:val="0"/>
          <w:color w:val="000000" w:themeColor="text1"/>
          <w:kern w:val="0"/>
          <w14:textFill>
            <w14:solidFill>
              <w14:schemeClr w14:val="tx1"/>
            </w14:solidFill>
          </w14:textFill>
        </w:rPr>
        <w:t>)：</w:t>
      </w:r>
      <w:r>
        <w:rPr>
          <w:rFonts w:hint="eastAsia" w:ascii="宋体" w:hAnsi="宋体" w:cs="宋体"/>
          <w:snapToGrid w:val="0"/>
          <w:color w:val="000000" w:themeColor="text1"/>
          <w:kern w:val="0"/>
          <w:u w:val="single"/>
          <w14:textFill>
            <w14:solidFill>
              <w14:schemeClr w14:val="tx1"/>
            </w14:solidFill>
          </w14:textFill>
        </w:rPr>
        <w:t xml:space="preserve">                          </w:t>
      </w:r>
    </w:p>
    <w:p>
      <w:pPr>
        <w:tabs>
          <w:tab w:val="left" w:pos="4000"/>
        </w:tabs>
        <w:overflowPunct w:val="0"/>
        <w:topLinePunct/>
        <w:autoSpaceDN w:val="0"/>
        <w:adjustRightInd w:val="0"/>
        <w:snapToGrid w:val="0"/>
        <w:ind w:firstLine="480"/>
        <w:rPr>
          <w:rFonts w:ascii="宋体" w:hAnsi="宋体" w:cs="宋体"/>
          <w:snapToGrid w:val="0"/>
          <w:color w:val="000000" w:themeColor="text1"/>
          <w:kern w:val="0"/>
          <w:u w:val="single"/>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ab/>
      </w:r>
      <w:r>
        <w:rPr>
          <w:rFonts w:hint="eastAsia" w:ascii="宋体" w:hAnsi="宋体" w:cs="宋体"/>
          <w:snapToGrid w:val="0"/>
          <w:color w:val="000000" w:themeColor="text1"/>
          <w:kern w:val="0"/>
          <w14:textFill>
            <w14:solidFill>
              <w14:schemeClr w14:val="tx1"/>
            </w14:solidFill>
          </w14:textFill>
        </w:rPr>
        <w:t>供应商代表(</w:t>
      </w:r>
      <w:r>
        <w:rPr>
          <w:rFonts w:hint="eastAsia" w:ascii="宋体" w:hAnsi="宋体" w:cs="宋体"/>
          <w:color w:val="000000" w:themeColor="text1"/>
          <w14:textFill>
            <w14:solidFill>
              <w14:schemeClr w14:val="tx1"/>
            </w14:solidFill>
          </w14:textFill>
        </w:rPr>
        <w:t>签字或签章</w:t>
      </w:r>
      <w:r>
        <w:rPr>
          <w:rFonts w:hint="eastAsia" w:ascii="宋体" w:hAnsi="宋体" w:cs="宋体"/>
          <w:snapToGrid w:val="0"/>
          <w:color w:val="000000" w:themeColor="text1"/>
          <w:kern w:val="0"/>
          <w14:textFill>
            <w14:solidFill>
              <w14:schemeClr w14:val="tx1"/>
            </w14:solidFill>
          </w14:textFill>
        </w:rPr>
        <w:t>)：</w:t>
      </w:r>
      <w:r>
        <w:rPr>
          <w:rFonts w:hint="eastAsia" w:ascii="宋体" w:hAnsi="宋体" w:cs="宋体"/>
          <w:snapToGrid w:val="0"/>
          <w:color w:val="000000" w:themeColor="text1"/>
          <w:kern w:val="0"/>
          <w:u w:val="single"/>
          <w14:textFill>
            <w14:solidFill>
              <w14:schemeClr w14:val="tx1"/>
            </w14:solidFill>
          </w14:textFill>
        </w:rPr>
        <w:t xml:space="preserve">                </w:t>
      </w:r>
    </w:p>
    <w:p>
      <w:pPr>
        <w:tabs>
          <w:tab w:val="left" w:pos="4000"/>
        </w:tabs>
        <w:overflowPunct w:val="0"/>
        <w:topLinePunct/>
        <w:autoSpaceDN w:val="0"/>
        <w:adjustRightInd w:val="0"/>
        <w:snapToGrid w:val="0"/>
        <w:ind w:firstLine="480"/>
        <w:rPr>
          <w:rFonts w:ascii="宋体" w:hAnsi="宋体" w:cs="宋体"/>
          <w:snapToGrid w:val="0"/>
          <w:color w:val="000000" w:themeColor="text1"/>
          <w:kern w:val="0"/>
          <w:u w:val="single"/>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ab/>
      </w:r>
      <w:r>
        <w:rPr>
          <w:rFonts w:hint="eastAsia" w:ascii="宋体" w:hAnsi="宋体" w:cs="宋体"/>
          <w:snapToGrid w:val="0"/>
          <w:color w:val="000000" w:themeColor="text1"/>
          <w:kern w:val="0"/>
          <w14:textFill>
            <w14:solidFill>
              <w14:schemeClr w14:val="tx1"/>
            </w14:solidFill>
          </w14:textFill>
        </w:rPr>
        <w:t>日　期：</w:t>
      </w:r>
      <w:r>
        <w:rPr>
          <w:rFonts w:hint="eastAsia" w:ascii="宋体" w:hAnsi="宋体" w:cs="宋体"/>
          <w:snapToGrid w:val="0"/>
          <w:color w:val="000000" w:themeColor="text1"/>
          <w:kern w:val="0"/>
          <w:u w:val="single"/>
          <w14:textFill>
            <w14:solidFill>
              <w14:schemeClr w14:val="tx1"/>
            </w14:solidFill>
          </w14:textFill>
        </w:rPr>
        <w:t xml:space="preserve">                                </w:t>
      </w: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br w:type="page"/>
      </w:r>
    </w:p>
    <w:p>
      <w:pPr>
        <w:pStyle w:val="4"/>
        <w:ind w:firstLine="0" w:firstLineChars="0"/>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法定代表人身份证明书（格式）</w:t>
      </w: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p>
    <w:p>
      <w:pPr>
        <w:overflowPunct w:val="0"/>
        <w:topLinePunct/>
        <w:autoSpaceDN w:val="0"/>
        <w:adjustRightInd w:val="0"/>
        <w:snapToGrid w:val="0"/>
        <w:ind w:firstLine="480"/>
        <w:rPr>
          <w:rFonts w:ascii="宋体" w:hAnsi="宋体" w:cs="宋体"/>
          <w:snapToGrid w:val="0"/>
          <w:color w:val="000000" w:themeColor="text1"/>
          <w:kern w:val="0"/>
          <w:u w:val="single"/>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单位名称：</w:t>
      </w:r>
      <w:r>
        <w:rPr>
          <w:rFonts w:hint="eastAsia" w:ascii="宋体" w:hAnsi="宋体" w:cs="宋体"/>
          <w:snapToGrid w:val="0"/>
          <w:color w:val="000000" w:themeColor="text1"/>
          <w:kern w:val="0"/>
          <w:u w:val="single"/>
          <w14:textFill>
            <w14:solidFill>
              <w14:schemeClr w14:val="tx1"/>
            </w14:solidFill>
          </w14:textFill>
        </w:rPr>
        <w:t xml:space="preserve">                                   </w:t>
      </w:r>
    </w:p>
    <w:p>
      <w:pPr>
        <w:overflowPunct w:val="0"/>
        <w:topLinePunct/>
        <w:autoSpaceDN w:val="0"/>
        <w:adjustRightInd w:val="0"/>
        <w:snapToGrid w:val="0"/>
        <w:ind w:firstLine="480"/>
        <w:rPr>
          <w:rFonts w:ascii="宋体" w:hAnsi="宋体" w:cs="宋体"/>
          <w:snapToGrid w:val="0"/>
          <w:color w:val="000000" w:themeColor="text1"/>
          <w:kern w:val="0"/>
          <w:u w:val="single"/>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单位性质：</w:t>
      </w:r>
      <w:r>
        <w:rPr>
          <w:rFonts w:hint="eastAsia" w:ascii="宋体" w:hAnsi="宋体" w:cs="宋体"/>
          <w:snapToGrid w:val="0"/>
          <w:color w:val="000000" w:themeColor="text1"/>
          <w:kern w:val="0"/>
          <w:u w:val="single"/>
          <w14:textFill>
            <w14:solidFill>
              <w14:schemeClr w14:val="tx1"/>
            </w14:solidFill>
          </w14:textFill>
        </w:rPr>
        <w:t xml:space="preserve">                                   </w:t>
      </w:r>
    </w:p>
    <w:p>
      <w:pPr>
        <w:overflowPunct w:val="0"/>
        <w:topLinePunct/>
        <w:autoSpaceDN w:val="0"/>
        <w:adjustRightInd w:val="0"/>
        <w:snapToGrid w:val="0"/>
        <w:ind w:firstLine="480"/>
        <w:rPr>
          <w:rFonts w:ascii="宋体" w:hAnsi="宋体" w:cs="宋体"/>
          <w:snapToGrid w:val="0"/>
          <w:color w:val="000000" w:themeColor="text1"/>
          <w:kern w:val="0"/>
          <w:u w:val="single"/>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地    址：</w:t>
      </w:r>
      <w:r>
        <w:rPr>
          <w:rFonts w:hint="eastAsia" w:ascii="宋体" w:hAnsi="宋体" w:cs="宋体"/>
          <w:snapToGrid w:val="0"/>
          <w:color w:val="000000" w:themeColor="text1"/>
          <w:kern w:val="0"/>
          <w:u w:val="single"/>
          <w14:textFill>
            <w14:solidFill>
              <w14:schemeClr w14:val="tx1"/>
            </w14:solidFill>
          </w14:textFill>
        </w:rPr>
        <w:t xml:space="preserve">                                   </w:t>
      </w: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成立时间：</w:t>
      </w:r>
      <w:r>
        <w:rPr>
          <w:rFonts w:hint="eastAsia" w:ascii="宋体" w:hAnsi="宋体" w:cs="宋体"/>
          <w:snapToGrid w:val="0"/>
          <w:color w:val="000000" w:themeColor="text1"/>
          <w:kern w:val="0"/>
          <w:u w:val="single"/>
          <w14:textFill>
            <w14:solidFill>
              <w14:schemeClr w14:val="tx1"/>
            </w14:solidFill>
          </w14:textFill>
        </w:rPr>
        <w:t xml:space="preserve">           </w:t>
      </w:r>
      <w:r>
        <w:rPr>
          <w:rFonts w:hint="eastAsia" w:ascii="宋体" w:hAnsi="宋体" w:cs="宋体"/>
          <w:snapToGrid w:val="0"/>
          <w:color w:val="000000" w:themeColor="text1"/>
          <w:kern w:val="0"/>
          <w14:textFill>
            <w14:solidFill>
              <w14:schemeClr w14:val="tx1"/>
            </w14:solidFill>
          </w14:textFill>
        </w:rPr>
        <w:t>年</w:t>
      </w:r>
      <w:r>
        <w:rPr>
          <w:rFonts w:hint="eastAsia" w:ascii="宋体" w:hAnsi="宋体" w:cs="宋体"/>
          <w:snapToGrid w:val="0"/>
          <w:color w:val="000000" w:themeColor="text1"/>
          <w:kern w:val="0"/>
          <w:u w:val="single"/>
          <w14:textFill>
            <w14:solidFill>
              <w14:schemeClr w14:val="tx1"/>
            </w14:solidFill>
          </w14:textFill>
        </w:rPr>
        <w:t xml:space="preserve">    </w:t>
      </w:r>
      <w:r>
        <w:rPr>
          <w:rFonts w:hint="eastAsia" w:ascii="宋体" w:hAnsi="宋体" w:cs="宋体"/>
          <w:snapToGrid w:val="0"/>
          <w:color w:val="000000" w:themeColor="text1"/>
          <w:kern w:val="0"/>
          <w14:textFill>
            <w14:solidFill>
              <w14:schemeClr w14:val="tx1"/>
            </w14:solidFill>
          </w14:textFill>
        </w:rPr>
        <w:t>月</w:t>
      </w:r>
      <w:r>
        <w:rPr>
          <w:rFonts w:hint="eastAsia" w:ascii="宋体" w:hAnsi="宋体" w:cs="宋体"/>
          <w:snapToGrid w:val="0"/>
          <w:color w:val="000000" w:themeColor="text1"/>
          <w:kern w:val="0"/>
          <w:u w:val="single"/>
          <w14:textFill>
            <w14:solidFill>
              <w14:schemeClr w14:val="tx1"/>
            </w14:solidFill>
          </w14:textFill>
        </w:rPr>
        <w:t xml:space="preserve">    </w:t>
      </w:r>
      <w:r>
        <w:rPr>
          <w:rFonts w:hint="eastAsia" w:ascii="宋体" w:hAnsi="宋体" w:cs="宋体"/>
          <w:snapToGrid w:val="0"/>
          <w:color w:val="000000" w:themeColor="text1"/>
          <w:kern w:val="0"/>
          <w14:textFill>
            <w14:solidFill>
              <w14:schemeClr w14:val="tx1"/>
            </w14:solidFill>
          </w14:textFill>
        </w:rPr>
        <w:t>日</w:t>
      </w:r>
    </w:p>
    <w:p>
      <w:pPr>
        <w:overflowPunct w:val="0"/>
        <w:topLinePunct/>
        <w:autoSpaceDN w:val="0"/>
        <w:adjustRightInd w:val="0"/>
        <w:snapToGrid w:val="0"/>
        <w:ind w:firstLine="480"/>
        <w:rPr>
          <w:rFonts w:ascii="宋体" w:hAnsi="宋体" w:cs="宋体"/>
          <w:snapToGrid w:val="0"/>
          <w:color w:val="000000" w:themeColor="text1"/>
          <w:kern w:val="0"/>
          <w:u w:val="single"/>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经营期限：</w:t>
      </w:r>
      <w:r>
        <w:rPr>
          <w:rFonts w:hint="eastAsia" w:ascii="宋体" w:hAnsi="宋体" w:cs="宋体"/>
          <w:snapToGrid w:val="0"/>
          <w:color w:val="000000" w:themeColor="text1"/>
          <w:kern w:val="0"/>
          <w:u w:val="single"/>
          <w14:textFill>
            <w14:solidFill>
              <w14:schemeClr w14:val="tx1"/>
            </w14:solidFill>
          </w14:textFill>
        </w:rPr>
        <w:t xml:space="preserve">                                   </w:t>
      </w: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姓    名：</w:t>
      </w:r>
      <w:r>
        <w:rPr>
          <w:rFonts w:hint="eastAsia" w:ascii="宋体" w:hAnsi="宋体" w:cs="宋体"/>
          <w:snapToGrid w:val="0"/>
          <w:color w:val="000000" w:themeColor="text1"/>
          <w:kern w:val="0"/>
          <w:u w:val="single"/>
          <w14:textFill>
            <w14:solidFill>
              <w14:schemeClr w14:val="tx1"/>
            </w14:solidFill>
          </w14:textFill>
        </w:rPr>
        <w:t xml:space="preserve">             </w:t>
      </w:r>
      <w:r>
        <w:rPr>
          <w:rFonts w:hint="eastAsia" w:ascii="宋体" w:hAnsi="宋体" w:cs="宋体"/>
          <w:snapToGrid w:val="0"/>
          <w:color w:val="000000" w:themeColor="text1"/>
          <w:kern w:val="0"/>
          <w14:textFill>
            <w14:solidFill>
              <w14:schemeClr w14:val="tx1"/>
            </w14:solidFill>
          </w14:textFill>
        </w:rPr>
        <w:t xml:space="preserve"> 性  别：</w:t>
      </w:r>
      <w:r>
        <w:rPr>
          <w:rFonts w:hint="eastAsia" w:ascii="宋体" w:hAnsi="宋体" w:cs="宋体"/>
          <w:snapToGrid w:val="0"/>
          <w:color w:val="000000" w:themeColor="text1"/>
          <w:kern w:val="0"/>
          <w:u w:val="single"/>
          <w14:textFill>
            <w14:solidFill>
              <w14:schemeClr w14:val="tx1"/>
            </w14:solidFill>
          </w14:textFill>
        </w:rPr>
        <w:t xml:space="preserve">         </w:t>
      </w: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年    龄：</w:t>
      </w:r>
      <w:r>
        <w:rPr>
          <w:rFonts w:hint="eastAsia" w:ascii="宋体" w:hAnsi="宋体" w:cs="宋体"/>
          <w:snapToGrid w:val="0"/>
          <w:color w:val="000000" w:themeColor="text1"/>
          <w:kern w:val="0"/>
          <w:u w:val="single"/>
          <w14:textFill>
            <w14:solidFill>
              <w14:schemeClr w14:val="tx1"/>
            </w14:solidFill>
          </w14:textFill>
        </w:rPr>
        <w:t xml:space="preserve">             </w:t>
      </w:r>
      <w:r>
        <w:rPr>
          <w:rFonts w:hint="eastAsia" w:ascii="宋体" w:hAnsi="宋体" w:cs="宋体"/>
          <w:snapToGrid w:val="0"/>
          <w:color w:val="000000" w:themeColor="text1"/>
          <w:kern w:val="0"/>
          <w14:textFill>
            <w14:solidFill>
              <w14:schemeClr w14:val="tx1"/>
            </w14:solidFill>
          </w14:textFill>
        </w:rPr>
        <w:t xml:space="preserve"> 职  务：</w:t>
      </w:r>
      <w:r>
        <w:rPr>
          <w:rFonts w:hint="eastAsia" w:ascii="宋体" w:hAnsi="宋体" w:cs="宋体"/>
          <w:snapToGrid w:val="0"/>
          <w:color w:val="000000" w:themeColor="text1"/>
          <w:kern w:val="0"/>
          <w:u w:val="single"/>
          <w14:textFill>
            <w14:solidFill>
              <w14:schemeClr w14:val="tx1"/>
            </w14:solidFill>
          </w14:textFill>
        </w:rPr>
        <w:t xml:space="preserve">         </w:t>
      </w: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系</w:t>
      </w:r>
      <w:r>
        <w:rPr>
          <w:rFonts w:hint="eastAsia" w:ascii="宋体" w:hAnsi="宋体" w:cs="宋体"/>
          <w:snapToGrid w:val="0"/>
          <w:color w:val="000000" w:themeColor="text1"/>
          <w:kern w:val="0"/>
          <w:u w:val="single"/>
          <w14:textFill>
            <w14:solidFill>
              <w14:schemeClr w14:val="tx1"/>
            </w14:solidFill>
          </w14:textFill>
        </w:rPr>
        <w:t xml:space="preserve">       （供应商名称）          </w:t>
      </w:r>
      <w:r>
        <w:rPr>
          <w:rFonts w:hint="eastAsia" w:ascii="宋体" w:hAnsi="宋体" w:cs="宋体"/>
          <w:snapToGrid w:val="0"/>
          <w:color w:val="000000" w:themeColor="text1"/>
          <w:kern w:val="0"/>
          <w14:textFill>
            <w14:solidFill>
              <w14:schemeClr w14:val="tx1"/>
            </w14:solidFill>
          </w14:textFill>
        </w:rPr>
        <w:t>的法定代表人。</w:t>
      </w: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特此证明。</w:t>
      </w:r>
    </w:p>
    <w:p>
      <w:pPr>
        <w:pStyle w:val="79"/>
        <w:keepNext/>
        <w:snapToGrid w:val="0"/>
        <w:spacing w:line="360" w:lineRule="auto"/>
        <w:ind w:firstLine="472" w:firstLineChars="196"/>
        <w:jc w:val="both"/>
        <w:rPr>
          <w:rFonts w:hint="default" w:ascii="宋体" w:hAnsi="宋体" w:cs="宋体"/>
          <w:b/>
          <w:snapToGrid w:val="0"/>
          <w:color w:val="000000" w:themeColor="text1"/>
          <w:szCs w:val="24"/>
          <w14:textFill>
            <w14:solidFill>
              <w14:schemeClr w14:val="tx1"/>
            </w14:solidFill>
          </w14:textFill>
        </w:rPr>
      </w:pPr>
      <w:r>
        <w:rPr>
          <w:rFonts w:ascii="宋体" w:hAnsi="宋体" w:cs="宋体"/>
          <w:b/>
          <w:snapToGrid w:val="0"/>
          <w:color w:val="000000" w:themeColor="text1"/>
          <w:szCs w:val="24"/>
          <w14:textFill>
            <w14:solidFill>
              <w14:schemeClr w14:val="tx1"/>
            </w14:solidFill>
          </w14:textFill>
        </w:rPr>
        <w:t>后附：法定代表人身份证</w:t>
      </w:r>
    </w:p>
    <w:p>
      <w:pPr>
        <w:overflowPunct w:val="0"/>
        <w:topLinePunct/>
        <w:autoSpaceDN w:val="0"/>
        <w:adjustRightInd w:val="0"/>
        <w:snapToGrid w:val="0"/>
        <w:ind w:firstLine="560"/>
        <w:rPr>
          <w:rFonts w:ascii="宋体" w:hAnsi="宋体" w:cs="宋体"/>
          <w:snapToGrid w:val="0"/>
          <w:color w:val="000000" w:themeColor="text1"/>
          <w:kern w:val="0"/>
          <w:sz w:val="28"/>
          <w:szCs w:val="28"/>
          <w14:textFill>
            <w14:solidFill>
              <w14:schemeClr w14:val="tx1"/>
            </w14:solidFill>
          </w14:textFill>
        </w:rPr>
      </w:pPr>
    </w:p>
    <w:p>
      <w:pPr>
        <w:overflowPunct w:val="0"/>
        <w:topLinePunct/>
        <w:autoSpaceDN w:val="0"/>
        <w:adjustRightInd w:val="0"/>
        <w:snapToGrid w:val="0"/>
        <w:ind w:firstLine="560"/>
        <w:rPr>
          <w:rFonts w:ascii="宋体" w:hAnsi="宋体" w:cs="宋体"/>
          <w:snapToGrid w:val="0"/>
          <w:color w:val="000000" w:themeColor="text1"/>
          <w:kern w:val="0"/>
          <w:sz w:val="28"/>
          <w:szCs w:val="28"/>
          <w14:textFill>
            <w14:solidFill>
              <w14:schemeClr w14:val="tx1"/>
            </w14:solidFill>
          </w14:textFill>
        </w:rPr>
      </w:pPr>
    </w:p>
    <w:p>
      <w:pPr>
        <w:overflowPunct w:val="0"/>
        <w:topLinePunct/>
        <w:autoSpaceDN w:val="0"/>
        <w:adjustRightInd w:val="0"/>
        <w:snapToGrid w:val="0"/>
        <w:ind w:firstLine="560"/>
        <w:rPr>
          <w:rFonts w:ascii="宋体" w:hAnsi="宋体" w:cs="宋体"/>
          <w:snapToGrid w:val="0"/>
          <w:color w:val="000000" w:themeColor="text1"/>
          <w:kern w:val="0"/>
          <w:sz w:val="28"/>
          <w:szCs w:val="28"/>
          <w14:textFill>
            <w14:solidFill>
              <w14:schemeClr w14:val="tx1"/>
            </w14:solidFill>
          </w14:textFill>
        </w:rPr>
      </w:pPr>
    </w:p>
    <w:p>
      <w:pPr>
        <w:overflowPunct w:val="0"/>
        <w:topLinePunct/>
        <w:autoSpaceDN w:val="0"/>
        <w:adjustRightInd w:val="0"/>
        <w:snapToGrid w:val="0"/>
        <w:ind w:firstLine="560"/>
        <w:rPr>
          <w:rFonts w:ascii="宋体" w:hAnsi="宋体" w:cs="宋体"/>
          <w:snapToGrid w:val="0"/>
          <w:color w:val="000000" w:themeColor="text1"/>
          <w:kern w:val="0"/>
          <w:sz w:val="28"/>
          <w:szCs w:val="28"/>
          <w14:textFill>
            <w14:solidFill>
              <w14:schemeClr w14:val="tx1"/>
            </w14:solidFill>
          </w14:textFill>
        </w:rPr>
      </w:pPr>
    </w:p>
    <w:p>
      <w:pPr>
        <w:tabs>
          <w:tab w:val="left" w:pos="4000"/>
        </w:tabs>
        <w:overflowPunct w:val="0"/>
        <w:topLinePunct/>
        <w:autoSpaceDN w:val="0"/>
        <w:adjustRightInd w:val="0"/>
        <w:snapToGrid w:val="0"/>
        <w:ind w:firstLine="3960" w:firstLineChars="1650"/>
        <w:rPr>
          <w:rFonts w:ascii="宋体" w:hAnsi="宋体" w:cs="宋体"/>
          <w:snapToGrid w:val="0"/>
          <w:color w:val="000000" w:themeColor="text1"/>
          <w:kern w:val="0"/>
          <w:u w:val="single"/>
          <w14:textFill>
            <w14:solidFill>
              <w14:schemeClr w14:val="tx1"/>
            </w14:solidFill>
          </w14:textFill>
        </w:rPr>
      </w:pPr>
      <w:bookmarkStart w:id="68" w:name="_Toc175644065"/>
      <w:bookmarkStart w:id="69" w:name="_Toc86202635"/>
      <w:r>
        <w:rPr>
          <w:rFonts w:hint="eastAsia" w:ascii="宋体" w:hAnsi="宋体" w:cs="宋体"/>
          <w:snapToGrid w:val="0"/>
          <w:color w:val="000000" w:themeColor="text1"/>
          <w:kern w:val="0"/>
          <w14:textFill>
            <w14:solidFill>
              <w14:schemeClr w14:val="tx1"/>
            </w14:solidFill>
          </w14:textFill>
        </w:rPr>
        <w:t>供应商(</w:t>
      </w:r>
      <w:r>
        <w:rPr>
          <w:rFonts w:hint="eastAsia" w:ascii="宋体" w:hAnsi="宋体" w:cs="宋体"/>
          <w:color w:val="000000" w:themeColor="text1"/>
          <w14:textFill>
            <w14:solidFill>
              <w14:schemeClr w14:val="tx1"/>
            </w14:solidFill>
          </w14:textFill>
        </w:rPr>
        <w:t>签章</w:t>
      </w:r>
      <w:r>
        <w:rPr>
          <w:rFonts w:hint="eastAsia" w:ascii="宋体" w:hAnsi="宋体" w:cs="宋体"/>
          <w:snapToGrid w:val="0"/>
          <w:color w:val="000000" w:themeColor="text1"/>
          <w:kern w:val="0"/>
          <w14:textFill>
            <w14:solidFill>
              <w14:schemeClr w14:val="tx1"/>
            </w14:solidFill>
          </w14:textFill>
        </w:rPr>
        <w:t>)：</w:t>
      </w:r>
      <w:r>
        <w:rPr>
          <w:rFonts w:hint="eastAsia" w:ascii="宋体" w:hAnsi="宋体" w:cs="宋体"/>
          <w:snapToGrid w:val="0"/>
          <w:color w:val="000000" w:themeColor="text1"/>
          <w:kern w:val="0"/>
          <w:u w:val="single"/>
          <w14:textFill>
            <w14:solidFill>
              <w14:schemeClr w14:val="tx1"/>
            </w14:solidFill>
          </w14:textFill>
        </w:rPr>
        <w:t xml:space="preserve">                          </w:t>
      </w:r>
    </w:p>
    <w:p>
      <w:pPr>
        <w:tabs>
          <w:tab w:val="left" w:pos="4000"/>
        </w:tabs>
        <w:overflowPunct w:val="0"/>
        <w:topLinePunct/>
        <w:autoSpaceDN w:val="0"/>
        <w:adjustRightInd w:val="0"/>
        <w:snapToGrid w:val="0"/>
        <w:ind w:firstLine="480"/>
        <w:rPr>
          <w:rFonts w:ascii="宋体" w:hAnsi="宋体" w:cs="宋体"/>
          <w:snapToGrid w:val="0"/>
          <w:color w:val="000000" w:themeColor="text1"/>
          <w:kern w:val="0"/>
          <w:u w:val="single"/>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ab/>
      </w:r>
      <w:r>
        <w:rPr>
          <w:rFonts w:hint="eastAsia" w:ascii="宋体" w:hAnsi="宋体" w:cs="宋体"/>
          <w:snapToGrid w:val="0"/>
          <w:color w:val="000000" w:themeColor="text1"/>
          <w:kern w:val="0"/>
          <w14:textFill>
            <w14:solidFill>
              <w14:schemeClr w14:val="tx1"/>
            </w14:solidFill>
          </w14:textFill>
        </w:rPr>
        <w:t>法定代表人(</w:t>
      </w:r>
      <w:r>
        <w:rPr>
          <w:rFonts w:hint="eastAsia" w:ascii="宋体" w:hAnsi="宋体" w:cs="宋体"/>
          <w:color w:val="000000" w:themeColor="text1"/>
          <w14:textFill>
            <w14:solidFill>
              <w14:schemeClr w14:val="tx1"/>
            </w14:solidFill>
          </w14:textFill>
        </w:rPr>
        <w:t>签字或签章</w:t>
      </w:r>
      <w:r>
        <w:rPr>
          <w:rFonts w:hint="eastAsia" w:ascii="宋体" w:hAnsi="宋体" w:cs="宋体"/>
          <w:snapToGrid w:val="0"/>
          <w:color w:val="000000" w:themeColor="text1"/>
          <w:kern w:val="0"/>
          <w14:textFill>
            <w14:solidFill>
              <w14:schemeClr w14:val="tx1"/>
            </w14:solidFill>
          </w14:textFill>
        </w:rPr>
        <w:t>)：</w:t>
      </w:r>
      <w:r>
        <w:rPr>
          <w:rFonts w:hint="eastAsia" w:ascii="宋体" w:hAnsi="宋体" w:cs="宋体"/>
          <w:snapToGrid w:val="0"/>
          <w:color w:val="000000" w:themeColor="text1"/>
          <w:kern w:val="0"/>
          <w:u w:val="single"/>
          <w14:textFill>
            <w14:solidFill>
              <w14:schemeClr w14:val="tx1"/>
            </w14:solidFill>
          </w14:textFill>
        </w:rPr>
        <w:t xml:space="preserve">                </w:t>
      </w:r>
    </w:p>
    <w:p>
      <w:pPr>
        <w:tabs>
          <w:tab w:val="left" w:pos="4000"/>
        </w:tabs>
        <w:overflowPunct w:val="0"/>
        <w:topLinePunct/>
        <w:autoSpaceDN w:val="0"/>
        <w:adjustRightInd w:val="0"/>
        <w:snapToGrid w:val="0"/>
        <w:ind w:firstLine="480"/>
        <w:rPr>
          <w:rFonts w:ascii="宋体" w:hAnsi="宋体" w:cs="宋体"/>
          <w:snapToGrid w:val="0"/>
          <w:color w:val="000000" w:themeColor="text1"/>
          <w:kern w:val="0"/>
          <w:u w:val="single"/>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ab/>
      </w:r>
      <w:r>
        <w:rPr>
          <w:rFonts w:hint="eastAsia" w:ascii="宋体" w:hAnsi="宋体" w:cs="宋体"/>
          <w:snapToGrid w:val="0"/>
          <w:color w:val="000000" w:themeColor="text1"/>
          <w:kern w:val="0"/>
          <w14:textFill>
            <w14:solidFill>
              <w14:schemeClr w14:val="tx1"/>
            </w14:solidFill>
          </w14:textFill>
        </w:rPr>
        <w:t>日  期：</w:t>
      </w:r>
      <w:r>
        <w:rPr>
          <w:rFonts w:hint="eastAsia" w:ascii="宋体" w:hAnsi="宋体" w:cs="宋体"/>
          <w:snapToGrid w:val="0"/>
          <w:color w:val="000000" w:themeColor="text1"/>
          <w:kern w:val="0"/>
          <w:u w:val="single"/>
          <w14:textFill>
            <w14:solidFill>
              <w14:schemeClr w14:val="tx1"/>
            </w14:solidFill>
          </w14:textFill>
        </w:rPr>
        <w:t xml:space="preserve">                                </w:t>
      </w: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br w:type="page"/>
      </w:r>
    </w:p>
    <w:p>
      <w:pPr>
        <w:pStyle w:val="4"/>
        <w:ind w:firstLine="0" w:firstLineChars="0"/>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法定代表人授权委托书（格式）</w:t>
      </w: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p>
    <w:p>
      <w:pPr>
        <w:tabs>
          <w:tab w:val="left" w:pos="4860"/>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采购</w:t>
      </w:r>
      <w:r>
        <w:rPr>
          <w:rFonts w:ascii="宋体" w:hAnsi="宋体"/>
          <w:color w:val="000000" w:themeColor="text1"/>
          <w14:textFill>
            <w14:solidFill>
              <w14:schemeClr w14:val="tx1"/>
            </w14:solidFill>
          </w14:textFill>
        </w:rPr>
        <w:t>人名称）</w:t>
      </w:r>
      <w:r>
        <w:rPr>
          <w:rFonts w:hint="eastAsia" w:ascii="宋体" w:hAnsi="宋体" w:cs="宋体"/>
          <w:snapToGrid w:val="0"/>
          <w:color w:val="000000" w:themeColor="text1"/>
          <w:kern w:val="0"/>
          <w14:textFill>
            <w14:solidFill>
              <w14:schemeClr w14:val="tx1"/>
            </w14:solidFill>
          </w14:textFill>
        </w:rPr>
        <w:t>：</w:t>
      </w: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本授权书声明：注册于</w:t>
      </w:r>
      <w:r>
        <w:rPr>
          <w:rFonts w:hint="eastAsia" w:ascii="宋体" w:hAnsi="宋体" w:cs="宋体"/>
          <w:snapToGrid w:val="0"/>
          <w:color w:val="000000" w:themeColor="text1"/>
          <w:kern w:val="0"/>
          <w:u w:val="single"/>
          <w14:textFill>
            <w14:solidFill>
              <w14:schemeClr w14:val="tx1"/>
            </w14:solidFill>
          </w14:textFill>
        </w:rPr>
        <w:t xml:space="preserve">             </w:t>
      </w:r>
      <w:r>
        <w:rPr>
          <w:rFonts w:hint="eastAsia" w:ascii="宋体" w:hAnsi="宋体" w:cs="宋体"/>
          <w:snapToGrid w:val="0"/>
          <w:color w:val="000000" w:themeColor="text1"/>
          <w:kern w:val="0"/>
          <w14:textFill>
            <w14:solidFill>
              <w14:schemeClr w14:val="tx1"/>
            </w14:solidFill>
          </w14:textFill>
        </w:rPr>
        <w:t>（供应商住址）的</w:t>
      </w:r>
      <w:r>
        <w:rPr>
          <w:rFonts w:hint="eastAsia" w:ascii="宋体" w:hAnsi="宋体" w:cs="宋体"/>
          <w:snapToGrid w:val="0"/>
          <w:color w:val="000000" w:themeColor="text1"/>
          <w:kern w:val="0"/>
          <w:u w:val="single"/>
          <w14:textFill>
            <w14:solidFill>
              <w14:schemeClr w14:val="tx1"/>
            </w14:solidFill>
          </w14:textFill>
        </w:rPr>
        <w:t xml:space="preserve">               </w:t>
      </w:r>
      <w:r>
        <w:rPr>
          <w:rFonts w:hint="eastAsia" w:ascii="宋体" w:hAnsi="宋体" w:cs="宋体"/>
          <w:snapToGrid w:val="0"/>
          <w:color w:val="000000" w:themeColor="text1"/>
          <w:kern w:val="0"/>
          <w14:textFill>
            <w14:solidFill>
              <w14:schemeClr w14:val="tx1"/>
            </w14:solidFill>
          </w14:textFill>
        </w:rPr>
        <w:t>（供应商名称）法定代表人</w:t>
      </w:r>
      <w:r>
        <w:rPr>
          <w:rFonts w:hint="eastAsia" w:ascii="宋体" w:hAnsi="宋体" w:cs="宋体"/>
          <w:snapToGrid w:val="0"/>
          <w:color w:val="000000" w:themeColor="text1"/>
          <w:kern w:val="0"/>
          <w:u w:val="single"/>
          <w14:textFill>
            <w14:solidFill>
              <w14:schemeClr w14:val="tx1"/>
            </w14:solidFill>
          </w14:textFill>
        </w:rPr>
        <w:t xml:space="preserve">            </w:t>
      </w:r>
      <w:r>
        <w:rPr>
          <w:rFonts w:hint="eastAsia" w:ascii="宋体" w:hAnsi="宋体" w:cs="宋体"/>
          <w:snapToGrid w:val="0"/>
          <w:color w:val="000000" w:themeColor="text1"/>
          <w:kern w:val="0"/>
          <w14:textFill>
            <w14:solidFill>
              <w14:schemeClr w14:val="tx1"/>
            </w14:solidFill>
          </w14:textFill>
        </w:rPr>
        <w:t>（法定代表人姓名、职务）代表本公司（单位）授权在下面签字的</w:t>
      </w:r>
      <w:r>
        <w:rPr>
          <w:rFonts w:hint="eastAsia" w:ascii="宋体" w:hAnsi="宋体" w:cs="宋体"/>
          <w:snapToGrid w:val="0"/>
          <w:color w:val="000000" w:themeColor="text1"/>
          <w:kern w:val="0"/>
          <w:u w:val="single"/>
          <w14:textFill>
            <w14:solidFill>
              <w14:schemeClr w14:val="tx1"/>
            </w14:solidFill>
          </w14:textFill>
        </w:rPr>
        <w:t xml:space="preserve">                 </w:t>
      </w:r>
      <w:r>
        <w:rPr>
          <w:rFonts w:hint="eastAsia" w:ascii="宋体" w:hAnsi="宋体" w:cs="宋体"/>
          <w:snapToGrid w:val="0"/>
          <w:color w:val="000000" w:themeColor="text1"/>
          <w:kern w:val="0"/>
          <w14:textFill>
            <w14:solidFill>
              <w14:schemeClr w14:val="tx1"/>
            </w14:solidFill>
          </w14:textFill>
        </w:rPr>
        <w:t>（供应商代表姓名、职务）为本公司（单位）的合法代理人，就贵方组织的</w:t>
      </w:r>
      <w:r>
        <w:rPr>
          <w:rFonts w:hint="eastAsia" w:ascii="宋体" w:hAnsi="宋体" w:cs="宋体"/>
          <w:snapToGrid w:val="0"/>
          <w:color w:val="000000" w:themeColor="text1"/>
          <w:kern w:val="0"/>
          <w:u w:val="single"/>
          <w14:textFill>
            <w14:solidFill>
              <w14:schemeClr w14:val="tx1"/>
            </w14:solidFill>
          </w14:textFill>
        </w:rPr>
        <w:t xml:space="preserve">                 </w:t>
      </w:r>
      <w:r>
        <w:rPr>
          <w:rFonts w:hint="eastAsia" w:ascii="宋体" w:hAnsi="宋体" w:cs="宋体"/>
          <w:snapToGrid w:val="0"/>
          <w:color w:val="000000" w:themeColor="text1"/>
          <w:kern w:val="0"/>
          <w14:textFill>
            <w14:solidFill>
              <w14:schemeClr w14:val="tx1"/>
            </w14:solidFill>
          </w14:textFill>
        </w:rPr>
        <w:t xml:space="preserve"> 项目，项目编号：</w:t>
      </w:r>
      <w:r>
        <w:rPr>
          <w:rFonts w:hint="eastAsia" w:ascii="宋体" w:hAnsi="宋体" w:cs="宋体"/>
          <w:snapToGrid w:val="0"/>
          <w:color w:val="000000" w:themeColor="text1"/>
          <w:kern w:val="0"/>
          <w:u w:val="single"/>
          <w14:textFill>
            <w14:solidFill>
              <w14:schemeClr w14:val="tx1"/>
            </w14:solidFill>
          </w14:textFill>
        </w:rPr>
        <w:t xml:space="preserve">       </w:t>
      </w:r>
      <w:r>
        <w:rPr>
          <w:rFonts w:hint="eastAsia" w:ascii="宋体" w:hAnsi="宋体" w:cs="宋体"/>
          <w:snapToGrid w:val="0"/>
          <w:color w:val="000000" w:themeColor="text1"/>
          <w:kern w:val="0"/>
          <w14:textFill>
            <w14:solidFill>
              <w14:schemeClr w14:val="tx1"/>
            </w14:solidFill>
          </w14:textFill>
        </w:rPr>
        <w:t>，以本公司（单位）名义处理一切与之有关的事务。</w:t>
      </w: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本授权书于</w:t>
      </w:r>
      <w:r>
        <w:rPr>
          <w:rFonts w:hint="eastAsia" w:ascii="宋体" w:hAnsi="宋体" w:cs="宋体"/>
          <w:snapToGrid w:val="0"/>
          <w:color w:val="000000" w:themeColor="text1"/>
          <w:kern w:val="0"/>
          <w:u w:val="single"/>
          <w14:textFill>
            <w14:solidFill>
              <w14:schemeClr w14:val="tx1"/>
            </w14:solidFill>
          </w14:textFill>
        </w:rPr>
        <w:t xml:space="preserve">    </w:t>
      </w:r>
      <w:r>
        <w:rPr>
          <w:rFonts w:hint="eastAsia" w:ascii="宋体" w:hAnsi="宋体" w:cs="宋体"/>
          <w:snapToGrid w:val="0"/>
          <w:color w:val="000000" w:themeColor="text1"/>
          <w:kern w:val="0"/>
          <w14:textFill>
            <w14:solidFill>
              <w14:schemeClr w14:val="tx1"/>
            </w14:solidFill>
          </w14:textFill>
        </w:rPr>
        <w:t>年</w:t>
      </w:r>
      <w:r>
        <w:rPr>
          <w:rFonts w:hint="eastAsia" w:ascii="宋体" w:hAnsi="宋体" w:cs="宋体"/>
          <w:snapToGrid w:val="0"/>
          <w:color w:val="000000" w:themeColor="text1"/>
          <w:kern w:val="0"/>
          <w:u w:val="single"/>
          <w14:textFill>
            <w14:solidFill>
              <w14:schemeClr w14:val="tx1"/>
            </w14:solidFill>
          </w14:textFill>
        </w:rPr>
        <w:t xml:space="preserve">  </w:t>
      </w:r>
      <w:r>
        <w:rPr>
          <w:rFonts w:hint="eastAsia" w:ascii="宋体" w:hAnsi="宋体" w:cs="宋体"/>
          <w:snapToGrid w:val="0"/>
          <w:color w:val="000000" w:themeColor="text1"/>
          <w:kern w:val="0"/>
          <w14:textFill>
            <w14:solidFill>
              <w14:schemeClr w14:val="tx1"/>
            </w14:solidFill>
          </w14:textFill>
        </w:rPr>
        <w:t>月</w:t>
      </w:r>
      <w:r>
        <w:rPr>
          <w:rFonts w:hint="eastAsia" w:ascii="宋体" w:hAnsi="宋体" w:cs="宋体"/>
          <w:snapToGrid w:val="0"/>
          <w:color w:val="000000" w:themeColor="text1"/>
          <w:kern w:val="0"/>
          <w:u w:val="single"/>
          <w14:textFill>
            <w14:solidFill>
              <w14:schemeClr w14:val="tx1"/>
            </w14:solidFill>
          </w14:textFill>
        </w:rPr>
        <w:t xml:space="preserve">  </w:t>
      </w:r>
      <w:r>
        <w:rPr>
          <w:rFonts w:hint="eastAsia" w:ascii="宋体" w:hAnsi="宋体" w:cs="宋体"/>
          <w:snapToGrid w:val="0"/>
          <w:color w:val="000000" w:themeColor="text1"/>
          <w:kern w:val="0"/>
          <w14:textFill>
            <w14:solidFill>
              <w14:schemeClr w14:val="tx1"/>
            </w14:solidFill>
          </w14:textFill>
        </w:rPr>
        <w:t>日签字或盖章生效，特此声明。</w:t>
      </w: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p>
    <w:p>
      <w:pPr>
        <w:pStyle w:val="79"/>
        <w:keepNext/>
        <w:snapToGrid w:val="0"/>
        <w:spacing w:line="360" w:lineRule="auto"/>
        <w:ind w:firstLine="477" w:firstLineChars="198"/>
        <w:jc w:val="both"/>
        <w:rPr>
          <w:rFonts w:hint="default" w:ascii="宋体" w:hAnsi="宋体" w:cs="宋体"/>
          <w:b/>
          <w:color w:val="000000" w:themeColor="text1"/>
          <w:szCs w:val="24"/>
          <w14:textFill>
            <w14:solidFill>
              <w14:schemeClr w14:val="tx1"/>
            </w14:solidFill>
          </w14:textFill>
        </w:rPr>
      </w:pPr>
      <w:r>
        <w:rPr>
          <w:rFonts w:ascii="宋体" w:hAnsi="宋体" w:cs="宋体"/>
          <w:b/>
          <w:color w:val="000000" w:themeColor="text1"/>
          <w:szCs w:val="24"/>
          <w14:textFill>
            <w14:solidFill>
              <w14:schemeClr w14:val="tx1"/>
            </w14:solidFill>
          </w14:textFill>
        </w:rPr>
        <w:t>后附：授权代理人身份证</w:t>
      </w: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p>
    <w:p>
      <w:pPr>
        <w:pStyle w:val="18"/>
        <w:rPr>
          <w:color w:val="000000" w:themeColor="text1"/>
          <w14:textFill>
            <w14:solidFill>
              <w14:schemeClr w14:val="tx1"/>
            </w14:solidFill>
          </w14:textFill>
        </w:rPr>
      </w:pP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法定代表人（</w:t>
      </w:r>
      <w:r>
        <w:rPr>
          <w:rFonts w:hint="eastAsia" w:ascii="宋体" w:hAnsi="宋体" w:cs="宋体"/>
          <w:color w:val="000000" w:themeColor="text1"/>
          <w14:textFill>
            <w14:solidFill>
              <w14:schemeClr w14:val="tx1"/>
            </w14:solidFill>
          </w14:textFill>
        </w:rPr>
        <w:t>签字或签章）</w:t>
      </w:r>
      <w:r>
        <w:rPr>
          <w:rFonts w:hint="eastAsia" w:ascii="宋体" w:hAnsi="宋体" w:cs="宋体"/>
          <w:snapToGrid w:val="0"/>
          <w:color w:val="000000" w:themeColor="text1"/>
          <w:kern w:val="0"/>
          <w14:textFill>
            <w14:solidFill>
              <w14:schemeClr w14:val="tx1"/>
            </w14:solidFill>
          </w14:textFill>
        </w:rPr>
        <w:t>：</w:t>
      </w:r>
      <w:r>
        <w:rPr>
          <w:rFonts w:hint="eastAsia" w:ascii="宋体" w:hAnsi="宋体" w:cs="宋体"/>
          <w:snapToGrid w:val="0"/>
          <w:color w:val="000000" w:themeColor="text1"/>
          <w:kern w:val="0"/>
          <w:u w:val="single"/>
          <w14:textFill>
            <w14:solidFill>
              <w14:schemeClr w14:val="tx1"/>
            </w14:solidFill>
          </w14:textFill>
        </w:rPr>
        <w:t xml:space="preserve">             </w:t>
      </w:r>
      <w:r>
        <w:rPr>
          <w:rFonts w:hint="eastAsia" w:ascii="宋体" w:hAnsi="宋体" w:cs="宋体"/>
          <w:snapToGrid w:val="0"/>
          <w:color w:val="000000" w:themeColor="text1"/>
          <w:kern w:val="0"/>
          <w14:textFill>
            <w14:solidFill>
              <w14:schemeClr w14:val="tx1"/>
            </w14:solidFill>
          </w14:textFill>
        </w:rPr>
        <w:t xml:space="preserve">   </w:t>
      </w:r>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pPr>
      <w:r>
        <w:rPr>
          <w:rFonts w:hint="eastAsia" w:ascii="宋体" w:hAnsi="宋体" w:cs="宋体"/>
          <w:snapToGrid w:val="0"/>
          <w:color w:val="000000" w:themeColor="text1"/>
          <w:kern w:val="0"/>
          <w14:textFill>
            <w14:solidFill>
              <w14:schemeClr w14:val="tx1"/>
            </w14:solidFill>
          </w14:textFill>
        </w:rPr>
        <w:t>供应商代表（</w:t>
      </w:r>
      <w:r>
        <w:rPr>
          <w:rFonts w:hint="eastAsia" w:ascii="宋体" w:hAnsi="宋体" w:cs="宋体"/>
          <w:color w:val="000000" w:themeColor="text1"/>
          <w14:textFill>
            <w14:solidFill>
              <w14:schemeClr w14:val="tx1"/>
            </w14:solidFill>
          </w14:textFill>
        </w:rPr>
        <w:t>签字或签章）</w:t>
      </w:r>
      <w:r>
        <w:rPr>
          <w:rFonts w:hint="eastAsia" w:ascii="宋体" w:hAnsi="宋体" w:cs="宋体"/>
          <w:snapToGrid w:val="0"/>
          <w:color w:val="000000" w:themeColor="text1"/>
          <w:kern w:val="0"/>
          <w14:textFill>
            <w14:solidFill>
              <w14:schemeClr w14:val="tx1"/>
            </w14:solidFill>
          </w14:textFill>
        </w:rPr>
        <w:t>：</w:t>
      </w:r>
      <w:r>
        <w:rPr>
          <w:rFonts w:hint="eastAsia" w:ascii="宋体" w:hAnsi="宋体" w:cs="宋体"/>
          <w:snapToGrid w:val="0"/>
          <w:color w:val="000000" w:themeColor="text1"/>
          <w:kern w:val="0"/>
          <w:u w:val="single"/>
          <w14:textFill>
            <w14:solidFill>
              <w14:schemeClr w14:val="tx1"/>
            </w14:solidFill>
          </w14:textFill>
        </w:rPr>
        <w:t xml:space="preserve">             </w:t>
      </w:r>
      <w:r>
        <w:rPr>
          <w:rFonts w:hint="eastAsia" w:ascii="宋体" w:hAnsi="宋体" w:cs="宋体"/>
          <w:snapToGrid w:val="0"/>
          <w:color w:val="000000" w:themeColor="text1"/>
          <w:kern w:val="0"/>
          <w14:textFill>
            <w14:solidFill>
              <w14:schemeClr w14:val="tx1"/>
            </w14:solidFill>
          </w14:textFill>
        </w:rPr>
        <w:t xml:space="preserve">   </w:t>
      </w:r>
    </w:p>
    <w:p>
      <w:pPr>
        <w:tabs>
          <w:tab w:val="left" w:pos="730"/>
        </w:tabs>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sectPr>
          <w:pgSz w:w="11910" w:h="16840"/>
          <w:pgMar w:top="1440" w:right="1800" w:bottom="1440" w:left="1800" w:header="850" w:footer="1417" w:gutter="0"/>
          <w:cols w:space="720" w:num="1"/>
        </w:sectPr>
      </w:pPr>
      <w:r>
        <w:rPr>
          <w:rFonts w:hint="eastAsia" w:ascii="宋体" w:hAnsi="宋体" w:cs="宋体"/>
          <w:snapToGrid w:val="0"/>
          <w:color w:val="000000" w:themeColor="text1"/>
          <w:kern w:val="0"/>
          <w14:textFill>
            <w14:solidFill>
              <w14:schemeClr w14:val="tx1"/>
            </w14:solidFill>
          </w14:textFill>
        </w:rPr>
        <w:t>供应商（</w:t>
      </w:r>
      <w:r>
        <w:rPr>
          <w:rFonts w:hint="eastAsia" w:ascii="宋体" w:hAnsi="宋体" w:cs="宋体"/>
          <w:color w:val="000000" w:themeColor="text1"/>
          <w14:textFill>
            <w14:solidFill>
              <w14:schemeClr w14:val="tx1"/>
            </w14:solidFill>
          </w14:textFill>
        </w:rPr>
        <w:t>签章）</w:t>
      </w:r>
      <w:r>
        <w:rPr>
          <w:rFonts w:hint="eastAsia" w:ascii="宋体" w:hAnsi="宋体" w:cs="宋体"/>
          <w:snapToGrid w:val="0"/>
          <w:color w:val="000000" w:themeColor="text1"/>
          <w:kern w:val="0"/>
          <w14:textFill>
            <w14:solidFill>
              <w14:schemeClr w14:val="tx1"/>
            </w14:solidFill>
          </w14:textFill>
        </w:rPr>
        <w:t>：</w:t>
      </w:r>
      <w:r>
        <w:rPr>
          <w:rFonts w:hint="eastAsia" w:ascii="宋体" w:hAnsi="宋体" w:cs="宋体"/>
          <w:snapToGrid w:val="0"/>
          <w:color w:val="000000" w:themeColor="text1"/>
          <w:kern w:val="0"/>
          <w:u w:val="single"/>
          <w14:textFill>
            <w14:solidFill>
              <w14:schemeClr w14:val="tx1"/>
            </w14:solidFill>
          </w14:textFill>
        </w:rPr>
        <w:t xml:space="preserve">                       </w:t>
      </w:r>
      <w:r>
        <w:rPr>
          <w:rFonts w:hint="eastAsia" w:ascii="宋体" w:hAnsi="宋体" w:cs="宋体"/>
          <w:snapToGrid w:val="0"/>
          <w:color w:val="000000" w:themeColor="text1"/>
          <w:kern w:val="0"/>
          <w14:textFill>
            <w14:solidFill>
              <w14:schemeClr w14:val="tx1"/>
            </w14:solidFill>
          </w14:textFill>
        </w:rPr>
        <w:t xml:space="preserve">   </w:t>
      </w:r>
      <w:bookmarkEnd w:id="68"/>
      <w:bookmarkEnd w:id="69"/>
    </w:p>
    <w:p>
      <w:pPr>
        <w:pStyle w:val="4"/>
        <w:ind w:firstLine="0" w:firstLineChars="0"/>
        <w:jc w:val="center"/>
        <w:rPr>
          <w:rFonts w:hint="eastAsia"/>
        </w:rPr>
      </w:pPr>
      <w:r>
        <w:rPr>
          <w:rFonts w:hint="eastAsia"/>
        </w:rPr>
        <w:t>长治市政府采购供应商信用承诺函（格式）</w:t>
      </w:r>
    </w:p>
    <w:p>
      <w:pPr>
        <w:ind w:firstLine="480"/>
      </w:pPr>
    </w:p>
    <w:p>
      <w:pPr>
        <w:ind w:firstLine="480"/>
        <w:rPr>
          <w:rFonts w:hint="eastAsia"/>
        </w:rPr>
      </w:pPr>
      <w:r>
        <w:t xml:space="preserve">致 </w:t>
      </w:r>
      <w:r>
        <w:rPr>
          <w:rFonts w:hint="eastAsia"/>
          <w:u w:val="single"/>
        </w:rPr>
        <w:t>（</w:t>
      </w:r>
      <w:r>
        <w:rPr>
          <w:u w:val="single"/>
        </w:rPr>
        <w:t>采购人</w:t>
      </w:r>
      <w:r>
        <w:rPr>
          <w:rFonts w:hint="eastAsia"/>
          <w:u w:val="single"/>
        </w:rPr>
        <w:t>名称）</w:t>
      </w:r>
      <w:r>
        <w:rPr>
          <w:u w:val="single"/>
        </w:rPr>
        <w:tab/>
      </w:r>
      <w:r>
        <w:rPr>
          <w:rFonts w:hint="eastAsia"/>
        </w:rPr>
        <w:t>：</w:t>
      </w:r>
    </w:p>
    <w:p>
      <w:pPr>
        <w:autoSpaceDE w:val="0"/>
        <w:autoSpaceDN w:val="0"/>
        <w:ind w:firstLine="480"/>
      </w:pPr>
    </w:p>
    <w:p>
      <w:pPr>
        <w:autoSpaceDE w:val="0"/>
        <w:autoSpaceDN w:val="0"/>
        <w:ind w:firstLine="480"/>
        <w:rPr>
          <w:rFonts w:hint="eastAsia"/>
        </w:rPr>
      </w:pPr>
      <w:r>
        <w:t>供应商名称</w:t>
      </w:r>
      <w:r>
        <w:rPr>
          <w:rFonts w:hint="eastAsia"/>
        </w:rPr>
        <w:t>（自然人姓名）：</w:t>
      </w:r>
      <w:r>
        <w:rPr>
          <w:rFonts w:hint="eastAsia"/>
          <w:u w:val="single"/>
        </w:rPr>
        <w:t xml:space="preserve">                                          </w:t>
      </w:r>
      <w:r>
        <w:rPr>
          <w:rFonts w:hint="eastAsia"/>
        </w:rPr>
        <w:t xml:space="preserve">                                          </w:t>
      </w:r>
    </w:p>
    <w:p>
      <w:pPr>
        <w:autoSpaceDE w:val="0"/>
        <w:autoSpaceDN w:val="0"/>
        <w:ind w:firstLine="480"/>
        <w:rPr>
          <w:rFonts w:hint="eastAsia"/>
          <w:u w:val="single"/>
        </w:rPr>
      </w:pPr>
      <w:r>
        <w:t>统一社会信用代码</w:t>
      </w:r>
      <w:r>
        <w:rPr>
          <w:rFonts w:hint="eastAsia"/>
        </w:rPr>
        <w:t>（</w:t>
      </w:r>
      <w:r>
        <w:t>身份证号码</w:t>
      </w:r>
      <w:r>
        <w:rPr>
          <w:rFonts w:hint="eastAsia"/>
        </w:rPr>
        <w:t>）：</w:t>
      </w:r>
      <w:r>
        <w:rPr>
          <w:rFonts w:hint="eastAsia"/>
          <w:u w:val="single"/>
        </w:rPr>
        <w:t xml:space="preserve">                                    </w:t>
      </w:r>
    </w:p>
    <w:p>
      <w:pPr>
        <w:autoSpaceDE w:val="0"/>
        <w:autoSpaceDN w:val="0"/>
        <w:ind w:firstLine="480"/>
      </w:pPr>
      <w:r>
        <w:t>法定代表人</w:t>
      </w:r>
      <w:r>
        <w:rPr>
          <w:rFonts w:hint="eastAsia"/>
        </w:rPr>
        <w:t>（负责人）：</w:t>
      </w:r>
      <w:r>
        <w:rPr>
          <w:rFonts w:hint="eastAsia"/>
          <w:u w:val="single"/>
        </w:rPr>
        <w:t xml:space="preserve">                                              </w:t>
      </w:r>
      <w:r>
        <w:t xml:space="preserve">                                </w:t>
      </w:r>
    </w:p>
    <w:p>
      <w:pPr>
        <w:autoSpaceDE w:val="0"/>
        <w:autoSpaceDN w:val="0"/>
        <w:ind w:firstLine="480"/>
        <w:rPr>
          <w:rFonts w:hint="eastAsia"/>
        </w:rPr>
      </w:pPr>
      <w:r>
        <w:t>联系地址和电话</w:t>
      </w:r>
      <w:r>
        <w:rPr>
          <w:rFonts w:hint="eastAsia"/>
        </w:rPr>
        <w:t>：</w:t>
      </w:r>
      <w:r>
        <w:rPr>
          <w:rFonts w:hint="eastAsia"/>
          <w:u w:val="single"/>
        </w:rPr>
        <w:t xml:space="preserve">                                                    </w:t>
      </w:r>
    </w:p>
    <w:p>
      <w:pPr>
        <w:autoSpaceDE w:val="0"/>
        <w:autoSpaceDN w:val="0"/>
        <w:spacing w:line="600" w:lineRule="exact"/>
        <w:ind w:firstLine="480"/>
      </w:pPr>
      <w:r>
        <w:t>为维护公平</w:t>
      </w:r>
      <w:r>
        <w:rPr>
          <w:rFonts w:hint="eastAsia"/>
        </w:rPr>
        <w:t>、</w:t>
      </w:r>
      <w:r>
        <w:t>公正</w:t>
      </w:r>
      <w:r>
        <w:rPr>
          <w:rFonts w:hint="eastAsia"/>
        </w:rPr>
        <w:t>、</w:t>
      </w:r>
      <w:r>
        <w:t>公开的政府采购市场秩序</w:t>
      </w:r>
      <w:r>
        <w:rPr>
          <w:rFonts w:hint="eastAsia"/>
        </w:rPr>
        <w:t>，</w:t>
      </w:r>
      <w:r>
        <w:t>树立诚实守信的政府采购供应商形象</w:t>
      </w:r>
      <w:r>
        <w:rPr>
          <w:rFonts w:hint="eastAsia"/>
        </w:rPr>
        <w:t>，</w:t>
      </w:r>
      <w:r>
        <w:t>本单位</w:t>
      </w:r>
      <w:r>
        <w:rPr>
          <w:rFonts w:hint="eastAsia"/>
        </w:rPr>
        <w:t>（</w:t>
      </w:r>
      <w:r>
        <w:t>本人</w:t>
      </w:r>
      <w:r>
        <w:rPr>
          <w:rFonts w:hint="eastAsia"/>
        </w:rPr>
        <w:t>）</w:t>
      </w:r>
      <w:r>
        <w:t>自愿作出以下承诺</w:t>
      </w:r>
      <w:r>
        <w:rPr>
          <w:rFonts w:hint="eastAsia"/>
        </w:rPr>
        <w:t>：</w:t>
      </w:r>
    </w:p>
    <w:p>
      <w:pPr>
        <w:autoSpaceDE w:val="0"/>
        <w:autoSpaceDN w:val="0"/>
        <w:spacing w:line="600" w:lineRule="exact"/>
        <w:ind w:firstLine="480"/>
        <w:rPr>
          <w:rFonts w:hint="eastAsia"/>
        </w:rPr>
      </w:pPr>
      <w:r>
        <w:t>一</w:t>
      </w:r>
      <w:r>
        <w:rPr>
          <w:rFonts w:hint="eastAsia"/>
        </w:rPr>
        <w:t>、</w:t>
      </w:r>
      <w:r>
        <w:t>我单位</w:t>
      </w:r>
      <w:r>
        <w:rPr>
          <w:rFonts w:hint="eastAsia"/>
        </w:rPr>
        <w:t>（本人）</w:t>
      </w:r>
      <w:r>
        <w:t>自愿参加本次政府采购活动</w:t>
      </w:r>
      <w:r>
        <w:rPr>
          <w:rFonts w:hint="eastAsia"/>
        </w:rPr>
        <w:t>（项目名称）</w:t>
      </w:r>
      <w:r>
        <w:rPr>
          <w:u w:val="single"/>
        </w:rPr>
        <w:t xml:space="preserve"> </w:t>
      </w:r>
      <w:r>
        <w:rPr>
          <w:rFonts w:hint="eastAsia"/>
          <w:u w:val="single"/>
        </w:rPr>
        <w:t xml:space="preserve">       </w:t>
      </w:r>
      <w:r>
        <w:rPr>
          <w:u w:val="single"/>
        </w:rPr>
        <w:tab/>
      </w:r>
      <w:r>
        <w:rPr>
          <w:u w:val="single"/>
        </w:rPr>
        <w:tab/>
      </w:r>
      <w:r>
        <w:rPr>
          <w:rFonts w:hint="eastAsia"/>
        </w:rPr>
        <w:t>，</w:t>
      </w:r>
      <w:r>
        <w:t xml:space="preserve"> 项目编号</w:t>
      </w:r>
      <w:r>
        <w:rPr>
          <w:rFonts w:hint="eastAsia"/>
        </w:rPr>
        <w:t>：</w:t>
      </w:r>
      <w:r>
        <w:rPr>
          <w:u w:val="single"/>
        </w:rPr>
        <w:t xml:space="preserve"> </w:t>
      </w:r>
      <w:r>
        <w:rPr>
          <w:rFonts w:hint="eastAsia"/>
          <w:u w:val="single"/>
        </w:rPr>
        <w:t xml:space="preserve">         </w:t>
      </w:r>
      <w:r>
        <w:rPr>
          <w:u w:val="single"/>
        </w:rPr>
        <w:tab/>
      </w:r>
      <w:r>
        <w:rPr>
          <w:rFonts w:hint="eastAsia"/>
        </w:rPr>
        <w:t>），</w:t>
      </w:r>
      <w:r>
        <w:t>严格遵守</w:t>
      </w:r>
      <w:r>
        <w:rPr>
          <w:rFonts w:hint="eastAsia"/>
        </w:rPr>
        <w:t>《</w:t>
      </w:r>
      <w:r>
        <w:t>中华人民共和国政府采购法</w:t>
      </w:r>
      <w:r>
        <w:rPr>
          <w:rFonts w:hint="eastAsia"/>
        </w:rPr>
        <w:t>》</w:t>
      </w:r>
      <w:r>
        <w:t>及相关法律法规</w:t>
      </w:r>
      <w:r>
        <w:rPr>
          <w:rFonts w:hint="eastAsia"/>
        </w:rPr>
        <w:t>，</w:t>
      </w:r>
      <w:r>
        <w:t>依法诚信经营</w:t>
      </w:r>
      <w:r>
        <w:rPr>
          <w:rFonts w:hint="eastAsia"/>
        </w:rPr>
        <w:t>，</w:t>
      </w:r>
      <w:r>
        <w:t>无条件遵守本次政府采购活动的各项规定</w:t>
      </w:r>
      <w:r>
        <w:rPr>
          <w:rFonts w:hint="eastAsia"/>
        </w:rPr>
        <w:t>。</w:t>
      </w:r>
      <w:r>
        <w:t xml:space="preserve"> 我单位</w:t>
      </w:r>
      <w:r>
        <w:rPr>
          <w:rFonts w:hint="eastAsia"/>
        </w:rPr>
        <w:t>（本人）</w:t>
      </w:r>
      <w:r>
        <w:t>郑重承诺</w:t>
      </w:r>
      <w:r>
        <w:rPr>
          <w:rFonts w:hint="eastAsia"/>
        </w:rPr>
        <w:t>，</w:t>
      </w:r>
      <w:r>
        <w:t>我单位</w:t>
      </w:r>
      <w:r>
        <w:rPr>
          <w:rFonts w:hint="eastAsia"/>
        </w:rPr>
        <w:t>（本人）</w:t>
      </w:r>
      <w:r>
        <w:t>符合</w:t>
      </w:r>
      <w:r>
        <w:rPr>
          <w:rFonts w:hint="eastAsia"/>
        </w:rPr>
        <w:t>《</w:t>
      </w:r>
      <w:r>
        <w:t>中华人民共和国政府采购法</w:t>
      </w:r>
      <w:r>
        <w:rPr>
          <w:rFonts w:hint="eastAsia"/>
        </w:rPr>
        <w:t>》</w:t>
      </w:r>
      <w:r>
        <w:t>第二十二条规定和采购文件</w:t>
      </w:r>
      <w:r>
        <w:rPr>
          <w:rFonts w:hint="eastAsia"/>
        </w:rPr>
        <w:t>、</w:t>
      </w:r>
      <w:r>
        <w:t>本承诺函的条件</w:t>
      </w:r>
      <w:r>
        <w:rPr>
          <w:rFonts w:hint="eastAsia"/>
        </w:rPr>
        <w:t>：</w:t>
      </w:r>
    </w:p>
    <w:p>
      <w:pPr>
        <w:autoSpaceDE w:val="0"/>
        <w:autoSpaceDN w:val="0"/>
        <w:spacing w:line="600" w:lineRule="exact"/>
        <w:ind w:firstLine="480"/>
        <w:rPr>
          <w:rFonts w:hint="eastAsia"/>
        </w:rPr>
      </w:pPr>
      <w:r>
        <w:rPr>
          <w:rFonts w:hint="eastAsia"/>
        </w:rPr>
        <w:t>（一）</w:t>
      </w:r>
      <w:r>
        <w:t>具有独立承担民事责任的能力</w:t>
      </w:r>
      <w:r>
        <w:rPr>
          <w:rFonts w:hint="eastAsia"/>
        </w:rPr>
        <w:t>；</w:t>
      </w:r>
    </w:p>
    <w:p>
      <w:pPr>
        <w:autoSpaceDE w:val="0"/>
        <w:autoSpaceDN w:val="0"/>
        <w:spacing w:line="600" w:lineRule="exact"/>
        <w:ind w:firstLine="480"/>
        <w:rPr>
          <w:rFonts w:hint="eastAsia"/>
        </w:rPr>
      </w:pPr>
      <w:r>
        <w:rPr>
          <w:rFonts w:hint="eastAsia"/>
        </w:rPr>
        <w:t>（二）具有良好的商业信誉和健全的财务会计制度；</w:t>
      </w:r>
    </w:p>
    <w:p>
      <w:pPr>
        <w:autoSpaceDE w:val="0"/>
        <w:autoSpaceDN w:val="0"/>
        <w:spacing w:line="600" w:lineRule="exact"/>
        <w:ind w:firstLine="480"/>
        <w:rPr>
          <w:rFonts w:hint="eastAsia"/>
        </w:rPr>
      </w:pPr>
      <w:r>
        <w:rPr>
          <w:rFonts w:hint="eastAsia"/>
        </w:rPr>
        <w:t>（三）</w:t>
      </w:r>
      <w:r>
        <w:t>具有履行合同所必需的设备和专业技术能力</w:t>
      </w:r>
      <w:r>
        <w:rPr>
          <w:rFonts w:hint="eastAsia"/>
        </w:rPr>
        <w:t>；</w:t>
      </w:r>
    </w:p>
    <w:p>
      <w:pPr>
        <w:autoSpaceDE w:val="0"/>
        <w:autoSpaceDN w:val="0"/>
        <w:spacing w:line="600" w:lineRule="exact"/>
        <w:ind w:firstLine="480"/>
      </w:pPr>
      <w:r>
        <w:rPr>
          <w:rFonts w:hint="eastAsia"/>
        </w:rPr>
        <w:t>（四）</w:t>
      </w:r>
      <w:r>
        <w:t>有依法缴纳税收和社会保障资金的良好记录</w:t>
      </w:r>
      <w:r>
        <w:rPr>
          <w:rFonts w:hint="eastAsia"/>
        </w:rPr>
        <w:t>；</w:t>
      </w:r>
    </w:p>
    <w:p>
      <w:pPr>
        <w:autoSpaceDE w:val="0"/>
        <w:autoSpaceDN w:val="0"/>
        <w:spacing w:line="600" w:lineRule="exact"/>
        <w:ind w:firstLine="480"/>
        <w:rPr>
          <w:rFonts w:hint="eastAsia"/>
        </w:rPr>
      </w:pPr>
      <w:r>
        <w:rPr>
          <w:rFonts w:hint="eastAsia"/>
        </w:rPr>
        <w:t>（五）</w:t>
      </w:r>
      <w:r>
        <w:t>参加政府采购活动前三年内</w:t>
      </w:r>
      <w:r>
        <w:rPr>
          <w:rFonts w:hint="eastAsia"/>
        </w:rPr>
        <w:t>，</w:t>
      </w:r>
      <w:r>
        <w:t>在经营活动中没有重大违法记录</w:t>
      </w:r>
      <w:r>
        <w:rPr>
          <w:rFonts w:hint="eastAsia"/>
        </w:rPr>
        <w:t>；</w:t>
      </w:r>
    </w:p>
    <w:p>
      <w:pPr>
        <w:autoSpaceDE w:val="0"/>
        <w:autoSpaceDN w:val="0"/>
        <w:spacing w:line="600" w:lineRule="exact"/>
        <w:ind w:firstLine="480"/>
        <w:rPr>
          <w:rFonts w:hint="eastAsia"/>
        </w:rPr>
      </w:pPr>
      <w:r>
        <w:rPr>
          <w:rFonts w:hint="eastAsia"/>
        </w:rPr>
        <w:t>（六）</w:t>
      </w:r>
      <w:r>
        <w:t>未被列入经营异常名录或者严重违法失信名单</w:t>
      </w:r>
      <w:r>
        <w:rPr>
          <w:rFonts w:hint="eastAsia"/>
        </w:rPr>
        <w:t>、</w:t>
      </w:r>
      <w:r>
        <w:t>失信被执行人</w:t>
      </w:r>
      <w:r>
        <w:rPr>
          <w:rFonts w:hint="eastAsia"/>
        </w:rPr>
        <w:t>、</w:t>
      </w:r>
      <w:r>
        <w:t>重大税收违法案件当事人名单</w:t>
      </w:r>
      <w:r>
        <w:rPr>
          <w:rFonts w:hint="eastAsia"/>
        </w:rPr>
        <w:t>、</w:t>
      </w:r>
      <w:r>
        <w:t>政府采购严重违法失信行为记录名单</w:t>
      </w:r>
      <w:r>
        <w:rPr>
          <w:rFonts w:hint="eastAsia"/>
        </w:rPr>
        <w:t>，</w:t>
      </w:r>
      <w:r>
        <w:t>信用中国网站不存在失信惩戒</w:t>
      </w:r>
      <w:r>
        <w:rPr>
          <w:rFonts w:hint="eastAsia"/>
        </w:rPr>
        <w:t>、</w:t>
      </w:r>
      <w:r>
        <w:t>重点关注和风险提示信息</w:t>
      </w:r>
      <w:r>
        <w:rPr>
          <w:rFonts w:hint="eastAsia"/>
        </w:rPr>
        <w:t>；</w:t>
      </w:r>
    </w:p>
    <w:p>
      <w:pPr>
        <w:autoSpaceDE w:val="0"/>
        <w:autoSpaceDN w:val="0"/>
        <w:spacing w:line="600" w:lineRule="exact"/>
        <w:ind w:firstLine="480"/>
        <w:rPr>
          <w:rFonts w:hint="eastAsia"/>
        </w:rPr>
      </w:pPr>
      <w:r>
        <w:rPr>
          <w:rFonts w:hint="eastAsia"/>
        </w:rPr>
        <w:t>（七）</w:t>
      </w:r>
      <w:r>
        <w:t>未被相关监管部门作出行政处罚且尚在处罚有效期内</w:t>
      </w:r>
      <w:r>
        <w:rPr>
          <w:rFonts w:hint="eastAsia"/>
        </w:rPr>
        <w:t>；</w:t>
      </w:r>
    </w:p>
    <w:p>
      <w:pPr>
        <w:autoSpaceDE w:val="0"/>
        <w:autoSpaceDN w:val="0"/>
        <w:spacing w:line="600" w:lineRule="exact"/>
        <w:ind w:firstLine="480"/>
        <w:rPr>
          <w:rFonts w:hint="eastAsia"/>
        </w:rPr>
      </w:pPr>
      <w:r>
        <w:rPr>
          <w:rFonts w:hint="eastAsia"/>
        </w:rPr>
        <w:t>（八）</w:t>
      </w:r>
      <w:r>
        <w:t>未曾作出虚假政府采购承诺</w:t>
      </w:r>
      <w:r>
        <w:rPr>
          <w:rFonts w:hint="eastAsia"/>
        </w:rPr>
        <w:t>；</w:t>
      </w:r>
    </w:p>
    <w:p>
      <w:pPr>
        <w:autoSpaceDE w:val="0"/>
        <w:autoSpaceDN w:val="0"/>
        <w:spacing w:line="600" w:lineRule="exact"/>
        <w:ind w:firstLine="480"/>
        <w:rPr>
          <w:rFonts w:hint="eastAsia"/>
        </w:rPr>
      </w:pPr>
      <w:r>
        <w:rPr>
          <w:rFonts w:hint="eastAsia"/>
        </w:rPr>
        <w:t>（九）</w:t>
      </w:r>
      <w:r>
        <w:t>符合法律</w:t>
      </w:r>
      <w:r>
        <w:rPr>
          <w:rFonts w:hint="eastAsia"/>
        </w:rPr>
        <w:t>、</w:t>
      </w:r>
      <w:r>
        <w:t>行政法规规定的其他条件</w:t>
      </w:r>
      <w:r>
        <w:rPr>
          <w:rFonts w:hint="eastAsia"/>
        </w:rPr>
        <w:t>。</w:t>
      </w:r>
    </w:p>
    <w:p>
      <w:pPr>
        <w:autoSpaceDE w:val="0"/>
        <w:autoSpaceDN w:val="0"/>
        <w:spacing w:line="600" w:lineRule="exact"/>
        <w:ind w:firstLine="480"/>
        <w:rPr>
          <w:rFonts w:hint="eastAsia"/>
        </w:rPr>
      </w:pPr>
      <w:r>
        <w:rPr>
          <w:rFonts w:hint="eastAsia"/>
        </w:rPr>
        <w:t>二、</w:t>
      </w:r>
      <w:r>
        <w:t>我单位</w:t>
      </w:r>
      <w:r>
        <w:rPr>
          <w:rFonts w:hint="eastAsia"/>
        </w:rPr>
        <w:t>（本人）</w:t>
      </w:r>
      <w:r>
        <w:t>保证上述承诺事项的真实性</w:t>
      </w:r>
      <w:r>
        <w:rPr>
          <w:rFonts w:hint="eastAsia"/>
        </w:rPr>
        <w:t>。</w:t>
      </w:r>
      <w:r>
        <w:t>如有弄虚作假或其他违法违规行为</w:t>
      </w:r>
      <w:r>
        <w:rPr>
          <w:rFonts w:hint="eastAsia"/>
        </w:rPr>
        <w:t>，</w:t>
      </w:r>
      <w:r>
        <w:t>自愿承担一切法律责任</w:t>
      </w:r>
      <w:r>
        <w:rPr>
          <w:rFonts w:hint="eastAsia"/>
        </w:rPr>
        <w:t>，</w:t>
      </w:r>
      <w:r>
        <w:t>接受政府采购监管部门和其他机关的审查和处罚</w:t>
      </w:r>
      <w:r>
        <w:rPr>
          <w:rFonts w:hint="eastAsia"/>
        </w:rPr>
        <w:t>。</w:t>
      </w:r>
    </w:p>
    <w:p>
      <w:pPr>
        <w:ind w:firstLine="480"/>
      </w:pPr>
    </w:p>
    <w:p>
      <w:pPr>
        <w:ind w:firstLine="480"/>
      </w:pPr>
    </w:p>
    <w:p>
      <w:pPr>
        <w:autoSpaceDE w:val="0"/>
        <w:autoSpaceDN w:val="0"/>
        <w:ind w:firstLine="480"/>
        <w:rPr>
          <w:u w:val="single"/>
        </w:rPr>
      </w:pPr>
      <w:r>
        <w:t>供应商</w:t>
      </w:r>
      <w:r>
        <w:rPr>
          <w:rFonts w:hint="eastAsia"/>
        </w:rPr>
        <w:t>（电子章）：</w:t>
      </w:r>
      <w:r>
        <w:rPr>
          <w:rFonts w:hint="eastAsia"/>
          <w:u w:val="single"/>
        </w:rPr>
        <w:t xml:space="preserve">               </w:t>
      </w:r>
    </w:p>
    <w:p>
      <w:pPr>
        <w:autoSpaceDE w:val="0"/>
        <w:autoSpaceDN w:val="0"/>
        <w:ind w:firstLine="480"/>
        <w:rPr>
          <w:u w:val="single"/>
        </w:rPr>
      </w:pPr>
      <w:r>
        <w:t>法定代表人或授权代表</w:t>
      </w:r>
      <w:r>
        <w:rPr>
          <w:rFonts w:hint="eastAsia"/>
        </w:rPr>
        <w:t>、</w:t>
      </w:r>
      <w:r>
        <w:t>负责人</w:t>
      </w:r>
      <w:r>
        <w:rPr>
          <w:rFonts w:hint="eastAsia"/>
        </w:rPr>
        <w:t>、</w:t>
      </w:r>
      <w:r>
        <w:t>本人 (签字或电子印章)</w:t>
      </w:r>
      <w:r>
        <w:rPr>
          <w:rFonts w:hint="eastAsia"/>
        </w:rPr>
        <w:t>：</w:t>
      </w:r>
      <w:r>
        <w:rPr>
          <w:rFonts w:hint="eastAsia"/>
          <w:u w:val="single"/>
        </w:rPr>
        <w:t xml:space="preserve">      </w:t>
      </w:r>
    </w:p>
    <w:p>
      <w:pPr>
        <w:autoSpaceDE w:val="0"/>
        <w:autoSpaceDN w:val="0"/>
        <w:ind w:firstLine="480"/>
      </w:pPr>
      <w:r>
        <w:t>日期</w:t>
      </w:r>
      <w:r>
        <w:rPr>
          <w:rFonts w:hint="eastAsia"/>
        </w:rPr>
        <w:t>：</w:t>
      </w:r>
      <w:r>
        <w:rPr>
          <w:u w:val="single"/>
        </w:rPr>
        <w:tab/>
      </w:r>
      <w:r>
        <w:rPr>
          <w:u w:val="single"/>
        </w:rPr>
        <w:t>年</w:t>
      </w:r>
      <w:r>
        <w:rPr>
          <w:u w:val="single"/>
        </w:rPr>
        <w:tab/>
      </w:r>
      <w:r>
        <w:rPr>
          <w:u w:val="single"/>
        </w:rPr>
        <w:t>月</w:t>
      </w:r>
      <w:r>
        <w:rPr>
          <w:u w:val="single"/>
        </w:rPr>
        <w:tab/>
      </w:r>
      <w:r>
        <w:rPr>
          <w:u w:val="single"/>
        </w:rPr>
        <w:t>日</w:t>
      </w:r>
    </w:p>
    <w:p>
      <w:pPr>
        <w:ind w:firstLine="480"/>
      </w:pPr>
    </w:p>
    <w:p>
      <w:pPr>
        <w:autoSpaceDE w:val="0"/>
        <w:autoSpaceDN w:val="0"/>
        <w:ind w:firstLine="480"/>
        <w:rPr>
          <w:rFonts w:hint="eastAsia" w:ascii="楷体" w:hAnsi="楷体" w:eastAsia="楷体" w:cs="楷体"/>
        </w:rPr>
      </w:pPr>
      <w:r>
        <w:rPr>
          <w:rFonts w:hint="eastAsia" w:ascii="楷体" w:hAnsi="楷体" w:eastAsia="楷体" w:cs="楷体"/>
        </w:rPr>
        <w:t>注：1.供应商须在投标（响应）文件中按此模板提供承诺函，未提供视为未实质性响应采购文件要求，按无效投标（响应）处理。</w:t>
      </w:r>
    </w:p>
    <w:p>
      <w:pPr>
        <w:autoSpaceDE w:val="0"/>
        <w:autoSpaceDN w:val="0"/>
        <w:ind w:firstLine="480"/>
        <w:rPr>
          <w:rFonts w:hint="eastAsia" w:ascii="楷体" w:hAnsi="楷体" w:eastAsia="楷体" w:cs="楷体"/>
        </w:rPr>
      </w:pPr>
      <w:r>
        <w:rPr>
          <w:rFonts w:hint="eastAsia" w:ascii="楷体" w:hAnsi="楷体" w:eastAsia="楷体" w:cs="楷体"/>
        </w:rPr>
        <w:t>2.供应商的法定代表人或者授权代表的签字或盖章应真实、有效、如由授权代表签字或盖章的，应提供“法定代表人授权书”。</w:t>
      </w:r>
    </w:p>
    <w:p>
      <w:pPr>
        <w:pStyle w:val="20"/>
        <w:ind w:left="480" w:firstLine="480"/>
        <w:sectPr>
          <w:pgSz w:w="11850" w:h="16783"/>
          <w:pgMar w:top="1440" w:right="1814" w:bottom="1440" w:left="1814" w:header="720" w:footer="720" w:gutter="0"/>
          <w:cols w:space="720" w:num="1"/>
        </w:sectPr>
      </w:pPr>
    </w:p>
    <w:p>
      <w:pPr>
        <w:pStyle w:val="4"/>
        <w:spacing w:line="460" w:lineRule="exact"/>
        <w:ind w:firstLine="0" w:firstLineChars="0"/>
        <w:jc w:val="center"/>
        <w:rPr>
          <w:rFonts w:cs="宋体"/>
          <w:snapToGrid w:val="0"/>
          <w:color w:val="000000" w:themeColor="text1"/>
          <w:kern w:val="0"/>
          <w14:textFill>
            <w14:solidFill>
              <w14:schemeClr w14:val="tx1"/>
            </w14:solidFill>
          </w14:textFill>
        </w:rPr>
      </w:pPr>
      <w:r>
        <w:rPr>
          <w:rFonts w:hint="eastAsia" w:cs="宋体"/>
          <w:snapToGrid w:val="0"/>
          <w:color w:val="000000" w:themeColor="text1"/>
          <w:kern w:val="0"/>
          <w14:textFill>
            <w14:solidFill>
              <w14:schemeClr w14:val="tx1"/>
            </w14:solidFill>
          </w14:textFill>
        </w:rPr>
        <w:t>磋商保证金交纳凭证（格式）</w:t>
      </w:r>
    </w:p>
    <w:p>
      <w:pPr>
        <w:pStyle w:val="4"/>
        <w:spacing w:line="460" w:lineRule="exact"/>
        <w:ind w:firstLine="0" w:firstLineChars="0"/>
        <w:jc w:val="center"/>
        <w:rPr>
          <w:rFonts w:cs="宋体"/>
          <w:color w:val="000000" w:themeColor="text1"/>
          <w:sz w:val="36"/>
          <w:szCs w:val="44"/>
          <w14:textFill>
            <w14:solidFill>
              <w14:schemeClr w14:val="tx1"/>
            </w14:solidFill>
          </w14:textFill>
        </w:rPr>
      </w:pPr>
    </w:p>
    <w:p>
      <w:pPr>
        <w:ind w:firstLine="0" w:firstLineChars="0"/>
        <w:rPr>
          <w:color w:val="000000" w:themeColor="text1"/>
          <w14:textFill>
            <w14:solidFill>
              <w14:schemeClr w14:val="tx1"/>
            </w14:solidFill>
          </w14:textFill>
        </w:rPr>
      </w:pPr>
    </w:p>
    <w:p>
      <w:pPr>
        <w:tabs>
          <w:tab w:val="left" w:pos="1742"/>
          <w:tab w:val="left" w:pos="3907"/>
        </w:tabs>
        <w:snapToGrid w:val="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致:</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u w:val="single"/>
          <w14:textFill>
            <w14:solidFill>
              <w14:schemeClr w14:val="tx1"/>
            </w14:solidFill>
          </w14:textFill>
        </w:rPr>
        <w:t>(</w:t>
      </w:r>
      <w:r>
        <w:rPr>
          <w:rFonts w:hint="eastAsia" w:ascii="宋体" w:hAnsi="宋体" w:cs="宋体"/>
          <w:color w:val="000000" w:themeColor="text1"/>
          <w:u w:val="single"/>
          <w:lang w:val="en-US" w:eastAsia="zh-CN"/>
          <w14:textFill>
            <w14:solidFill>
              <w14:schemeClr w14:val="tx1"/>
            </w14:solidFill>
          </w14:textFill>
        </w:rPr>
        <w:t>代理机构</w:t>
      </w:r>
      <w:r>
        <w:rPr>
          <w:rFonts w:hint="eastAsia" w:ascii="宋体" w:hAnsi="宋体" w:cs="宋体"/>
          <w:color w:val="000000" w:themeColor="text1"/>
          <w:u w:val="single"/>
          <w14:textFill>
            <w14:solidFill>
              <w14:schemeClr w14:val="tx1"/>
            </w14:solidFill>
          </w14:textFill>
        </w:rPr>
        <w:t>全称)</w:t>
      </w:r>
      <w:r>
        <w:rPr>
          <w:rFonts w:hint="eastAsia" w:ascii="宋体" w:hAnsi="宋体" w:cs="宋体"/>
          <w:color w:val="000000" w:themeColor="text1"/>
          <w:u w:val="single"/>
          <w14:textFill>
            <w14:solidFill>
              <w14:schemeClr w14:val="tx1"/>
            </w14:solidFill>
          </w14:textFill>
        </w:rPr>
        <w:tab/>
      </w:r>
    </w:p>
    <w:p>
      <w:pPr>
        <w:tabs>
          <w:tab w:val="left" w:pos="6635"/>
          <w:tab w:val="left" w:pos="9782"/>
        </w:tabs>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u w:val="single"/>
          <w14:textFill>
            <w14:solidFill>
              <w14:schemeClr w14:val="tx1"/>
            </w14:solidFill>
          </w14:textFill>
        </w:rPr>
        <w:t>（供应商全称）</w:t>
      </w:r>
      <w:r>
        <w:rPr>
          <w:rFonts w:hint="eastAsia" w:ascii="宋体" w:hAnsi="宋体" w:cs="宋体"/>
          <w:color w:val="000000" w:themeColor="text1"/>
          <w:spacing w:val="-15"/>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参加贵方组织的项目编号为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的</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14:textFill>
            <w14:solidFill>
              <w14:schemeClr w14:val="tx1"/>
            </w14:solidFill>
          </w14:textFill>
        </w:rPr>
        <w:t>(项目名称)磋商活动。按磋商文件规定，已递交人民币</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ab/>
      </w:r>
      <w:r>
        <w:rPr>
          <w:rFonts w:hint="eastAsia" w:ascii="宋体" w:hAnsi="宋体" w:cs="宋体"/>
          <w:color w:val="000000" w:themeColor="text1"/>
          <w14:textFill>
            <w14:solidFill>
              <w14:schemeClr w14:val="tx1"/>
            </w14:solidFill>
          </w14:textFill>
        </w:rPr>
        <w:t>元的保证金。</w:t>
      </w:r>
    </w:p>
    <w:p>
      <w:pPr>
        <w:tabs>
          <w:tab w:val="left" w:pos="5085"/>
        </w:tabs>
        <w:snapToGrid w:val="0"/>
        <w:ind w:right="1767"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若未成交，请按文件要求，退还至以下银行</w:t>
      </w:r>
    </w:p>
    <w:p>
      <w:pPr>
        <w:tabs>
          <w:tab w:val="left" w:pos="5085"/>
        </w:tabs>
        <w:snapToGrid w:val="0"/>
        <w:ind w:right="1767"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收款单位：</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ab/>
      </w:r>
    </w:p>
    <w:p>
      <w:pPr>
        <w:tabs>
          <w:tab w:val="left" w:pos="5085"/>
        </w:tabs>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 户 行：</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14:textFill>
            <w14:solidFill>
              <w14:schemeClr w14:val="tx1"/>
            </w14:solidFill>
          </w14:textFill>
        </w:rPr>
        <w:tab/>
      </w:r>
    </w:p>
    <w:p>
      <w:pPr>
        <w:tabs>
          <w:tab w:val="left" w:pos="1857"/>
          <w:tab w:val="left" w:pos="6112"/>
        </w:tabs>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账    号：</w:t>
      </w:r>
      <w:r>
        <w:rPr>
          <w:rFonts w:hint="eastAsia" w:ascii="宋体" w:hAnsi="宋体" w:cs="宋体"/>
          <w:color w:val="000000" w:themeColor="text1"/>
          <w:u w:val="single"/>
          <w14:textFill>
            <w14:solidFill>
              <w14:schemeClr w14:val="tx1"/>
            </w14:solidFill>
          </w14:textFill>
        </w:rPr>
        <w:t xml:space="preserve">                            </w:t>
      </w:r>
    </w:p>
    <w:p>
      <w:pPr>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附：保证金缴纳凭证（支票或电汇凭证扫描件）。</w:t>
      </w:r>
    </w:p>
    <w:p>
      <w:pPr>
        <w:pStyle w:val="17"/>
        <w:spacing w:before="10"/>
        <w:ind w:firstLine="480"/>
        <w:rPr>
          <w:rFonts w:cs="宋体"/>
          <w:snapToGrid w:val="0"/>
          <w:color w:val="000000" w:themeColor="text1"/>
          <w14:textFill>
            <w14:solidFill>
              <w14:schemeClr w14:val="tx1"/>
            </w14:solidFill>
          </w14:textFill>
        </w:rPr>
        <w:sectPr>
          <w:pgSz w:w="11910" w:h="16840"/>
          <w:pgMar w:top="1440" w:right="1800" w:bottom="1440" w:left="1800" w:header="850" w:footer="1417" w:gutter="0"/>
          <w:cols w:space="720" w:num="1"/>
        </w:sectPr>
      </w:pPr>
      <w:r>
        <w:rPr>
          <w:rFonts w:hint="eastAsia" w:ascii="宋体" w:hAnsi="宋体" w:cs="宋体"/>
          <w:color w:val="000000" w:themeColor="text1"/>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page">
                  <wp:posOffset>1012825</wp:posOffset>
                </wp:positionH>
                <wp:positionV relativeFrom="paragraph">
                  <wp:posOffset>147955</wp:posOffset>
                </wp:positionV>
                <wp:extent cx="5534660" cy="2266950"/>
                <wp:effectExtent l="1270" t="4445" r="7620" b="14605"/>
                <wp:wrapTopAndBottom/>
                <wp:docPr id="6" name="任意多边形 6"/>
                <wp:cNvGraphicFramePr/>
                <a:graphic xmlns:a="http://schemas.openxmlformats.org/drawingml/2006/main">
                  <a:graphicData uri="http://schemas.microsoft.com/office/word/2010/wordprocessingShape">
                    <wps:wsp>
                      <wps:cNvSpPr/>
                      <wps:spPr>
                        <a:xfrm>
                          <a:off x="0" y="0"/>
                          <a:ext cx="5534660" cy="2266950"/>
                        </a:xfrm>
                        <a:custGeom>
                          <a:avLst/>
                          <a:gdLst/>
                          <a:ahLst/>
                          <a:cxnLst/>
                          <a:rect l="0" t="0" r="0" b="0"/>
                          <a:pathLst>
                            <a:path w="8716" h="3570">
                              <a:moveTo>
                                <a:pt x="5" y="5"/>
                              </a:moveTo>
                              <a:lnTo>
                                <a:pt x="5" y="3565"/>
                              </a:lnTo>
                              <a:moveTo>
                                <a:pt x="8711" y="5"/>
                              </a:moveTo>
                              <a:lnTo>
                                <a:pt x="8711" y="3565"/>
                              </a:lnTo>
                              <a:moveTo>
                                <a:pt x="0" y="0"/>
                              </a:moveTo>
                              <a:lnTo>
                                <a:pt x="8716" y="0"/>
                              </a:lnTo>
                              <a:moveTo>
                                <a:pt x="0" y="3570"/>
                              </a:moveTo>
                              <a:lnTo>
                                <a:pt x="8716" y="3570"/>
                              </a:lnTo>
                            </a:path>
                          </a:pathLst>
                        </a:custGeom>
                        <a:noFill/>
                        <a:ln w="6350" cap="flat" cmpd="sng">
                          <a:solidFill>
                            <a:srgbClr val="000000"/>
                          </a:solidFill>
                          <a:prstDash val="solid"/>
                          <a:headEnd type="none" w="med" len="med"/>
                          <a:tailEnd type="none" w="med" len="med"/>
                        </a:ln>
                      </wps:spPr>
                      <wps:bodyPr upright="true"/>
                    </wps:wsp>
                  </a:graphicData>
                </a:graphic>
              </wp:anchor>
            </w:drawing>
          </mc:Choice>
          <mc:Fallback>
            <w:pict>
              <v:shape id="_x0000_s1026" o:spid="_x0000_s1026" o:spt="100" style="position:absolute;left:0pt;margin-left:79.75pt;margin-top:11.65pt;height:178.5pt;width:435.8pt;mso-position-horizontal-relative:page;mso-wrap-distance-bottom:0pt;mso-wrap-distance-top:0pt;z-index:-251657216;mso-width-relative:page;mso-height-relative:page;" filled="f" stroked="t" coordsize="8716,3570" o:gfxdata="UEsFBgAAAAAAAAAAAAAAAAAAAAAAAFBLAwQKAAAAAACHTuJAAAAAAAAAAAAAAAAABAAAAGRycy9Q&#10;SwMEFAAAAAgAh07iQJhQmqrbAAAACwEAAA8AAABkcnMvZG93bnJldi54bWxNj0FLw0AQhe+C/2EZ&#10;wYvY3XStxJhNkYoieJC2gtdtdkyC2dmQ3abVX+/0pMfHfLz3Tbk8+l5MOMYukIFspkAg1cF11Bh4&#10;3z5d5yBisuRsHwgNfGOEZXV+VtrChQOtcdqkRnAJxcIaaFMaCilj3aK3cRYGJL59htHbxHFspBvt&#10;gct9L+dK3UpvO+KF1g64arH+2uy9gce3h6vGxZfpJx9unrfr13z1oWtjLi8ydQ8i4TH9wXDSZ3Wo&#10;2GkX9uSi6Dkv7haMGphrDeIEKJ1lIHYGdK40yKqU/3+ofgFQSwMEFAAAAAgAh07iQKuooLNUAgAA&#10;YAUAAA4AAABkcnMvZTJvRG9jLnhtbK1UzW4TMRC+I/EOlu9k88NuyyqbHgjlgqBSywM4tvdH8p9s&#10;J5vcuXPniHgJVJWnoYjHYOzNbgIVVYTIwRl7xt/O941n5hdbKdCGW9doVeDJaIwRV1SzRlUFfn9z&#10;+ewcI+eJYkRoxQu84w5fLJ4+mbcm51Nda8G4RQCiXN6aAtfemzxJHK25JG6kDVfgLLWVxMPWVgmz&#10;pAV0KZLpeJwlrbbMWE25c3C67Jx4EfHLklP/riwd90gUGHLzcbVxXYU1WcxJXlli6obu0yD/kIUk&#10;jYKPDlBL4gla2+YBlGyo1U6XfkS1THRZNpRHDsBmMv6DzXVNDI9cQBxnBpnc/4OlbzdXFjWswBlG&#10;ikgo0ffb2x8fPt5/+fTz29f7u88oCyK1xuUQe22u7H7nwAyMt6WV4R+4oG0UdjcIy7ceUThM09nz&#10;LAP9Kfim0yx7kUbpk8N1unb+NdcRimzeON9VhvUWqXuLblVvWqjvo5U1xId7Ib9gorbA52cToFoX&#10;eJaejWPNpN7wGx1jfKCQYgRppoE2JHjwCvUwapZmfWDvPlwwEQ4+ODkJcQg8ARS07GV+JMeO61Hg&#10;33Ls4KIij7MeEI9iO1BII0gcNRtkh8Pjwip92QgRKytUKEY2g4eAKIHOLwXxYEoDb9GpKlbGadGw&#10;cCUUx9lq9VJYtCGhl+NvX6Lfwox1fklc3cVFVwgjec0Je6UY8jsDr1zBOMIhBckZRoLD9ApWjPSk&#10;EadEAjuhgHBojq4dgrXSbAc9tTa2qWoYON6ueUw0OKGNo0L7kRPmxPE+gh0G4+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mFCaqtsAAAALAQAADwAAAAAAAAABACAAAAA4AAAAZHJzL2Rvd25yZXYu&#10;eG1sUEsBAhQAFAAAAAgAh07iQKuooLNUAgAAYAUAAA4AAAAAAAAAAQAgAAAAQAEAAGRycy9lMm9E&#10;b2MueG1sUEsFBgAAAAAGAAYAWQEAAAYGAAAAAA==&#10;" path="m5,5l5,3565m8711,5l8711,3565m0,0l8716,0m0,3570l8716,3570e">
                <v:fill on="f" focussize="0,0"/>
                <v:stroke weight="0.5pt" color="#000000" joinstyle="round"/>
                <v:imagedata o:title=""/>
                <o:lock v:ext="edit" aspectratio="f"/>
                <w10:wrap type="topAndBottom"/>
              </v:shape>
            </w:pict>
          </mc:Fallback>
        </mc:AlternateContent>
      </w:r>
    </w:p>
    <w:p>
      <w:pPr>
        <w:pStyle w:val="4"/>
        <w:ind w:firstLine="482"/>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具备履行合同能力的承诺（格式）</w:t>
      </w:r>
    </w:p>
    <w:p>
      <w:pPr>
        <w:ind w:firstLine="480"/>
        <w:rPr>
          <w:color w:val="000000" w:themeColor="text1"/>
          <w14:textFill>
            <w14:solidFill>
              <w14:schemeClr w14:val="tx1"/>
            </w14:solidFill>
          </w14:textFill>
        </w:rPr>
      </w:pPr>
    </w:p>
    <w:p>
      <w:pPr>
        <w:adjustRightInd w:val="0"/>
        <w:snapToGrid w:val="0"/>
        <w:spacing w:line="360" w:lineRule="auto"/>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b/>
          <w:szCs w:val="21"/>
        </w:rPr>
        <w:t>采购人</w:t>
      </w:r>
      <w:r>
        <w:rPr>
          <w:rFonts w:hint="eastAsia" w:ascii="宋体" w:hAnsi="宋体" w:eastAsia="宋体" w:cs="宋体"/>
          <w:szCs w:val="21"/>
        </w:rPr>
        <w:t>）：</w:t>
      </w:r>
    </w:p>
    <w:p>
      <w:pPr>
        <w:adjustRightInd w:val="0"/>
        <w:snapToGrid w:val="0"/>
        <w:spacing w:line="360" w:lineRule="auto"/>
        <w:ind w:firstLine="480" w:firstLineChars="200"/>
        <w:rPr>
          <w:rFonts w:hint="eastAsia" w:ascii="宋体" w:hAnsi="宋体" w:eastAsia="宋体" w:cs="宋体"/>
          <w:szCs w:val="21"/>
        </w:rPr>
      </w:pPr>
    </w:p>
    <w:p>
      <w:pPr>
        <w:adjustRightInd w:val="0"/>
        <w:snapToGrid w:val="0"/>
        <w:spacing w:line="360" w:lineRule="auto"/>
        <w:ind w:firstLine="480" w:firstLineChars="200"/>
        <w:rPr>
          <w:rFonts w:hint="eastAsia" w:ascii="宋体" w:hAnsi="宋体" w:eastAsia="宋体" w:cs="宋体"/>
          <w:szCs w:val="21"/>
        </w:rPr>
      </w:pPr>
      <w:r>
        <w:rPr>
          <w:rFonts w:hint="eastAsia" w:ascii="宋体" w:hAnsi="宋体" w:eastAsia="宋体" w:cs="宋体"/>
          <w:szCs w:val="21"/>
        </w:rPr>
        <w:t>本单位现参与</w:t>
      </w:r>
      <w:r>
        <w:rPr>
          <w:rFonts w:hint="eastAsia" w:ascii="宋体" w:hAnsi="宋体" w:eastAsia="宋体" w:cs="宋体"/>
          <w:szCs w:val="21"/>
          <w:u w:val="single"/>
        </w:rPr>
        <w:t xml:space="preserve">                 </w:t>
      </w:r>
      <w:r>
        <w:rPr>
          <w:rFonts w:hint="eastAsia" w:ascii="宋体" w:hAnsi="宋体" w:eastAsia="宋体" w:cs="宋体"/>
          <w:szCs w:val="21"/>
        </w:rPr>
        <w:t>项目（项目编号：</w:t>
      </w:r>
      <w:r>
        <w:rPr>
          <w:rFonts w:hint="eastAsia" w:ascii="宋体" w:hAnsi="宋体" w:eastAsia="宋体" w:cs="宋体"/>
          <w:szCs w:val="21"/>
          <w:u w:val="single"/>
        </w:rPr>
        <w:t xml:space="preserve">                </w:t>
      </w:r>
      <w:r>
        <w:rPr>
          <w:rFonts w:hint="eastAsia" w:ascii="宋体" w:hAnsi="宋体" w:eastAsia="宋体" w:cs="宋体"/>
          <w:szCs w:val="21"/>
        </w:rPr>
        <w:t>）的采购活动，现承诺具备履行合同所必需的专业技术能力。</w:t>
      </w:r>
    </w:p>
    <w:p>
      <w:pPr>
        <w:adjustRightInd w:val="0"/>
        <w:snapToGrid w:val="0"/>
        <w:spacing w:line="360" w:lineRule="auto"/>
        <w:ind w:firstLine="480" w:firstLineChars="200"/>
        <w:rPr>
          <w:rFonts w:hint="eastAsia" w:ascii="宋体" w:hAnsi="宋体" w:eastAsia="宋体" w:cs="宋体"/>
          <w:szCs w:val="21"/>
        </w:rPr>
      </w:pPr>
      <w:r>
        <w:rPr>
          <w:rFonts w:hint="eastAsia" w:ascii="宋体" w:hAnsi="宋体" w:eastAsia="宋体" w:cs="宋体"/>
          <w:szCs w:val="21"/>
        </w:rPr>
        <w:t>如上述承诺不真实，愿意按照政府采购有关法律法规的规定接受处罚。</w:t>
      </w:r>
    </w:p>
    <w:p>
      <w:pPr>
        <w:adjustRightInd w:val="0"/>
        <w:snapToGrid w:val="0"/>
        <w:spacing w:line="360" w:lineRule="auto"/>
        <w:ind w:firstLine="480" w:firstLineChars="200"/>
        <w:rPr>
          <w:rFonts w:hint="eastAsia" w:ascii="宋体" w:hAnsi="宋体" w:eastAsia="宋体" w:cs="宋体"/>
          <w:szCs w:val="21"/>
        </w:rPr>
      </w:pPr>
    </w:p>
    <w:p>
      <w:pPr>
        <w:adjustRightInd w:val="0"/>
        <w:snapToGrid w:val="0"/>
        <w:spacing w:line="360" w:lineRule="auto"/>
        <w:ind w:firstLine="480" w:firstLineChars="200"/>
        <w:rPr>
          <w:rFonts w:hint="eastAsia" w:ascii="宋体" w:hAnsi="宋体" w:eastAsia="宋体" w:cs="宋体"/>
          <w:szCs w:val="21"/>
        </w:rPr>
      </w:pPr>
      <w:r>
        <w:rPr>
          <w:rFonts w:hint="eastAsia" w:ascii="宋体" w:hAnsi="宋体" w:eastAsia="宋体" w:cs="宋体"/>
          <w:szCs w:val="21"/>
        </w:rPr>
        <w:t>特此声明</w:t>
      </w:r>
    </w:p>
    <w:p>
      <w:pPr>
        <w:keepNext/>
        <w:adjustRightInd w:val="0"/>
        <w:snapToGrid w:val="0"/>
        <w:ind w:firstLine="2760" w:firstLineChars="1150"/>
        <w:rPr>
          <w:rFonts w:ascii="宋体" w:hAnsi="宋体" w:cs="仿宋_GB2312"/>
          <w:color w:val="000000" w:themeColor="text1"/>
          <w14:textFill>
            <w14:solidFill>
              <w14:schemeClr w14:val="tx1"/>
            </w14:solidFill>
          </w14:textFill>
        </w:rPr>
      </w:pPr>
    </w:p>
    <w:p>
      <w:pPr>
        <w:keepNext/>
        <w:adjustRightInd w:val="0"/>
        <w:snapToGrid w:val="0"/>
        <w:ind w:firstLine="2760" w:firstLineChars="1150"/>
        <w:rPr>
          <w:rFonts w:ascii="宋体" w:hAnsi="宋体" w:cs="仿宋_GB2312"/>
          <w:color w:val="000000" w:themeColor="text1"/>
          <w14:textFill>
            <w14:solidFill>
              <w14:schemeClr w14:val="tx1"/>
            </w14:solidFill>
          </w14:textFill>
        </w:rPr>
      </w:pPr>
    </w:p>
    <w:p>
      <w:pPr>
        <w:pStyle w:val="17"/>
        <w:ind w:firstLine="480"/>
        <w:rPr>
          <w:color w:val="000000" w:themeColor="text1"/>
          <w14:textFill>
            <w14:solidFill>
              <w14:schemeClr w14:val="tx1"/>
            </w14:solidFill>
          </w14:textFill>
        </w:rPr>
      </w:pPr>
    </w:p>
    <w:p>
      <w:pPr>
        <w:keepNext/>
        <w:adjustRightInd w:val="0"/>
        <w:snapToGrid w:val="0"/>
        <w:ind w:firstLine="2760" w:firstLineChars="1150"/>
        <w:rPr>
          <w:rFonts w:ascii="宋体" w:hAnsi="宋体" w:cs="仿宋_GB2312"/>
          <w:color w:val="000000" w:themeColor="text1"/>
          <w14:textFill>
            <w14:solidFill>
              <w14:schemeClr w14:val="tx1"/>
            </w14:solidFill>
          </w14:textFill>
        </w:rPr>
      </w:pPr>
    </w:p>
    <w:p>
      <w:pPr>
        <w:keepNext/>
        <w:adjustRightInd w:val="0"/>
        <w:snapToGrid w:val="0"/>
        <w:ind w:firstLine="2760" w:firstLineChars="1150"/>
        <w:rPr>
          <w:rFonts w:ascii="宋体" w:hAnsi="宋体"/>
          <w:color w:val="000000" w:themeColor="text1"/>
          <w:u w:val="single"/>
          <w14:textFill>
            <w14:solidFill>
              <w14:schemeClr w14:val="tx1"/>
            </w14:solidFill>
          </w14:textFill>
        </w:rPr>
      </w:pPr>
      <w:r>
        <w:rPr>
          <w:rFonts w:hint="eastAsia" w:ascii="宋体" w:hAnsi="宋体" w:cs="仿宋_GB2312"/>
          <w:color w:val="000000" w:themeColor="text1"/>
          <w14:textFill>
            <w14:solidFill>
              <w14:schemeClr w14:val="tx1"/>
            </w14:solidFill>
          </w14:textFill>
        </w:rPr>
        <w:t>供应商（公章）：</w:t>
      </w:r>
      <w:r>
        <w:rPr>
          <w:rFonts w:hint="eastAsia" w:ascii="宋体" w:hAnsi="宋体" w:cs="仿宋_GB2312"/>
          <w:color w:val="000000" w:themeColor="text1"/>
          <w:u w:val="single"/>
          <w14:textFill>
            <w14:solidFill>
              <w14:schemeClr w14:val="tx1"/>
            </w14:solidFill>
          </w14:textFill>
        </w:rPr>
        <w:t xml:space="preserve">               </w:t>
      </w:r>
    </w:p>
    <w:p>
      <w:pPr>
        <w:keepNext/>
        <w:adjustRightInd w:val="0"/>
        <w:snapToGrid w:val="0"/>
        <w:ind w:firstLine="2760" w:firstLineChars="1150"/>
        <w:rPr>
          <w:rFonts w:ascii="宋体" w:hAnsi="宋体"/>
          <w:color w:val="000000" w:themeColor="text1"/>
          <w:u w:val="single"/>
          <w14:textFill>
            <w14:solidFill>
              <w14:schemeClr w14:val="tx1"/>
            </w14:solidFill>
          </w14:textFill>
        </w:rPr>
      </w:pPr>
      <w:r>
        <w:rPr>
          <w:rFonts w:hint="eastAsia" w:ascii="宋体" w:hAnsi="宋体" w:cs="仿宋_GB2312"/>
          <w:color w:val="000000" w:themeColor="text1"/>
          <w14:textFill>
            <w14:solidFill>
              <w14:schemeClr w14:val="tx1"/>
            </w14:solidFill>
          </w14:textFill>
        </w:rPr>
        <w:t>法定代表人或供应商代表（签字或签章）：</w:t>
      </w:r>
      <w:r>
        <w:rPr>
          <w:rFonts w:hint="eastAsia" w:ascii="宋体" w:hAnsi="宋体" w:cs="仿宋_GB2312"/>
          <w:color w:val="000000" w:themeColor="text1"/>
          <w:u w:val="single"/>
          <w14:textFill>
            <w14:solidFill>
              <w14:schemeClr w14:val="tx1"/>
            </w14:solidFill>
          </w14:textFill>
        </w:rPr>
        <w:t xml:space="preserve">                </w:t>
      </w:r>
    </w:p>
    <w:p>
      <w:pPr>
        <w:tabs>
          <w:tab w:val="left" w:pos="4000"/>
        </w:tabs>
        <w:overflowPunct w:val="0"/>
        <w:topLinePunct/>
        <w:autoSpaceDN w:val="0"/>
        <w:adjustRightInd w:val="0"/>
        <w:snapToGrid w:val="0"/>
        <w:ind w:firstLine="2760" w:firstLineChars="1150"/>
        <w:rPr>
          <w:rFonts w:ascii="宋体" w:hAnsi="宋体" w:cs="仿宋_GB2312"/>
          <w:color w:val="000000" w:themeColor="text1"/>
          <w:u w:val="single"/>
          <w14:textFill>
            <w14:solidFill>
              <w14:schemeClr w14:val="tx1"/>
            </w14:solidFill>
          </w14:textFill>
        </w:rPr>
      </w:pPr>
      <w:r>
        <w:rPr>
          <w:rFonts w:hint="eastAsia" w:ascii="宋体" w:hAnsi="宋体" w:cs="仿宋_GB2312"/>
          <w:color w:val="000000" w:themeColor="text1"/>
          <w14:textFill>
            <w14:solidFill>
              <w14:schemeClr w14:val="tx1"/>
            </w14:solidFill>
          </w14:textFill>
        </w:rPr>
        <w:t>日  期：</w:t>
      </w:r>
      <w:r>
        <w:rPr>
          <w:rFonts w:hint="eastAsia" w:ascii="宋体" w:hAnsi="宋体" w:cs="仿宋_GB2312"/>
          <w:color w:val="000000" w:themeColor="text1"/>
          <w:u w:val="single"/>
          <w14:textFill>
            <w14:solidFill>
              <w14:schemeClr w14:val="tx1"/>
            </w14:solidFill>
          </w14:textFill>
        </w:rPr>
        <w:t xml:space="preserve">                   </w:t>
      </w:r>
    </w:p>
    <w:p>
      <w:pPr>
        <w:pStyle w:val="17"/>
        <w:ind w:firstLine="480"/>
        <w:rPr>
          <w:color w:val="000000" w:themeColor="text1"/>
          <w14:textFill>
            <w14:solidFill>
              <w14:schemeClr w14:val="tx1"/>
            </w14:solidFill>
          </w14:textFill>
        </w:rPr>
        <w:sectPr>
          <w:pgSz w:w="11850" w:h="16783"/>
          <w:pgMar w:top="1440" w:right="1800" w:bottom="1440" w:left="1800" w:header="720" w:footer="1417" w:gutter="0"/>
          <w:cols w:space="0" w:num="1"/>
          <w:docGrid w:linePitch="312" w:charSpace="0"/>
        </w:sectPr>
      </w:pPr>
    </w:p>
    <w:p>
      <w:pPr>
        <w:pStyle w:val="4"/>
        <w:ind w:firstLine="482"/>
        <w:jc w:val="center"/>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信用记录（格式）</w:t>
      </w:r>
    </w:p>
    <w:p>
      <w:pPr>
        <w:overflowPunct w:val="0"/>
        <w:topLinePunct/>
        <w:autoSpaceDN w:val="0"/>
        <w:adjustRightInd w:val="0"/>
        <w:snapToGrid w:val="0"/>
        <w:spacing w:line="360" w:lineRule="auto"/>
        <w:rPr>
          <w:rFonts w:hint="eastAsia" w:ascii="宋体" w:hAnsi="宋体" w:eastAsia="宋体" w:cs="宋体"/>
          <w:snapToGrid w:val="0"/>
          <w:kern w:val="0"/>
          <w:szCs w:val="21"/>
          <w:u w:val="single"/>
        </w:rPr>
      </w:pPr>
    </w:p>
    <w:p>
      <w:pPr>
        <w:overflowPunct w:val="0"/>
        <w:topLinePunct/>
        <w:autoSpaceDN w:val="0"/>
        <w:adjustRightInd w:val="0"/>
        <w:snapToGrid w:val="0"/>
        <w:spacing w:line="360" w:lineRule="auto"/>
        <w:rPr>
          <w:rFonts w:hint="eastAsia" w:ascii="宋体" w:hAnsi="宋体" w:eastAsia="宋体" w:cs="宋体"/>
          <w:snapToGrid w:val="0"/>
          <w:kern w:val="0"/>
          <w:szCs w:val="21"/>
        </w:rPr>
      </w:pPr>
      <w:r>
        <w:rPr>
          <w:rFonts w:hint="eastAsia" w:ascii="宋体" w:hAnsi="宋体" w:eastAsia="宋体" w:cs="宋体"/>
          <w:snapToGrid w:val="0"/>
          <w:kern w:val="0"/>
          <w:szCs w:val="21"/>
          <w:u w:val="single"/>
        </w:rPr>
        <w:t xml:space="preserve">                </w:t>
      </w:r>
      <w:r>
        <w:rPr>
          <w:rFonts w:hint="eastAsia" w:ascii="宋体" w:hAnsi="宋体" w:eastAsia="宋体" w:cs="宋体"/>
          <w:snapToGrid w:val="0"/>
          <w:kern w:val="0"/>
          <w:szCs w:val="21"/>
        </w:rPr>
        <w:t>（</w:t>
      </w:r>
      <w:r>
        <w:rPr>
          <w:rFonts w:hint="eastAsia" w:ascii="宋体" w:hAnsi="宋体" w:eastAsia="宋体" w:cs="宋体"/>
          <w:b/>
          <w:snapToGrid w:val="0"/>
          <w:kern w:val="0"/>
          <w:szCs w:val="21"/>
        </w:rPr>
        <w:t>采购人</w:t>
      </w:r>
      <w:r>
        <w:rPr>
          <w:rFonts w:hint="eastAsia" w:ascii="宋体" w:hAnsi="宋体" w:eastAsia="宋体" w:cs="宋体"/>
          <w:snapToGrid w:val="0"/>
          <w:kern w:val="0"/>
          <w:szCs w:val="21"/>
        </w:rPr>
        <w:t>）：</w:t>
      </w:r>
    </w:p>
    <w:p>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Cs w:val="21"/>
        </w:rPr>
      </w:pPr>
    </w:p>
    <w:p>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我单位参加本次政府采购活动前三年内，在经营活动中没有重大违法记录；未被“信用中国”（www.creditchina.gov.cn）、中国政府采购网（www.ccgp.gov.cn）列入失信被执行人、重大税收违法案件当事人名单、政府采购严重违法失信行为记录名单。</w:t>
      </w:r>
    </w:p>
    <w:p>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Cs w:val="21"/>
        </w:rPr>
      </w:pPr>
    </w:p>
    <w:p>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贵方可查询 “信用中国”网站（www.creditchina.gov.cn）、“中国政府采购网”网站（www.ccgp.gov.cn）证实。</w:t>
      </w:r>
    </w:p>
    <w:p>
      <w:pPr>
        <w:overflowPunct w:val="0"/>
        <w:topLinePunct/>
        <w:autoSpaceDN w:val="0"/>
        <w:adjustRightInd w:val="0"/>
        <w:snapToGrid w:val="0"/>
        <w:spacing w:line="360" w:lineRule="auto"/>
        <w:ind w:firstLine="480" w:firstLineChars="200"/>
        <w:rPr>
          <w:rFonts w:hint="eastAsia" w:ascii="宋体" w:hAnsi="宋体" w:eastAsia="宋体" w:cs="宋体"/>
          <w:color w:val="000000"/>
          <w:kern w:val="0"/>
          <w:szCs w:val="21"/>
        </w:rPr>
      </w:pPr>
    </w:p>
    <w:p>
      <w:pPr>
        <w:overflowPunct w:val="0"/>
        <w:topLinePunct/>
        <w:autoSpaceDN w:val="0"/>
        <w:adjustRightInd w:val="0"/>
        <w:snapToGrid w:val="0"/>
        <w:spacing w:line="360" w:lineRule="auto"/>
        <w:ind w:firstLine="48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特此声明</w:t>
      </w:r>
    </w:p>
    <w:p>
      <w:pPr>
        <w:rPr>
          <w:rFonts w:hint="eastAsia" w:ascii="宋体" w:hAnsi="宋体" w:eastAsia="宋体" w:cs="宋体"/>
          <w:lang w:val="en-US" w:eastAsia="zh-CN"/>
        </w:rPr>
      </w:pPr>
    </w:p>
    <w:p>
      <w:pPr>
        <w:keepNext/>
        <w:adjustRightInd w:val="0"/>
        <w:snapToGrid w:val="0"/>
        <w:ind w:firstLine="2760" w:firstLineChars="1150"/>
        <w:rPr>
          <w:rFonts w:ascii="宋体" w:hAnsi="宋体"/>
          <w:color w:val="000000" w:themeColor="text1"/>
          <w:u w:val="single"/>
          <w14:textFill>
            <w14:solidFill>
              <w14:schemeClr w14:val="tx1"/>
            </w14:solidFill>
          </w14:textFill>
        </w:rPr>
      </w:pPr>
      <w:r>
        <w:rPr>
          <w:rFonts w:hint="eastAsia" w:ascii="宋体" w:hAnsi="宋体" w:cs="仿宋_GB2312"/>
          <w:color w:val="000000" w:themeColor="text1"/>
          <w14:textFill>
            <w14:solidFill>
              <w14:schemeClr w14:val="tx1"/>
            </w14:solidFill>
          </w14:textFill>
        </w:rPr>
        <w:t>供应商（公章）：</w:t>
      </w:r>
      <w:r>
        <w:rPr>
          <w:rFonts w:hint="eastAsia" w:ascii="宋体" w:hAnsi="宋体" w:cs="仿宋_GB2312"/>
          <w:color w:val="000000" w:themeColor="text1"/>
          <w:u w:val="single"/>
          <w14:textFill>
            <w14:solidFill>
              <w14:schemeClr w14:val="tx1"/>
            </w14:solidFill>
          </w14:textFill>
        </w:rPr>
        <w:t xml:space="preserve">               </w:t>
      </w:r>
    </w:p>
    <w:p>
      <w:pPr>
        <w:keepNext/>
        <w:adjustRightInd w:val="0"/>
        <w:snapToGrid w:val="0"/>
        <w:ind w:firstLine="2760" w:firstLineChars="1150"/>
        <w:rPr>
          <w:rFonts w:ascii="宋体" w:hAnsi="宋体"/>
          <w:color w:val="000000" w:themeColor="text1"/>
          <w:u w:val="single"/>
          <w14:textFill>
            <w14:solidFill>
              <w14:schemeClr w14:val="tx1"/>
            </w14:solidFill>
          </w14:textFill>
        </w:rPr>
      </w:pPr>
      <w:r>
        <w:rPr>
          <w:rFonts w:hint="eastAsia" w:ascii="宋体" w:hAnsi="宋体" w:cs="仿宋_GB2312"/>
          <w:color w:val="000000" w:themeColor="text1"/>
          <w14:textFill>
            <w14:solidFill>
              <w14:schemeClr w14:val="tx1"/>
            </w14:solidFill>
          </w14:textFill>
        </w:rPr>
        <w:t>法定代表人或供应商代表（签字或签章）：</w:t>
      </w:r>
      <w:r>
        <w:rPr>
          <w:rFonts w:hint="eastAsia" w:ascii="宋体" w:hAnsi="宋体" w:cs="仿宋_GB2312"/>
          <w:color w:val="000000" w:themeColor="text1"/>
          <w:u w:val="single"/>
          <w14:textFill>
            <w14:solidFill>
              <w14:schemeClr w14:val="tx1"/>
            </w14:solidFill>
          </w14:textFill>
        </w:rPr>
        <w:t xml:space="preserve">                </w:t>
      </w:r>
    </w:p>
    <w:p>
      <w:pPr>
        <w:tabs>
          <w:tab w:val="left" w:pos="4000"/>
        </w:tabs>
        <w:overflowPunct w:val="0"/>
        <w:topLinePunct/>
        <w:autoSpaceDN w:val="0"/>
        <w:adjustRightInd w:val="0"/>
        <w:snapToGrid w:val="0"/>
        <w:ind w:firstLine="2760" w:firstLineChars="1150"/>
        <w:rPr>
          <w:rFonts w:ascii="宋体" w:hAnsi="宋体" w:cs="仿宋_GB2312"/>
          <w:color w:val="000000" w:themeColor="text1"/>
          <w:u w:val="single"/>
          <w14:textFill>
            <w14:solidFill>
              <w14:schemeClr w14:val="tx1"/>
            </w14:solidFill>
          </w14:textFill>
        </w:rPr>
      </w:pPr>
      <w:r>
        <w:rPr>
          <w:rFonts w:hint="eastAsia" w:ascii="宋体" w:hAnsi="宋体" w:cs="仿宋_GB2312"/>
          <w:color w:val="000000" w:themeColor="text1"/>
          <w14:textFill>
            <w14:solidFill>
              <w14:schemeClr w14:val="tx1"/>
            </w14:solidFill>
          </w14:textFill>
        </w:rPr>
        <w:t>日  期：</w:t>
      </w:r>
      <w:r>
        <w:rPr>
          <w:rFonts w:hint="eastAsia" w:ascii="宋体" w:hAnsi="宋体" w:cs="仿宋_GB2312"/>
          <w:color w:val="000000" w:themeColor="text1"/>
          <w:u w:val="single"/>
          <w14:textFill>
            <w14:solidFill>
              <w14:schemeClr w14:val="tx1"/>
            </w14:solidFill>
          </w14:textFill>
        </w:rPr>
        <w:t xml:space="preserve">                   </w:t>
      </w:r>
    </w:p>
    <w:p>
      <w:pPr>
        <w:pStyle w:val="17"/>
        <w:ind w:firstLine="480"/>
        <w:rPr>
          <w:color w:val="000000" w:themeColor="text1"/>
          <w14:textFill>
            <w14:solidFill>
              <w14:schemeClr w14:val="tx1"/>
            </w14:solidFill>
          </w14:textFill>
        </w:rPr>
      </w:pPr>
    </w:p>
    <w:p>
      <w:pPr>
        <w:pStyle w:val="18"/>
        <w:rPr>
          <w:color w:val="000000" w:themeColor="text1"/>
          <w14:textFill>
            <w14:solidFill>
              <w14:schemeClr w14:val="tx1"/>
            </w14:solidFill>
          </w14:textFill>
        </w:rPr>
        <w:sectPr>
          <w:pgSz w:w="11850" w:h="16783"/>
          <w:pgMar w:top="1440" w:right="1800" w:bottom="1440" w:left="1800" w:header="720" w:footer="1417" w:gutter="0"/>
          <w:cols w:space="0" w:num="1"/>
          <w:docGrid w:linePitch="312" w:charSpace="0"/>
        </w:sectPr>
      </w:pPr>
    </w:p>
    <w:p>
      <w:pPr>
        <w:ind w:firstLine="482"/>
        <w:jc w:val="center"/>
        <w:rPr>
          <w:rFonts w:ascii="宋体" w:hAnsi="宋体"/>
          <w:b/>
          <w:color w:val="000000" w:themeColor="text1"/>
          <w:kern w:val="0"/>
          <w14:textFill>
            <w14:solidFill>
              <w14:schemeClr w14:val="tx1"/>
            </w14:solidFill>
          </w14:textFill>
        </w:rPr>
      </w:pPr>
      <w:r>
        <w:rPr>
          <w:rFonts w:hint="eastAsia" w:ascii="宋体" w:hAnsi="宋体"/>
          <w:b/>
          <w:color w:val="000000" w:themeColor="text1"/>
          <w:kern w:val="0"/>
          <w14:textFill>
            <w14:solidFill>
              <w14:schemeClr w14:val="tx1"/>
            </w14:solidFill>
          </w14:textFill>
        </w:rPr>
        <w:t>中小企业声明函</w:t>
      </w:r>
      <w:r>
        <w:rPr>
          <w:rFonts w:hint="eastAsia" w:ascii="宋体" w:hAnsi="宋体" w:cs="宋体"/>
          <w:b/>
          <w:color w:val="000000" w:themeColor="text1"/>
          <w:kern w:val="0"/>
          <w:sz w:val="28"/>
          <w:szCs w:val="28"/>
          <w14:textFill>
            <w14:solidFill>
              <w14:schemeClr w14:val="tx1"/>
            </w14:solidFill>
          </w14:textFill>
        </w:rPr>
        <w:t>（货物）（格式）</w:t>
      </w:r>
    </w:p>
    <w:p>
      <w:pPr>
        <w:ind w:firstLine="480"/>
        <w:rPr>
          <w:color w:val="000000" w:themeColor="text1"/>
          <w14:textFill>
            <w14:solidFill>
              <w14:schemeClr w14:val="tx1"/>
            </w14:solidFill>
          </w14:textFill>
        </w:rPr>
      </w:pPr>
    </w:p>
    <w:p>
      <w:pPr>
        <w:adjustRightInd w:val="0"/>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本公司（联合体）郑重声明，根据《政府采购促进中小企业发展管理办法》（财库﹝2020﹞46 号）的规定，本公司（联合体）参加（单位名称）的（项目名称）（项目编号）采购活动，提供的货物全部由符合政策要求的中小企业制造。相关企业（含联合体中的中小企业、签订分包意向协议的中小企业） 的具体情况如下：</w:t>
      </w:r>
    </w:p>
    <w:p>
      <w:pPr>
        <w:widowControl/>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 xml:space="preserve">1. </w:t>
      </w:r>
      <w:r>
        <w:rPr>
          <w:rFonts w:hint="eastAsia" w:ascii="宋体" w:hAnsi="宋体" w:cs="宋体"/>
          <w:color w:val="000000" w:themeColor="text1"/>
          <w:u w:val="single"/>
          <w:lang w:bidi="ar"/>
          <w14:textFill>
            <w14:solidFill>
              <w14:schemeClr w14:val="tx1"/>
            </w14:solidFill>
          </w14:textFill>
        </w:rPr>
        <w:t xml:space="preserve">（ 标的名称 ） </w:t>
      </w:r>
      <w:r>
        <w:rPr>
          <w:rFonts w:hint="eastAsia" w:ascii="宋体" w:hAnsi="宋体" w:cs="宋体"/>
          <w:color w:val="000000" w:themeColor="text1"/>
          <w:lang w:bidi="ar"/>
          <w14:textFill>
            <w14:solidFill>
              <w14:schemeClr w14:val="tx1"/>
            </w14:solidFill>
          </w14:textFill>
        </w:rPr>
        <w:t>， 属于</w:t>
      </w:r>
      <w:r>
        <w:rPr>
          <w:rFonts w:hint="eastAsia" w:ascii="宋体" w:hAnsi="宋体" w:cs="宋体"/>
          <w:color w:val="000000" w:themeColor="text1"/>
          <w:u w:val="single"/>
          <w:lang w:bidi="ar"/>
          <w14:textFill>
            <w14:solidFill>
              <w14:schemeClr w14:val="tx1"/>
            </w14:solidFill>
          </w14:textFill>
        </w:rPr>
        <w:t>（采购文件中明确的所属行业）</w:t>
      </w:r>
      <w:r>
        <w:rPr>
          <w:rFonts w:hint="eastAsia" w:ascii="宋体" w:hAnsi="宋体" w:cs="宋体"/>
          <w:color w:val="000000" w:themeColor="text1"/>
          <w:lang w:bidi="ar"/>
          <w14:textFill>
            <w14:solidFill>
              <w14:schemeClr w14:val="tx1"/>
            </w14:solidFill>
          </w14:textFill>
        </w:rPr>
        <w:t>行业；制造商为</w:t>
      </w:r>
      <w:r>
        <w:rPr>
          <w:rFonts w:hint="eastAsia" w:ascii="宋体" w:hAnsi="宋体" w:cs="宋体"/>
          <w:color w:val="000000" w:themeColor="text1"/>
          <w:u w:val="single"/>
          <w:lang w:bidi="ar"/>
          <w14:textFill>
            <w14:solidFill>
              <w14:schemeClr w14:val="tx1"/>
            </w14:solidFill>
          </w14:textFill>
        </w:rPr>
        <w:t>（企业名称）</w:t>
      </w:r>
      <w:r>
        <w:rPr>
          <w:rFonts w:hint="eastAsia" w:ascii="宋体" w:hAnsi="宋体" w:cs="宋体"/>
          <w:color w:val="000000" w:themeColor="text1"/>
          <w:lang w:bidi="ar"/>
          <w14:textFill>
            <w14:solidFill>
              <w14:schemeClr w14:val="tx1"/>
            </w14:solidFill>
          </w14:textFill>
        </w:rPr>
        <w:t>，从业人员</w:t>
      </w:r>
      <w:r>
        <w:rPr>
          <w:rFonts w:hint="eastAsia" w:ascii="宋体" w:hAnsi="宋体" w:cs="宋体"/>
          <w:color w:val="000000" w:themeColor="text1"/>
          <w:u w:val="single"/>
          <w:lang w:bidi="ar"/>
          <w14:textFill>
            <w14:solidFill>
              <w14:schemeClr w14:val="tx1"/>
            </w14:solidFill>
          </w14:textFill>
        </w:rPr>
        <w:t xml:space="preserve">       </w:t>
      </w:r>
      <w:r>
        <w:rPr>
          <w:rFonts w:hint="eastAsia" w:ascii="宋体" w:hAnsi="宋体" w:cs="宋体"/>
          <w:color w:val="000000" w:themeColor="text1"/>
          <w:u w:val="single"/>
          <w:lang w:bidi="ar"/>
          <w14:textFill>
            <w14:solidFill>
              <w14:schemeClr w14:val="tx1"/>
            </w14:solidFill>
          </w14:textFill>
        </w:rPr>
        <w:tab/>
      </w:r>
      <w:r>
        <w:rPr>
          <w:rFonts w:hint="eastAsia" w:ascii="宋体" w:hAnsi="宋体" w:cs="宋体"/>
          <w:color w:val="000000" w:themeColor="text1"/>
          <w:lang w:bidi="ar"/>
          <w14:textFill>
            <w14:solidFill>
              <w14:schemeClr w14:val="tx1"/>
            </w14:solidFill>
          </w14:textFill>
        </w:rPr>
        <w:t>人，营业收入为</w:t>
      </w:r>
      <w:r>
        <w:rPr>
          <w:rFonts w:hint="eastAsia" w:ascii="宋体" w:hAnsi="宋体" w:cs="宋体"/>
          <w:color w:val="000000" w:themeColor="text1"/>
          <w:u w:val="single"/>
          <w:lang w:bidi="ar"/>
          <w14:textFill>
            <w14:solidFill>
              <w14:schemeClr w14:val="tx1"/>
            </w14:solidFill>
          </w14:textFill>
        </w:rPr>
        <w:t xml:space="preserve">    </w:t>
      </w:r>
      <w:r>
        <w:rPr>
          <w:rFonts w:hint="eastAsia" w:ascii="宋体" w:hAnsi="宋体" w:cs="宋体"/>
          <w:color w:val="000000" w:themeColor="text1"/>
          <w:u w:val="single"/>
          <w:lang w:bidi="ar"/>
          <w14:textFill>
            <w14:solidFill>
              <w14:schemeClr w14:val="tx1"/>
            </w14:solidFill>
          </w14:textFill>
        </w:rPr>
        <w:tab/>
      </w:r>
      <w:r>
        <w:rPr>
          <w:rFonts w:hint="eastAsia" w:ascii="宋体" w:hAnsi="宋体" w:cs="宋体"/>
          <w:color w:val="000000" w:themeColor="text1"/>
          <w:lang w:bidi="ar"/>
          <w14:textFill>
            <w14:solidFill>
              <w14:schemeClr w14:val="tx1"/>
            </w14:solidFill>
          </w14:textFill>
        </w:rPr>
        <w:t>万元，资产总额为</w:t>
      </w:r>
      <w:r>
        <w:rPr>
          <w:rFonts w:hint="eastAsia" w:ascii="宋体" w:hAnsi="宋体" w:cs="宋体"/>
          <w:color w:val="000000" w:themeColor="text1"/>
          <w:u w:val="single"/>
          <w:lang w:bidi="ar"/>
          <w14:textFill>
            <w14:solidFill>
              <w14:schemeClr w14:val="tx1"/>
            </w14:solidFill>
          </w14:textFill>
        </w:rPr>
        <w:t xml:space="preserve"> </w:t>
      </w:r>
      <w:r>
        <w:rPr>
          <w:rFonts w:hint="eastAsia" w:ascii="宋体" w:hAnsi="宋体" w:cs="宋体"/>
          <w:color w:val="000000" w:themeColor="text1"/>
          <w:u w:val="single"/>
          <w:lang w:bidi="ar"/>
          <w14:textFill>
            <w14:solidFill>
              <w14:schemeClr w14:val="tx1"/>
            </w14:solidFill>
          </w14:textFill>
        </w:rPr>
        <w:tab/>
      </w:r>
      <w:r>
        <w:rPr>
          <w:rFonts w:hint="eastAsia" w:ascii="宋体" w:hAnsi="宋体" w:cs="宋体"/>
          <w:color w:val="000000" w:themeColor="text1"/>
          <w:u w:val="single"/>
          <w:lang w:bidi="ar"/>
          <w14:textFill>
            <w14:solidFill>
              <w14:schemeClr w14:val="tx1"/>
            </w14:solidFill>
          </w14:textFill>
        </w:rPr>
        <w:t xml:space="preserve">  </w:t>
      </w:r>
      <w:r>
        <w:rPr>
          <w:rFonts w:hint="eastAsia" w:ascii="宋体" w:hAnsi="宋体" w:cs="宋体"/>
          <w:color w:val="000000" w:themeColor="text1"/>
          <w:lang w:bidi="ar"/>
          <w14:textFill>
            <w14:solidFill>
              <w14:schemeClr w14:val="tx1"/>
            </w14:solidFill>
          </w14:textFill>
        </w:rPr>
        <w:t>万元</w:t>
      </w:r>
      <w:r>
        <w:rPr>
          <w:rFonts w:ascii="仿宋" w:hAnsi="仿宋" w:eastAsia="仿宋" w:cs="仿宋"/>
          <w:color w:val="000000" w:themeColor="text1"/>
          <w:kern w:val="0"/>
          <w:sz w:val="16"/>
          <w:szCs w:val="16"/>
          <w:lang w:bidi="ar"/>
          <w14:textFill>
            <w14:solidFill>
              <w14:schemeClr w14:val="tx1"/>
            </w14:solidFill>
          </w14:textFill>
        </w:rPr>
        <w:t>1</w:t>
      </w:r>
      <w:r>
        <w:rPr>
          <w:rFonts w:hint="eastAsia" w:ascii="宋体" w:hAnsi="宋体" w:cs="宋体"/>
          <w:color w:val="000000" w:themeColor="text1"/>
          <w:lang w:bidi="ar"/>
          <w14:textFill>
            <w14:solidFill>
              <w14:schemeClr w14:val="tx1"/>
            </w14:solidFill>
          </w14:textFill>
        </w:rPr>
        <w:t>，属于</w:t>
      </w:r>
      <w:r>
        <w:rPr>
          <w:rFonts w:hint="eastAsia" w:ascii="宋体" w:hAnsi="宋体" w:cs="宋体"/>
          <w:color w:val="000000" w:themeColor="text1"/>
          <w:u w:val="single"/>
          <w:lang w:bidi="ar"/>
          <w14:textFill>
            <w14:solidFill>
              <w14:schemeClr w14:val="tx1"/>
            </w14:solidFill>
          </w14:textFill>
        </w:rPr>
        <w:t>（中型企业、小型企业、微型企业）</w:t>
      </w:r>
      <w:r>
        <w:rPr>
          <w:rFonts w:hint="eastAsia" w:ascii="宋体" w:hAnsi="宋体" w:cs="宋体"/>
          <w:color w:val="000000" w:themeColor="text1"/>
          <w:lang w:bidi="ar"/>
          <w14:textFill>
            <w14:solidFill>
              <w14:schemeClr w14:val="tx1"/>
            </w14:solidFill>
          </w14:textFill>
        </w:rPr>
        <w:t>；</w:t>
      </w:r>
    </w:p>
    <w:p>
      <w:pPr>
        <w:adjustRightInd w:val="0"/>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 xml:space="preserve">2. </w:t>
      </w:r>
      <w:r>
        <w:rPr>
          <w:rFonts w:hint="eastAsia" w:ascii="宋体" w:hAnsi="宋体" w:cs="宋体"/>
          <w:color w:val="000000" w:themeColor="text1"/>
          <w:u w:val="single"/>
          <w:lang w:bidi="ar"/>
          <w14:textFill>
            <w14:solidFill>
              <w14:schemeClr w14:val="tx1"/>
            </w14:solidFill>
          </w14:textFill>
        </w:rPr>
        <w:t xml:space="preserve">（ 标的名称 ） </w:t>
      </w:r>
      <w:r>
        <w:rPr>
          <w:rFonts w:hint="eastAsia" w:ascii="宋体" w:hAnsi="宋体" w:cs="宋体"/>
          <w:color w:val="000000" w:themeColor="text1"/>
          <w:lang w:bidi="ar"/>
          <w14:textFill>
            <w14:solidFill>
              <w14:schemeClr w14:val="tx1"/>
            </w14:solidFill>
          </w14:textFill>
        </w:rPr>
        <w:t>， 属于</w:t>
      </w:r>
      <w:r>
        <w:rPr>
          <w:rFonts w:hint="eastAsia" w:ascii="宋体" w:hAnsi="宋体" w:cs="宋体"/>
          <w:color w:val="000000" w:themeColor="text1"/>
          <w:u w:val="single"/>
          <w:lang w:bidi="ar"/>
          <w14:textFill>
            <w14:solidFill>
              <w14:schemeClr w14:val="tx1"/>
            </w14:solidFill>
          </w14:textFill>
        </w:rPr>
        <w:t>（采购文件中明确的所属行业）</w:t>
      </w:r>
      <w:r>
        <w:rPr>
          <w:rFonts w:hint="eastAsia" w:ascii="宋体" w:hAnsi="宋体" w:cs="宋体"/>
          <w:color w:val="000000" w:themeColor="text1"/>
          <w:lang w:bidi="ar"/>
          <w14:textFill>
            <w14:solidFill>
              <w14:schemeClr w14:val="tx1"/>
            </w14:solidFill>
          </w14:textFill>
        </w:rPr>
        <w:t>行业；制造商为</w:t>
      </w:r>
      <w:r>
        <w:rPr>
          <w:rFonts w:hint="eastAsia" w:ascii="宋体" w:hAnsi="宋体" w:cs="宋体"/>
          <w:color w:val="000000" w:themeColor="text1"/>
          <w:u w:val="single"/>
          <w:lang w:bidi="ar"/>
          <w14:textFill>
            <w14:solidFill>
              <w14:schemeClr w14:val="tx1"/>
            </w14:solidFill>
          </w14:textFill>
        </w:rPr>
        <w:t>（企业名称）</w:t>
      </w:r>
      <w:r>
        <w:rPr>
          <w:rFonts w:hint="eastAsia" w:ascii="宋体" w:hAnsi="宋体" w:cs="宋体"/>
          <w:color w:val="000000" w:themeColor="text1"/>
          <w:lang w:bidi="ar"/>
          <w14:textFill>
            <w14:solidFill>
              <w14:schemeClr w14:val="tx1"/>
            </w14:solidFill>
          </w14:textFill>
        </w:rPr>
        <w:t>，从业人员</w:t>
      </w:r>
      <w:r>
        <w:rPr>
          <w:rFonts w:hint="eastAsia" w:ascii="宋体" w:hAnsi="宋体" w:cs="宋体"/>
          <w:color w:val="000000" w:themeColor="text1"/>
          <w:u w:val="single"/>
          <w:lang w:bidi="ar"/>
          <w14:textFill>
            <w14:solidFill>
              <w14:schemeClr w14:val="tx1"/>
            </w14:solidFill>
          </w14:textFill>
        </w:rPr>
        <w:t xml:space="preserve">    </w:t>
      </w:r>
      <w:r>
        <w:rPr>
          <w:rFonts w:hint="eastAsia" w:ascii="宋体" w:hAnsi="宋体" w:cs="宋体"/>
          <w:color w:val="000000" w:themeColor="text1"/>
          <w:u w:val="single"/>
          <w:lang w:bidi="ar"/>
          <w14:textFill>
            <w14:solidFill>
              <w14:schemeClr w14:val="tx1"/>
            </w14:solidFill>
          </w14:textFill>
        </w:rPr>
        <w:tab/>
      </w:r>
      <w:r>
        <w:rPr>
          <w:rFonts w:hint="eastAsia" w:ascii="宋体" w:hAnsi="宋体" w:cs="宋体"/>
          <w:color w:val="000000" w:themeColor="text1"/>
          <w:lang w:bidi="ar"/>
          <w14:textFill>
            <w14:solidFill>
              <w14:schemeClr w14:val="tx1"/>
            </w14:solidFill>
          </w14:textFill>
        </w:rPr>
        <w:t>人，营业收入为</w:t>
      </w:r>
      <w:r>
        <w:rPr>
          <w:rFonts w:hint="eastAsia" w:ascii="宋体" w:hAnsi="宋体" w:cs="宋体"/>
          <w:color w:val="000000" w:themeColor="text1"/>
          <w:u w:val="single"/>
          <w:lang w:bidi="ar"/>
          <w14:textFill>
            <w14:solidFill>
              <w14:schemeClr w14:val="tx1"/>
            </w14:solidFill>
          </w14:textFill>
        </w:rPr>
        <w:t xml:space="preserve">    </w:t>
      </w:r>
      <w:r>
        <w:rPr>
          <w:rFonts w:hint="eastAsia" w:ascii="宋体" w:hAnsi="宋体" w:cs="宋体"/>
          <w:color w:val="000000" w:themeColor="text1"/>
          <w:u w:val="single"/>
          <w:lang w:bidi="ar"/>
          <w14:textFill>
            <w14:solidFill>
              <w14:schemeClr w14:val="tx1"/>
            </w14:solidFill>
          </w14:textFill>
        </w:rPr>
        <w:tab/>
      </w:r>
      <w:r>
        <w:rPr>
          <w:rFonts w:hint="eastAsia" w:ascii="宋体" w:hAnsi="宋体" w:cs="宋体"/>
          <w:color w:val="000000" w:themeColor="text1"/>
          <w:lang w:bidi="ar"/>
          <w14:textFill>
            <w14:solidFill>
              <w14:schemeClr w14:val="tx1"/>
            </w14:solidFill>
          </w14:textFill>
        </w:rPr>
        <w:t>万元，资产总额为</w:t>
      </w:r>
      <w:r>
        <w:rPr>
          <w:rFonts w:hint="eastAsia" w:ascii="宋体" w:hAnsi="宋体" w:cs="宋体"/>
          <w:color w:val="000000" w:themeColor="text1"/>
          <w:u w:val="single"/>
          <w:lang w:bidi="ar"/>
          <w14:textFill>
            <w14:solidFill>
              <w14:schemeClr w14:val="tx1"/>
            </w14:solidFill>
          </w14:textFill>
        </w:rPr>
        <w:t xml:space="preserve"> </w:t>
      </w:r>
      <w:r>
        <w:rPr>
          <w:rFonts w:hint="eastAsia" w:ascii="宋体" w:hAnsi="宋体" w:cs="宋体"/>
          <w:color w:val="000000" w:themeColor="text1"/>
          <w:u w:val="single"/>
          <w:lang w:bidi="ar"/>
          <w14:textFill>
            <w14:solidFill>
              <w14:schemeClr w14:val="tx1"/>
            </w14:solidFill>
          </w14:textFill>
        </w:rPr>
        <w:tab/>
      </w:r>
      <w:r>
        <w:rPr>
          <w:rFonts w:hint="eastAsia" w:ascii="宋体" w:hAnsi="宋体" w:cs="宋体"/>
          <w:color w:val="000000" w:themeColor="text1"/>
          <w:u w:val="single"/>
          <w:lang w:bidi="ar"/>
          <w14:textFill>
            <w14:solidFill>
              <w14:schemeClr w14:val="tx1"/>
            </w14:solidFill>
          </w14:textFill>
        </w:rPr>
        <w:t xml:space="preserve">  </w:t>
      </w:r>
      <w:r>
        <w:rPr>
          <w:rFonts w:hint="eastAsia" w:ascii="宋体" w:hAnsi="宋体" w:cs="宋体"/>
          <w:color w:val="000000" w:themeColor="text1"/>
          <w:lang w:bidi="ar"/>
          <w14:textFill>
            <w14:solidFill>
              <w14:schemeClr w14:val="tx1"/>
            </w14:solidFill>
          </w14:textFill>
        </w:rPr>
        <w:t>万元，属于</w:t>
      </w:r>
      <w:r>
        <w:rPr>
          <w:rFonts w:hint="eastAsia" w:ascii="宋体" w:hAnsi="宋体" w:cs="宋体"/>
          <w:color w:val="000000" w:themeColor="text1"/>
          <w:u w:val="single"/>
          <w:lang w:bidi="ar"/>
          <w14:textFill>
            <w14:solidFill>
              <w14:schemeClr w14:val="tx1"/>
            </w14:solidFill>
          </w14:textFill>
        </w:rPr>
        <w:t>（中型企业、小型企业、微型企业）</w:t>
      </w:r>
      <w:r>
        <w:rPr>
          <w:rFonts w:hint="eastAsia" w:ascii="宋体" w:hAnsi="宋体" w:cs="宋体"/>
          <w:color w:val="000000" w:themeColor="text1"/>
          <w:lang w:bidi="ar"/>
          <w14:textFill>
            <w14:solidFill>
              <w14:schemeClr w14:val="tx1"/>
            </w14:solidFill>
          </w14:textFill>
        </w:rPr>
        <w:t>；</w:t>
      </w:r>
    </w:p>
    <w:p>
      <w:pPr>
        <w:adjustRightInd w:val="0"/>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w:t>
      </w:r>
    </w:p>
    <w:p>
      <w:pPr>
        <w:adjustRightInd w:val="0"/>
        <w:snapToGrid w:val="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bidi="ar"/>
          <w14:textFill>
            <w14:solidFill>
              <w14:schemeClr w14:val="tx1"/>
            </w14:solidFill>
          </w14:textFill>
        </w:rPr>
        <w:t>以上企业，不属于大企业的分支机构，不存在控股股东为大企业的情形，也不存在与大企业的负责人为同一人的情形。</w:t>
      </w:r>
    </w:p>
    <w:p>
      <w:pPr>
        <w:adjustRightInd w:val="0"/>
        <w:snapToGrid w:val="0"/>
        <w:ind w:firstLine="480"/>
        <w:rPr>
          <w:rFonts w:ascii="宋体" w:hAnsi="宋体" w:cs="宋体"/>
          <w:color w:val="000000" w:themeColor="text1"/>
          <w:lang w:bidi="ar"/>
          <w14:textFill>
            <w14:solidFill>
              <w14:schemeClr w14:val="tx1"/>
            </w14:solidFill>
          </w14:textFill>
        </w:rPr>
      </w:pPr>
      <w:r>
        <w:rPr>
          <w:rFonts w:hint="eastAsia" w:ascii="宋体" w:hAnsi="宋体" w:cs="宋体"/>
          <w:color w:val="000000" w:themeColor="text1"/>
          <w:lang w:bidi="ar"/>
          <w14:textFill>
            <w14:solidFill>
              <w14:schemeClr w14:val="tx1"/>
            </w14:solidFill>
          </w14:textFill>
        </w:rPr>
        <w:t>本企业对上述声明内容的真实性负责。如有虚假，将依法承担相应责任。</w:t>
      </w:r>
    </w:p>
    <w:p>
      <w:pPr>
        <w:pStyle w:val="17"/>
        <w:ind w:firstLine="480"/>
        <w:rPr>
          <w:rFonts w:ascii="宋体" w:hAnsi="宋体" w:cs="宋体"/>
          <w:color w:val="000000" w:themeColor="text1"/>
          <w:kern w:val="2"/>
          <w:szCs w:val="24"/>
          <w:lang w:bidi="ar"/>
          <w14:textFill>
            <w14:solidFill>
              <w14:schemeClr w14:val="tx1"/>
            </w14:solidFill>
          </w14:textFill>
        </w:rPr>
      </w:pPr>
    </w:p>
    <w:p>
      <w:pPr>
        <w:pStyle w:val="17"/>
        <w:ind w:firstLine="480"/>
        <w:rPr>
          <w:rFonts w:ascii="宋体" w:hAnsi="宋体" w:cs="宋体"/>
          <w:color w:val="000000" w:themeColor="text1"/>
          <w:kern w:val="2"/>
          <w:szCs w:val="24"/>
          <w:lang w:bidi="ar"/>
          <w14:textFill>
            <w14:solidFill>
              <w14:schemeClr w14:val="tx1"/>
            </w14:solidFill>
          </w14:textFill>
        </w:rPr>
      </w:pPr>
    </w:p>
    <w:p>
      <w:pPr>
        <w:pStyle w:val="17"/>
        <w:ind w:firstLine="480"/>
        <w:rPr>
          <w:rFonts w:ascii="宋体" w:hAnsi="宋体" w:cs="宋体"/>
          <w:color w:val="000000" w:themeColor="text1"/>
          <w:kern w:val="2"/>
          <w:szCs w:val="24"/>
          <w:lang w:bidi="ar"/>
          <w14:textFill>
            <w14:solidFill>
              <w14:schemeClr w14:val="tx1"/>
            </w14:solidFill>
          </w14:textFill>
        </w:rPr>
      </w:pPr>
    </w:p>
    <w:p>
      <w:pPr>
        <w:pStyle w:val="17"/>
        <w:ind w:firstLine="480"/>
        <w:rPr>
          <w:rFonts w:ascii="宋体" w:hAnsi="宋体" w:cs="宋体"/>
          <w:color w:val="000000" w:themeColor="text1"/>
          <w:kern w:val="2"/>
          <w:szCs w:val="24"/>
          <w:lang w:bidi="ar"/>
          <w14:textFill>
            <w14:solidFill>
              <w14:schemeClr w14:val="tx1"/>
            </w14:solidFill>
          </w14:textFill>
        </w:rPr>
      </w:pPr>
    </w:p>
    <w:p>
      <w:pPr>
        <w:pStyle w:val="39"/>
        <w:widowControl w:val="0"/>
        <w:snapToGrid w:val="0"/>
        <w:spacing w:before="0" w:beforeAutospacing="0" w:after="0" w:afterAutospacing="0" w:line="480" w:lineRule="exact"/>
        <w:ind w:firstLine="3600" w:firstLineChars="1500"/>
        <w:jc w:val="both"/>
        <w:rPr>
          <w:rFonts w:hint="default" w:cs="宋体"/>
          <w:bCs/>
          <w:color w:val="000000" w:themeColor="text1"/>
          <w:szCs w:val="24"/>
          <w14:textFill>
            <w14:solidFill>
              <w14:schemeClr w14:val="tx1"/>
            </w14:solidFill>
          </w14:textFill>
        </w:rPr>
      </w:pPr>
      <w:r>
        <w:rPr>
          <w:rFonts w:cs="宋体"/>
          <w:bCs/>
          <w:color w:val="000000" w:themeColor="text1"/>
          <w:szCs w:val="24"/>
          <w:lang w:bidi="ar"/>
          <w14:textFill>
            <w14:solidFill>
              <w14:schemeClr w14:val="tx1"/>
            </w14:solidFill>
          </w14:textFill>
        </w:rPr>
        <w:t>企业名称（盖章）：</w:t>
      </w:r>
      <w:r>
        <w:rPr>
          <w:rFonts w:cs="宋体"/>
          <w:bCs/>
          <w:color w:val="000000" w:themeColor="text1"/>
          <w:szCs w:val="24"/>
          <w:u w:val="single"/>
          <w:lang w:bidi="ar"/>
          <w14:textFill>
            <w14:solidFill>
              <w14:schemeClr w14:val="tx1"/>
            </w14:solidFill>
          </w14:textFill>
        </w:rPr>
        <w:tab/>
      </w:r>
      <w:r>
        <w:rPr>
          <w:rFonts w:cs="宋体"/>
          <w:bCs/>
          <w:color w:val="000000" w:themeColor="text1"/>
          <w:szCs w:val="24"/>
          <w:u w:val="single"/>
          <w:lang w:bidi="ar"/>
          <w14:textFill>
            <w14:solidFill>
              <w14:schemeClr w14:val="tx1"/>
            </w14:solidFill>
          </w14:textFill>
        </w:rPr>
        <w:t xml:space="preserve">                </w:t>
      </w:r>
      <w:r>
        <w:rPr>
          <w:rFonts w:cs="宋体"/>
          <w:bCs/>
          <w:color w:val="000000" w:themeColor="text1"/>
          <w:szCs w:val="24"/>
          <w:u w:val="single"/>
          <w:lang w:bidi="ar"/>
          <w14:textFill>
            <w14:solidFill>
              <w14:schemeClr w14:val="tx1"/>
            </w14:solidFill>
          </w14:textFill>
        </w:rPr>
        <w:tab/>
      </w:r>
    </w:p>
    <w:p>
      <w:pPr>
        <w:pStyle w:val="39"/>
        <w:widowControl w:val="0"/>
        <w:snapToGrid w:val="0"/>
        <w:spacing w:before="0" w:beforeAutospacing="0" w:after="0" w:afterAutospacing="0" w:line="480" w:lineRule="exact"/>
        <w:ind w:firstLine="3600" w:firstLineChars="1500"/>
        <w:jc w:val="both"/>
        <w:rPr>
          <w:rFonts w:hint="default" w:cs="宋体"/>
          <w:bCs/>
          <w:color w:val="000000" w:themeColor="text1"/>
          <w:szCs w:val="24"/>
          <w14:textFill>
            <w14:solidFill>
              <w14:schemeClr w14:val="tx1"/>
            </w14:solidFill>
          </w14:textFill>
        </w:rPr>
      </w:pPr>
      <w:r>
        <w:rPr>
          <w:rFonts w:cs="宋体"/>
          <w:bCs/>
          <w:color w:val="000000" w:themeColor="text1"/>
          <w:szCs w:val="24"/>
          <w:lang w:bidi="ar"/>
          <w14:textFill>
            <w14:solidFill>
              <w14:schemeClr w14:val="tx1"/>
            </w14:solidFill>
          </w14:textFill>
        </w:rPr>
        <w:t>日 期：</w:t>
      </w:r>
      <w:r>
        <w:rPr>
          <w:rFonts w:cs="宋体"/>
          <w:bCs/>
          <w:color w:val="000000" w:themeColor="text1"/>
          <w:szCs w:val="24"/>
          <w:u w:val="single"/>
          <w:lang w:bidi="ar"/>
          <w14:textFill>
            <w14:solidFill>
              <w14:schemeClr w14:val="tx1"/>
            </w14:solidFill>
          </w14:textFill>
        </w:rPr>
        <w:t xml:space="preserve"> </w:t>
      </w:r>
      <w:r>
        <w:rPr>
          <w:rFonts w:cs="宋体"/>
          <w:bCs/>
          <w:color w:val="000000" w:themeColor="text1"/>
          <w:szCs w:val="24"/>
          <w:u w:val="single"/>
          <w:lang w:bidi="ar"/>
          <w14:textFill>
            <w14:solidFill>
              <w14:schemeClr w14:val="tx1"/>
            </w14:solidFill>
          </w14:textFill>
        </w:rPr>
        <w:tab/>
      </w:r>
      <w:r>
        <w:rPr>
          <w:rFonts w:cs="宋体"/>
          <w:bCs/>
          <w:color w:val="000000" w:themeColor="text1"/>
          <w:szCs w:val="24"/>
          <w:u w:val="single"/>
          <w:lang w:bidi="ar"/>
          <w14:textFill>
            <w14:solidFill>
              <w14:schemeClr w14:val="tx1"/>
            </w14:solidFill>
          </w14:textFill>
        </w:rPr>
        <w:tab/>
      </w:r>
      <w:r>
        <w:rPr>
          <w:rFonts w:cs="宋体"/>
          <w:bCs/>
          <w:color w:val="000000" w:themeColor="text1"/>
          <w:szCs w:val="24"/>
          <w:u w:val="single"/>
          <w:lang w:bidi="ar"/>
          <w14:textFill>
            <w14:solidFill>
              <w14:schemeClr w14:val="tx1"/>
            </w14:solidFill>
          </w14:textFill>
        </w:rPr>
        <w:tab/>
      </w:r>
      <w:r>
        <w:rPr>
          <w:rFonts w:cs="宋体"/>
          <w:bCs/>
          <w:color w:val="000000" w:themeColor="text1"/>
          <w:szCs w:val="24"/>
          <w:u w:val="single"/>
          <w:lang w:bidi="ar"/>
          <w14:textFill>
            <w14:solidFill>
              <w14:schemeClr w14:val="tx1"/>
            </w14:solidFill>
          </w14:textFill>
        </w:rPr>
        <w:t xml:space="preserve">                    </w:t>
      </w:r>
      <w:r>
        <w:rPr>
          <w:rFonts w:cs="宋体"/>
          <w:bCs/>
          <w:color w:val="000000" w:themeColor="text1"/>
          <w:szCs w:val="24"/>
          <w:u w:val="single"/>
          <w:lang w:bidi="ar"/>
          <w14:textFill>
            <w14:solidFill>
              <w14:schemeClr w14:val="tx1"/>
            </w14:solidFill>
          </w14:textFill>
        </w:rPr>
        <w:tab/>
      </w:r>
    </w:p>
    <w:p>
      <w:pPr>
        <w:ind w:firstLine="0" w:firstLineChars="0"/>
        <w:rPr>
          <w:rFonts w:ascii="宋体" w:cs="仿宋_GB2312"/>
          <w:color w:val="000000" w:themeColor="text1"/>
          <w:lang w:val="zh-CN"/>
          <w14:textFill>
            <w14:solidFill>
              <w14:schemeClr w14:val="tx1"/>
            </w14:solidFill>
          </w14:textFill>
        </w:rPr>
      </w:pPr>
    </w:p>
    <w:p>
      <w:pPr>
        <w:widowControl/>
        <w:ind w:firstLine="360"/>
        <w:rPr>
          <w:color w:val="000000" w:themeColor="text1"/>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注</w:t>
      </w:r>
      <w:r>
        <w:rPr>
          <w:rFonts w:hint="eastAsia" w:ascii="宋体" w:hAnsi="宋体" w:cs="宋体"/>
          <w:b/>
          <w:color w:val="000000" w:themeColor="text1"/>
          <w:spacing w:val="6"/>
          <w14:textFill>
            <w14:solidFill>
              <w14:schemeClr w14:val="tx1"/>
            </w14:solidFill>
          </w14:textFill>
        </w:rPr>
        <w:t>：</w:t>
      </w:r>
      <w:r>
        <w:rPr>
          <w:rFonts w:ascii="仿宋" w:hAnsi="仿宋" w:eastAsia="仿宋" w:cs="仿宋"/>
          <w:color w:val="000000" w:themeColor="text1"/>
          <w:kern w:val="0"/>
          <w:sz w:val="16"/>
          <w:szCs w:val="16"/>
          <w:lang w:bidi="ar"/>
          <w14:textFill>
            <w14:solidFill>
              <w14:schemeClr w14:val="tx1"/>
            </w14:solidFill>
          </w14:textFill>
        </w:rPr>
        <w:t>1</w:t>
      </w:r>
      <w:r>
        <w:rPr>
          <w:rFonts w:hint="eastAsia" w:ascii="宋体" w:hAnsi="宋体" w:cs="宋体"/>
          <w:color w:val="000000" w:themeColor="text1"/>
          <w:kern w:val="0"/>
          <w:sz w:val="18"/>
          <w:szCs w:val="18"/>
          <w:lang w:bidi="ar"/>
          <w14:textFill>
            <w14:solidFill>
              <w14:schemeClr w14:val="tx1"/>
            </w14:solidFill>
          </w14:textFill>
        </w:rPr>
        <w:t>从业人员、营业收入、资产总额填报上一年度数据，无上一年度数据的新成立企业可不填报。</w:t>
      </w:r>
    </w:p>
    <w:p>
      <w:pPr>
        <w:pStyle w:val="19"/>
        <w:sectPr>
          <w:pgSz w:w="11850" w:h="16783"/>
          <w:pgMar w:top="1440" w:right="1800" w:bottom="1440" w:left="1800" w:header="720" w:footer="1417" w:gutter="0"/>
          <w:cols w:space="0" w:num="1"/>
          <w:docGrid w:linePitch="312" w:charSpace="0"/>
        </w:sectPr>
      </w:pPr>
    </w:p>
    <w:p>
      <w:pPr>
        <w:pStyle w:val="56"/>
        <w:ind w:firstLine="1434"/>
        <w:rPr>
          <w:b/>
          <w:bCs/>
          <w:color w:val="000000" w:themeColor="text1"/>
          <w:sz w:val="72"/>
          <w:szCs w:val="72"/>
          <w:lang w:eastAsia="zh-CN"/>
          <w14:textFill>
            <w14:solidFill>
              <w14:schemeClr w14:val="tx1"/>
            </w14:solidFill>
          </w14:textFill>
        </w:rPr>
      </w:pPr>
    </w:p>
    <w:p>
      <w:pPr>
        <w:pStyle w:val="13"/>
        <w:ind w:left="480" w:firstLine="1446"/>
        <w:rPr>
          <w:rFonts w:hint="default"/>
          <w:b/>
          <w:bCs/>
          <w:color w:val="000000" w:themeColor="text1"/>
          <w:sz w:val="72"/>
          <w:szCs w:val="72"/>
          <w14:textFill>
            <w14:solidFill>
              <w14:schemeClr w14:val="tx1"/>
            </w14:solidFill>
          </w14:textFill>
        </w:rPr>
      </w:pPr>
    </w:p>
    <w:p>
      <w:pPr>
        <w:ind w:firstLine="480"/>
        <w:rPr>
          <w:color w:val="000000" w:themeColor="text1"/>
          <w14:textFill>
            <w14:solidFill>
              <w14:schemeClr w14:val="tx1"/>
            </w14:solidFill>
          </w14:textFill>
        </w:rPr>
      </w:pPr>
    </w:p>
    <w:p>
      <w:pPr>
        <w:ind w:firstLine="0" w:firstLineChars="0"/>
        <w:jc w:val="center"/>
        <w:rPr>
          <w:b/>
          <w:bCs/>
          <w:color w:val="000000" w:themeColor="text1"/>
          <w:sz w:val="72"/>
          <w:szCs w:val="72"/>
          <w14:textFill>
            <w14:solidFill>
              <w14:schemeClr w14:val="tx1"/>
            </w14:solidFill>
          </w14:textFill>
        </w:rPr>
      </w:pPr>
      <w:bookmarkStart w:id="70" w:name="_Toc14247"/>
      <w:bookmarkStart w:id="71" w:name="_Toc4889"/>
      <w:r>
        <w:rPr>
          <w:rFonts w:hint="eastAsia"/>
          <w:b/>
          <w:bCs/>
          <w:color w:val="000000" w:themeColor="text1"/>
          <w:sz w:val="72"/>
          <w:szCs w:val="72"/>
          <w14:textFill>
            <w14:solidFill>
              <w14:schemeClr w14:val="tx1"/>
            </w14:solidFill>
          </w14:textFill>
        </w:rPr>
        <w:t>技</w:t>
      </w:r>
      <w:bookmarkEnd w:id="70"/>
      <w:bookmarkEnd w:id="71"/>
    </w:p>
    <w:p>
      <w:pPr>
        <w:ind w:firstLine="0" w:firstLineChars="0"/>
        <w:jc w:val="center"/>
        <w:rPr>
          <w:b/>
          <w:bCs/>
          <w:color w:val="000000" w:themeColor="text1"/>
          <w:sz w:val="72"/>
          <w:szCs w:val="72"/>
          <w14:textFill>
            <w14:solidFill>
              <w14:schemeClr w14:val="tx1"/>
            </w14:solidFill>
          </w14:textFill>
        </w:rPr>
      </w:pPr>
      <w:bookmarkStart w:id="72" w:name="_Toc25391"/>
      <w:bookmarkStart w:id="73" w:name="_Toc14122"/>
      <w:r>
        <w:rPr>
          <w:rFonts w:hint="eastAsia"/>
          <w:b/>
          <w:bCs/>
          <w:color w:val="000000" w:themeColor="text1"/>
          <w:sz w:val="72"/>
          <w:szCs w:val="72"/>
          <w14:textFill>
            <w14:solidFill>
              <w14:schemeClr w14:val="tx1"/>
            </w14:solidFill>
          </w14:textFill>
        </w:rPr>
        <w:t>术</w:t>
      </w:r>
      <w:bookmarkEnd w:id="72"/>
      <w:bookmarkEnd w:id="73"/>
    </w:p>
    <w:p>
      <w:pPr>
        <w:ind w:firstLine="0" w:firstLineChars="0"/>
        <w:jc w:val="center"/>
        <w:rPr>
          <w:b/>
          <w:bCs/>
          <w:color w:val="000000" w:themeColor="text1"/>
          <w:sz w:val="72"/>
          <w:szCs w:val="72"/>
          <w14:textFill>
            <w14:solidFill>
              <w14:schemeClr w14:val="tx1"/>
            </w14:solidFill>
          </w14:textFill>
        </w:rPr>
      </w:pPr>
      <w:bookmarkStart w:id="74" w:name="_Toc1950"/>
      <w:bookmarkStart w:id="75" w:name="_Toc7532"/>
      <w:r>
        <w:rPr>
          <w:rFonts w:hint="eastAsia"/>
          <w:b/>
          <w:bCs/>
          <w:color w:val="000000" w:themeColor="text1"/>
          <w:sz w:val="72"/>
          <w:szCs w:val="72"/>
          <w14:textFill>
            <w14:solidFill>
              <w14:schemeClr w14:val="tx1"/>
            </w14:solidFill>
          </w14:textFill>
        </w:rPr>
        <w:t>部</w:t>
      </w:r>
      <w:bookmarkEnd w:id="74"/>
      <w:bookmarkEnd w:id="75"/>
    </w:p>
    <w:p>
      <w:pPr>
        <w:ind w:firstLine="0" w:firstLineChars="0"/>
        <w:jc w:val="center"/>
        <w:rPr>
          <w:b/>
          <w:bCs/>
          <w:color w:val="000000" w:themeColor="text1"/>
          <w:sz w:val="72"/>
          <w:szCs w:val="72"/>
          <w14:textFill>
            <w14:solidFill>
              <w14:schemeClr w14:val="tx1"/>
            </w14:solidFill>
          </w14:textFill>
        </w:rPr>
      </w:pPr>
      <w:bookmarkStart w:id="76" w:name="_Toc26668"/>
      <w:bookmarkStart w:id="77" w:name="_Toc11637"/>
      <w:r>
        <w:rPr>
          <w:rFonts w:hint="eastAsia"/>
          <w:b/>
          <w:bCs/>
          <w:color w:val="000000" w:themeColor="text1"/>
          <w:sz w:val="72"/>
          <w:szCs w:val="72"/>
          <w14:textFill>
            <w14:solidFill>
              <w14:schemeClr w14:val="tx1"/>
            </w14:solidFill>
          </w14:textFill>
        </w:rPr>
        <w:t>分</w:t>
      </w:r>
      <w:bookmarkEnd w:id="76"/>
      <w:bookmarkEnd w:id="77"/>
    </w:p>
    <w:p>
      <w:pPr>
        <w:overflowPunct w:val="0"/>
        <w:topLinePunct/>
        <w:autoSpaceDN w:val="0"/>
        <w:adjustRightInd w:val="0"/>
        <w:snapToGrid w:val="0"/>
        <w:ind w:firstLine="480"/>
        <w:rPr>
          <w:rFonts w:ascii="宋体" w:hAnsi="宋体" w:cs="宋体"/>
          <w:snapToGrid w:val="0"/>
          <w:color w:val="000000" w:themeColor="text1"/>
          <w:kern w:val="0"/>
          <w14:textFill>
            <w14:solidFill>
              <w14:schemeClr w14:val="tx1"/>
            </w14:solidFill>
          </w14:textFill>
        </w:rPr>
        <w:sectPr>
          <w:pgSz w:w="11850" w:h="16783"/>
          <w:pgMar w:top="1440" w:right="1800" w:bottom="1440" w:left="1800" w:header="851" w:footer="1417" w:gutter="0"/>
          <w:cols w:space="425" w:num="1"/>
          <w:docGrid w:type="lines" w:linePitch="312" w:charSpace="0"/>
        </w:sectPr>
      </w:pPr>
      <w:r>
        <w:rPr>
          <w:rFonts w:hint="eastAsia" w:ascii="宋体" w:hAnsi="宋体" w:cs="宋体"/>
          <w:snapToGrid w:val="0"/>
          <w:color w:val="000000" w:themeColor="text1"/>
          <w:kern w:val="0"/>
          <w14:textFill>
            <w14:solidFill>
              <w14:schemeClr w14:val="tx1"/>
            </w14:solidFill>
          </w14:textFill>
        </w:rPr>
        <w:br w:type="page"/>
      </w:r>
    </w:p>
    <w:p>
      <w:pPr>
        <w:pStyle w:val="54"/>
        <w:ind w:firstLine="528"/>
        <w:rPr>
          <w:color w:val="000000" w:themeColor="text1"/>
          <w14:textFill>
            <w14:solidFill>
              <w14:schemeClr w14:val="tx1"/>
            </w14:solidFill>
          </w14:textFill>
        </w:rPr>
      </w:pPr>
    </w:p>
    <w:p>
      <w:pPr>
        <w:pStyle w:val="79"/>
        <w:keepLines/>
        <w:snapToGrid w:val="0"/>
        <w:spacing w:line="360" w:lineRule="auto"/>
        <w:jc w:val="center"/>
        <w:rPr>
          <w:rFonts w:hint="default" w:ascii="宋体" w:hAnsi="宋体" w:cs="宋体"/>
          <w:color w:val="000000" w:themeColor="text1"/>
          <w:szCs w:val="24"/>
          <w14:textFill>
            <w14:solidFill>
              <w14:schemeClr w14:val="tx1"/>
            </w14:solidFill>
          </w14:textFill>
        </w:rPr>
      </w:pPr>
      <w:r>
        <w:rPr>
          <w:rFonts w:ascii="宋体" w:hAnsi="宋体" w:cs="宋体"/>
          <w:b/>
          <w:color w:val="000000" w:themeColor="text1"/>
          <w:szCs w:val="24"/>
          <w14:textFill>
            <w14:solidFill>
              <w14:schemeClr w14:val="tx1"/>
            </w14:solidFill>
          </w14:textFill>
        </w:rPr>
        <w:t xml:space="preserve"> 报价一览表（格式）</w:t>
      </w:r>
    </w:p>
    <w:p>
      <w:pPr>
        <w:spacing w:line="360" w:lineRule="exact"/>
        <w:ind w:firstLine="48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项目名称：    </w:t>
      </w:r>
      <w:r>
        <w:rPr>
          <w:rFonts w:hint="eastAsia" w:ascii="宋体" w:hAnsi="宋体" w:cs="宋体"/>
          <w:color w:val="000000" w:themeColor="text1"/>
          <w:u w:val="single"/>
          <w14:textFill>
            <w14:solidFill>
              <w14:schemeClr w14:val="tx1"/>
            </w14:solidFill>
          </w14:textFill>
        </w:rPr>
        <w:t xml:space="preserve">                                       </w:t>
      </w:r>
    </w:p>
    <w:p>
      <w:pPr>
        <w:spacing w:line="360" w:lineRule="exact"/>
        <w:ind w:firstLine="480"/>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项目编号：    </w:t>
      </w:r>
      <w:r>
        <w:rPr>
          <w:rFonts w:hint="eastAsia" w:ascii="宋体" w:hAnsi="宋体" w:cs="宋体"/>
          <w:color w:val="000000" w:themeColor="text1"/>
          <w:u w:val="single"/>
          <w14:textFill>
            <w14:solidFill>
              <w14:schemeClr w14:val="tx1"/>
            </w14:solidFill>
          </w14:textFill>
        </w:rPr>
        <w:t xml:space="preserve">                                       </w:t>
      </w:r>
    </w:p>
    <w:p>
      <w:pPr>
        <w:ind w:firstLine="480"/>
        <w:jc w:val="right"/>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 xml:space="preserve">货币：人民币/元 </w:t>
      </w:r>
    </w:p>
    <w:p>
      <w:pPr>
        <w:ind w:firstLine="0" w:firstLineChars="0"/>
        <w:jc w:val="both"/>
        <w:rPr>
          <w:rFonts w:ascii="宋体" w:hAnsi="宋体" w:cs="宋体"/>
          <w:color w:val="000000" w:themeColor="text1"/>
          <w:szCs w:val="21"/>
          <w14:textFill>
            <w14:solidFill>
              <w14:schemeClr w14:val="tx1"/>
            </w14:solidFill>
          </w14:textFill>
        </w:rPr>
      </w:pPr>
    </w:p>
    <w:tbl>
      <w:tblPr>
        <w:tblStyle w:val="44"/>
        <w:tblpPr w:leftFromText="180" w:rightFromText="180" w:vertAnchor="text" w:horzAnchor="page" w:tblpXSpec="center" w:tblpY="-18"/>
        <w:tblOverlap w:val="never"/>
        <w:tblW w:w="15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359"/>
        <w:gridCol w:w="1037"/>
        <w:gridCol w:w="2694"/>
        <w:gridCol w:w="1773"/>
        <w:gridCol w:w="1133"/>
        <w:gridCol w:w="1133"/>
        <w:gridCol w:w="1134"/>
        <w:gridCol w:w="1133"/>
        <w:gridCol w:w="1133"/>
        <w:gridCol w:w="1133"/>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76" w:type="dxa"/>
            <w:vAlign w:val="center"/>
          </w:tcPr>
          <w:p>
            <w:pPr>
              <w:widowControl/>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序号</w:t>
            </w:r>
          </w:p>
        </w:tc>
        <w:tc>
          <w:tcPr>
            <w:tcW w:w="1359" w:type="dxa"/>
            <w:vAlign w:val="center"/>
          </w:tcPr>
          <w:p>
            <w:pPr>
              <w:widowControl/>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货物名称</w:t>
            </w:r>
          </w:p>
        </w:tc>
        <w:tc>
          <w:tcPr>
            <w:tcW w:w="1037" w:type="dxa"/>
            <w:vAlign w:val="center"/>
          </w:tcPr>
          <w:p>
            <w:pPr>
              <w:widowControl/>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品牌</w:t>
            </w:r>
          </w:p>
        </w:tc>
        <w:tc>
          <w:tcPr>
            <w:tcW w:w="2694" w:type="dxa"/>
            <w:vAlign w:val="center"/>
          </w:tcPr>
          <w:p>
            <w:pPr>
              <w:widowControl/>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bCs/>
                <w:color w:val="000000" w:themeColor="text1"/>
                <w14:textFill>
                  <w14:solidFill>
                    <w14:schemeClr w14:val="tx1"/>
                  </w14:solidFill>
                </w14:textFill>
              </w:rPr>
              <w:t>规格、型号/参数</w:t>
            </w:r>
          </w:p>
        </w:tc>
        <w:tc>
          <w:tcPr>
            <w:tcW w:w="1773" w:type="dxa"/>
            <w:vAlign w:val="center"/>
          </w:tcPr>
          <w:p>
            <w:pPr>
              <w:widowControl/>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产地及制造商</w:t>
            </w:r>
          </w:p>
        </w:tc>
        <w:tc>
          <w:tcPr>
            <w:tcW w:w="1133" w:type="dxa"/>
            <w:vAlign w:val="center"/>
          </w:tcPr>
          <w:p>
            <w:pPr>
              <w:widowControl/>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数量</w:t>
            </w:r>
          </w:p>
        </w:tc>
        <w:tc>
          <w:tcPr>
            <w:tcW w:w="1133" w:type="dxa"/>
            <w:vAlign w:val="center"/>
          </w:tcPr>
          <w:p>
            <w:pPr>
              <w:widowControl/>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单位</w:t>
            </w:r>
          </w:p>
        </w:tc>
        <w:tc>
          <w:tcPr>
            <w:tcW w:w="1134" w:type="dxa"/>
            <w:vAlign w:val="center"/>
          </w:tcPr>
          <w:p>
            <w:pPr>
              <w:widowControl/>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单价</w:t>
            </w:r>
          </w:p>
        </w:tc>
        <w:tc>
          <w:tcPr>
            <w:tcW w:w="1133" w:type="dxa"/>
            <w:vAlign w:val="center"/>
          </w:tcPr>
          <w:p>
            <w:pPr>
              <w:widowControl/>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总价</w:t>
            </w:r>
          </w:p>
        </w:tc>
        <w:tc>
          <w:tcPr>
            <w:tcW w:w="1133" w:type="dxa"/>
            <w:vAlign w:val="center"/>
          </w:tcPr>
          <w:p>
            <w:pPr>
              <w:widowControl/>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质保期</w:t>
            </w:r>
          </w:p>
        </w:tc>
        <w:tc>
          <w:tcPr>
            <w:tcW w:w="1133" w:type="dxa"/>
            <w:vAlign w:val="center"/>
          </w:tcPr>
          <w:p>
            <w:pPr>
              <w:widowControl/>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供货期</w:t>
            </w:r>
          </w:p>
        </w:tc>
        <w:tc>
          <w:tcPr>
            <w:tcW w:w="913" w:type="dxa"/>
            <w:vAlign w:val="center"/>
          </w:tcPr>
          <w:p>
            <w:pPr>
              <w:widowControl/>
              <w:ind w:firstLine="0" w:firstLineChars="0"/>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76" w:type="dxa"/>
            <w:vAlign w:val="center"/>
          </w:tcPr>
          <w:p>
            <w:pPr>
              <w:widowControl/>
              <w:ind w:firstLine="0" w:firstLineChars="0"/>
              <w:jc w:val="center"/>
              <w:rPr>
                <w:rFonts w:ascii="宋体" w:hAnsi="宋体" w:cs="宋体"/>
                <w:color w:val="000000" w:themeColor="text1"/>
                <w:kern w:val="0"/>
                <w14:textFill>
                  <w14:solidFill>
                    <w14:schemeClr w14:val="tx1"/>
                  </w14:solidFill>
                </w14:textFill>
              </w:rPr>
            </w:pPr>
          </w:p>
        </w:tc>
        <w:tc>
          <w:tcPr>
            <w:tcW w:w="1359" w:type="dxa"/>
            <w:vAlign w:val="center"/>
          </w:tcPr>
          <w:p>
            <w:pPr>
              <w:widowControl/>
              <w:ind w:firstLine="0" w:firstLineChars="0"/>
              <w:jc w:val="center"/>
              <w:rPr>
                <w:rFonts w:ascii="宋体" w:hAnsi="宋体" w:cs="宋体"/>
                <w:color w:val="000000" w:themeColor="text1"/>
                <w:kern w:val="0"/>
                <w14:textFill>
                  <w14:solidFill>
                    <w14:schemeClr w14:val="tx1"/>
                  </w14:solidFill>
                </w14:textFill>
              </w:rPr>
            </w:pPr>
          </w:p>
        </w:tc>
        <w:tc>
          <w:tcPr>
            <w:tcW w:w="1037" w:type="dxa"/>
            <w:vAlign w:val="center"/>
          </w:tcPr>
          <w:p>
            <w:pPr>
              <w:widowControl/>
              <w:ind w:firstLine="0" w:firstLineChars="0"/>
              <w:jc w:val="center"/>
              <w:rPr>
                <w:rFonts w:ascii="宋体" w:hAnsi="宋体" w:cs="宋体"/>
                <w:color w:val="000000" w:themeColor="text1"/>
                <w:kern w:val="0"/>
                <w14:textFill>
                  <w14:solidFill>
                    <w14:schemeClr w14:val="tx1"/>
                  </w14:solidFill>
                </w14:textFill>
              </w:rPr>
            </w:pPr>
          </w:p>
        </w:tc>
        <w:tc>
          <w:tcPr>
            <w:tcW w:w="2694" w:type="dxa"/>
            <w:vAlign w:val="center"/>
          </w:tcPr>
          <w:p>
            <w:pPr>
              <w:widowControl/>
              <w:ind w:firstLine="0" w:firstLineChars="0"/>
              <w:jc w:val="center"/>
              <w:rPr>
                <w:rFonts w:ascii="宋体" w:hAnsi="宋体" w:cs="宋体"/>
                <w:color w:val="000000" w:themeColor="text1"/>
                <w:kern w:val="0"/>
                <w14:textFill>
                  <w14:solidFill>
                    <w14:schemeClr w14:val="tx1"/>
                  </w14:solidFill>
                </w14:textFill>
              </w:rPr>
            </w:pPr>
          </w:p>
        </w:tc>
        <w:tc>
          <w:tcPr>
            <w:tcW w:w="1773" w:type="dxa"/>
            <w:vAlign w:val="center"/>
          </w:tcPr>
          <w:p>
            <w:pPr>
              <w:widowControl/>
              <w:ind w:firstLine="0" w:firstLineChars="0"/>
              <w:jc w:val="center"/>
              <w:rPr>
                <w:rFonts w:ascii="宋体" w:hAnsi="宋体" w:cs="宋体"/>
                <w:color w:val="000000" w:themeColor="text1"/>
                <w:kern w:val="0"/>
                <w14:textFill>
                  <w14:solidFill>
                    <w14:schemeClr w14:val="tx1"/>
                  </w14:solidFill>
                </w14:textFill>
              </w:rPr>
            </w:pPr>
          </w:p>
        </w:tc>
        <w:tc>
          <w:tcPr>
            <w:tcW w:w="1133" w:type="dxa"/>
            <w:vAlign w:val="center"/>
          </w:tcPr>
          <w:p>
            <w:pPr>
              <w:widowControl/>
              <w:ind w:firstLine="0" w:firstLineChars="0"/>
              <w:jc w:val="center"/>
              <w:rPr>
                <w:rFonts w:ascii="宋体" w:hAnsi="宋体" w:cs="宋体"/>
                <w:color w:val="000000" w:themeColor="text1"/>
                <w:kern w:val="0"/>
                <w14:textFill>
                  <w14:solidFill>
                    <w14:schemeClr w14:val="tx1"/>
                  </w14:solidFill>
                </w14:textFill>
              </w:rPr>
            </w:pPr>
          </w:p>
        </w:tc>
        <w:tc>
          <w:tcPr>
            <w:tcW w:w="1133" w:type="dxa"/>
            <w:vAlign w:val="center"/>
          </w:tcPr>
          <w:p>
            <w:pPr>
              <w:widowControl/>
              <w:ind w:firstLine="0" w:firstLineChars="0"/>
              <w:jc w:val="center"/>
              <w:rPr>
                <w:rFonts w:ascii="宋体" w:hAnsi="宋体" w:cs="宋体"/>
                <w:color w:val="000000" w:themeColor="text1"/>
                <w:kern w:val="0"/>
                <w14:textFill>
                  <w14:solidFill>
                    <w14:schemeClr w14:val="tx1"/>
                  </w14:solidFill>
                </w14:textFill>
              </w:rPr>
            </w:pPr>
          </w:p>
        </w:tc>
        <w:tc>
          <w:tcPr>
            <w:tcW w:w="1134" w:type="dxa"/>
            <w:vAlign w:val="center"/>
          </w:tcPr>
          <w:p>
            <w:pPr>
              <w:widowControl/>
              <w:ind w:firstLine="0" w:firstLineChars="0"/>
              <w:jc w:val="center"/>
              <w:rPr>
                <w:rFonts w:ascii="宋体" w:hAnsi="宋体" w:cs="宋体"/>
                <w:color w:val="000000" w:themeColor="text1"/>
                <w:kern w:val="0"/>
                <w14:textFill>
                  <w14:solidFill>
                    <w14:schemeClr w14:val="tx1"/>
                  </w14:solidFill>
                </w14:textFill>
              </w:rPr>
            </w:pPr>
          </w:p>
        </w:tc>
        <w:tc>
          <w:tcPr>
            <w:tcW w:w="1133" w:type="dxa"/>
            <w:vAlign w:val="center"/>
          </w:tcPr>
          <w:p>
            <w:pPr>
              <w:widowControl/>
              <w:ind w:firstLine="0" w:firstLineChars="0"/>
              <w:jc w:val="center"/>
              <w:rPr>
                <w:rFonts w:ascii="宋体" w:hAnsi="宋体" w:cs="宋体"/>
                <w:color w:val="000000" w:themeColor="text1"/>
                <w:kern w:val="0"/>
                <w14:textFill>
                  <w14:solidFill>
                    <w14:schemeClr w14:val="tx1"/>
                  </w14:solidFill>
                </w14:textFill>
              </w:rPr>
            </w:pPr>
          </w:p>
        </w:tc>
        <w:tc>
          <w:tcPr>
            <w:tcW w:w="1133" w:type="dxa"/>
            <w:vAlign w:val="center"/>
          </w:tcPr>
          <w:p>
            <w:pPr>
              <w:widowControl/>
              <w:ind w:firstLine="0" w:firstLineChars="0"/>
              <w:jc w:val="center"/>
              <w:rPr>
                <w:rFonts w:ascii="宋体" w:hAnsi="宋体" w:cs="宋体"/>
                <w:color w:val="000000" w:themeColor="text1"/>
                <w:kern w:val="0"/>
                <w14:textFill>
                  <w14:solidFill>
                    <w14:schemeClr w14:val="tx1"/>
                  </w14:solidFill>
                </w14:textFill>
              </w:rPr>
            </w:pPr>
          </w:p>
        </w:tc>
        <w:tc>
          <w:tcPr>
            <w:tcW w:w="1133" w:type="dxa"/>
            <w:vAlign w:val="center"/>
          </w:tcPr>
          <w:p>
            <w:pPr>
              <w:widowControl/>
              <w:ind w:firstLine="0" w:firstLineChars="0"/>
              <w:jc w:val="center"/>
              <w:rPr>
                <w:rFonts w:ascii="宋体" w:hAnsi="宋体" w:cs="宋体"/>
                <w:color w:val="000000" w:themeColor="text1"/>
                <w:kern w:val="0"/>
                <w14:textFill>
                  <w14:solidFill>
                    <w14:schemeClr w14:val="tx1"/>
                  </w14:solidFill>
                </w14:textFill>
              </w:rPr>
            </w:pPr>
          </w:p>
        </w:tc>
        <w:tc>
          <w:tcPr>
            <w:tcW w:w="913" w:type="dxa"/>
            <w:vAlign w:val="center"/>
          </w:tcPr>
          <w:p>
            <w:pPr>
              <w:widowControl/>
              <w:ind w:firstLine="0" w:firstLineChars="0"/>
              <w:jc w:val="center"/>
              <w:rPr>
                <w:rFonts w:ascii="宋体" w:hAnsi="宋体" w:cs="宋体"/>
                <w:color w:val="000000" w:themeColor="text1"/>
                <w:kern w:val="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651" w:type="dxa"/>
            <w:gridSpan w:val="12"/>
            <w:vAlign w:val="center"/>
          </w:tcPr>
          <w:p>
            <w:pPr>
              <w:widowControl/>
              <w:ind w:firstLine="0" w:firstLineChars="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   总报价（大写）                                   ￥：</w:t>
            </w:r>
          </w:p>
        </w:tc>
      </w:tr>
    </w:tbl>
    <w:p>
      <w:pPr>
        <w:snapToGrid w:val="0"/>
        <w:spacing w:before="156" w:beforeLines="50" w:after="50" w:line="460" w:lineRule="exact"/>
        <w:ind w:right="600"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注：1.报价一览表行数可以根据内容自行增减，报价内容及格式不能更改；</w:t>
      </w:r>
    </w:p>
    <w:p>
      <w:pPr>
        <w:pStyle w:val="54"/>
        <w:ind w:firstLine="528"/>
        <w:rPr>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2.说明：以上磋商报价包括本项目所有工作内容、后续服务等伴随的服务、各种税费及合同实施过程中的不可预见费用等全部费用。</w:t>
      </w:r>
    </w:p>
    <w:p>
      <w:pPr>
        <w:keepNext/>
        <w:adjustRightInd w:val="0"/>
        <w:snapToGrid w:val="0"/>
        <w:ind w:firstLine="8520" w:firstLineChars="3550"/>
        <w:rPr>
          <w:rFonts w:ascii="宋体" w:hAnsi="宋体"/>
          <w:color w:val="000000" w:themeColor="text1"/>
          <w:u w:val="single"/>
          <w14:textFill>
            <w14:solidFill>
              <w14:schemeClr w14:val="tx1"/>
            </w14:solidFill>
          </w14:textFill>
        </w:rPr>
      </w:pPr>
      <w:r>
        <w:rPr>
          <w:rFonts w:hint="eastAsia" w:ascii="宋体" w:hAnsi="宋体" w:cs="仿宋_GB2312"/>
          <w:color w:val="000000" w:themeColor="text1"/>
          <w14:textFill>
            <w14:solidFill>
              <w14:schemeClr w14:val="tx1"/>
            </w14:solidFill>
          </w14:textFill>
        </w:rPr>
        <w:t>供应商（公章）：</w:t>
      </w:r>
      <w:r>
        <w:rPr>
          <w:rFonts w:hint="eastAsia" w:ascii="宋体" w:hAnsi="宋体" w:cs="仿宋_GB2312"/>
          <w:color w:val="000000" w:themeColor="text1"/>
          <w:u w:val="single"/>
          <w14:textFill>
            <w14:solidFill>
              <w14:schemeClr w14:val="tx1"/>
            </w14:solidFill>
          </w14:textFill>
        </w:rPr>
        <w:t xml:space="preserve">               </w:t>
      </w:r>
    </w:p>
    <w:p>
      <w:pPr>
        <w:keepNext/>
        <w:adjustRightInd w:val="0"/>
        <w:snapToGrid w:val="0"/>
        <w:ind w:firstLine="8520" w:firstLineChars="3550"/>
        <w:rPr>
          <w:rFonts w:ascii="宋体" w:hAnsi="宋体"/>
          <w:color w:val="000000" w:themeColor="text1"/>
          <w:u w:val="single"/>
          <w14:textFill>
            <w14:solidFill>
              <w14:schemeClr w14:val="tx1"/>
            </w14:solidFill>
          </w14:textFill>
        </w:rPr>
      </w:pPr>
      <w:r>
        <w:rPr>
          <w:rFonts w:hint="eastAsia" w:ascii="宋体" w:hAnsi="宋体" w:cs="仿宋_GB2312"/>
          <w:color w:val="000000" w:themeColor="text1"/>
          <w14:textFill>
            <w14:solidFill>
              <w14:schemeClr w14:val="tx1"/>
            </w14:solidFill>
          </w14:textFill>
        </w:rPr>
        <w:t>法定代表人或供应商代表（签字或签章）：</w:t>
      </w:r>
      <w:r>
        <w:rPr>
          <w:rFonts w:hint="eastAsia" w:ascii="宋体" w:hAnsi="宋体" w:cs="仿宋_GB2312"/>
          <w:color w:val="000000" w:themeColor="text1"/>
          <w:u w:val="single"/>
          <w14:textFill>
            <w14:solidFill>
              <w14:schemeClr w14:val="tx1"/>
            </w14:solidFill>
          </w14:textFill>
        </w:rPr>
        <w:t xml:space="preserve">                </w:t>
      </w:r>
    </w:p>
    <w:p>
      <w:pPr>
        <w:tabs>
          <w:tab w:val="left" w:pos="4000"/>
        </w:tabs>
        <w:overflowPunct w:val="0"/>
        <w:topLinePunct/>
        <w:autoSpaceDN w:val="0"/>
        <w:adjustRightInd w:val="0"/>
        <w:snapToGrid w:val="0"/>
        <w:ind w:firstLine="8520" w:firstLineChars="3550"/>
        <w:rPr>
          <w:rFonts w:ascii="宋体" w:hAnsi="宋体" w:cs="仿宋_GB2312"/>
          <w:color w:val="000000" w:themeColor="text1"/>
          <w:u w:val="single"/>
          <w14:textFill>
            <w14:solidFill>
              <w14:schemeClr w14:val="tx1"/>
            </w14:solidFill>
          </w14:textFill>
        </w:rPr>
      </w:pPr>
      <w:r>
        <w:rPr>
          <w:rFonts w:hint="eastAsia" w:ascii="宋体" w:hAnsi="宋体" w:cs="仿宋_GB2312"/>
          <w:color w:val="000000" w:themeColor="text1"/>
          <w14:textFill>
            <w14:solidFill>
              <w14:schemeClr w14:val="tx1"/>
            </w14:solidFill>
          </w14:textFill>
        </w:rPr>
        <w:t>日  期：</w:t>
      </w:r>
      <w:r>
        <w:rPr>
          <w:rFonts w:hint="eastAsia" w:ascii="宋体" w:hAnsi="宋体" w:cs="仿宋_GB2312"/>
          <w:color w:val="000000" w:themeColor="text1"/>
          <w:u w:val="single"/>
          <w14:textFill>
            <w14:solidFill>
              <w14:schemeClr w14:val="tx1"/>
            </w14:solidFill>
          </w14:textFill>
        </w:rPr>
        <w:t xml:space="preserve">                   </w:t>
      </w:r>
    </w:p>
    <w:p>
      <w:pPr>
        <w:ind w:firstLine="2400" w:firstLineChars="1000"/>
        <w:rPr>
          <w:color w:val="000000" w:themeColor="text1"/>
          <w14:textFill>
            <w14:solidFill>
              <w14:schemeClr w14:val="tx1"/>
            </w14:solidFill>
          </w14:textFill>
        </w:rPr>
        <w:sectPr>
          <w:pgSz w:w="16783" w:h="11850" w:orient="landscape"/>
          <w:pgMar w:top="1800" w:right="1440" w:bottom="1800" w:left="1440" w:header="851" w:footer="1417" w:gutter="0"/>
          <w:cols w:space="425" w:num="1"/>
          <w:docGrid w:type="lines" w:linePitch="312" w:charSpace="0"/>
        </w:sectPr>
      </w:pPr>
    </w:p>
    <w:p>
      <w:pPr>
        <w:ind w:firstLine="562"/>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报价货物技术规范偏离表(格式）</w:t>
      </w:r>
    </w:p>
    <w:p>
      <w:pPr>
        <w:widowControl/>
        <w:snapToGrid w:val="0"/>
        <w:ind w:firstLine="480"/>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 xml:space="preserve"> </w:t>
      </w:r>
    </w:p>
    <w:p>
      <w:pPr>
        <w:widowControl/>
        <w:snapToGrid w:val="0"/>
        <w:ind w:firstLine="480"/>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项目名称：</w:t>
      </w:r>
      <w:r>
        <w:rPr>
          <w:rFonts w:hint="eastAsia" w:ascii="宋体" w:hAnsi="宋体" w:cs="宋体"/>
          <w:bCs/>
          <w:color w:val="000000" w:themeColor="text1"/>
          <w:kern w:val="0"/>
          <w:u w:val="single"/>
          <w14:textFill>
            <w14:solidFill>
              <w14:schemeClr w14:val="tx1"/>
            </w14:solidFill>
          </w14:textFill>
        </w:rPr>
        <w:t xml:space="preserve">                                   </w:t>
      </w:r>
      <w:r>
        <w:rPr>
          <w:rFonts w:hint="eastAsia" w:ascii="宋体" w:hAnsi="宋体" w:cs="宋体"/>
          <w:bCs/>
          <w:color w:val="000000" w:themeColor="text1"/>
          <w:kern w:val="0"/>
          <w14:textFill>
            <w14:solidFill>
              <w14:schemeClr w14:val="tx1"/>
            </w14:solidFill>
          </w14:textFill>
        </w:rPr>
        <w:t xml:space="preserve">  </w:t>
      </w:r>
    </w:p>
    <w:p>
      <w:pPr>
        <w:widowControl/>
        <w:snapToGrid w:val="0"/>
        <w:ind w:firstLine="480"/>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项目编号：</w:t>
      </w:r>
      <w:r>
        <w:rPr>
          <w:rFonts w:hint="eastAsia" w:ascii="宋体" w:hAnsi="宋体" w:cs="宋体"/>
          <w:bCs/>
          <w:color w:val="000000" w:themeColor="text1"/>
          <w:kern w:val="0"/>
          <w:u w:val="single"/>
          <w14:textFill>
            <w14:solidFill>
              <w14:schemeClr w14:val="tx1"/>
            </w14:solidFill>
          </w14:textFill>
        </w:rPr>
        <w:t xml:space="preserve">                                   </w:t>
      </w:r>
      <w:r>
        <w:rPr>
          <w:rFonts w:hint="eastAsia" w:ascii="宋体" w:hAnsi="宋体" w:cs="宋体"/>
          <w:bCs/>
          <w:color w:val="000000" w:themeColor="text1"/>
          <w:kern w:val="0"/>
          <w14:textFill>
            <w14:solidFill>
              <w14:schemeClr w14:val="tx1"/>
            </w14:solidFill>
          </w14:textFill>
        </w:rPr>
        <w:t xml:space="preserve">  </w:t>
      </w:r>
    </w:p>
    <w:p>
      <w:pPr>
        <w:widowControl/>
        <w:snapToGrid w:val="0"/>
        <w:ind w:firstLine="480"/>
        <w:rPr>
          <w:rFonts w:ascii="宋体" w:hAnsi="宋体" w:cs="宋体"/>
          <w:bCs/>
          <w:color w:val="000000" w:themeColor="text1"/>
          <w:kern w:val="0"/>
          <w14:textFill>
            <w14:solidFill>
              <w14:schemeClr w14:val="tx1"/>
            </w14:solidFill>
          </w14:textFill>
        </w:rPr>
      </w:pPr>
    </w:p>
    <w:p>
      <w:pPr>
        <w:widowControl/>
        <w:snapToGrid w:val="0"/>
        <w:ind w:firstLine="480"/>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 xml:space="preserve"> </w:t>
      </w:r>
    </w:p>
    <w:tbl>
      <w:tblPr>
        <w:tblStyle w:val="44"/>
        <w:tblW w:w="10154" w:type="dxa"/>
        <w:jc w:val="center"/>
        <w:tblLayout w:type="fixed"/>
        <w:tblCellMar>
          <w:top w:w="0" w:type="dxa"/>
          <w:left w:w="28" w:type="dxa"/>
          <w:bottom w:w="0" w:type="dxa"/>
          <w:right w:w="28" w:type="dxa"/>
        </w:tblCellMar>
      </w:tblPr>
      <w:tblGrid>
        <w:gridCol w:w="1067"/>
        <w:gridCol w:w="1801"/>
        <w:gridCol w:w="913"/>
        <w:gridCol w:w="977"/>
        <w:gridCol w:w="1981"/>
        <w:gridCol w:w="1441"/>
        <w:gridCol w:w="1206"/>
        <w:gridCol w:w="768"/>
      </w:tblGrid>
      <w:tr>
        <w:tblPrEx>
          <w:tblCellMar>
            <w:top w:w="0" w:type="dxa"/>
            <w:left w:w="28" w:type="dxa"/>
            <w:bottom w:w="0" w:type="dxa"/>
            <w:right w:w="28" w:type="dxa"/>
          </w:tblCellMar>
        </w:tblPrEx>
        <w:trPr>
          <w:trHeight w:val="1526" w:hRule="atLeast"/>
          <w:jc w:val="center"/>
        </w:trPr>
        <w:tc>
          <w:tcPr>
            <w:tcW w:w="1067" w:type="dxa"/>
            <w:tcBorders>
              <w:top w:val="single" w:color="000000" w:sz="6" w:space="0"/>
              <w:left w:val="single" w:color="000000" w:sz="6" w:space="0"/>
              <w:bottom w:val="single" w:color="000000" w:sz="6" w:space="0"/>
              <w:right w:val="single" w:color="auto" w:sz="4" w:space="0"/>
            </w:tcBorders>
            <w:vAlign w:val="center"/>
          </w:tcPr>
          <w:p>
            <w:pPr>
              <w:widowControl/>
              <w:snapToGrid w:val="0"/>
              <w:ind w:firstLine="0" w:firstLineChars="0"/>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序号</w:t>
            </w:r>
          </w:p>
        </w:tc>
        <w:tc>
          <w:tcPr>
            <w:tcW w:w="1801" w:type="dxa"/>
            <w:tcBorders>
              <w:top w:val="single" w:color="000000" w:sz="6" w:space="0"/>
              <w:left w:val="nil"/>
              <w:bottom w:val="single" w:color="000000" w:sz="6" w:space="0"/>
              <w:right w:val="single" w:color="000000" w:sz="6" w:space="0"/>
            </w:tcBorders>
            <w:vAlign w:val="center"/>
          </w:tcPr>
          <w:p>
            <w:pPr>
              <w:widowControl/>
              <w:snapToGrid w:val="0"/>
              <w:ind w:firstLine="0" w:firstLineChars="0"/>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货物名称</w:t>
            </w:r>
          </w:p>
        </w:tc>
        <w:tc>
          <w:tcPr>
            <w:tcW w:w="913" w:type="dxa"/>
            <w:tcBorders>
              <w:top w:val="single" w:color="000000" w:sz="6" w:space="0"/>
              <w:left w:val="nil"/>
              <w:bottom w:val="single" w:color="000000" w:sz="6" w:space="0"/>
              <w:right w:val="single" w:color="000000" w:sz="6" w:space="0"/>
            </w:tcBorders>
            <w:vAlign w:val="center"/>
          </w:tcPr>
          <w:p>
            <w:pPr>
              <w:widowControl/>
              <w:snapToGrid w:val="0"/>
              <w:ind w:firstLine="0" w:firstLineChars="0"/>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单位</w:t>
            </w:r>
          </w:p>
        </w:tc>
        <w:tc>
          <w:tcPr>
            <w:tcW w:w="977" w:type="dxa"/>
            <w:tcBorders>
              <w:top w:val="single" w:color="000000" w:sz="6" w:space="0"/>
              <w:left w:val="nil"/>
              <w:bottom w:val="single" w:color="000000" w:sz="6" w:space="0"/>
              <w:right w:val="single" w:color="000000" w:sz="6" w:space="0"/>
            </w:tcBorders>
            <w:vAlign w:val="center"/>
          </w:tcPr>
          <w:p>
            <w:pPr>
              <w:widowControl/>
              <w:snapToGrid w:val="0"/>
              <w:ind w:firstLine="0" w:firstLineChars="0"/>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数量</w:t>
            </w:r>
          </w:p>
        </w:tc>
        <w:tc>
          <w:tcPr>
            <w:tcW w:w="1981" w:type="dxa"/>
            <w:tcBorders>
              <w:top w:val="single" w:color="000000" w:sz="6" w:space="0"/>
              <w:left w:val="nil"/>
              <w:bottom w:val="single" w:color="000000" w:sz="6" w:space="0"/>
              <w:right w:val="single" w:color="000000" w:sz="6" w:space="0"/>
            </w:tcBorders>
            <w:vAlign w:val="center"/>
          </w:tcPr>
          <w:p>
            <w:pPr>
              <w:widowControl/>
              <w:snapToGrid w:val="0"/>
              <w:ind w:firstLine="0" w:firstLineChars="0"/>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磋商文件技术</w:t>
            </w:r>
          </w:p>
          <w:p>
            <w:pPr>
              <w:widowControl/>
              <w:snapToGrid w:val="0"/>
              <w:ind w:firstLine="0" w:firstLineChars="0"/>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规范、要求</w:t>
            </w:r>
          </w:p>
        </w:tc>
        <w:tc>
          <w:tcPr>
            <w:tcW w:w="1441" w:type="dxa"/>
            <w:tcBorders>
              <w:top w:val="single" w:color="000000" w:sz="6" w:space="0"/>
              <w:left w:val="nil"/>
              <w:bottom w:val="single" w:color="000000" w:sz="6" w:space="0"/>
              <w:right w:val="single" w:color="000000" w:sz="6" w:space="0"/>
            </w:tcBorders>
            <w:vAlign w:val="center"/>
          </w:tcPr>
          <w:p>
            <w:pPr>
              <w:widowControl/>
              <w:snapToGrid w:val="0"/>
              <w:ind w:firstLine="0" w:firstLineChars="0"/>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响应文件</w:t>
            </w:r>
          </w:p>
          <w:p>
            <w:pPr>
              <w:widowControl/>
              <w:snapToGrid w:val="0"/>
              <w:ind w:firstLine="0" w:firstLineChars="0"/>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对应规范</w:t>
            </w:r>
          </w:p>
        </w:tc>
        <w:tc>
          <w:tcPr>
            <w:tcW w:w="1206" w:type="dxa"/>
            <w:tcBorders>
              <w:top w:val="single" w:color="000000" w:sz="6" w:space="0"/>
              <w:left w:val="nil"/>
              <w:bottom w:val="single" w:color="000000" w:sz="6" w:space="0"/>
              <w:right w:val="single" w:color="000000" w:sz="6" w:space="0"/>
            </w:tcBorders>
            <w:vAlign w:val="center"/>
          </w:tcPr>
          <w:p>
            <w:pPr>
              <w:widowControl/>
              <w:snapToGrid w:val="0"/>
              <w:ind w:firstLine="0" w:firstLineChars="0"/>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偏离情况</w:t>
            </w:r>
          </w:p>
        </w:tc>
        <w:tc>
          <w:tcPr>
            <w:tcW w:w="768" w:type="dxa"/>
            <w:tcBorders>
              <w:top w:val="single" w:color="000000" w:sz="6" w:space="0"/>
              <w:left w:val="nil"/>
              <w:bottom w:val="single" w:color="000000" w:sz="6" w:space="0"/>
              <w:right w:val="single" w:color="000000" w:sz="6" w:space="0"/>
            </w:tcBorders>
            <w:vAlign w:val="center"/>
          </w:tcPr>
          <w:p>
            <w:pPr>
              <w:widowControl/>
              <w:snapToGrid w:val="0"/>
              <w:ind w:firstLine="0" w:firstLineChars="0"/>
              <w:jc w:val="center"/>
              <w:rPr>
                <w:rFonts w:ascii="宋体" w:hAns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备注</w:t>
            </w:r>
          </w:p>
        </w:tc>
      </w:tr>
      <w:tr>
        <w:tblPrEx>
          <w:tblCellMar>
            <w:top w:w="0" w:type="dxa"/>
            <w:left w:w="28" w:type="dxa"/>
            <w:bottom w:w="0" w:type="dxa"/>
            <w:right w:w="28" w:type="dxa"/>
          </w:tblCellMar>
        </w:tblPrEx>
        <w:trPr>
          <w:trHeight w:val="1546" w:hRule="atLeast"/>
          <w:jc w:val="center"/>
        </w:trPr>
        <w:tc>
          <w:tcPr>
            <w:tcW w:w="1067" w:type="dxa"/>
            <w:tcBorders>
              <w:top w:val="single" w:color="000000" w:sz="6" w:space="0"/>
              <w:left w:val="single" w:color="000000" w:sz="6" w:space="0"/>
              <w:bottom w:val="single" w:color="000000" w:sz="6" w:space="0"/>
              <w:right w:val="single" w:color="auto" w:sz="4" w:space="0"/>
            </w:tcBorders>
            <w:vAlign w:val="center"/>
          </w:tcPr>
          <w:p>
            <w:pPr>
              <w:widowControl/>
              <w:snapToGrid w:val="0"/>
              <w:ind w:firstLine="0" w:firstLineChars="0"/>
              <w:jc w:val="center"/>
              <w:rPr>
                <w:rFonts w:ascii="宋体" w:hAnsi="宋体" w:cs="宋体"/>
                <w:bCs/>
                <w:color w:val="000000" w:themeColor="text1"/>
                <w:kern w:val="0"/>
                <w14:textFill>
                  <w14:solidFill>
                    <w14:schemeClr w14:val="tx1"/>
                  </w14:solidFill>
                </w14:textFill>
              </w:rPr>
            </w:pPr>
          </w:p>
        </w:tc>
        <w:tc>
          <w:tcPr>
            <w:tcW w:w="1801" w:type="dxa"/>
            <w:tcBorders>
              <w:top w:val="single" w:color="000000" w:sz="6" w:space="0"/>
              <w:left w:val="nil"/>
              <w:bottom w:val="single" w:color="000000" w:sz="6" w:space="0"/>
              <w:right w:val="single" w:color="000000" w:sz="6" w:space="0"/>
            </w:tcBorders>
            <w:vAlign w:val="center"/>
          </w:tcPr>
          <w:p>
            <w:pPr>
              <w:widowControl/>
              <w:snapToGrid w:val="0"/>
              <w:ind w:firstLine="0" w:firstLineChars="0"/>
              <w:jc w:val="center"/>
              <w:rPr>
                <w:rFonts w:ascii="宋体" w:hAnsi="宋体" w:cs="宋体"/>
                <w:bCs/>
                <w:color w:val="000000" w:themeColor="text1"/>
                <w:kern w:val="0"/>
                <w14:textFill>
                  <w14:solidFill>
                    <w14:schemeClr w14:val="tx1"/>
                  </w14:solidFill>
                </w14:textFill>
              </w:rPr>
            </w:pPr>
          </w:p>
        </w:tc>
        <w:tc>
          <w:tcPr>
            <w:tcW w:w="913" w:type="dxa"/>
            <w:tcBorders>
              <w:top w:val="single" w:color="000000" w:sz="6" w:space="0"/>
              <w:left w:val="nil"/>
              <w:bottom w:val="single" w:color="000000" w:sz="6" w:space="0"/>
              <w:right w:val="single" w:color="000000" w:sz="6" w:space="0"/>
            </w:tcBorders>
            <w:vAlign w:val="center"/>
          </w:tcPr>
          <w:p>
            <w:pPr>
              <w:widowControl/>
              <w:snapToGrid w:val="0"/>
              <w:ind w:firstLine="0" w:firstLineChars="0"/>
              <w:jc w:val="center"/>
              <w:rPr>
                <w:rFonts w:ascii="宋体" w:hAnsi="宋体" w:cs="宋体"/>
                <w:bCs/>
                <w:color w:val="000000" w:themeColor="text1"/>
                <w:kern w:val="0"/>
                <w14:textFill>
                  <w14:solidFill>
                    <w14:schemeClr w14:val="tx1"/>
                  </w14:solidFill>
                </w14:textFill>
              </w:rPr>
            </w:pPr>
          </w:p>
        </w:tc>
        <w:tc>
          <w:tcPr>
            <w:tcW w:w="977" w:type="dxa"/>
            <w:tcBorders>
              <w:top w:val="single" w:color="000000" w:sz="6" w:space="0"/>
              <w:left w:val="nil"/>
              <w:bottom w:val="single" w:color="000000" w:sz="6" w:space="0"/>
              <w:right w:val="single" w:color="000000" w:sz="6" w:space="0"/>
            </w:tcBorders>
            <w:vAlign w:val="center"/>
          </w:tcPr>
          <w:p>
            <w:pPr>
              <w:widowControl/>
              <w:snapToGrid w:val="0"/>
              <w:ind w:firstLine="0" w:firstLineChars="0"/>
              <w:jc w:val="center"/>
              <w:rPr>
                <w:rFonts w:ascii="宋体" w:hAnsi="宋体" w:cs="宋体"/>
                <w:bCs/>
                <w:color w:val="000000" w:themeColor="text1"/>
                <w:kern w:val="0"/>
                <w14:textFill>
                  <w14:solidFill>
                    <w14:schemeClr w14:val="tx1"/>
                  </w14:solidFill>
                </w14:textFill>
              </w:rPr>
            </w:pPr>
          </w:p>
        </w:tc>
        <w:tc>
          <w:tcPr>
            <w:tcW w:w="1981" w:type="dxa"/>
            <w:tcBorders>
              <w:top w:val="single" w:color="000000" w:sz="6" w:space="0"/>
              <w:left w:val="nil"/>
              <w:bottom w:val="single" w:color="000000" w:sz="6" w:space="0"/>
              <w:right w:val="single" w:color="000000" w:sz="6" w:space="0"/>
            </w:tcBorders>
            <w:vAlign w:val="center"/>
          </w:tcPr>
          <w:p>
            <w:pPr>
              <w:widowControl/>
              <w:snapToGrid w:val="0"/>
              <w:ind w:firstLine="0" w:firstLineChars="0"/>
              <w:jc w:val="center"/>
              <w:rPr>
                <w:rFonts w:ascii="宋体" w:hAnsi="宋体" w:cs="宋体"/>
                <w:bCs/>
                <w:color w:val="000000" w:themeColor="text1"/>
                <w:kern w:val="0"/>
                <w14:textFill>
                  <w14:solidFill>
                    <w14:schemeClr w14:val="tx1"/>
                  </w14:solidFill>
                </w14:textFill>
              </w:rPr>
            </w:pPr>
          </w:p>
        </w:tc>
        <w:tc>
          <w:tcPr>
            <w:tcW w:w="1441" w:type="dxa"/>
            <w:tcBorders>
              <w:top w:val="single" w:color="000000" w:sz="6" w:space="0"/>
              <w:left w:val="nil"/>
              <w:bottom w:val="single" w:color="000000" w:sz="6" w:space="0"/>
              <w:right w:val="single" w:color="000000" w:sz="6" w:space="0"/>
            </w:tcBorders>
            <w:vAlign w:val="center"/>
          </w:tcPr>
          <w:p>
            <w:pPr>
              <w:widowControl/>
              <w:snapToGrid w:val="0"/>
              <w:ind w:firstLine="0" w:firstLineChars="0"/>
              <w:jc w:val="center"/>
              <w:rPr>
                <w:rFonts w:ascii="宋体" w:hAnsi="宋体" w:cs="宋体"/>
                <w:bCs/>
                <w:color w:val="000000" w:themeColor="text1"/>
                <w:kern w:val="0"/>
                <w14:textFill>
                  <w14:solidFill>
                    <w14:schemeClr w14:val="tx1"/>
                  </w14:solidFill>
                </w14:textFill>
              </w:rPr>
            </w:pPr>
          </w:p>
        </w:tc>
        <w:tc>
          <w:tcPr>
            <w:tcW w:w="1206" w:type="dxa"/>
            <w:tcBorders>
              <w:top w:val="single" w:color="000000" w:sz="6" w:space="0"/>
              <w:left w:val="nil"/>
              <w:bottom w:val="single" w:color="000000" w:sz="6" w:space="0"/>
              <w:right w:val="single" w:color="000000" w:sz="6" w:space="0"/>
            </w:tcBorders>
            <w:vAlign w:val="center"/>
          </w:tcPr>
          <w:p>
            <w:pPr>
              <w:widowControl/>
              <w:snapToGrid w:val="0"/>
              <w:ind w:firstLine="0" w:firstLineChars="0"/>
              <w:jc w:val="center"/>
              <w:rPr>
                <w:rFonts w:ascii="宋体" w:hAnsi="宋体" w:cs="宋体"/>
                <w:bCs/>
                <w:color w:val="000000" w:themeColor="text1"/>
                <w:kern w:val="0"/>
                <w14:textFill>
                  <w14:solidFill>
                    <w14:schemeClr w14:val="tx1"/>
                  </w14:solidFill>
                </w14:textFill>
              </w:rPr>
            </w:pPr>
          </w:p>
        </w:tc>
        <w:tc>
          <w:tcPr>
            <w:tcW w:w="768" w:type="dxa"/>
            <w:tcBorders>
              <w:top w:val="single" w:color="000000" w:sz="6" w:space="0"/>
              <w:left w:val="nil"/>
              <w:bottom w:val="single" w:color="000000" w:sz="6" w:space="0"/>
              <w:right w:val="single" w:color="000000" w:sz="6" w:space="0"/>
            </w:tcBorders>
            <w:vAlign w:val="center"/>
          </w:tcPr>
          <w:p>
            <w:pPr>
              <w:widowControl/>
              <w:snapToGrid w:val="0"/>
              <w:ind w:firstLine="0" w:firstLineChars="0"/>
              <w:jc w:val="center"/>
              <w:rPr>
                <w:rFonts w:ascii="宋体" w:hAnsi="宋体" w:cs="宋体"/>
                <w:bCs/>
                <w:color w:val="000000" w:themeColor="text1"/>
                <w:kern w:val="0"/>
                <w14:textFill>
                  <w14:solidFill>
                    <w14:schemeClr w14:val="tx1"/>
                  </w14:solidFill>
                </w14:textFill>
              </w:rPr>
            </w:pPr>
          </w:p>
        </w:tc>
      </w:tr>
    </w:tbl>
    <w:p>
      <w:pPr>
        <w:snapToGrid w:val="0"/>
        <w:spacing w:before="156" w:beforeLines="50" w:after="50" w:line="460" w:lineRule="exact"/>
        <w:ind w:right="600" w:firstLine="48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注：</w:t>
      </w:r>
      <w:r>
        <w:rPr>
          <w:rFonts w:hint="eastAsia" w:asciiTheme="minorEastAsia" w:hAnsiTheme="minorEastAsia" w:eastAsiaTheme="minorEastAsia"/>
          <w:color w:val="000000" w:themeColor="text1"/>
          <w:lang w:val="en-US" w:eastAsia="zh-CN"/>
          <w14:textFill>
            <w14:solidFill>
              <w14:schemeClr w14:val="tx1"/>
            </w14:solidFill>
          </w14:textFill>
        </w:rPr>
        <w:t>此</w:t>
      </w:r>
      <w:r>
        <w:rPr>
          <w:rFonts w:hint="eastAsia" w:asciiTheme="minorEastAsia" w:hAnsiTheme="minorEastAsia" w:eastAsiaTheme="minorEastAsia"/>
          <w:color w:val="000000" w:themeColor="text1"/>
          <w14:textFill>
            <w14:solidFill>
              <w14:schemeClr w14:val="tx1"/>
            </w14:solidFill>
          </w14:textFill>
        </w:rPr>
        <w:t>表行数可以根据内容自行增减，</w:t>
      </w:r>
      <w:r>
        <w:rPr>
          <w:rFonts w:hint="eastAsia" w:asciiTheme="minorEastAsia" w:hAnsiTheme="minorEastAsia" w:eastAsiaTheme="minorEastAsia"/>
          <w:color w:val="000000" w:themeColor="text1"/>
          <w:lang w:val="en-US" w:eastAsia="zh-CN"/>
          <w14:textFill>
            <w14:solidFill>
              <w14:schemeClr w14:val="tx1"/>
            </w14:solidFill>
          </w14:textFill>
        </w:rPr>
        <w:t>但</w:t>
      </w:r>
      <w:r>
        <w:rPr>
          <w:rFonts w:hint="eastAsia" w:asciiTheme="minorEastAsia" w:hAnsiTheme="minorEastAsia" w:eastAsiaTheme="minorEastAsia"/>
          <w:color w:val="000000" w:themeColor="text1"/>
          <w14:textFill>
            <w14:solidFill>
              <w14:schemeClr w14:val="tx1"/>
            </w14:solidFill>
          </w14:textFill>
        </w:rPr>
        <w:t>格式不能更改；</w:t>
      </w:r>
    </w:p>
    <w:p>
      <w:pPr>
        <w:keepNext/>
        <w:adjustRightInd w:val="0"/>
        <w:snapToGrid w:val="0"/>
        <w:ind w:firstLine="2760" w:firstLineChars="1150"/>
        <w:rPr>
          <w:rFonts w:hint="eastAsia" w:ascii="宋体" w:hAnsi="宋体" w:eastAsia="宋体" w:cs="仿宋_GB2312"/>
          <w:color w:val="000000" w:themeColor="text1"/>
          <w:lang w:val="en-US" w:eastAsia="zh-CN"/>
          <w14:textFill>
            <w14:solidFill>
              <w14:schemeClr w14:val="tx1"/>
            </w14:solidFill>
          </w14:textFill>
        </w:rPr>
      </w:pPr>
    </w:p>
    <w:p>
      <w:pPr>
        <w:keepNext/>
        <w:adjustRightInd w:val="0"/>
        <w:snapToGrid w:val="0"/>
        <w:ind w:firstLine="2760" w:firstLineChars="1150"/>
        <w:rPr>
          <w:rFonts w:ascii="宋体" w:hAnsi="宋体" w:cs="仿宋_GB2312"/>
          <w:color w:val="000000" w:themeColor="text1"/>
          <w14:textFill>
            <w14:solidFill>
              <w14:schemeClr w14:val="tx1"/>
            </w14:solidFill>
          </w14:textFill>
        </w:rPr>
      </w:pPr>
    </w:p>
    <w:p>
      <w:pPr>
        <w:keepNext/>
        <w:adjustRightInd w:val="0"/>
        <w:snapToGrid w:val="0"/>
        <w:ind w:firstLine="2760" w:firstLineChars="1150"/>
        <w:rPr>
          <w:rFonts w:ascii="宋体" w:hAnsi="宋体"/>
          <w:color w:val="000000" w:themeColor="text1"/>
          <w:u w:val="single"/>
          <w14:textFill>
            <w14:solidFill>
              <w14:schemeClr w14:val="tx1"/>
            </w14:solidFill>
          </w14:textFill>
        </w:rPr>
      </w:pPr>
      <w:r>
        <w:rPr>
          <w:rFonts w:hint="eastAsia" w:ascii="宋体" w:hAnsi="宋体" w:cs="仿宋_GB2312"/>
          <w:color w:val="000000" w:themeColor="text1"/>
          <w14:textFill>
            <w14:solidFill>
              <w14:schemeClr w14:val="tx1"/>
            </w14:solidFill>
          </w14:textFill>
        </w:rPr>
        <w:t>供应商（公章）：</w:t>
      </w:r>
      <w:r>
        <w:rPr>
          <w:rFonts w:hint="eastAsia" w:ascii="宋体" w:hAnsi="宋体" w:cs="仿宋_GB2312"/>
          <w:color w:val="000000" w:themeColor="text1"/>
          <w:u w:val="single"/>
          <w14:textFill>
            <w14:solidFill>
              <w14:schemeClr w14:val="tx1"/>
            </w14:solidFill>
          </w14:textFill>
        </w:rPr>
        <w:t xml:space="preserve">               </w:t>
      </w:r>
    </w:p>
    <w:p>
      <w:pPr>
        <w:keepNext/>
        <w:adjustRightInd w:val="0"/>
        <w:snapToGrid w:val="0"/>
        <w:ind w:firstLine="2760" w:firstLineChars="1150"/>
        <w:rPr>
          <w:rFonts w:ascii="宋体" w:hAnsi="宋体"/>
          <w:color w:val="000000" w:themeColor="text1"/>
          <w:u w:val="single"/>
          <w14:textFill>
            <w14:solidFill>
              <w14:schemeClr w14:val="tx1"/>
            </w14:solidFill>
          </w14:textFill>
        </w:rPr>
      </w:pPr>
      <w:r>
        <w:rPr>
          <w:rFonts w:hint="eastAsia" w:ascii="宋体" w:hAnsi="宋体" w:cs="仿宋_GB2312"/>
          <w:color w:val="000000" w:themeColor="text1"/>
          <w14:textFill>
            <w14:solidFill>
              <w14:schemeClr w14:val="tx1"/>
            </w14:solidFill>
          </w14:textFill>
        </w:rPr>
        <w:t>法定代表人或供应商代表（签字或签章）：</w:t>
      </w:r>
      <w:r>
        <w:rPr>
          <w:rFonts w:hint="eastAsia" w:ascii="宋体" w:hAnsi="宋体" w:cs="仿宋_GB2312"/>
          <w:color w:val="000000" w:themeColor="text1"/>
          <w:u w:val="single"/>
          <w14:textFill>
            <w14:solidFill>
              <w14:schemeClr w14:val="tx1"/>
            </w14:solidFill>
          </w14:textFill>
        </w:rPr>
        <w:t xml:space="preserve">                </w:t>
      </w:r>
    </w:p>
    <w:p>
      <w:pPr>
        <w:tabs>
          <w:tab w:val="left" w:pos="4000"/>
        </w:tabs>
        <w:overflowPunct w:val="0"/>
        <w:topLinePunct/>
        <w:autoSpaceDN w:val="0"/>
        <w:adjustRightInd w:val="0"/>
        <w:snapToGrid w:val="0"/>
        <w:ind w:firstLine="2760" w:firstLineChars="1150"/>
        <w:rPr>
          <w:rFonts w:ascii="宋体" w:hAnsi="宋体" w:cs="仿宋_GB2312"/>
          <w:color w:val="000000" w:themeColor="text1"/>
          <w:u w:val="single"/>
          <w14:textFill>
            <w14:solidFill>
              <w14:schemeClr w14:val="tx1"/>
            </w14:solidFill>
          </w14:textFill>
        </w:rPr>
      </w:pPr>
      <w:r>
        <w:rPr>
          <w:rFonts w:hint="eastAsia" w:ascii="宋体" w:hAnsi="宋体" w:cs="仿宋_GB2312"/>
          <w:color w:val="000000" w:themeColor="text1"/>
          <w14:textFill>
            <w14:solidFill>
              <w14:schemeClr w14:val="tx1"/>
            </w14:solidFill>
          </w14:textFill>
        </w:rPr>
        <w:t>日  期：</w:t>
      </w:r>
      <w:r>
        <w:rPr>
          <w:rFonts w:hint="eastAsia" w:ascii="宋体" w:hAnsi="宋体" w:cs="仿宋_GB2312"/>
          <w:color w:val="000000" w:themeColor="text1"/>
          <w:u w:val="single"/>
          <w14:textFill>
            <w14:solidFill>
              <w14:schemeClr w14:val="tx1"/>
            </w14:solidFill>
          </w14:textFill>
        </w:rPr>
        <w:t xml:space="preserve">                   </w:t>
      </w:r>
    </w:p>
    <w:p>
      <w:pPr>
        <w:ind w:firstLine="2400" w:firstLineChars="1000"/>
        <w:rPr>
          <w:color w:val="000000" w:themeColor="text1"/>
          <w14:textFill>
            <w14:solidFill>
              <w14:schemeClr w14:val="tx1"/>
            </w14:solidFill>
          </w14:textFill>
        </w:rPr>
      </w:pPr>
    </w:p>
    <w:p>
      <w:pPr>
        <w:ind w:firstLine="0" w:firstLineChars="0"/>
        <w:jc w:val="center"/>
        <w:rPr>
          <w:b/>
          <w:bCs/>
          <w:color w:val="000000" w:themeColor="text1"/>
          <w:sz w:val="72"/>
          <w:szCs w:val="72"/>
          <w14:textFill>
            <w14:solidFill>
              <w14:schemeClr w14:val="tx1"/>
            </w14:solidFill>
          </w14:textFill>
        </w:rPr>
        <w:sectPr>
          <w:pgSz w:w="11850" w:h="16783"/>
          <w:pgMar w:top="1440" w:right="1800" w:bottom="1440" w:left="1800" w:header="851" w:footer="1417" w:gutter="0"/>
          <w:cols w:space="425" w:num="1"/>
          <w:docGrid w:type="lines" w:linePitch="312" w:charSpace="0"/>
        </w:sectPr>
      </w:pPr>
      <w:bookmarkStart w:id="78" w:name="_Toc8919_WPSOffice_Level1"/>
      <w:bookmarkStart w:id="79" w:name="_Toc30931_WPSOffice_Level1"/>
    </w:p>
    <w:p>
      <w:pPr>
        <w:pStyle w:val="54"/>
        <w:ind w:firstLine="528"/>
        <w:rPr>
          <w:color w:val="000000" w:themeColor="text1"/>
          <w14:textFill>
            <w14:solidFill>
              <w14:schemeClr w14:val="tx1"/>
            </w14:solidFill>
          </w14:textFill>
        </w:rPr>
      </w:pPr>
    </w:p>
    <w:p>
      <w:pPr>
        <w:pStyle w:val="17"/>
        <w:ind w:firstLine="1446"/>
        <w:rPr>
          <w:b/>
          <w:bCs/>
          <w:color w:val="000000" w:themeColor="text1"/>
          <w:sz w:val="72"/>
          <w:szCs w:val="72"/>
          <w14:textFill>
            <w14:solidFill>
              <w14:schemeClr w14:val="tx1"/>
            </w14:solidFill>
          </w14:textFill>
        </w:rPr>
      </w:pPr>
    </w:p>
    <w:p>
      <w:pPr>
        <w:pStyle w:val="17"/>
        <w:ind w:firstLine="1446"/>
        <w:rPr>
          <w:b/>
          <w:bCs/>
          <w:color w:val="000000" w:themeColor="text1"/>
          <w:sz w:val="72"/>
          <w:szCs w:val="72"/>
          <w14:textFill>
            <w14:solidFill>
              <w14:schemeClr w14:val="tx1"/>
            </w14:solidFill>
          </w14:textFill>
        </w:rPr>
      </w:pPr>
    </w:p>
    <w:p>
      <w:pPr>
        <w:ind w:firstLine="0" w:firstLineChars="0"/>
        <w:jc w:val="center"/>
        <w:rPr>
          <w:b/>
          <w:bCs/>
          <w:color w:val="000000" w:themeColor="text1"/>
          <w:sz w:val="72"/>
          <w:szCs w:val="72"/>
          <w14:textFill>
            <w14:solidFill>
              <w14:schemeClr w14:val="tx1"/>
            </w14:solidFill>
          </w14:textFill>
        </w:rPr>
      </w:pPr>
      <w:r>
        <w:rPr>
          <w:rFonts w:hint="eastAsia"/>
          <w:b/>
          <w:bCs/>
          <w:color w:val="000000" w:themeColor="text1"/>
          <w:sz w:val="72"/>
          <w:szCs w:val="72"/>
          <w14:textFill>
            <w14:solidFill>
              <w14:schemeClr w14:val="tx1"/>
            </w14:solidFill>
          </w14:textFill>
        </w:rPr>
        <w:t>政</w:t>
      </w:r>
      <w:bookmarkEnd w:id="78"/>
      <w:bookmarkEnd w:id="79"/>
    </w:p>
    <w:p>
      <w:pPr>
        <w:ind w:firstLine="0" w:firstLineChars="0"/>
        <w:jc w:val="center"/>
        <w:rPr>
          <w:b/>
          <w:bCs/>
          <w:color w:val="000000" w:themeColor="text1"/>
          <w:sz w:val="72"/>
          <w:szCs w:val="72"/>
          <w14:textFill>
            <w14:solidFill>
              <w14:schemeClr w14:val="tx1"/>
            </w14:solidFill>
          </w14:textFill>
        </w:rPr>
      </w:pPr>
      <w:bookmarkStart w:id="80" w:name="_Toc10719_WPSOffice_Level1"/>
      <w:bookmarkStart w:id="81" w:name="_Toc10973_WPSOffice_Level1"/>
      <w:r>
        <w:rPr>
          <w:rFonts w:hint="eastAsia"/>
          <w:b/>
          <w:bCs/>
          <w:color w:val="000000" w:themeColor="text1"/>
          <w:sz w:val="72"/>
          <w:szCs w:val="72"/>
          <w14:textFill>
            <w14:solidFill>
              <w14:schemeClr w14:val="tx1"/>
            </w14:solidFill>
          </w14:textFill>
        </w:rPr>
        <w:t>策</w:t>
      </w:r>
      <w:bookmarkEnd w:id="80"/>
      <w:bookmarkEnd w:id="81"/>
    </w:p>
    <w:p>
      <w:pPr>
        <w:ind w:firstLine="0" w:firstLineChars="0"/>
        <w:jc w:val="center"/>
        <w:rPr>
          <w:b/>
          <w:bCs/>
          <w:color w:val="000000" w:themeColor="text1"/>
          <w:sz w:val="72"/>
          <w:szCs w:val="72"/>
          <w14:textFill>
            <w14:solidFill>
              <w14:schemeClr w14:val="tx1"/>
            </w14:solidFill>
          </w14:textFill>
        </w:rPr>
      </w:pPr>
      <w:bookmarkStart w:id="82" w:name="_Toc22497_WPSOffice_Level1"/>
      <w:bookmarkStart w:id="83" w:name="_Toc9150_WPSOffice_Level1"/>
      <w:r>
        <w:rPr>
          <w:rFonts w:hint="eastAsia"/>
          <w:b/>
          <w:bCs/>
          <w:color w:val="000000" w:themeColor="text1"/>
          <w:sz w:val="72"/>
          <w:szCs w:val="72"/>
          <w14:textFill>
            <w14:solidFill>
              <w14:schemeClr w14:val="tx1"/>
            </w14:solidFill>
          </w14:textFill>
        </w:rPr>
        <w:t>性</w:t>
      </w:r>
      <w:bookmarkEnd w:id="82"/>
      <w:bookmarkEnd w:id="83"/>
    </w:p>
    <w:p>
      <w:pPr>
        <w:ind w:firstLine="0" w:firstLineChars="0"/>
        <w:jc w:val="center"/>
        <w:rPr>
          <w:b/>
          <w:bCs/>
          <w:color w:val="000000" w:themeColor="text1"/>
          <w:sz w:val="72"/>
          <w:szCs w:val="72"/>
          <w14:textFill>
            <w14:solidFill>
              <w14:schemeClr w14:val="tx1"/>
            </w14:solidFill>
          </w14:textFill>
        </w:rPr>
      </w:pPr>
      <w:bookmarkStart w:id="84" w:name="_Toc8457_WPSOffice_Level1"/>
      <w:bookmarkStart w:id="85" w:name="_Toc14399_WPSOffice_Level1"/>
      <w:r>
        <w:rPr>
          <w:rFonts w:hint="eastAsia"/>
          <w:b/>
          <w:bCs/>
          <w:color w:val="000000" w:themeColor="text1"/>
          <w:sz w:val="72"/>
          <w:szCs w:val="72"/>
          <w14:textFill>
            <w14:solidFill>
              <w14:schemeClr w14:val="tx1"/>
            </w14:solidFill>
          </w14:textFill>
        </w:rPr>
        <w:t>要</w:t>
      </w:r>
      <w:bookmarkEnd w:id="84"/>
      <w:bookmarkEnd w:id="85"/>
    </w:p>
    <w:p>
      <w:pPr>
        <w:ind w:firstLine="0" w:firstLineChars="0"/>
        <w:jc w:val="center"/>
        <w:rPr>
          <w:b/>
          <w:bCs/>
          <w:color w:val="000000" w:themeColor="text1"/>
          <w:sz w:val="72"/>
          <w:szCs w:val="72"/>
          <w14:textFill>
            <w14:solidFill>
              <w14:schemeClr w14:val="tx1"/>
            </w14:solidFill>
          </w14:textFill>
        </w:rPr>
      </w:pPr>
      <w:bookmarkStart w:id="86" w:name="_Toc31974_WPSOffice_Level1"/>
      <w:bookmarkStart w:id="87" w:name="_Toc29325_WPSOffice_Level1"/>
      <w:r>
        <w:rPr>
          <w:rFonts w:hint="eastAsia"/>
          <w:b/>
          <w:bCs/>
          <w:color w:val="000000" w:themeColor="text1"/>
          <w:sz w:val="72"/>
          <w:szCs w:val="72"/>
          <w14:textFill>
            <w14:solidFill>
              <w14:schemeClr w14:val="tx1"/>
            </w14:solidFill>
          </w14:textFill>
        </w:rPr>
        <w:t>求</w:t>
      </w:r>
      <w:bookmarkEnd w:id="86"/>
      <w:bookmarkEnd w:id="87"/>
    </w:p>
    <w:p>
      <w:pPr>
        <w:ind w:firstLine="0" w:firstLineChars="0"/>
        <w:jc w:val="center"/>
        <w:rPr>
          <w:b/>
          <w:bCs/>
          <w:color w:val="000000" w:themeColor="text1"/>
          <w:sz w:val="72"/>
          <w:szCs w:val="72"/>
          <w14:textFill>
            <w14:solidFill>
              <w14:schemeClr w14:val="tx1"/>
            </w14:solidFill>
          </w14:textFill>
        </w:rPr>
      </w:pPr>
      <w:bookmarkStart w:id="88" w:name="_Toc20186_WPSOffice_Level1"/>
      <w:bookmarkStart w:id="89" w:name="_Toc24133_WPSOffice_Level1"/>
      <w:r>
        <w:rPr>
          <w:rFonts w:hint="eastAsia"/>
          <w:b/>
          <w:bCs/>
          <w:color w:val="000000" w:themeColor="text1"/>
          <w:sz w:val="72"/>
          <w:szCs w:val="72"/>
          <w14:textFill>
            <w14:solidFill>
              <w14:schemeClr w14:val="tx1"/>
            </w14:solidFill>
          </w14:textFill>
        </w:rPr>
        <w:t>部</w:t>
      </w:r>
      <w:bookmarkEnd w:id="88"/>
      <w:bookmarkEnd w:id="89"/>
      <w:bookmarkStart w:id="90" w:name="_Toc17845_WPSOffice_Level1"/>
      <w:bookmarkStart w:id="91" w:name="_Toc1283_WPSOffice_Level1"/>
    </w:p>
    <w:p>
      <w:pPr>
        <w:ind w:firstLine="0" w:firstLineChars="0"/>
        <w:jc w:val="center"/>
        <w:rPr>
          <w:b/>
          <w:bCs/>
          <w:color w:val="000000" w:themeColor="text1"/>
          <w:sz w:val="72"/>
          <w:szCs w:val="72"/>
          <w14:textFill>
            <w14:solidFill>
              <w14:schemeClr w14:val="tx1"/>
            </w14:solidFill>
          </w14:textFill>
        </w:rPr>
      </w:pPr>
      <w:r>
        <w:rPr>
          <w:rFonts w:hint="eastAsia"/>
          <w:b/>
          <w:bCs/>
          <w:color w:val="000000" w:themeColor="text1"/>
          <w:sz w:val="72"/>
          <w:szCs w:val="72"/>
          <w14:textFill>
            <w14:solidFill>
              <w14:schemeClr w14:val="tx1"/>
            </w14:solidFill>
          </w14:textFill>
        </w:rPr>
        <w:t>分</w:t>
      </w:r>
      <w:bookmarkEnd w:id="90"/>
      <w:bookmarkEnd w:id="91"/>
    </w:p>
    <w:p>
      <w:pPr>
        <w:pStyle w:val="17"/>
        <w:ind w:firstLine="964"/>
        <w:jc w:val="center"/>
        <w:rPr>
          <w:rFonts w:ascii="Times New Roman" w:hAnsi="Times New Roman"/>
          <w:b/>
          <w:bCs/>
          <w:color w:val="000000" w:themeColor="text1"/>
          <w:kern w:val="2"/>
          <w:sz w:val="48"/>
          <w:szCs w:val="48"/>
          <w14:textFill>
            <w14:solidFill>
              <w14:schemeClr w14:val="tx1"/>
            </w14:solidFill>
          </w14:textFill>
        </w:rPr>
      </w:pPr>
    </w:p>
    <w:p>
      <w:pPr>
        <w:pStyle w:val="17"/>
        <w:ind w:firstLine="2891" w:firstLineChars="600"/>
        <w:rPr>
          <w:color w:val="000000" w:themeColor="text1"/>
          <w:sz w:val="48"/>
          <w:szCs w:val="48"/>
          <w14:textFill>
            <w14:solidFill>
              <w14:schemeClr w14:val="tx1"/>
            </w14:solidFill>
          </w14:textFill>
        </w:rPr>
      </w:pPr>
      <w:r>
        <w:rPr>
          <w:rFonts w:hint="eastAsia" w:ascii="Times New Roman" w:hAnsi="Times New Roman"/>
          <w:b/>
          <w:bCs/>
          <w:color w:val="000000" w:themeColor="text1"/>
          <w:kern w:val="2"/>
          <w:sz w:val="48"/>
          <w:szCs w:val="48"/>
          <w14:textFill>
            <w14:solidFill>
              <w14:schemeClr w14:val="tx1"/>
            </w14:solidFill>
          </w14:textFill>
        </w:rPr>
        <w:t>（如适用）</w:t>
      </w:r>
    </w:p>
    <w:p>
      <w:pPr>
        <w:pStyle w:val="4"/>
        <w:ind w:firstLine="482"/>
        <w:rPr>
          <w:color w:val="000000" w:themeColor="text1"/>
          <w14:textFill>
            <w14:solidFill>
              <w14:schemeClr w14:val="tx1"/>
            </w14:solidFill>
          </w14:textFill>
        </w:rPr>
      </w:pPr>
    </w:p>
    <w:p>
      <w:pPr>
        <w:pStyle w:val="56"/>
        <w:ind w:firstLine="468"/>
        <w:rPr>
          <w:color w:val="000000" w:themeColor="text1"/>
          <w:lang w:eastAsia="zh-CN"/>
          <w14:textFill>
            <w14:solidFill>
              <w14:schemeClr w14:val="tx1"/>
            </w14:solidFill>
          </w14:textFill>
        </w:rPr>
      </w:pPr>
    </w:p>
    <w:p>
      <w:pPr>
        <w:pStyle w:val="56"/>
        <w:ind w:firstLine="468"/>
        <w:rPr>
          <w:color w:val="000000" w:themeColor="text1"/>
          <w:lang w:eastAsia="zh-CN"/>
          <w14:textFill>
            <w14:solidFill>
              <w14:schemeClr w14:val="tx1"/>
            </w14:solidFill>
          </w14:textFill>
        </w:rPr>
      </w:pPr>
    </w:p>
    <w:p>
      <w:pPr>
        <w:tabs>
          <w:tab w:val="left" w:pos="1680"/>
        </w:tabs>
        <w:snapToGrid w:val="0"/>
        <w:spacing w:line="480" w:lineRule="exact"/>
        <w:ind w:firstLine="482"/>
        <w:jc w:val="center"/>
        <w:rPr>
          <w:rFonts w:ascii="宋体" w:hAnsi="宋体"/>
          <w:b/>
          <w:color w:val="000000" w:themeColor="text1"/>
          <w:kern w:val="0"/>
          <w14:textFill>
            <w14:solidFill>
              <w14:schemeClr w14:val="tx1"/>
            </w14:solidFill>
          </w14:textFill>
        </w:rPr>
        <w:sectPr>
          <w:pgSz w:w="11850" w:h="16783"/>
          <w:pgMar w:top="1440" w:right="1800" w:bottom="1440" w:left="1800" w:header="851" w:footer="1417" w:gutter="0"/>
          <w:cols w:space="425" w:num="1"/>
          <w:docGrid w:type="lines" w:linePitch="312" w:charSpace="0"/>
        </w:sectPr>
      </w:pPr>
    </w:p>
    <w:p>
      <w:pPr>
        <w:tabs>
          <w:tab w:val="left" w:pos="1680"/>
        </w:tabs>
        <w:snapToGrid w:val="0"/>
        <w:spacing w:line="480" w:lineRule="exact"/>
        <w:ind w:firstLine="482"/>
        <w:jc w:val="center"/>
        <w:rPr>
          <w:rFonts w:ascii="宋体"/>
          <w:color w:val="000000" w:themeColor="text1"/>
          <w14:textFill>
            <w14:solidFill>
              <w14:schemeClr w14:val="tx1"/>
            </w14:solidFill>
          </w14:textFill>
        </w:rPr>
      </w:pPr>
      <w:r>
        <w:rPr>
          <w:rFonts w:hint="eastAsia" w:ascii="宋体" w:hAnsi="宋体"/>
          <w:b/>
          <w:color w:val="000000" w:themeColor="text1"/>
          <w:kern w:val="0"/>
          <w14:textFill>
            <w14:solidFill>
              <w14:schemeClr w14:val="tx1"/>
            </w14:solidFill>
          </w14:textFill>
        </w:rPr>
        <w:t>节能产品明细表（格式）</w:t>
      </w:r>
    </w:p>
    <w:tbl>
      <w:tblPr>
        <w:tblStyle w:val="44"/>
        <w:tblpPr w:leftFromText="180" w:rightFromText="180" w:vertAnchor="text" w:horzAnchor="page" w:tblpX="1424" w:tblpY="466"/>
        <w:tblOverlap w:val="never"/>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665"/>
        <w:gridCol w:w="1560"/>
        <w:gridCol w:w="1390"/>
        <w:gridCol w:w="2158"/>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20" w:type="dxa"/>
            <w:vAlign w:val="center"/>
          </w:tcPr>
          <w:p>
            <w:pPr>
              <w:keepNext/>
              <w:snapToGrid w:val="0"/>
              <w:ind w:firstLine="0" w:firstLineChars="0"/>
              <w:jc w:val="center"/>
              <w:rPr>
                <w:rFonts w:asci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665" w:type="dxa"/>
            <w:vAlign w:val="center"/>
          </w:tcPr>
          <w:p>
            <w:pPr>
              <w:keepNext/>
              <w:snapToGrid w:val="0"/>
              <w:ind w:firstLine="0" w:firstLineChars="0"/>
              <w:jc w:val="center"/>
              <w:rPr>
                <w:rFonts w:asci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产品名称</w:t>
            </w:r>
          </w:p>
        </w:tc>
        <w:tc>
          <w:tcPr>
            <w:tcW w:w="1560" w:type="dxa"/>
            <w:vAlign w:val="center"/>
          </w:tcPr>
          <w:p>
            <w:pPr>
              <w:keepNext/>
              <w:snapToGrid w:val="0"/>
              <w:ind w:firstLine="0" w:firstLineChars="0"/>
              <w:jc w:val="center"/>
              <w:rPr>
                <w:rFonts w:asci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制造商</w:t>
            </w:r>
          </w:p>
        </w:tc>
        <w:tc>
          <w:tcPr>
            <w:tcW w:w="1390" w:type="dxa"/>
            <w:vAlign w:val="center"/>
          </w:tcPr>
          <w:p>
            <w:pPr>
              <w:keepNext/>
              <w:snapToGrid w:val="0"/>
              <w:jc w:val="center"/>
              <w:rPr>
                <w:rFonts w:asci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产品</w:t>
            </w:r>
          </w:p>
          <w:p>
            <w:pPr>
              <w:keepNext/>
              <w:snapToGrid w:val="0"/>
              <w:jc w:val="center"/>
              <w:rPr>
                <w:rFonts w:asci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型号</w:t>
            </w:r>
          </w:p>
        </w:tc>
        <w:tc>
          <w:tcPr>
            <w:tcW w:w="2158" w:type="dxa"/>
            <w:vAlign w:val="center"/>
          </w:tcPr>
          <w:p>
            <w:pPr>
              <w:keepNext/>
              <w:snapToGrid w:val="0"/>
              <w:jc w:val="center"/>
              <w:rPr>
                <w:rFonts w:asci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节能产品认证证书号</w:t>
            </w:r>
          </w:p>
        </w:tc>
        <w:tc>
          <w:tcPr>
            <w:tcW w:w="2621" w:type="dxa"/>
            <w:vAlign w:val="center"/>
          </w:tcPr>
          <w:p>
            <w:pPr>
              <w:keepNext/>
              <w:snapToGrid w:val="0"/>
              <w:ind w:firstLine="0" w:firstLineChars="0"/>
              <w:jc w:val="center"/>
              <w:rPr>
                <w:rFonts w:asci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20" w:type="dxa"/>
          </w:tcPr>
          <w:p>
            <w:pPr>
              <w:keepNext/>
              <w:snapToGrid w:val="0"/>
              <w:jc w:val="center"/>
              <w:rPr>
                <w:rFonts w:ascii="宋体"/>
                <w:color w:val="000000" w:themeColor="text1"/>
                <w:sz w:val="21"/>
                <w:szCs w:val="21"/>
                <w14:textFill>
                  <w14:solidFill>
                    <w14:schemeClr w14:val="tx1"/>
                  </w14:solidFill>
                </w14:textFill>
              </w:rPr>
            </w:pPr>
          </w:p>
        </w:tc>
        <w:tc>
          <w:tcPr>
            <w:tcW w:w="665" w:type="dxa"/>
          </w:tcPr>
          <w:p>
            <w:pPr>
              <w:keepNext/>
              <w:snapToGrid w:val="0"/>
              <w:jc w:val="center"/>
              <w:rPr>
                <w:rFonts w:ascii="宋体"/>
                <w:color w:val="000000" w:themeColor="text1"/>
                <w:sz w:val="21"/>
                <w:szCs w:val="21"/>
                <w14:textFill>
                  <w14:solidFill>
                    <w14:schemeClr w14:val="tx1"/>
                  </w14:solidFill>
                </w14:textFill>
              </w:rPr>
            </w:pPr>
          </w:p>
        </w:tc>
        <w:tc>
          <w:tcPr>
            <w:tcW w:w="1560" w:type="dxa"/>
          </w:tcPr>
          <w:p>
            <w:pPr>
              <w:keepNext/>
              <w:snapToGrid w:val="0"/>
              <w:jc w:val="center"/>
              <w:rPr>
                <w:rFonts w:ascii="宋体"/>
                <w:color w:val="000000" w:themeColor="text1"/>
                <w:sz w:val="21"/>
                <w:szCs w:val="21"/>
                <w14:textFill>
                  <w14:solidFill>
                    <w14:schemeClr w14:val="tx1"/>
                  </w14:solidFill>
                </w14:textFill>
              </w:rPr>
            </w:pPr>
          </w:p>
        </w:tc>
        <w:tc>
          <w:tcPr>
            <w:tcW w:w="1390" w:type="dxa"/>
          </w:tcPr>
          <w:p>
            <w:pPr>
              <w:keepNext/>
              <w:snapToGrid w:val="0"/>
              <w:jc w:val="center"/>
              <w:rPr>
                <w:rFonts w:ascii="宋体"/>
                <w:color w:val="000000" w:themeColor="text1"/>
                <w:sz w:val="21"/>
                <w:szCs w:val="21"/>
                <w14:textFill>
                  <w14:solidFill>
                    <w14:schemeClr w14:val="tx1"/>
                  </w14:solidFill>
                </w14:textFill>
              </w:rPr>
            </w:pPr>
          </w:p>
        </w:tc>
        <w:tc>
          <w:tcPr>
            <w:tcW w:w="2158" w:type="dxa"/>
          </w:tcPr>
          <w:p>
            <w:pPr>
              <w:keepNext/>
              <w:snapToGrid w:val="0"/>
              <w:jc w:val="center"/>
              <w:rPr>
                <w:rFonts w:ascii="宋体"/>
                <w:color w:val="000000" w:themeColor="text1"/>
                <w:sz w:val="21"/>
                <w:szCs w:val="21"/>
                <w14:textFill>
                  <w14:solidFill>
                    <w14:schemeClr w14:val="tx1"/>
                  </w14:solidFill>
                </w14:textFill>
              </w:rPr>
            </w:pPr>
          </w:p>
        </w:tc>
        <w:tc>
          <w:tcPr>
            <w:tcW w:w="2621" w:type="dxa"/>
          </w:tcPr>
          <w:p>
            <w:pPr>
              <w:keepNext/>
              <w:snapToGrid w:val="0"/>
              <w:jc w:val="center"/>
              <w:rPr>
                <w:rFonts w:asci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20" w:type="dxa"/>
          </w:tcPr>
          <w:p>
            <w:pPr>
              <w:keepNext/>
              <w:snapToGrid w:val="0"/>
              <w:jc w:val="center"/>
              <w:rPr>
                <w:rFonts w:ascii="宋体"/>
                <w:color w:val="000000" w:themeColor="text1"/>
                <w:sz w:val="21"/>
                <w:szCs w:val="21"/>
                <w14:textFill>
                  <w14:solidFill>
                    <w14:schemeClr w14:val="tx1"/>
                  </w14:solidFill>
                </w14:textFill>
              </w:rPr>
            </w:pPr>
          </w:p>
        </w:tc>
        <w:tc>
          <w:tcPr>
            <w:tcW w:w="665" w:type="dxa"/>
          </w:tcPr>
          <w:p>
            <w:pPr>
              <w:keepNext/>
              <w:snapToGrid w:val="0"/>
              <w:jc w:val="center"/>
              <w:rPr>
                <w:rFonts w:ascii="宋体"/>
                <w:color w:val="000000" w:themeColor="text1"/>
                <w:sz w:val="21"/>
                <w:szCs w:val="21"/>
                <w14:textFill>
                  <w14:solidFill>
                    <w14:schemeClr w14:val="tx1"/>
                  </w14:solidFill>
                </w14:textFill>
              </w:rPr>
            </w:pPr>
          </w:p>
        </w:tc>
        <w:tc>
          <w:tcPr>
            <w:tcW w:w="1560" w:type="dxa"/>
          </w:tcPr>
          <w:p>
            <w:pPr>
              <w:keepNext/>
              <w:snapToGrid w:val="0"/>
              <w:jc w:val="center"/>
              <w:rPr>
                <w:rFonts w:ascii="宋体"/>
                <w:color w:val="000000" w:themeColor="text1"/>
                <w:sz w:val="21"/>
                <w:szCs w:val="21"/>
                <w14:textFill>
                  <w14:solidFill>
                    <w14:schemeClr w14:val="tx1"/>
                  </w14:solidFill>
                </w14:textFill>
              </w:rPr>
            </w:pPr>
          </w:p>
        </w:tc>
        <w:tc>
          <w:tcPr>
            <w:tcW w:w="1390" w:type="dxa"/>
          </w:tcPr>
          <w:p>
            <w:pPr>
              <w:keepNext/>
              <w:snapToGrid w:val="0"/>
              <w:jc w:val="center"/>
              <w:rPr>
                <w:rFonts w:ascii="宋体"/>
                <w:color w:val="000000" w:themeColor="text1"/>
                <w:sz w:val="21"/>
                <w:szCs w:val="21"/>
                <w14:textFill>
                  <w14:solidFill>
                    <w14:schemeClr w14:val="tx1"/>
                  </w14:solidFill>
                </w14:textFill>
              </w:rPr>
            </w:pPr>
          </w:p>
        </w:tc>
        <w:tc>
          <w:tcPr>
            <w:tcW w:w="2158" w:type="dxa"/>
          </w:tcPr>
          <w:p>
            <w:pPr>
              <w:keepNext/>
              <w:snapToGrid w:val="0"/>
              <w:jc w:val="center"/>
              <w:rPr>
                <w:rFonts w:ascii="宋体"/>
                <w:color w:val="000000" w:themeColor="text1"/>
                <w:sz w:val="21"/>
                <w:szCs w:val="21"/>
                <w14:textFill>
                  <w14:solidFill>
                    <w14:schemeClr w14:val="tx1"/>
                  </w14:solidFill>
                </w14:textFill>
              </w:rPr>
            </w:pPr>
          </w:p>
        </w:tc>
        <w:tc>
          <w:tcPr>
            <w:tcW w:w="2621" w:type="dxa"/>
          </w:tcPr>
          <w:p>
            <w:pPr>
              <w:keepNext/>
              <w:snapToGrid w:val="0"/>
              <w:jc w:val="center"/>
              <w:rPr>
                <w:rFonts w:asci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820" w:type="dxa"/>
          </w:tcPr>
          <w:p>
            <w:pPr>
              <w:keepNext/>
              <w:snapToGrid w:val="0"/>
              <w:jc w:val="center"/>
              <w:rPr>
                <w:rFonts w:ascii="宋体"/>
                <w:color w:val="000000" w:themeColor="text1"/>
                <w:sz w:val="21"/>
                <w:szCs w:val="21"/>
                <w14:textFill>
                  <w14:solidFill>
                    <w14:schemeClr w14:val="tx1"/>
                  </w14:solidFill>
                </w14:textFill>
              </w:rPr>
            </w:pPr>
          </w:p>
        </w:tc>
        <w:tc>
          <w:tcPr>
            <w:tcW w:w="665" w:type="dxa"/>
          </w:tcPr>
          <w:p>
            <w:pPr>
              <w:keepNext/>
              <w:snapToGrid w:val="0"/>
              <w:jc w:val="center"/>
              <w:rPr>
                <w:rFonts w:ascii="宋体"/>
                <w:color w:val="000000" w:themeColor="text1"/>
                <w:sz w:val="21"/>
                <w:szCs w:val="21"/>
                <w14:textFill>
                  <w14:solidFill>
                    <w14:schemeClr w14:val="tx1"/>
                  </w14:solidFill>
                </w14:textFill>
              </w:rPr>
            </w:pPr>
          </w:p>
        </w:tc>
        <w:tc>
          <w:tcPr>
            <w:tcW w:w="1560" w:type="dxa"/>
          </w:tcPr>
          <w:p>
            <w:pPr>
              <w:keepNext/>
              <w:snapToGrid w:val="0"/>
              <w:jc w:val="center"/>
              <w:rPr>
                <w:rFonts w:ascii="宋体"/>
                <w:color w:val="000000" w:themeColor="text1"/>
                <w:sz w:val="21"/>
                <w:szCs w:val="21"/>
                <w14:textFill>
                  <w14:solidFill>
                    <w14:schemeClr w14:val="tx1"/>
                  </w14:solidFill>
                </w14:textFill>
              </w:rPr>
            </w:pPr>
          </w:p>
        </w:tc>
        <w:tc>
          <w:tcPr>
            <w:tcW w:w="1390" w:type="dxa"/>
          </w:tcPr>
          <w:p>
            <w:pPr>
              <w:keepNext/>
              <w:snapToGrid w:val="0"/>
              <w:jc w:val="center"/>
              <w:rPr>
                <w:rFonts w:ascii="宋体"/>
                <w:color w:val="000000" w:themeColor="text1"/>
                <w:sz w:val="21"/>
                <w:szCs w:val="21"/>
                <w14:textFill>
                  <w14:solidFill>
                    <w14:schemeClr w14:val="tx1"/>
                  </w14:solidFill>
                </w14:textFill>
              </w:rPr>
            </w:pPr>
          </w:p>
        </w:tc>
        <w:tc>
          <w:tcPr>
            <w:tcW w:w="2158" w:type="dxa"/>
          </w:tcPr>
          <w:p>
            <w:pPr>
              <w:keepNext/>
              <w:snapToGrid w:val="0"/>
              <w:jc w:val="center"/>
              <w:rPr>
                <w:rFonts w:ascii="宋体"/>
                <w:color w:val="000000" w:themeColor="text1"/>
                <w:sz w:val="21"/>
                <w:szCs w:val="21"/>
                <w14:textFill>
                  <w14:solidFill>
                    <w14:schemeClr w14:val="tx1"/>
                  </w14:solidFill>
                </w14:textFill>
              </w:rPr>
            </w:pPr>
          </w:p>
        </w:tc>
        <w:tc>
          <w:tcPr>
            <w:tcW w:w="2621" w:type="dxa"/>
          </w:tcPr>
          <w:p>
            <w:pPr>
              <w:keepNext/>
              <w:snapToGrid w:val="0"/>
              <w:jc w:val="center"/>
              <w:rPr>
                <w:rFonts w:asci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20" w:type="dxa"/>
            <w:vAlign w:val="center"/>
          </w:tcPr>
          <w:p>
            <w:pPr>
              <w:keepNext/>
              <w:snapToGrid w:val="0"/>
              <w:jc w:val="center"/>
              <w:rPr>
                <w:rFonts w:ascii="宋体"/>
                <w:color w:val="000000" w:themeColor="text1"/>
                <w:sz w:val="21"/>
                <w:szCs w:val="21"/>
                <w14:textFill>
                  <w14:solidFill>
                    <w14:schemeClr w14:val="tx1"/>
                  </w14:solidFill>
                </w14:textFill>
              </w:rPr>
            </w:pPr>
          </w:p>
        </w:tc>
        <w:tc>
          <w:tcPr>
            <w:tcW w:w="665" w:type="dxa"/>
            <w:vAlign w:val="center"/>
          </w:tcPr>
          <w:p>
            <w:pPr>
              <w:keepNext/>
              <w:snapToGrid w:val="0"/>
              <w:jc w:val="center"/>
              <w:rPr>
                <w:rFonts w:ascii="宋体"/>
                <w:color w:val="000000" w:themeColor="text1"/>
                <w:sz w:val="21"/>
                <w:szCs w:val="21"/>
                <w14:textFill>
                  <w14:solidFill>
                    <w14:schemeClr w14:val="tx1"/>
                  </w14:solidFill>
                </w14:textFill>
              </w:rPr>
            </w:pPr>
          </w:p>
        </w:tc>
        <w:tc>
          <w:tcPr>
            <w:tcW w:w="1560" w:type="dxa"/>
            <w:vAlign w:val="center"/>
          </w:tcPr>
          <w:p>
            <w:pPr>
              <w:keepNext/>
              <w:snapToGrid w:val="0"/>
              <w:jc w:val="center"/>
              <w:rPr>
                <w:rFonts w:ascii="宋体"/>
                <w:color w:val="000000" w:themeColor="text1"/>
                <w:sz w:val="21"/>
                <w:szCs w:val="21"/>
                <w14:textFill>
                  <w14:solidFill>
                    <w14:schemeClr w14:val="tx1"/>
                  </w14:solidFill>
                </w14:textFill>
              </w:rPr>
            </w:pPr>
          </w:p>
        </w:tc>
        <w:tc>
          <w:tcPr>
            <w:tcW w:w="1390" w:type="dxa"/>
            <w:vAlign w:val="center"/>
          </w:tcPr>
          <w:p>
            <w:pPr>
              <w:keepNext/>
              <w:snapToGrid w:val="0"/>
              <w:jc w:val="center"/>
              <w:rPr>
                <w:rFonts w:ascii="宋体"/>
                <w:color w:val="000000" w:themeColor="text1"/>
                <w:sz w:val="21"/>
                <w:szCs w:val="21"/>
                <w14:textFill>
                  <w14:solidFill>
                    <w14:schemeClr w14:val="tx1"/>
                  </w14:solidFill>
                </w14:textFill>
              </w:rPr>
            </w:pPr>
          </w:p>
        </w:tc>
        <w:tc>
          <w:tcPr>
            <w:tcW w:w="2158" w:type="dxa"/>
            <w:vAlign w:val="center"/>
          </w:tcPr>
          <w:p>
            <w:pPr>
              <w:keepNext/>
              <w:snapToGrid w:val="0"/>
              <w:jc w:val="center"/>
              <w:rPr>
                <w:rFonts w:ascii="宋体"/>
                <w:color w:val="000000" w:themeColor="text1"/>
                <w:sz w:val="21"/>
                <w:szCs w:val="21"/>
                <w14:textFill>
                  <w14:solidFill>
                    <w14:schemeClr w14:val="tx1"/>
                  </w14:solidFill>
                </w14:textFill>
              </w:rPr>
            </w:pPr>
          </w:p>
        </w:tc>
        <w:tc>
          <w:tcPr>
            <w:tcW w:w="2621" w:type="dxa"/>
            <w:vAlign w:val="center"/>
          </w:tcPr>
          <w:p>
            <w:pPr>
              <w:keepNext/>
              <w:snapToGrid w:val="0"/>
              <w:jc w:val="center"/>
              <w:rPr>
                <w:rFonts w:ascii="宋体"/>
                <w:color w:val="000000" w:themeColor="text1"/>
                <w:sz w:val="21"/>
                <w:szCs w:val="21"/>
                <w14:textFill>
                  <w14:solidFill>
                    <w14:schemeClr w14:val="tx1"/>
                  </w14:solidFill>
                </w14:textFill>
              </w:rPr>
            </w:pPr>
          </w:p>
        </w:tc>
      </w:tr>
    </w:tbl>
    <w:p>
      <w:pPr>
        <w:tabs>
          <w:tab w:val="left" w:pos="1680"/>
        </w:tabs>
        <w:snapToGrid w:val="0"/>
        <w:spacing w:line="480" w:lineRule="exact"/>
        <w:ind w:firstLine="480"/>
        <w:rPr>
          <w:rFonts w:ascii="宋体"/>
          <w:color w:val="000000" w:themeColor="text1"/>
          <w14:textFill>
            <w14:solidFill>
              <w14:schemeClr w14:val="tx1"/>
            </w14:solidFill>
          </w14:textFill>
        </w:rPr>
      </w:pPr>
    </w:p>
    <w:p>
      <w:pPr>
        <w:spacing w:line="480" w:lineRule="exact"/>
        <w:ind w:firstLine="480"/>
        <w:jc w:val="center"/>
        <w:rPr>
          <w:rFonts w:asci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提供所投产品在最新一期《节能产品政府采购清单》中所在页截图复印件，并予以标记。</w:t>
      </w:r>
    </w:p>
    <w:p>
      <w:pPr>
        <w:spacing w:line="480" w:lineRule="exact"/>
        <w:ind w:firstLine="482"/>
        <w:jc w:val="center"/>
        <w:rPr>
          <w:rFonts w:ascii="宋体"/>
          <w:b/>
          <w:color w:val="000000" w:themeColor="text1"/>
          <w14:textFill>
            <w14:solidFill>
              <w14:schemeClr w14:val="tx1"/>
            </w14:solidFill>
          </w14:textFill>
        </w:rPr>
      </w:pPr>
    </w:p>
    <w:p>
      <w:pPr>
        <w:spacing w:line="480" w:lineRule="exact"/>
        <w:ind w:firstLine="482"/>
        <w:jc w:val="center"/>
        <w:rPr>
          <w:rFonts w:ascii="宋体"/>
          <w:b/>
          <w:color w:val="000000" w:themeColor="text1"/>
          <w14:textFill>
            <w14:solidFill>
              <w14:schemeClr w14:val="tx1"/>
            </w14:solidFill>
          </w14:textFill>
        </w:rPr>
      </w:pPr>
    </w:p>
    <w:p>
      <w:pPr>
        <w:keepNext/>
        <w:adjustRightInd w:val="0"/>
        <w:snapToGrid w:val="0"/>
        <w:ind w:firstLine="2760" w:firstLineChars="1150"/>
        <w:rPr>
          <w:rFonts w:ascii="宋体" w:hAnsi="宋体"/>
          <w:color w:val="000000" w:themeColor="text1"/>
          <w:u w:val="single"/>
          <w14:textFill>
            <w14:solidFill>
              <w14:schemeClr w14:val="tx1"/>
            </w14:solidFill>
          </w14:textFill>
        </w:rPr>
      </w:pPr>
      <w:r>
        <w:rPr>
          <w:rFonts w:hint="eastAsia" w:ascii="宋体" w:hAnsi="宋体" w:cs="仿宋_GB2312"/>
          <w:color w:val="000000" w:themeColor="text1"/>
          <w14:textFill>
            <w14:solidFill>
              <w14:schemeClr w14:val="tx1"/>
            </w14:solidFill>
          </w14:textFill>
        </w:rPr>
        <w:t>供应商（公章）：</w:t>
      </w:r>
      <w:r>
        <w:rPr>
          <w:rFonts w:hint="eastAsia" w:ascii="宋体" w:hAnsi="宋体" w:cs="仿宋_GB2312"/>
          <w:color w:val="000000" w:themeColor="text1"/>
          <w:u w:val="single"/>
          <w14:textFill>
            <w14:solidFill>
              <w14:schemeClr w14:val="tx1"/>
            </w14:solidFill>
          </w14:textFill>
        </w:rPr>
        <w:t xml:space="preserve">                               </w:t>
      </w:r>
    </w:p>
    <w:p>
      <w:pPr>
        <w:keepNext/>
        <w:adjustRightInd w:val="0"/>
        <w:snapToGrid w:val="0"/>
        <w:ind w:firstLine="2760" w:firstLineChars="1150"/>
        <w:rPr>
          <w:rFonts w:ascii="宋体" w:hAnsi="宋体"/>
          <w:color w:val="000000" w:themeColor="text1"/>
          <w:u w:val="single"/>
          <w14:textFill>
            <w14:solidFill>
              <w14:schemeClr w14:val="tx1"/>
            </w14:solidFill>
          </w14:textFill>
        </w:rPr>
      </w:pPr>
      <w:r>
        <w:rPr>
          <w:rFonts w:hint="eastAsia" w:ascii="宋体" w:hAnsi="宋体" w:cs="仿宋_GB2312"/>
          <w:color w:val="000000" w:themeColor="text1"/>
          <w14:textFill>
            <w14:solidFill>
              <w14:schemeClr w14:val="tx1"/>
            </w14:solidFill>
          </w14:textFill>
        </w:rPr>
        <w:t>法定代表人或供应商代表（签字或签章）：</w:t>
      </w:r>
      <w:r>
        <w:rPr>
          <w:rFonts w:hint="eastAsia" w:ascii="宋体" w:hAnsi="宋体" w:cs="仿宋_GB2312"/>
          <w:color w:val="000000" w:themeColor="text1"/>
          <w:u w:val="single"/>
          <w14:textFill>
            <w14:solidFill>
              <w14:schemeClr w14:val="tx1"/>
            </w14:solidFill>
          </w14:textFill>
        </w:rPr>
        <w:t xml:space="preserve">           </w:t>
      </w:r>
    </w:p>
    <w:p>
      <w:pPr>
        <w:tabs>
          <w:tab w:val="left" w:pos="4000"/>
        </w:tabs>
        <w:overflowPunct w:val="0"/>
        <w:topLinePunct/>
        <w:autoSpaceDN w:val="0"/>
        <w:adjustRightInd w:val="0"/>
        <w:snapToGrid w:val="0"/>
        <w:ind w:firstLine="2760" w:firstLineChars="1150"/>
        <w:rPr>
          <w:rFonts w:ascii="宋体" w:hAnsi="宋体" w:cs="仿宋_GB2312"/>
          <w:color w:val="000000" w:themeColor="text1"/>
          <w:u w:val="single"/>
          <w14:textFill>
            <w14:solidFill>
              <w14:schemeClr w14:val="tx1"/>
            </w14:solidFill>
          </w14:textFill>
        </w:rPr>
      </w:pPr>
      <w:r>
        <w:rPr>
          <w:rFonts w:hint="eastAsia" w:ascii="宋体" w:hAnsi="宋体" w:cs="仿宋_GB2312"/>
          <w:color w:val="000000" w:themeColor="text1"/>
          <w14:textFill>
            <w14:solidFill>
              <w14:schemeClr w14:val="tx1"/>
            </w14:solidFill>
          </w14:textFill>
        </w:rPr>
        <w:t>日期：</w:t>
      </w:r>
      <w:r>
        <w:rPr>
          <w:rFonts w:hint="eastAsia" w:ascii="宋体" w:hAnsi="宋体" w:cs="仿宋_GB2312"/>
          <w:color w:val="000000" w:themeColor="text1"/>
          <w:u w:val="single"/>
          <w14:textFill>
            <w14:solidFill>
              <w14:schemeClr w14:val="tx1"/>
            </w14:solidFill>
          </w14:textFill>
        </w:rPr>
        <w:t xml:space="preserve">                     </w:t>
      </w:r>
    </w:p>
    <w:p>
      <w:pPr>
        <w:spacing w:line="480" w:lineRule="exact"/>
        <w:ind w:firstLine="482"/>
        <w:jc w:val="center"/>
        <w:rPr>
          <w:rFonts w:ascii="宋体"/>
          <w:b/>
          <w:color w:val="000000" w:themeColor="text1"/>
          <w14:textFill>
            <w14:solidFill>
              <w14:schemeClr w14:val="tx1"/>
            </w14:solidFill>
          </w14:textFill>
        </w:rPr>
      </w:pPr>
    </w:p>
    <w:p>
      <w:pPr>
        <w:tabs>
          <w:tab w:val="left" w:pos="1680"/>
        </w:tabs>
        <w:snapToGrid w:val="0"/>
        <w:spacing w:line="480" w:lineRule="exact"/>
        <w:ind w:firstLine="643"/>
        <w:jc w:val="center"/>
        <w:rPr>
          <w:rFonts w:ascii="宋体"/>
          <w:b/>
          <w:color w:val="000000" w:themeColor="text1"/>
          <w:kern w:val="0"/>
          <w14:textFill>
            <w14:solidFill>
              <w14:schemeClr w14:val="tx1"/>
            </w14:solidFill>
          </w14:textFill>
        </w:rPr>
      </w:pPr>
      <w:r>
        <w:rPr>
          <w:rFonts w:ascii="宋体"/>
          <w:b/>
          <w:color w:val="000000" w:themeColor="text1"/>
          <w:kern w:val="0"/>
          <w:sz w:val="32"/>
          <w14:textFill>
            <w14:solidFill>
              <w14:schemeClr w14:val="tx1"/>
            </w14:solidFill>
          </w14:textFill>
        </w:rPr>
        <w:br w:type="page"/>
      </w:r>
      <w:r>
        <w:rPr>
          <w:rFonts w:hint="eastAsia" w:ascii="宋体" w:hAnsi="宋体"/>
          <w:b/>
          <w:color w:val="000000" w:themeColor="text1"/>
          <w:kern w:val="0"/>
          <w14:textFill>
            <w14:solidFill>
              <w14:schemeClr w14:val="tx1"/>
            </w14:solidFill>
          </w14:textFill>
        </w:rPr>
        <w:t>环境标志产品明细表（格式）</w:t>
      </w:r>
    </w:p>
    <w:p>
      <w:pPr>
        <w:spacing w:line="480" w:lineRule="exact"/>
        <w:ind w:firstLine="482"/>
        <w:jc w:val="center"/>
        <w:rPr>
          <w:rFonts w:ascii="宋体"/>
          <w:b/>
          <w:color w:val="000000" w:themeColor="text1"/>
          <w14:textFill>
            <w14:solidFill>
              <w14:schemeClr w14:val="tx1"/>
            </w14:solidFill>
          </w14:textFill>
        </w:rPr>
      </w:pPr>
    </w:p>
    <w:tbl>
      <w:tblPr>
        <w:tblStyle w:val="44"/>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790"/>
        <w:gridCol w:w="1040"/>
        <w:gridCol w:w="1620"/>
        <w:gridCol w:w="1110"/>
        <w:gridCol w:w="2710"/>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698" w:type="dxa"/>
            <w:vAlign w:val="center"/>
          </w:tcPr>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序号</w:t>
            </w:r>
          </w:p>
        </w:tc>
        <w:tc>
          <w:tcPr>
            <w:tcW w:w="790" w:type="dxa"/>
            <w:vAlign w:val="center"/>
          </w:tcPr>
          <w:p>
            <w:pPr>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产品</w:t>
            </w:r>
          </w:p>
          <w:p>
            <w:pPr>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名称</w:t>
            </w:r>
          </w:p>
        </w:tc>
        <w:tc>
          <w:tcPr>
            <w:tcW w:w="1040" w:type="dxa"/>
            <w:vAlign w:val="center"/>
          </w:tcPr>
          <w:p>
            <w:pPr>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制造商</w:t>
            </w:r>
          </w:p>
        </w:tc>
        <w:tc>
          <w:tcPr>
            <w:tcW w:w="1620"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注册</w:t>
            </w:r>
          </w:p>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商标</w:t>
            </w:r>
          </w:p>
        </w:tc>
        <w:tc>
          <w:tcPr>
            <w:tcW w:w="1110"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产品</w:t>
            </w:r>
          </w:p>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型号</w:t>
            </w:r>
          </w:p>
        </w:tc>
        <w:tc>
          <w:tcPr>
            <w:tcW w:w="2710" w:type="dxa"/>
            <w:vAlign w:val="center"/>
          </w:tcPr>
          <w:p>
            <w:pPr>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环境标志产品认证证书号</w:t>
            </w:r>
          </w:p>
        </w:tc>
        <w:tc>
          <w:tcPr>
            <w:tcW w:w="1588" w:type="dxa"/>
            <w:vAlign w:val="center"/>
          </w:tcPr>
          <w:p>
            <w:pPr>
              <w:ind w:firstLine="0" w:firstLineChars="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98" w:type="dxa"/>
          </w:tcPr>
          <w:p>
            <w:pPr>
              <w:rPr>
                <w:color w:val="000000" w:themeColor="text1"/>
                <w:sz w:val="21"/>
                <w:szCs w:val="21"/>
                <w14:textFill>
                  <w14:solidFill>
                    <w14:schemeClr w14:val="tx1"/>
                  </w14:solidFill>
                </w14:textFill>
              </w:rPr>
            </w:pPr>
          </w:p>
        </w:tc>
        <w:tc>
          <w:tcPr>
            <w:tcW w:w="790" w:type="dxa"/>
          </w:tcPr>
          <w:p>
            <w:pPr>
              <w:rPr>
                <w:color w:val="000000" w:themeColor="text1"/>
                <w:sz w:val="21"/>
                <w:szCs w:val="21"/>
                <w14:textFill>
                  <w14:solidFill>
                    <w14:schemeClr w14:val="tx1"/>
                  </w14:solidFill>
                </w14:textFill>
              </w:rPr>
            </w:pPr>
          </w:p>
        </w:tc>
        <w:tc>
          <w:tcPr>
            <w:tcW w:w="1040" w:type="dxa"/>
          </w:tcPr>
          <w:p>
            <w:pPr>
              <w:rPr>
                <w:color w:val="000000" w:themeColor="text1"/>
                <w:sz w:val="21"/>
                <w:szCs w:val="21"/>
                <w14:textFill>
                  <w14:solidFill>
                    <w14:schemeClr w14:val="tx1"/>
                  </w14:solidFill>
                </w14:textFill>
              </w:rPr>
            </w:pPr>
          </w:p>
        </w:tc>
        <w:tc>
          <w:tcPr>
            <w:tcW w:w="1620" w:type="dxa"/>
          </w:tcPr>
          <w:p>
            <w:pPr>
              <w:rPr>
                <w:color w:val="000000" w:themeColor="text1"/>
                <w:sz w:val="21"/>
                <w:szCs w:val="21"/>
                <w14:textFill>
                  <w14:solidFill>
                    <w14:schemeClr w14:val="tx1"/>
                  </w14:solidFill>
                </w14:textFill>
              </w:rPr>
            </w:pPr>
          </w:p>
        </w:tc>
        <w:tc>
          <w:tcPr>
            <w:tcW w:w="1110" w:type="dxa"/>
          </w:tcPr>
          <w:p>
            <w:pPr>
              <w:rPr>
                <w:color w:val="000000" w:themeColor="text1"/>
                <w:sz w:val="21"/>
                <w:szCs w:val="21"/>
                <w14:textFill>
                  <w14:solidFill>
                    <w14:schemeClr w14:val="tx1"/>
                  </w14:solidFill>
                </w14:textFill>
              </w:rPr>
            </w:pPr>
          </w:p>
        </w:tc>
        <w:tc>
          <w:tcPr>
            <w:tcW w:w="2710" w:type="dxa"/>
          </w:tcPr>
          <w:p>
            <w:pPr>
              <w:rPr>
                <w:color w:val="000000" w:themeColor="text1"/>
                <w:sz w:val="21"/>
                <w:szCs w:val="21"/>
                <w14:textFill>
                  <w14:solidFill>
                    <w14:schemeClr w14:val="tx1"/>
                  </w14:solidFill>
                </w14:textFill>
              </w:rPr>
            </w:pPr>
          </w:p>
        </w:tc>
        <w:tc>
          <w:tcPr>
            <w:tcW w:w="1588" w:type="dxa"/>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8" w:type="dxa"/>
          </w:tcPr>
          <w:p>
            <w:pPr>
              <w:rPr>
                <w:color w:val="000000" w:themeColor="text1"/>
                <w:sz w:val="21"/>
                <w:szCs w:val="21"/>
                <w14:textFill>
                  <w14:solidFill>
                    <w14:schemeClr w14:val="tx1"/>
                  </w14:solidFill>
                </w14:textFill>
              </w:rPr>
            </w:pPr>
          </w:p>
        </w:tc>
        <w:tc>
          <w:tcPr>
            <w:tcW w:w="790" w:type="dxa"/>
          </w:tcPr>
          <w:p>
            <w:pPr>
              <w:rPr>
                <w:color w:val="000000" w:themeColor="text1"/>
                <w:sz w:val="21"/>
                <w:szCs w:val="21"/>
                <w14:textFill>
                  <w14:solidFill>
                    <w14:schemeClr w14:val="tx1"/>
                  </w14:solidFill>
                </w14:textFill>
              </w:rPr>
            </w:pPr>
          </w:p>
        </w:tc>
        <w:tc>
          <w:tcPr>
            <w:tcW w:w="1040" w:type="dxa"/>
          </w:tcPr>
          <w:p>
            <w:pPr>
              <w:rPr>
                <w:color w:val="000000" w:themeColor="text1"/>
                <w:sz w:val="21"/>
                <w:szCs w:val="21"/>
                <w14:textFill>
                  <w14:solidFill>
                    <w14:schemeClr w14:val="tx1"/>
                  </w14:solidFill>
                </w14:textFill>
              </w:rPr>
            </w:pPr>
          </w:p>
        </w:tc>
        <w:tc>
          <w:tcPr>
            <w:tcW w:w="1620" w:type="dxa"/>
          </w:tcPr>
          <w:p>
            <w:pPr>
              <w:rPr>
                <w:color w:val="000000" w:themeColor="text1"/>
                <w:sz w:val="21"/>
                <w:szCs w:val="21"/>
                <w14:textFill>
                  <w14:solidFill>
                    <w14:schemeClr w14:val="tx1"/>
                  </w14:solidFill>
                </w14:textFill>
              </w:rPr>
            </w:pPr>
          </w:p>
        </w:tc>
        <w:tc>
          <w:tcPr>
            <w:tcW w:w="1110" w:type="dxa"/>
          </w:tcPr>
          <w:p>
            <w:pPr>
              <w:rPr>
                <w:color w:val="000000" w:themeColor="text1"/>
                <w:sz w:val="21"/>
                <w:szCs w:val="21"/>
                <w14:textFill>
                  <w14:solidFill>
                    <w14:schemeClr w14:val="tx1"/>
                  </w14:solidFill>
                </w14:textFill>
              </w:rPr>
            </w:pPr>
          </w:p>
        </w:tc>
        <w:tc>
          <w:tcPr>
            <w:tcW w:w="2710" w:type="dxa"/>
          </w:tcPr>
          <w:p>
            <w:pPr>
              <w:rPr>
                <w:color w:val="000000" w:themeColor="text1"/>
                <w:sz w:val="21"/>
                <w:szCs w:val="21"/>
                <w14:textFill>
                  <w14:solidFill>
                    <w14:schemeClr w14:val="tx1"/>
                  </w14:solidFill>
                </w14:textFill>
              </w:rPr>
            </w:pPr>
          </w:p>
        </w:tc>
        <w:tc>
          <w:tcPr>
            <w:tcW w:w="1588" w:type="dxa"/>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8" w:type="dxa"/>
          </w:tcPr>
          <w:p>
            <w:pPr>
              <w:rPr>
                <w:color w:val="000000" w:themeColor="text1"/>
                <w:sz w:val="21"/>
                <w:szCs w:val="21"/>
                <w14:textFill>
                  <w14:solidFill>
                    <w14:schemeClr w14:val="tx1"/>
                  </w14:solidFill>
                </w14:textFill>
              </w:rPr>
            </w:pPr>
          </w:p>
        </w:tc>
        <w:tc>
          <w:tcPr>
            <w:tcW w:w="790" w:type="dxa"/>
          </w:tcPr>
          <w:p>
            <w:pPr>
              <w:rPr>
                <w:color w:val="000000" w:themeColor="text1"/>
                <w:sz w:val="21"/>
                <w:szCs w:val="21"/>
                <w14:textFill>
                  <w14:solidFill>
                    <w14:schemeClr w14:val="tx1"/>
                  </w14:solidFill>
                </w14:textFill>
              </w:rPr>
            </w:pPr>
          </w:p>
        </w:tc>
        <w:tc>
          <w:tcPr>
            <w:tcW w:w="1040" w:type="dxa"/>
          </w:tcPr>
          <w:p>
            <w:pPr>
              <w:rPr>
                <w:color w:val="000000" w:themeColor="text1"/>
                <w:sz w:val="21"/>
                <w:szCs w:val="21"/>
                <w14:textFill>
                  <w14:solidFill>
                    <w14:schemeClr w14:val="tx1"/>
                  </w14:solidFill>
                </w14:textFill>
              </w:rPr>
            </w:pPr>
          </w:p>
        </w:tc>
        <w:tc>
          <w:tcPr>
            <w:tcW w:w="1620" w:type="dxa"/>
          </w:tcPr>
          <w:p>
            <w:pPr>
              <w:rPr>
                <w:color w:val="000000" w:themeColor="text1"/>
                <w:sz w:val="21"/>
                <w:szCs w:val="21"/>
                <w14:textFill>
                  <w14:solidFill>
                    <w14:schemeClr w14:val="tx1"/>
                  </w14:solidFill>
                </w14:textFill>
              </w:rPr>
            </w:pPr>
          </w:p>
        </w:tc>
        <w:tc>
          <w:tcPr>
            <w:tcW w:w="1110" w:type="dxa"/>
          </w:tcPr>
          <w:p>
            <w:pPr>
              <w:rPr>
                <w:color w:val="000000" w:themeColor="text1"/>
                <w:sz w:val="21"/>
                <w:szCs w:val="21"/>
                <w14:textFill>
                  <w14:solidFill>
                    <w14:schemeClr w14:val="tx1"/>
                  </w14:solidFill>
                </w14:textFill>
              </w:rPr>
            </w:pPr>
          </w:p>
        </w:tc>
        <w:tc>
          <w:tcPr>
            <w:tcW w:w="2710" w:type="dxa"/>
          </w:tcPr>
          <w:p>
            <w:pPr>
              <w:rPr>
                <w:color w:val="000000" w:themeColor="text1"/>
                <w:sz w:val="21"/>
                <w:szCs w:val="21"/>
                <w14:textFill>
                  <w14:solidFill>
                    <w14:schemeClr w14:val="tx1"/>
                  </w14:solidFill>
                </w14:textFill>
              </w:rPr>
            </w:pPr>
          </w:p>
        </w:tc>
        <w:tc>
          <w:tcPr>
            <w:tcW w:w="1588" w:type="dxa"/>
          </w:tcPr>
          <w:p>
            <w:pP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98" w:type="dxa"/>
            <w:vAlign w:val="center"/>
          </w:tcPr>
          <w:p>
            <w:pPr>
              <w:rPr>
                <w:color w:val="000000" w:themeColor="text1"/>
                <w:sz w:val="21"/>
                <w:szCs w:val="21"/>
                <w14:textFill>
                  <w14:solidFill>
                    <w14:schemeClr w14:val="tx1"/>
                  </w14:solidFill>
                </w14:textFill>
              </w:rPr>
            </w:pPr>
          </w:p>
        </w:tc>
        <w:tc>
          <w:tcPr>
            <w:tcW w:w="790" w:type="dxa"/>
          </w:tcPr>
          <w:p>
            <w:pPr>
              <w:rPr>
                <w:color w:val="000000" w:themeColor="text1"/>
                <w:sz w:val="21"/>
                <w:szCs w:val="21"/>
                <w14:textFill>
                  <w14:solidFill>
                    <w14:schemeClr w14:val="tx1"/>
                  </w14:solidFill>
                </w14:textFill>
              </w:rPr>
            </w:pPr>
          </w:p>
        </w:tc>
        <w:tc>
          <w:tcPr>
            <w:tcW w:w="1040" w:type="dxa"/>
          </w:tcPr>
          <w:p>
            <w:pPr>
              <w:rPr>
                <w:color w:val="000000" w:themeColor="text1"/>
                <w:sz w:val="21"/>
                <w:szCs w:val="21"/>
                <w14:textFill>
                  <w14:solidFill>
                    <w14:schemeClr w14:val="tx1"/>
                  </w14:solidFill>
                </w14:textFill>
              </w:rPr>
            </w:pPr>
          </w:p>
        </w:tc>
        <w:tc>
          <w:tcPr>
            <w:tcW w:w="1620" w:type="dxa"/>
          </w:tcPr>
          <w:p>
            <w:pPr>
              <w:rPr>
                <w:color w:val="000000" w:themeColor="text1"/>
                <w:sz w:val="21"/>
                <w:szCs w:val="21"/>
                <w14:textFill>
                  <w14:solidFill>
                    <w14:schemeClr w14:val="tx1"/>
                  </w14:solidFill>
                </w14:textFill>
              </w:rPr>
            </w:pPr>
          </w:p>
        </w:tc>
        <w:tc>
          <w:tcPr>
            <w:tcW w:w="1110" w:type="dxa"/>
          </w:tcPr>
          <w:p>
            <w:pPr>
              <w:rPr>
                <w:color w:val="000000" w:themeColor="text1"/>
                <w:sz w:val="21"/>
                <w:szCs w:val="21"/>
                <w14:textFill>
                  <w14:solidFill>
                    <w14:schemeClr w14:val="tx1"/>
                  </w14:solidFill>
                </w14:textFill>
              </w:rPr>
            </w:pPr>
          </w:p>
        </w:tc>
        <w:tc>
          <w:tcPr>
            <w:tcW w:w="2710" w:type="dxa"/>
          </w:tcPr>
          <w:p>
            <w:pPr>
              <w:rPr>
                <w:color w:val="000000" w:themeColor="text1"/>
                <w:sz w:val="21"/>
                <w:szCs w:val="21"/>
                <w14:textFill>
                  <w14:solidFill>
                    <w14:schemeClr w14:val="tx1"/>
                  </w14:solidFill>
                </w14:textFill>
              </w:rPr>
            </w:pPr>
          </w:p>
        </w:tc>
        <w:tc>
          <w:tcPr>
            <w:tcW w:w="1588" w:type="dxa"/>
          </w:tcPr>
          <w:p>
            <w:pPr>
              <w:rPr>
                <w:color w:val="000000" w:themeColor="text1"/>
                <w:sz w:val="21"/>
                <w:szCs w:val="21"/>
                <w14:textFill>
                  <w14:solidFill>
                    <w14:schemeClr w14:val="tx1"/>
                  </w14:solidFill>
                </w14:textFill>
              </w:rPr>
            </w:pPr>
          </w:p>
        </w:tc>
      </w:tr>
    </w:tbl>
    <w:p>
      <w:pPr>
        <w:keepNext/>
        <w:snapToGrid w:val="0"/>
        <w:ind w:firstLine="360" w:firstLineChars="150"/>
        <w:rPr>
          <w:rFonts w:ascii="宋体"/>
          <w:color w:val="000000" w:themeColor="text1"/>
          <w14:textFill>
            <w14:solidFill>
              <w14:schemeClr w14:val="tx1"/>
            </w14:solidFill>
          </w14:textFill>
        </w:rPr>
      </w:pPr>
    </w:p>
    <w:p>
      <w:pPr>
        <w:keepNext/>
        <w:snapToGrid w:val="0"/>
        <w:ind w:firstLine="360" w:firstLineChars="15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提供所投产品在最新一期《环境标志产品政府采购清单》中所在页截图复印件，并予以标记。</w:t>
      </w:r>
    </w:p>
    <w:p>
      <w:pPr>
        <w:keepNext/>
        <w:snapToGrid w:val="0"/>
        <w:ind w:firstLine="2760" w:firstLineChars="1150"/>
        <w:rPr>
          <w:rFonts w:ascii="宋体"/>
          <w:color w:val="000000" w:themeColor="text1"/>
          <w14:textFill>
            <w14:solidFill>
              <w14:schemeClr w14:val="tx1"/>
            </w14:solidFill>
          </w14:textFill>
        </w:rPr>
      </w:pPr>
    </w:p>
    <w:p>
      <w:pPr>
        <w:keepNext/>
        <w:snapToGrid w:val="0"/>
        <w:ind w:firstLine="2760" w:firstLineChars="1150"/>
        <w:rPr>
          <w:rFonts w:ascii="宋体"/>
          <w:color w:val="000000" w:themeColor="text1"/>
          <w14:textFill>
            <w14:solidFill>
              <w14:schemeClr w14:val="tx1"/>
            </w14:solidFill>
          </w14:textFill>
        </w:rPr>
      </w:pPr>
    </w:p>
    <w:p>
      <w:pPr>
        <w:keepNext/>
        <w:adjustRightInd w:val="0"/>
        <w:snapToGrid w:val="0"/>
        <w:ind w:firstLine="2760" w:firstLineChars="1150"/>
        <w:rPr>
          <w:rFonts w:ascii="宋体" w:hAnsi="宋体"/>
          <w:color w:val="000000" w:themeColor="text1"/>
          <w:u w:val="single"/>
          <w14:textFill>
            <w14:solidFill>
              <w14:schemeClr w14:val="tx1"/>
            </w14:solidFill>
          </w14:textFill>
        </w:rPr>
      </w:pPr>
      <w:r>
        <w:rPr>
          <w:rFonts w:hint="eastAsia" w:ascii="宋体" w:hAnsi="宋体" w:cs="仿宋_GB2312"/>
          <w:color w:val="000000" w:themeColor="text1"/>
          <w14:textFill>
            <w14:solidFill>
              <w14:schemeClr w14:val="tx1"/>
            </w14:solidFill>
          </w14:textFill>
        </w:rPr>
        <w:t>供应商（公章）：</w:t>
      </w:r>
      <w:r>
        <w:rPr>
          <w:rFonts w:hint="eastAsia" w:ascii="宋体" w:hAnsi="宋体" w:cs="仿宋_GB2312"/>
          <w:color w:val="000000" w:themeColor="text1"/>
          <w:u w:val="single"/>
          <w14:textFill>
            <w14:solidFill>
              <w14:schemeClr w14:val="tx1"/>
            </w14:solidFill>
          </w14:textFill>
        </w:rPr>
        <w:t xml:space="preserve">                               </w:t>
      </w:r>
    </w:p>
    <w:p>
      <w:pPr>
        <w:keepNext/>
        <w:adjustRightInd w:val="0"/>
        <w:snapToGrid w:val="0"/>
        <w:ind w:firstLine="2760" w:firstLineChars="1150"/>
        <w:rPr>
          <w:rFonts w:ascii="宋体" w:hAnsi="宋体"/>
          <w:color w:val="000000" w:themeColor="text1"/>
          <w:u w:val="single"/>
          <w14:textFill>
            <w14:solidFill>
              <w14:schemeClr w14:val="tx1"/>
            </w14:solidFill>
          </w14:textFill>
        </w:rPr>
      </w:pPr>
      <w:r>
        <w:rPr>
          <w:rFonts w:hint="eastAsia" w:ascii="宋体" w:hAnsi="宋体" w:cs="仿宋_GB2312"/>
          <w:color w:val="000000" w:themeColor="text1"/>
          <w14:textFill>
            <w14:solidFill>
              <w14:schemeClr w14:val="tx1"/>
            </w14:solidFill>
          </w14:textFill>
        </w:rPr>
        <w:t>法定代表人或供应商代表（签字或签章）：</w:t>
      </w:r>
      <w:r>
        <w:rPr>
          <w:rFonts w:hint="eastAsia" w:ascii="宋体" w:hAnsi="宋体" w:cs="仿宋_GB2312"/>
          <w:color w:val="000000" w:themeColor="text1"/>
          <w:u w:val="single"/>
          <w14:textFill>
            <w14:solidFill>
              <w14:schemeClr w14:val="tx1"/>
            </w14:solidFill>
          </w14:textFill>
        </w:rPr>
        <w:t xml:space="preserve">         </w:t>
      </w:r>
    </w:p>
    <w:p>
      <w:pPr>
        <w:tabs>
          <w:tab w:val="left" w:pos="4000"/>
        </w:tabs>
        <w:overflowPunct w:val="0"/>
        <w:topLinePunct/>
        <w:autoSpaceDN w:val="0"/>
        <w:adjustRightInd w:val="0"/>
        <w:snapToGrid w:val="0"/>
        <w:ind w:firstLine="2760" w:firstLineChars="1150"/>
        <w:rPr>
          <w:rFonts w:ascii="宋体" w:hAnsi="宋体" w:cs="仿宋_GB2312"/>
          <w:color w:val="000000" w:themeColor="text1"/>
          <w:u w:val="single"/>
          <w14:textFill>
            <w14:solidFill>
              <w14:schemeClr w14:val="tx1"/>
            </w14:solidFill>
          </w14:textFill>
        </w:rPr>
      </w:pPr>
      <w:r>
        <w:rPr>
          <w:rFonts w:hint="eastAsia" w:ascii="宋体" w:hAnsi="宋体" w:cs="仿宋_GB2312"/>
          <w:color w:val="000000" w:themeColor="text1"/>
          <w14:textFill>
            <w14:solidFill>
              <w14:schemeClr w14:val="tx1"/>
            </w14:solidFill>
          </w14:textFill>
        </w:rPr>
        <w:t>日期：</w:t>
      </w:r>
      <w:r>
        <w:rPr>
          <w:rFonts w:hint="eastAsia" w:ascii="宋体" w:hAnsi="宋体" w:cs="仿宋_GB2312"/>
          <w:color w:val="000000" w:themeColor="text1"/>
          <w:u w:val="single"/>
          <w14:textFill>
            <w14:solidFill>
              <w14:schemeClr w14:val="tx1"/>
            </w14:solidFill>
          </w14:textFill>
        </w:rPr>
        <w:t xml:space="preserve">                                        </w:t>
      </w:r>
    </w:p>
    <w:p>
      <w:pPr>
        <w:spacing w:line="480" w:lineRule="exact"/>
        <w:ind w:firstLine="482"/>
        <w:rPr>
          <w:rFonts w:ascii="宋体"/>
          <w:b/>
          <w:color w:val="000000" w:themeColor="text1"/>
          <w14:textFill>
            <w14:solidFill>
              <w14:schemeClr w14:val="tx1"/>
            </w14:solidFill>
          </w14:textFill>
        </w:rPr>
      </w:pPr>
    </w:p>
    <w:p>
      <w:pPr>
        <w:spacing w:line="480" w:lineRule="exact"/>
        <w:ind w:firstLine="643"/>
        <w:jc w:val="center"/>
        <w:rPr>
          <w:rFonts w:ascii="宋体" w:hAnsi="宋体"/>
          <w:b/>
          <w:color w:val="000000" w:themeColor="text1"/>
          <w:kern w:val="0"/>
          <w14:textFill>
            <w14:solidFill>
              <w14:schemeClr w14:val="tx1"/>
            </w14:solidFill>
          </w14:textFill>
        </w:rPr>
      </w:pPr>
      <w:r>
        <w:rPr>
          <w:rFonts w:ascii="宋体"/>
          <w:b/>
          <w:color w:val="000000" w:themeColor="text1"/>
          <w:kern w:val="0"/>
          <w:sz w:val="32"/>
          <w14:textFill>
            <w14:solidFill>
              <w14:schemeClr w14:val="tx1"/>
            </w14:solidFill>
          </w14:textFill>
        </w:rPr>
        <w:br w:type="page"/>
      </w:r>
    </w:p>
    <w:p>
      <w:pPr>
        <w:keepNext/>
        <w:ind w:firstLine="506"/>
        <w:jc w:val="center"/>
        <w:rPr>
          <w:rFonts w:ascii="宋体" w:cs="宋体"/>
          <w:b/>
          <w:color w:val="000000" w:themeColor="text1"/>
          <w14:textFill>
            <w14:solidFill>
              <w14:schemeClr w14:val="tx1"/>
            </w14:solidFill>
          </w14:textFill>
        </w:rPr>
      </w:pPr>
      <w:r>
        <w:rPr>
          <w:rFonts w:hint="eastAsia" w:ascii="宋体" w:hAnsi="宋体" w:cs="宋体"/>
          <w:b/>
          <w:color w:val="000000" w:themeColor="text1"/>
          <w:spacing w:val="6"/>
          <w14:textFill>
            <w14:solidFill>
              <w14:schemeClr w14:val="tx1"/>
            </w14:solidFill>
          </w14:textFill>
        </w:rPr>
        <w:t>残疾人福利性单位声明函</w:t>
      </w:r>
      <w:r>
        <w:rPr>
          <w:rFonts w:hint="eastAsia" w:ascii="宋体" w:hAnsi="宋体"/>
          <w:b/>
          <w:color w:val="000000" w:themeColor="text1"/>
          <w:kern w:val="0"/>
          <w14:textFill>
            <w14:solidFill>
              <w14:schemeClr w14:val="tx1"/>
            </w14:solidFill>
          </w14:textFill>
        </w:rPr>
        <w:t>（如适用）</w:t>
      </w:r>
    </w:p>
    <w:p>
      <w:pPr>
        <w:keepNext/>
        <w:tabs>
          <w:tab w:val="left" w:pos="1680"/>
        </w:tabs>
        <w:snapToGrid w:val="0"/>
        <w:ind w:firstLine="482"/>
        <w:jc w:val="center"/>
        <w:rPr>
          <w:rFonts w:ascii="宋体" w:cs="宋体"/>
          <w:b/>
          <w:color w:val="000000" w:themeColor="text1"/>
          <w14:textFill>
            <w14:solidFill>
              <w14:schemeClr w14:val="tx1"/>
            </w14:solidFill>
          </w14:textFill>
        </w:rPr>
      </w:pPr>
    </w:p>
    <w:p>
      <w:pPr>
        <w:keepNext/>
        <w:ind w:firstLine="504"/>
        <w:rPr>
          <w:rFonts w:ascii="宋体" w:cs="宋体"/>
          <w:color w:val="000000" w:themeColor="text1"/>
          <w:spacing w:val="6"/>
          <w14:textFill>
            <w14:solidFill>
              <w14:schemeClr w14:val="tx1"/>
            </w14:solidFill>
          </w14:textFill>
        </w:rPr>
      </w:pPr>
      <w:r>
        <w:rPr>
          <w:rFonts w:hint="eastAsia" w:ascii="宋体" w:hAnsi="宋体" w:cs="宋体"/>
          <w:color w:val="000000" w:themeColor="text1"/>
          <w:spacing w:val="6"/>
          <w14:textFill>
            <w14:solidFill>
              <w14:schemeClr w14:val="tx1"/>
            </w14:solidFill>
          </w14:textFill>
        </w:rPr>
        <w:t>本单位郑重声明，根据《财政部</w:t>
      </w:r>
      <w:r>
        <w:rPr>
          <w:rFonts w:ascii="宋体" w:hAnsi="宋体" w:cs="宋体"/>
          <w:color w:val="000000" w:themeColor="text1"/>
          <w:spacing w:val="6"/>
          <w14:textFill>
            <w14:solidFill>
              <w14:schemeClr w14:val="tx1"/>
            </w14:solidFill>
          </w14:textFill>
        </w:rPr>
        <w:t xml:space="preserve"> </w:t>
      </w:r>
      <w:r>
        <w:rPr>
          <w:rFonts w:hint="eastAsia" w:ascii="宋体" w:hAnsi="宋体" w:cs="宋体"/>
          <w:color w:val="000000" w:themeColor="text1"/>
          <w:spacing w:val="6"/>
          <w14:textFill>
            <w14:solidFill>
              <w14:schemeClr w14:val="tx1"/>
            </w14:solidFill>
          </w14:textFill>
        </w:rPr>
        <w:t>民政部</w:t>
      </w:r>
      <w:r>
        <w:rPr>
          <w:rFonts w:ascii="宋体" w:hAnsi="宋体" w:cs="宋体"/>
          <w:color w:val="000000" w:themeColor="text1"/>
          <w:spacing w:val="6"/>
          <w14:textFill>
            <w14:solidFill>
              <w14:schemeClr w14:val="tx1"/>
            </w14:solidFill>
          </w14:textFill>
        </w:rPr>
        <w:t xml:space="preserve"> </w:t>
      </w:r>
      <w:r>
        <w:rPr>
          <w:rFonts w:hint="eastAsia" w:ascii="宋体" w:hAnsi="宋体" w:cs="宋体"/>
          <w:color w:val="000000" w:themeColor="text1"/>
          <w:spacing w:val="6"/>
          <w14:textFill>
            <w14:solidFill>
              <w14:schemeClr w14:val="tx1"/>
            </w14:solidFill>
          </w14:textFill>
        </w:rPr>
        <w:t>中国残疾人联合会关于促进残疾人就业政府采购政策的通知》（财库</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2017</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 xml:space="preserve"> 141</w:t>
      </w:r>
      <w:r>
        <w:rPr>
          <w:rFonts w:hint="eastAsia" w:ascii="宋体" w:hAnsi="宋体" w:cs="宋体"/>
          <w:color w:val="000000" w:themeColor="text1"/>
          <w:spacing w:val="6"/>
          <w14:textFill>
            <w14:solidFill>
              <w14:schemeClr w14:val="tx1"/>
            </w14:solidFill>
          </w14:textFill>
        </w:rPr>
        <w:t>号）的规定，本单位为符合条件的残疾人福利性单位，且本单位参加</w:t>
      </w:r>
      <w:r>
        <w:rPr>
          <w:rFonts w:ascii="宋体" w:hAnsi="宋体" w:cs="宋体"/>
          <w:color w:val="000000" w:themeColor="text1"/>
          <w:spacing w:val="6"/>
          <w14:textFill>
            <w14:solidFill>
              <w14:schemeClr w14:val="tx1"/>
            </w14:solidFill>
          </w14:textFill>
        </w:rPr>
        <w:t>______</w:t>
      </w:r>
      <w:r>
        <w:rPr>
          <w:rFonts w:hint="eastAsia" w:ascii="宋体" w:hAnsi="宋体" w:cs="宋体"/>
          <w:color w:val="000000" w:themeColor="text1"/>
          <w:spacing w:val="6"/>
          <w14:textFill>
            <w14:solidFill>
              <w14:schemeClr w14:val="tx1"/>
            </w14:solidFill>
          </w14:textFill>
        </w:rPr>
        <w:t>单位的</w:t>
      </w:r>
      <w:r>
        <w:rPr>
          <w:rFonts w:ascii="宋体" w:hAnsi="宋体" w:cs="宋体"/>
          <w:color w:val="000000" w:themeColor="text1"/>
          <w:spacing w:val="6"/>
          <w14:textFill>
            <w14:solidFill>
              <w14:schemeClr w14:val="tx1"/>
            </w14:solidFill>
          </w14:textFill>
        </w:rPr>
        <w:t>______</w:t>
      </w:r>
      <w:r>
        <w:rPr>
          <w:rFonts w:hint="eastAsia" w:ascii="宋体" w:hAnsi="宋体" w:cs="宋体"/>
          <w:color w:val="000000" w:themeColor="text1"/>
          <w:spacing w:val="6"/>
          <w14:textFill>
            <w14:solidFill>
              <w14:schemeClr w14:val="tx1"/>
            </w14:solidFill>
          </w14:textFill>
        </w:rPr>
        <w:t>项目（项目编号：</w:t>
      </w:r>
      <w:r>
        <w:rPr>
          <w:rFonts w:ascii="宋体" w:hAnsi="宋体" w:cs="宋体"/>
          <w:color w:val="000000" w:themeColor="text1"/>
          <w:spacing w:val="6"/>
          <w14:textFill>
            <w14:solidFill>
              <w14:schemeClr w14:val="tx1"/>
            </w14:solidFill>
          </w14:textFill>
        </w:rPr>
        <w:t>_______________</w:t>
      </w:r>
      <w:r>
        <w:rPr>
          <w:rFonts w:hint="eastAsia" w:ascii="宋体" w:hAnsi="宋体" w:cs="宋体"/>
          <w:color w:val="000000" w:themeColor="text1"/>
          <w:spacing w:val="6"/>
          <w14:textFill>
            <w14:solidFill>
              <w14:schemeClr w14:val="tx1"/>
            </w14:solidFill>
          </w14:textFill>
        </w:rPr>
        <w:t>）采购活动提供本单位制造的货物（由本单位承担工程</w:t>
      </w:r>
      <w:r>
        <w:rPr>
          <w:rFonts w:ascii="宋体" w:hAnsi="宋体" w:cs="宋体"/>
          <w:color w:val="000000" w:themeColor="text1"/>
          <w:spacing w:val="6"/>
          <w14:textFill>
            <w14:solidFill>
              <w14:schemeClr w14:val="tx1"/>
            </w14:solidFill>
          </w14:textFill>
        </w:rPr>
        <w:t>/</w:t>
      </w:r>
      <w:r>
        <w:rPr>
          <w:rFonts w:hint="eastAsia" w:ascii="宋体" w:hAnsi="宋体" w:cs="宋体"/>
          <w:color w:val="000000" w:themeColor="text1"/>
          <w:spacing w:val="6"/>
          <w14:textFill>
            <w14:solidFill>
              <w14:schemeClr w14:val="tx1"/>
            </w14:solidFill>
          </w14:textFill>
        </w:rPr>
        <w:t>提供服务），或者提供其他残疾人福利性单位制造的货物（不包括使用非残疾人福利性单位注册商标的货物）。</w:t>
      </w:r>
    </w:p>
    <w:p>
      <w:pPr>
        <w:keepNext/>
        <w:ind w:firstLine="504"/>
        <w:rPr>
          <w:rFonts w:ascii="宋体" w:cs="宋体"/>
          <w:color w:val="000000" w:themeColor="text1"/>
          <w:spacing w:val="6"/>
          <w14:textFill>
            <w14:solidFill>
              <w14:schemeClr w14:val="tx1"/>
            </w14:solidFill>
          </w14:textFill>
        </w:rPr>
      </w:pPr>
      <w:r>
        <w:rPr>
          <w:rFonts w:hint="eastAsia" w:ascii="宋体" w:hAnsi="宋体" w:cs="宋体"/>
          <w:color w:val="000000" w:themeColor="text1"/>
          <w:spacing w:val="6"/>
          <w14:textFill>
            <w14:solidFill>
              <w14:schemeClr w14:val="tx1"/>
            </w14:solidFill>
          </w14:textFill>
        </w:rPr>
        <w:t>本单位对上述声明的真实性负责。如有虚假，将依法承担相应责任。</w:t>
      </w:r>
    </w:p>
    <w:p>
      <w:pPr>
        <w:keepNext/>
        <w:ind w:firstLine="504"/>
        <w:rPr>
          <w:rFonts w:ascii="宋体" w:cs="宋体"/>
          <w:color w:val="000000" w:themeColor="text1"/>
          <w:spacing w:val="6"/>
          <w14:textFill>
            <w14:solidFill>
              <w14:schemeClr w14:val="tx1"/>
            </w14:solidFill>
          </w14:textFill>
        </w:rPr>
      </w:pPr>
    </w:p>
    <w:p>
      <w:pPr>
        <w:keepNext/>
        <w:ind w:firstLine="504"/>
        <w:rPr>
          <w:rFonts w:ascii="宋体" w:cs="宋体"/>
          <w:color w:val="000000" w:themeColor="text1"/>
          <w:spacing w:val="6"/>
          <w14:textFill>
            <w14:solidFill>
              <w14:schemeClr w14:val="tx1"/>
            </w14:solidFill>
          </w14:textFill>
        </w:rPr>
      </w:pPr>
    </w:p>
    <w:p>
      <w:pPr>
        <w:pStyle w:val="39"/>
        <w:widowControl w:val="0"/>
        <w:snapToGrid w:val="0"/>
        <w:spacing w:before="0" w:beforeAutospacing="0" w:after="0" w:afterAutospacing="0" w:line="480" w:lineRule="exact"/>
        <w:ind w:firstLine="3600" w:firstLineChars="1500"/>
        <w:jc w:val="both"/>
        <w:rPr>
          <w:rFonts w:hint="default" w:cs="宋体"/>
          <w:bCs/>
          <w:color w:val="000000" w:themeColor="text1"/>
          <w:szCs w:val="24"/>
          <w14:textFill>
            <w14:solidFill>
              <w14:schemeClr w14:val="tx1"/>
            </w14:solidFill>
          </w14:textFill>
        </w:rPr>
      </w:pPr>
      <w:r>
        <w:rPr>
          <w:rFonts w:cs="宋体"/>
          <w:bCs/>
          <w:color w:val="000000" w:themeColor="text1"/>
          <w:szCs w:val="24"/>
          <w:lang w:bidi="ar"/>
          <w14:textFill>
            <w14:solidFill>
              <w14:schemeClr w14:val="tx1"/>
            </w14:solidFill>
          </w14:textFill>
        </w:rPr>
        <w:t>企业名称（盖章）：</w:t>
      </w:r>
      <w:r>
        <w:rPr>
          <w:rFonts w:cs="宋体"/>
          <w:bCs/>
          <w:color w:val="000000" w:themeColor="text1"/>
          <w:szCs w:val="24"/>
          <w:u w:val="single"/>
          <w:lang w:bidi="ar"/>
          <w14:textFill>
            <w14:solidFill>
              <w14:schemeClr w14:val="tx1"/>
            </w14:solidFill>
          </w14:textFill>
        </w:rPr>
        <w:tab/>
      </w:r>
      <w:r>
        <w:rPr>
          <w:rFonts w:cs="宋体"/>
          <w:bCs/>
          <w:color w:val="000000" w:themeColor="text1"/>
          <w:szCs w:val="24"/>
          <w:u w:val="single"/>
          <w:lang w:bidi="ar"/>
          <w14:textFill>
            <w14:solidFill>
              <w14:schemeClr w14:val="tx1"/>
            </w14:solidFill>
          </w14:textFill>
        </w:rPr>
        <w:t xml:space="preserve">                </w:t>
      </w:r>
      <w:r>
        <w:rPr>
          <w:rFonts w:cs="宋体"/>
          <w:bCs/>
          <w:color w:val="000000" w:themeColor="text1"/>
          <w:szCs w:val="24"/>
          <w:u w:val="single"/>
          <w:lang w:bidi="ar"/>
          <w14:textFill>
            <w14:solidFill>
              <w14:schemeClr w14:val="tx1"/>
            </w14:solidFill>
          </w14:textFill>
        </w:rPr>
        <w:tab/>
      </w:r>
    </w:p>
    <w:p>
      <w:pPr>
        <w:pStyle w:val="39"/>
        <w:widowControl w:val="0"/>
        <w:snapToGrid w:val="0"/>
        <w:spacing w:before="0" w:beforeAutospacing="0" w:after="0" w:afterAutospacing="0" w:line="480" w:lineRule="exact"/>
        <w:ind w:firstLine="3600" w:firstLineChars="1500"/>
        <w:jc w:val="both"/>
        <w:rPr>
          <w:rFonts w:hint="default" w:cs="宋体"/>
          <w:bCs/>
          <w:color w:val="000000" w:themeColor="text1"/>
          <w:szCs w:val="24"/>
          <w14:textFill>
            <w14:solidFill>
              <w14:schemeClr w14:val="tx1"/>
            </w14:solidFill>
          </w14:textFill>
        </w:rPr>
      </w:pPr>
      <w:r>
        <w:rPr>
          <w:rFonts w:cs="宋体"/>
          <w:bCs/>
          <w:color w:val="000000" w:themeColor="text1"/>
          <w:szCs w:val="24"/>
          <w:lang w:bidi="ar"/>
          <w14:textFill>
            <w14:solidFill>
              <w14:schemeClr w14:val="tx1"/>
            </w14:solidFill>
          </w14:textFill>
        </w:rPr>
        <w:t>日 期：</w:t>
      </w:r>
      <w:r>
        <w:rPr>
          <w:rFonts w:cs="宋体"/>
          <w:bCs/>
          <w:color w:val="000000" w:themeColor="text1"/>
          <w:szCs w:val="24"/>
          <w:u w:val="single"/>
          <w:lang w:bidi="ar"/>
          <w14:textFill>
            <w14:solidFill>
              <w14:schemeClr w14:val="tx1"/>
            </w14:solidFill>
          </w14:textFill>
        </w:rPr>
        <w:t xml:space="preserve"> </w:t>
      </w:r>
      <w:r>
        <w:rPr>
          <w:rFonts w:cs="宋体"/>
          <w:bCs/>
          <w:color w:val="000000" w:themeColor="text1"/>
          <w:szCs w:val="24"/>
          <w:u w:val="single"/>
          <w:lang w:bidi="ar"/>
          <w14:textFill>
            <w14:solidFill>
              <w14:schemeClr w14:val="tx1"/>
            </w14:solidFill>
          </w14:textFill>
        </w:rPr>
        <w:tab/>
      </w:r>
      <w:r>
        <w:rPr>
          <w:rFonts w:cs="宋体"/>
          <w:bCs/>
          <w:color w:val="000000" w:themeColor="text1"/>
          <w:szCs w:val="24"/>
          <w:u w:val="single"/>
          <w:lang w:bidi="ar"/>
          <w14:textFill>
            <w14:solidFill>
              <w14:schemeClr w14:val="tx1"/>
            </w14:solidFill>
          </w14:textFill>
        </w:rPr>
        <w:tab/>
      </w:r>
      <w:r>
        <w:rPr>
          <w:rFonts w:cs="宋体"/>
          <w:bCs/>
          <w:color w:val="000000" w:themeColor="text1"/>
          <w:szCs w:val="24"/>
          <w:u w:val="single"/>
          <w:lang w:bidi="ar"/>
          <w14:textFill>
            <w14:solidFill>
              <w14:schemeClr w14:val="tx1"/>
            </w14:solidFill>
          </w14:textFill>
        </w:rPr>
        <w:tab/>
      </w:r>
      <w:r>
        <w:rPr>
          <w:rFonts w:cs="宋体"/>
          <w:bCs/>
          <w:color w:val="000000" w:themeColor="text1"/>
          <w:szCs w:val="24"/>
          <w:u w:val="single"/>
          <w:lang w:bidi="ar"/>
          <w14:textFill>
            <w14:solidFill>
              <w14:schemeClr w14:val="tx1"/>
            </w14:solidFill>
          </w14:textFill>
        </w:rPr>
        <w:t xml:space="preserve">                    </w:t>
      </w:r>
      <w:r>
        <w:rPr>
          <w:rFonts w:cs="宋体"/>
          <w:bCs/>
          <w:color w:val="000000" w:themeColor="text1"/>
          <w:szCs w:val="24"/>
          <w:u w:val="single"/>
          <w:lang w:bidi="ar"/>
          <w14:textFill>
            <w14:solidFill>
              <w14:schemeClr w14:val="tx1"/>
            </w14:solidFill>
          </w14:textFill>
        </w:rPr>
        <w:tab/>
      </w:r>
    </w:p>
    <w:p>
      <w:pPr>
        <w:keepNext/>
        <w:ind w:firstLine="482"/>
        <w:rPr>
          <w:rFonts w:ascii="宋体" w:cs="宋体"/>
          <w:b/>
          <w:color w:val="000000" w:themeColor="text1"/>
          <w14:textFill>
            <w14:solidFill>
              <w14:schemeClr w14:val="tx1"/>
            </w14:solidFill>
          </w14:textFill>
        </w:rPr>
      </w:pPr>
    </w:p>
    <w:p>
      <w:pPr>
        <w:ind w:firstLine="56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br w:type="page"/>
      </w:r>
    </w:p>
    <w:p>
      <w:pPr>
        <w:ind w:firstLine="586"/>
        <w:jc w:val="center"/>
        <w:rPr>
          <w:rFonts w:ascii="宋体" w:hAnsi="宋体" w:cs="宋体"/>
          <w:b/>
          <w:color w:val="000000" w:themeColor="text1"/>
          <w:spacing w:val="6"/>
          <w:sz w:val="28"/>
          <w:szCs w:val="28"/>
          <w14:textFill>
            <w14:solidFill>
              <w14:schemeClr w14:val="tx1"/>
            </w14:solidFill>
          </w14:textFill>
        </w:rPr>
      </w:pPr>
      <w:r>
        <w:rPr>
          <w:rFonts w:hint="eastAsia" w:ascii="宋体" w:hAnsi="宋体" w:cs="宋体"/>
          <w:b/>
          <w:color w:val="000000" w:themeColor="text1"/>
          <w:spacing w:val="6"/>
          <w:sz w:val="28"/>
          <w:szCs w:val="28"/>
          <w:lang w:bidi="ar"/>
          <w14:textFill>
            <w14:solidFill>
              <w14:schemeClr w14:val="tx1"/>
            </w14:solidFill>
          </w14:textFill>
        </w:rPr>
        <w:t>监狱企业声明函（格式）</w:t>
      </w:r>
    </w:p>
    <w:p>
      <w:pPr>
        <w:tabs>
          <w:tab w:val="left" w:pos="1680"/>
        </w:tabs>
        <w:snapToGrid w:val="0"/>
        <w:spacing w:line="480" w:lineRule="exact"/>
        <w:ind w:firstLine="480"/>
        <w:jc w:val="both"/>
        <w:rPr>
          <w:rFonts w:ascii="仿宋_GB2312" w:hAnsi="宋体" w:eastAsia="仿宋_GB2312" w:cs="仿宋_GB2312"/>
          <w:color w:val="000000" w:themeColor="text1"/>
          <w:szCs w:val="21"/>
          <w14:textFill>
            <w14:solidFill>
              <w14:schemeClr w14:val="tx1"/>
            </w14:solidFill>
          </w14:textFill>
        </w:rPr>
      </w:pPr>
    </w:p>
    <w:p>
      <w:pPr>
        <w:pStyle w:val="39"/>
        <w:widowControl w:val="0"/>
        <w:snapToGrid w:val="0"/>
        <w:spacing w:before="0" w:beforeAutospacing="0" w:after="0" w:afterAutospacing="0" w:line="480" w:lineRule="exact"/>
        <w:ind w:firstLine="480"/>
        <w:jc w:val="both"/>
        <w:rPr>
          <w:rFonts w:hint="default" w:cs="宋体"/>
          <w:color w:val="000000" w:themeColor="text1"/>
          <w:szCs w:val="24"/>
          <w14:textFill>
            <w14:solidFill>
              <w14:schemeClr w14:val="tx1"/>
            </w14:solidFill>
          </w14:textFill>
        </w:rPr>
      </w:pPr>
      <w:r>
        <w:rPr>
          <w:rFonts w:cs="宋体"/>
          <w:color w:val="000000" w:themeColor="text1"/>
          <w:szCs w:val="24"/>
          <w:lang w:bidi="ar"/>
          <w14:textFill>
            <w14:solidFill>
              <w14:schemeClr w14:val="tx1"/>
            </w14:solidFill>
          </w14:textFill>
        </w:rPr>
        <w:t>本单位郑重声明，根据《</w:t>
      </w:r>
      <w:bookmarkStart w:id="92" w:name="_Toc496521068"/>
      <w:r>
        <w:rPr>
          <w:rFonts w:cs="宋体"/>
          <w:color w:val="000000" w:themeColor="text1"/>
          <w:szCs w:val="24"/>
          <w:lang w:bidi="ar"/>
          <w14:textFill>
            <w14:solidFill>
              <w14:schemeClr w14:val="tx1"/>
            </w14:solidFill>
          </w14:textFill>
        </w:rPr>
        <w:t>关于政府采购支持监狱企业发展有关问题的通知</w:t>
      </w:r>
      <w:bookmarkEnd w:id="92"/>
      <w:r>
        <w:rPr>
          <w:rFonts w:cs="宋体"/>
          <w:color w:val="000000" w:themeColor="text1"/>
          <w:szCs w:val="24"/>
          <w:lang w:bidi="ar"/>
          <w14:textFill>
            <w14:solidFill>
              <w14:schemeClr w14:val="tx1"/>
            </w14:solidFill>
          </w14:textFill>
        </w:rPr>
        <w:t>》（财库〔2014〕68号）的规定，本单位为符合条件的监狱企业，且本单位参加</w:t>
      </w:r>
      <w:r>
        <w:rPr>
          <w:rFonts w:cs="宋体"/>
          <w:color w:val="000000" w:themeColor="text1"/>
          <w:szCs w:val="24"/>
          <w:u w:val="single"/>
          <w:lang w:bidi="ar"/>
          <w14:textFill>
            <w14:solidFill>
              <w14:schemeClr w14:val="tx1"/>
            </w14:solidFill>
          </w14:textFill>
        </w:rPr>
        <w:t xml:space="preserve">        </w:t>
      </w:r>
      <w:r>
        <w:rPr>
          <w:rFonts w:cs="宋体"/>
          <w:color w:val="000000" w:themeColor="text1"/>
          <w:szCs w:val="24"/>
          <w:lang w:bidi="ar"/>
          <w14:textFill>
            <w14:solidFill>
              <w14:schemeClr w14:val="tx1"/>
            </w14:solidFill>
          </w14:textFill>
        </w:rPr>
        <w:t>单位的</w:t>
      </w:r>
      <w:r>
        <w:rPr>
          <w:rFonts w:cs="宋体"/>
          <w:color w:val="000000" w:themeColor="text1"/>
          <w:szCs w:val="24"/>
          <w:u w:val="single"/>
          <w:lang w:bidi="ar"/>
          <w14:textFill>
            <w14:solidFill>
              <w14:schemeClr w14:val="tx1"/>
            </w14:solidFill>
          </w14:textFill>
        </w:rPr>
        <w:t xml:space="preserve">              </w:t>
      </w:r>
      <w:r>
        <w:rPr>
          <w:rFonts w:cs="宋体"/>
          <w:color w:val="000000" w:themeColor="text1"/>
          <w:szCs w:val="24"/>
          <w:lang w:bidi="ar"/>
          <w14:textFill>
            <w14:solidFill>
              <w14:schemeClr w14:val="tx1"/>
            </w14:solidFill>
          </w14:textFill>
        </w:rPr>
        <w:t>项目（项目编号：</w:t>
      </w:r>
      <w:r>
        <w:rPr>
          <w:rFonts w:cs="宋体"/>
          <w:color w:val="000000" w:themeColor="text1"/>
          <w:szCs w:val="24"/>
          <w:u w:val="single"/>
          <w:lang w:bidi="ar"/>
          <w14:textFill>
            <w14:solidFill>
              <w14:schemeClr w14:val="tx1"/>
            </w14:solidFill>
          </w14:textFill>
        </w:rPr>
        <w:t xml:space="preserve">    </w:t>
      </w:r>
      <w:r>
        <w:rPr>
          <w:rFonts w:cs="宋体"/>
          <w:color w:val="000000" w:themeColor="text1"/>
          <w:szCs w:val="24"/>
          <w:lang w:bidi="ar"/>
          <w14:textFill>
            <w14:solidFill>
              <w14:schemeClr w14:val="tx1"/>
            </w14:solidFill>
          </w14:textFill>
        </w:rPr>
        <w:t>）采购活动提供本单位制造的货物。</w:t>
      </w:r>
    </w:p>
    <w:p>
      <w:pPr>
        <w:pStyle w:val="39"/>
        <w:widowControl w:val="0"/>
        <w:snapToGrid w:val="0"/>
        <w:spacing w:before="0" w:beforeAutospacing="0" w:after="0" w:afterAutospacing="0" w:line="480" w:lineRule="exact"/>
        <w:ind w:firstLine="480"/>
        <w:jc w:val="both"/>
        <w:rPr>
          <w:rFonts w:hint="default" w:cs="宋体"/>
          <w:color w:val="000000" w:themeColor="text1"/>
          <w:szCs w:val="24"/>
          <w14:textFill>
            <w14:solidFill>
              <w14:schemeClr w14:val="tx1"/>
            </w14:solidFill>
          </w14:textFill>
        </w:rPr>
      </w:pPr>
      <w:r>
        <w:rPr>
          <w:rFonts w:cs="宋体"/>
          <w:color w:val="000000" w:themeColor="text1"/>
          <w:szCs w:val="24"/>
          <w:lang w:bidi="ar"/>
          <w14:textFill>
            <w14:solidFill>
              <w14:schemeClr w14:val="tx1"/>
            </w14:solidFill>
          </w14:textFill>
        </w:rPr>
        <w:t>本单位对上述声明的真实性负责。如有虚假，将依法承担相应责任。</w:t>
      </w:r>
    </w:p>
    <w:p>
      <w:pPr>
        <w:pStyle w:val="39"/>
        <w:widowControl w:val="0"/>
        <w:snapToGrid w:val="0"/>
        <w:spacing w:before="0" w:beforeAutospacing="0" w:after="0" w:afterAutospacing="0" w:line="480" w:lineRule="exact"/>
        <w:ind w:firstLine="480"/>
        <w:jc w:val="both"/>
        <w:rPr>
          <w:rFonts w:hint="default" w:cs="宋体"/>
          <w:color w:val="000000" w:themeColor="text1"/>
          <w:szCs w:val="24"/>
          <w14:textFill>
            <w14:solidFill>
              <w14:schemeClr w14:val="tx1"/>
            </w14:solidFill>
          </w14:textFill>
        </w:rPr>
      </w:pPr>
    </w:p>
    <w:p>
      <w:pPr>
        <w:pStyle w:val="39"/>
        <w:widowControl w:val="0"/>
        <w:snapToGrid w:val="0"/>
        <w:spacing w:before="0" w:beforeAutospacing="0" w:after="0" w:afterAutospacing="0" w:line="480" w:lineRule="exact"/>
        <w:ind w:firstLine="480"/>
        <w:jc w:val="both"/>
        <w:rPr>
          <w:rFonts w:hint="default" w:cs="宋体"/>
          <w:color w:val="000000" w:themeColor="text1"/>
          <w:szCs w:val="24"/>
          <w14:textFill>
            <w14:solidFill>
              <w14:schemeClr w14:val="tx1"/>
            </w14:solidFill>
          </w14:textFill>
        </w:rPr>
      </w:pPr>
    </w:p>
    <w:p>
      <w:pPr>
        <w:adjustRightInd w:val="0"/>
        <w:snapToGrid w:val="0"/>
        <w:ind w:firstLine="480"/>
        <w:jc w:val="both"/>
        <w:rPr>
          <w:rFonts w:ascii="宋体" w:hAnsi="宋体" w:cs="宋体"/>
          <w:color w:val="000000" w:themeColor="text1"/>
          <w14:textFill>
            <w14:solidFill>
              <w14:schemeClr w14:val="tx1"/>
            </w14:solidFill>
          </w14:textFill>
        </w:rPr>
      </w:pPr>
    </w:p>
    <w:p>
      <w:pPr>
        <w:pStyle w:val="39"/>
        <w:widowControl w:val="0"/>
        <w:snapToGrid w:val="0"/>
        <w:spacing w:before="0" w:beforeAutospacing="0" w:after="0" w:afterAutospacing="0" w:line="480" w:lineRule="exact"/>
        <w:ind w:firstLine="3614" w:firstLineChars="1500"/>
        <w:jc w:val="both"/>
        <w:rPr>
          <w:rFonts w:hint="default" w:cs="宋体"/>
          <w:b/>
          <w:color w:val="000000" w:themeColor="text1"/>
          <w:szCs w:val="24"/>
          <w14:textFill>
            <w14:solidFill>
              <w14:schemeClr w14:val="tx1"/>
            </w14:solidFill>
          </w14:textFill>
        </w:rPr>
      </w:pPr>
      <w:r>
        <w:rPr>
          <w:rFonts w:cs="宋体"/>
          <w:b/>
          <w:color w:val="000000" w:themeColor="text1"/>
          <w:szCs w:val="24"/>
          <w:lang w:bidi="ar"/>
          <w14:textFill>
            <w14:solidFill>
              <w14:schemeClr w14:val="tx1"/>
            </w14:solidFill>
          </w14:textFill>
        </w:rPr>
        <w:t>企业名称（盖章）：</w:t>
      </w:r>
      <w:r>
        <w:rPr>
          <w:rFonts w:cs="宋体"/>
          <w:b/>
          <w:color w:val="000000" w:themeColor="text1"/>
          <w:szCs w:val="24"/>
          <w:u w:val="single"/>
          <w:lang w:bidi="ar"/>
          <w14:textFill>
            <w14:solidFill>
              <w14:schemeClr w14:val="tx1"/>
            </w14:solidFill>
          </w14:textFill>
        </w:rPr>
        <w:tab/>
      </w:r>
      <w:r>
        <w:rPr>
          <w:rFonts w:cs="宋体"/>
          <w:b/>
          <w:color w:val="000000" w:themeColor="text1"/>
          <w:szCs w:val="24"/>
          <w:u w:val="single"/>
          <w:lang w:bidi="ar"/>
          <w14:textFill>
            <w14:solidFill>
              <w14:schemeClr w14:val="tx1"/>
            </w14:solidFill>
          </w14:textFill>
        </w:rPr>
        <w:t xml:space="preserve">                </w:t>
      </w:r>
      <w:r>
        <w:rPr>
          <w:rFonts w:cs="宋体"/>
          <w:b/>
          <w:color w:val="000000" w:themeColor="text1"/>
          <w:szCs w:val="24"/>
          <w:u w:val="single"/>
          <w:lang w:bidi="ar"/>
          <w14:textFill>
            <w14:solidFill>
              <w14:schemeClr w14:val="tx1"/>
            </w14:solidFill>
          </w14:textFill>
        </w:rPr>
        <w:tab/>
      </w:r>
    </w:p>
    <w:p>
      <w:pPr>
        <w:pStyle w:val="39"/>
        <w:widowControl w:val="0"/>
        <w:snapToGrid w:val="0"/>
        <w:spacing w:before="0" w:beforeAutospacing="0" w:after="0" w:afterAutospacing="0" w:line="480" w:lineRule="exact"/>
        <w:ind w:firstLine="3614" w:firstLineChars="1500"/>
        <w:jc w:val="both"/>
        <w:rPr>
          <w:rFonts w:hint="default" w:cs="宋体"/>
          <w:b/>
          <w:color w:val="000000" w:themeColor="text1"/>
          <w:szCs w:val="24"/>
          <w14:textFill>
            <w14:solidFill>
              <w14:schemeClr w14:val="tx1"/>
            </w14:solidFill>
          </w14:textFill>
        </w:rPr>
      </w:pPr>
      <w:r>
        <w:rPr>
          <w:rFonts w:cs="宋体"/>
          <w:b/>
          <w:color w:val="000000" w:themeColor="text1"/>
          <w:szCs w:val="24"/>
          <w:lang w:bidi="ar"/>
          <w14:textFill>
            <w14:solidFill>
              <w14:schemeClr w14:val="tx1"/>
            </w14:solidFill>
          </w14:textFill>
        </w:rPr>
        <w:t>日 期：</w:t>
      </w:r>
      <w:r>
        <w:rPr>
          <w:rFonts w:cs="宋体"/>
          <w:b/>
          <w:color w:val="000000" w:themeColor="text1"/>
          <w:szCs w:val="24"/>
          <w:u w:val="single"/>
          <w:lang w:bidi="ar"/>
          <w14:textFill>
            <w14:solidFill>
              <w14:schemeClr w14:val="tx1"/>
            </w14:solidFill>
          </w14:textFill>
        </w:rPr>
        <w:t xml:space="preserve"> </w:t>
      </w:r>
      <w:r>
        <w:rPr>
          <w:rFonts w:cs="宋体"/>
          <w:b/>
          <w:color w:val="000000" w:themeColor="text1"/>
          <w:szCs w:val="24"/>
          <w:u w:val="single"/>
          <w:lang w:bidi="ar"/>
          <w14:textFill>
            <w14:solidFill>
              <w14:schemeClr w14:val="tx1"/>
            </w14:solidFill>
          </w14:textFill>
        </w:rPr>
        <w:tab/>
      </w:r>
      <w:r>
        <w:rPr>
          <w:rFonts w:cs="宋体"/>
          <w:b/>
          <w:color w:val="000000" w:themeColor="text1"/>
          <w:szCs w:val="24"/>
          <w:u w:val="single"/>
          <w:lang w:bidi="ar"/>
          <w14:textFill>
            <w14:solidFill>
              <w14:schemeClr w14:val="tx1"/>
            </w14:solidFill>
          </w14:textFill>
        </w:rPr>
        <w:tab/>
      </w:r>
      <w:r>
        <w:rPr>
          <w:rFonts w:cs="宋体"/>
          <w:b/>
          <w:color w:val="000000" w:themeColor="text1"/>
          <w:szCs w:val="24"/>
          <w:u w:val="single"/>
          <w:lang w:bidi="ar"/>
          <w14:textFill>
            <w14:solidFill>
              <w14:schemeClr w14:val="tx1"/>
            </w14:solidFill>
          </w14:textFill>
        </w:rPr>
        <w:tab/>
      </w:r>
      <w:r>
        <w:rPr>
          <w:rFonts w:cs="宋体"/>
          <w:b/>
          <w:color w:val="000000" w:themeColor="text1"/>
          <w:szCs w:val="24"/>
          <w:u w:val="single"/>
          <w:lang w:bidi="ar"/>
          <w14:textFill>
            <w14:solidFill>
              <w14:schemeClr w14:val="tx1"/>
            </w14:solidFill>
          </w14:textFill>
        </w:rPr>
        <w:t xml:space="preserve">                    </w:t>
      </w:r>
      <w:r>
        <w:rPr>
          <w:rFonts w:cs="宋体"/>
          <w:b/>
          <w:color w:val="000000" w:themeColor="text1"/>
          <w:szCs w:val="24"/>
          <w:u w:val="single"/>
          <w:lang w:bidi="ar"/>
          <w14:textFill>
            <w14:solidFill>
              <w14:schemeClr w14:val="tx1"/>
            </w14:solidFill>
          </w14:textFill>
        </w:rPr>
        <w:tab/>
      </w:r>
    </w:p>
    <w:p>
      <w:pPr>
        <w:pStyle w:val="39"/>
        <w:widowControl w:val="0"/>
        <w:snapToGrid w:val="0"/>
        <w:spacing w:before="0" w:beforeAutospacing="0" w:after="0" w:afterAutospacing="0" w:line="480" w:lineRule="exact"/>
        <w:ind w:firstLine="3614" w:firstLineChars="1500"/>
        <w:jc w:val="both"/>
        <w:rPr>
          <w:rFonts w:hint="default" w:cs="宋体"/>
          <w:b/>
          <w:color w:val="000000" w:themeColor="text1"/>
          <w:szCs w:val="24"/>
          <w14:textFill>
            <w14:solidFill>
              <w14:schemeClr w14:val="tx1"/>
            </w14:solidFill>
          </w14:textFill>
        </w:rPr>
      </w:pPr>
    </w:p>
    <w:p>
      <w:pPr>
        <w:pStyle w:val="39"/>
        <w:widowControl w:val="0"/>
        <w:snapToGrid w:val="0"/>
        <w:spacing w:before="0" w:beforeAutospacing="0" w:after="0" w:afterAutospacing="0" w:line="480" w:lineRule="exact"/>
        <w:ind w:firstLine="482"/>
        <w:jc w:val="both"/>
        <w:rPr>
          <w:rFonts w:hint="default" w:cs="宋体"/>
          <w:b/>
          <w:color w:val="000000" w:themeColor="text1"/>
          <w:szCs w:val="24"/>
          <w:lang w:bidi="ar"/>
          <w14:textFill>
            <w14:solidFill>
              <w14:schemeClr w14:val="tx1"/>
            </w14:solidFill>
          </w14:textFill>
        </w:rPr>
      </w:pPr>
    </w:p>
    <w:p>
      <w:pPr>
        <w:pStyle w:val="39"/>
        <w:widowControl w:val="0"/>
        <w:snapToGrid w:val="0"/>
        <w:spacing w:before="0" w:beforeAutospacing="0" w:after="0" w:afterAutospacing="0" w:line="480" w:lineRule="exact"/>
        <w:ind w:firstLine="480"/>
        <w:jc w:val="both"/>
        <w:rPr>
          <w:rFonts w:hint="default" w:cs="宋体"/>
          <w:bCs/>
          <w:color w:val="000000" w:themeColor="text1"/>
          <w:szCs w:val="24"/>
          <w14:textFill>
            <w14:solidFill>
              <w14:schemeClr w14:val="tx1"/>
            </w14:solidFill>
          </w14:textFill>
        </w:rPr>
      </w:pPr>
      <w:r>
        <w:rPr>
          <w:rFonts w:cs="宋体"/>
          <w:bCs/>
          <w:color w:val="000000" w:themeColor="text1"/>
          <w:szCs w:val="24"/>
          <w:lang w:bidi="ar"/>
          <w14:textFill>
            <w14:solidFill>
              <w14:schemeClr w14:val="tx1"/>
            </w14:solidFill>
          </w14:textFill>
        </w:rPr>
        <w:t>附：由省级以上监狱管理局、戒毒管理局（含新疆生产建设兵团）出具的属于监狱企业的证明文件的扫描件。</w:t>
      </w:r>
    </w:p>
    <w:p>
      <w:pPr>
        <w:snapToGrid w:val="0"/>
        <w:ind w:firstLine="480"/>
        <w:jc w:val="both"/>
        <w:rPr>
          <w:rFonts w:ascii="宋体" w:hAnsi="宋体" w:cs="宋体"/>
          <w:bCs/>
          <w:color w:val="000000" w:themeColor="text1"/>
          <w14:textFill>
            <w14:solidFill>
              <w14:schemeClr w14:val="tx1"/>
            </w14:solidFill>
          </w14:textFill>
        </w:rPr>
      </w:pPr>
    </w:p>
    <w:p>
      <w:pPr>
        <w:pStyle w:val="54"/>
        <w:ind w:firstLine="528"/>
        <w:rPr>
          <w:color w:val="000000" w:themeColor="text1"/>
          <w14:textFill>
            <w14:solidFill>
              <w14:schemeClr w14:val="tx1"/>
            </w14:solidFill>
          </w14:textFill>
        </w:rPr>
      </w:pPr>
    </w:p>
    <w:p>
      <w:pPr>
        <w:ind w:firstLine="0" w:firstLineChars="0"/>
        <w:rPr>
          <w:color w:val="000000" w:themeColor="text1"/>
          <w14:textFill>
            <w14:solidFill>
              <w14:schemeClr w14:val="tx1"/>
            </w14:solidFill>
          </w14:textFill>
        </w:rPr>
      </w:pPr>
    </w:p>
    <w:sectPr>
      <w:pgSz w:w="11850" w:h="16783"/>
      <w:pgMar w:top="1440" w:right="1800" w:bottom="1440" w:left="1800" w:header="567" w:footer="1077"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Courier">
    <w:altName w:val="Noto Sans Mono"/>
    <w:panose1 w:val="02070409020205020404"/>
    <w:charset w:val="00"/>
    <w:family w:val="modern"/>
    <w:pitch w:val="default"/>
    <w:sig w:usb0="00000000" w:usb1="00000000" w:usb2="00000000" w:usb3="00000000" w:csb0="00000001" w:csb1="00000000"/>
  </w:font>
  <w:font w:name="MS Sans Serif">
    <w:altName w:val="Lohit Devanagari"/>
    <w:panose1 w:val="020B0500000000000000"/>
    <w:charset w:val="00"/>
    <w:family w:val="swiss"/>
    <w:pitch w:val="default"/>
    <w:sig w:usb0="00000000" w:usb1="00000000" w:usb2="00000000" w:usb3="00000000" w:csb0="00000001" w:csb1="00000000"/>
  </w:font>
  <w:font w:name="ˎ̥">
    <w:altName w:val="文泉驿微米黑"/>
    <w:panose1 w:val="00000000000000000000"/>
    <w:charset w:val="00"/>
    <w:family w:val="auto"/>
    <w:pitch w:val="default"/>
    <w:sig w:usb0="00000000" w:usb1="00000000" w:usb2="00000000" w:usb3="00000000" w:csb0="00040001" w:csb1="00000000"/>
  </w:font>
  <w:font w:name="??">
    <w:altName w:val="DejaVu Math TeX Gyre"/>
    <w:panose1 w:val="00000000000000000000"/>
    <w:charset w:val="00"/>
    <w:family w:val="roman"/>
    <w:pitch w:val="default"/>
    <w:sig w:usb0="00000000" w:usb1="00000000" w:usb2="00000000" w:usb3="00000000" w:csb0="00000001" w:csb1="00000000"/>
  </w:font>
  <w:font w:name="楷体_GB2312">
    <w:altName w:val="方正楷体_GBK"/>
    <w:panose1 w:val="00000000000000000000"/>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sans-serif">
    <w:altName w:val="文泉驿微米黑"/>
    <w:panose1 w:val="00000000000000000000"/>
    <w:charset w:val="00"/>
    <w:family w:val="auto"/>
    <w:pitch w:val="default"/>
    <w:sig w:usb0="00000000" w:usb1="00000000" w:usb2="00000000" w:usb3="00000000" w:csb0="00000000" w:csb1="00000000"/>
  </w:font>
  <w:font w:name="楷体">
    <w:altName w:val="方正楷体_GBK"/>
    <w:panose1 w:val="02010609060101010101"/>
    <w:charset w:val="86"/>
    <w:family w:val="auto"/>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ind w:firstLine="400"/>
      <w:rPr>
        <w:sz w:val="20"/>
      </w:rPr>
    </w:pPr>
  </w:p>
  <w:p>
    <w:pPr>
      <w:pStyle w:val="36"/>
      <w:ind w:firstLine="4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8213455"/>
      <w:docPartObj>
        <w:docPartGallery w:val="autotext"/>
      </w:docPartObj>
    </w:sdtPr>
    <w:sdtContent>
      <w:p>
        <w:pPr>
          <w:pStyle w:val="30"/>
          <w:ind w:firstLine="360"/>
          <w:jc w:val="center"/>
        </w:pPr>
        <w:r>
          <w:fldChar w:fldCharType="begin"/>
        </w:r>
        <w:r>
          <w:instrText xml:space="preserve">PAGE   \* MERGEFORMAT</w:instrText>
        </w:r>
        <w:r>
          <w:fldChar w:fldCharType="separate"/>
        </w:r>
        <w:r>
          <w:rPr>
            <w:lang w:val="zh-CN"/>
          </w:rPr>
          <w:t>52</w:t>
        </w:r>
        <w:r>
          <w:fldChar w:fldCharType="end"/>
        </w:r>
      </w:p>
    </w:sdtContent>
  </w:sdt>
  <w:p>
    <w:pPr>
      <w:pStyle w:val="17"/>
      <w:spacing w:line="14" w:lineRule="auto"/>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39" w:lineRule="atLeast"/>
      <w:ind w:firstLine="0" w:firstLineChars="0"/>
      <w:jc w:val="right"/>
      <w:textAlignment w:val="bottom"/>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904"/>
      </w:tabs>
      <w:spacing w:line="439" w:lineRule="atLeast"/>
      <w:ind w:firstLine="0" w:firstLineChars="0"/>
      <w:jc w:val="both"/>
      <w:textAlignment w:val="bottom"/>
      <w:rPr>
        <w:i/>
        <w:sz w:val="21"/>
        <w:szCs w:val="21"/>
      </w:rPr>
    </w:pPr>
    <w:r>
      <w:rPr>
        <w:rFonts w:hint="eastAsia" w:ascii="楷体_GB2312" w:hAnsi="楷体_GB2312" w:eastAsia="楷体_GB2312"/>
        <w:i/>
        <w:kern w:val="0"/>
        <w:sz w:val="8"/>
        <w:szCs w:val="2"/>
      </w:rPr>
      <w:t xml:space="preserve">                                                  </w:t>
    </w:r>
    <w:r>
      <w:rPr>
        <w:rFonts w:hint="eastAsia" w:ascii="楷体_GB2312" w:hAnsi="楷体_GB2312" w:eastAsia="楷体_GB2312"/>
        <w:i/>
        <w:kern w:val="0"/>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8C6576"/>
    <w:multiLevelType w:val="singleLevel"/>
    <w:tmpl w:val="B28C6576"/>
    <w:lvl w:ilvl="0" w:tentative="0">
      <w:start w:val="4"/>
      <w:numFmt w:val="decimal"/>
      <w:suff w:val="nothing"/>
      <w:lvlText w:val="%1、"/>
      <w:lvlJc w:val="left"/>
    </w:lvl>
  </w:abstractNum>
  <w:abstractNum w:abstractNumId="1">
    <w:nsid w:val="D43F4103"/>
    <w:multiLevelType w:val="singleLevel"/>
    <w:tmpl w:val="D43F4103"/>
    <w:lvl w:ilvl="0" w:tentative="0">
      <w:start w:val="2"/>
      <w:numFmt w:val="decimal"/>
      <w:suff w:val="nothing"/>
      <w:lvlText w:val="%1、"/>
      <w:lvlJc w:val="left"/>
    </w:lvl>
  </w:abstractNum>
  <w:abstractNum w:abstractNumId="2">
    <w:nsid w:val="0000000A"/>
    <w:multiLevelType w:val="multilevel"/>
    <w:tmpl w:val="0000000A"/>
    <w:lvl w:ilvl="0" w:tentative="0">
      <w:start w:val="1"/>
      <w:numFmt w:val="decimal"/>
      <w:lvlText w:val="%1."/>
      <w:lvlJc w:val="left"/>
      <w:pPr>
        <w:tabs>
          <w:tab w:val="left" w:pos="425"/>
        </w:tabs>
        <w:ind w:left="425" w:hanging="425"/>
      </w:pPr>
      <w:rPr>
        <w:rFonts w:hint="eastAsia" w:eastAsia="黑体"/>
        <w:b/>
        <w:i w:val="0"/>
        <w:sz w:val="32"/>
      </w:rPr>
    </w:lvl>
    <w:lvl w:ilvl="1" w:tentative="0">
      <w:start w:val="1"/>
      <w:numFmt w:val="decimal"/>
      <w:lvlText w:val="%1.%2."/>
      <w:lvlJc w:val="left"/>
      <w:pPr>
        <w:tabs>
          <w:tab w:val="left" w:pos="567"/>
        </w:tabs>
        <w:ind w:left="567" w:hanging="567"/>
      </w:pPr>
      <w:rPr>
        <w:rFonts w:hint="eastAsia"/>
        <w:sz w:val="28"/>
      </w:rPr>
    </w:lvl>
    <w:lvl w:ilvl="2" w:tentative="0">
      <w:start w:val="1"/>
      <w:numFmt w:val="decimal"/>
      <w:pStyle w:val="5"/>
      <w:lvlText w:val="%1.%2.%3."/>
      <w:lvlJc w:val="left"/>
      <w:pPr>
        <w:tabs>
          <w:tab w:val="left" w:pos="709"/>
        </w:tabs>
        <w:ind w:left="709" w:hanging="709"/>
      </w:pPr>
      <w:rPr>
        <w:rFonts w:hint="eastAsia"/>
        <w:sz w:val="24"/>
      </w:rPr>
    </w:lvl>
    <w:lvl w:ilvl="3" w:tentative="0">
      <w:start w:val="1"/>
      <w:numFmt w:val="decimal"/>
      <w:lvlText w:val="%1.%2.%3.%4."/>
      <w:lvlJc w:val="left"/>
      <w:pPr>
        <w:tabs>
          <w:tab w:val="left" w:pos="851"/>
        </w:tabs>
        <w:ind w:left="851" w:hanging="851"/>
      </w:pPr>
      <w:rPr>
        <w:rFonts w:hint="eastAsia"/>
        <w:b/>
        <w:i w:val="0"/>
        <w:sz w:val="21"/>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0E"/>
    <w:multiLevelType w:val="multilevel"/>
    <w:tmpl w:val="0000000E"/>
    <w:lvl w:ilvl="0" w:tentative="0">
      <w:start w:val="1"/>
      <w:numFmt w:val="chineseCountingThousand"/>
      <w:suff w:val="space"/>
      <w:lvlText w:val="第%1章  "/>
      <w:lvlJc w:val="center"/>
      <w:pPr>
        <w:ind w:left="0" w:firstLine="0"/>
      </w:pPr>
      <w:rPr>
        <w:rFonts w:hint="eastAsia"/>
      </w:rPr>
    </w:lvl>
    <w:lvl w:ilvl="1" w:tentative="0">
      <w:start w:val="1"/>
      <w:numFmt w:val="decimal"/>
      <w:isLgl/>
      <w:suff w:val="space"/>
      <w:lvlText w:val="%1.%2  "/>
      <w:lvlJc w:val="left"/>
      <w:pPr>
        <w:ind w:left="0" w:firstLine="0"/>
      </w:pPr>
      <w:rPr>
        <w:rFonts w:hint="eastAsia"/>
      </w:rPr>
    </w:lvl>
    <w:lvl w:ilvl="2" w:tentative="0">
      <w:start w:val="1"/>
      <w:numFmt w:val="decimal"/>
      <w:isLgl/>
      <w:suff w:val="space"/>
      <w:lvlText w:val="%1.%2.%3  "/>
      <w:lvlJc w:val="left"/>
      <w:pPr>
        <w:ind w:left="0" w:firstLine="0"/>
      </w:pPr>
      <w:rPr>
        <w:rFonts w:hint="eastAsia"/>
      </w:rPr>
    </w:lvl>
    <w:lvl w:ilvl="3" w:tentative="0">
      <w:start w:val="1"/>
      <w:numFmt w:val="none"/>
      <w:suff w:val="space"/>
      <w:lvlText w:val=""/>
      <w:lvlJc w:val="left"/>
      <w:pPr>
        <w:ind w:left="624" w:firstLine="0"/>
      </w:pPr>
      <w:rPr>
        <w:rFonts w:hint="eastAsia"/>
      </w:rPr>
    </w:lvl>
    <w:lvl w:ilvl="4" w:tentative="0">
      <w:start w:val="1"/>
      <w:numFmt w:val="decimal"/>
      <w:suff w:val="space"/>
      <w:lvlText w:val="%5. "/>
      <w:lvlJc w:val="left"/>
      <w:pPr>
        <w:ind w:left="680" w:firstLine="0"/>
      </w:pPr>
      <w:rPr>
        <w:rFonts w:hint="eastAsia"/>
      </w:rPr>
    </w:lvl>
    <w:lvl w:ilvl="5" w:tentative="0">
      <w:start w:val="1"/>
      <w:numFmt w:val="decimal"/>
      <w:lvlRestart w:val="1"/>
      <w:pStyle w:val="60"/>
      <w:isLgl/>
      <w:suff w:val="nothing"/>
      <w:lvlText w:val="表%1-%6"/>
      <w:lvlJc w:val="center"/>
      <w:pPr>
        <w:ind w:left="680" w:firstLine="0"/>
      </w:pPr>
      <w:rPr>
        <w:rFonts w:hint="eastAsia"/>
      </w:rPr>
    </w:lvl>
    <w:lvl w:ilvl="6" w:tentative="0">
      <w:start w:val="1"/>
      <w:numFmt w:val="decimal"/>
      <w:lvlRestart w:val="1"/>
      <w:isLgl/>
      <w:suff w:val="nothing"/>
      <w:lvlText w:val="图%1-%7"/>
      <w:lvlJc w:val="center"/>
      <w:pPr>
        <w:ind w:left="680" w:firstLine="0"/>
      </w:pPr>
      <w:rPr>
        <w:rFonts w:hint="eastAsia"/>
      </w:rPr>
    </w:lvl>
    <w:lvl w:ilvl="7" w:tentative="0">
      <w:start w:val="1"/>
      <w:numFmt w:val="decimal"/>
      <w:lvlRestart w:val="5"/>
      <w:suff w:val="space"/>
      <w:lvlText w:val="(%8)"/>
      <w:lvlJc w:val="left"/>
      <w:pPr>
        <w:ind w:left="1134" w:hanging="227"/>
      </w:pPr>
      <w:rPr>
        <w:rFonts w:hint="eastAsia"/>
      </w:rPr>
    </w:lvl>
    <w:lvl w:ilvl="8" w:tentative="0">
      <w:start w:val="1"/>
      <w:numFmt w:val="bullet"/>
      <w:lvlRestart w:val="5"/>
      <w:suff w:val="space"/>
      <w:lvlText w:val=""/>
      <w:lvlJc w:val="left"/>
      <w:pPr>
        <w:ind w:left="1134" w:hanging="227"/>
      </w:pPr>
      <w:rPr>
        <w:rFonts w:hint="default" w:ascii="Wingdings" w:hAnsi="Wingdings"/>
      </w:rPr>
    </w:lvl>
  </w:abstractNum>
  <w:abstractNum w:abstractNumId="4">
    <w:nsid w:val="54FFAADB"/>
    <w:multiLevelType w:val="singleLevel"/>
    <w:tmpl w:val="54FFAADB"/>
    <w:lvl w:ilvl="0" w:tentative="0">
      <w:start w:val="2"/>
      <w:numFmt w:val="chineseCounting"/>
      <w:suff w:val="space"/>
      <w:lvlText w:val="第%1部分"/>
      <w:lvlJc w:val="left"/>
      <w:rPr>
        <w:rFonts w:hint="eastAsia"/>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kNzRlMDM5MzExOGJkODU4NzkxMGIwZDcyODQ5OTkifQ=="/>
  </w:docVars>
  <w:rsids>
    <w:rsidRoot w:val="00763D77"/>
    <w:rsid w:val="00001671"/>
    <w:rsid w:val="0000360D"/>
    <w:rsid w:val="00004176"/>
    <w:rsid w:val="000047F0"/>
    <w:rsid w:val="00004FF6"/>
    <w:rsid w:val="00006C9C"/>
    <w:rsid w:val="00010CAC"/>
    <w:rsid w:val="00011574"/>
    <w:rsid w:val="00011658"/>
    <w:rsid w:val="00012157"/>
    <w:rsid w:val="000126FB"/>
    <w:rsid w:val="00014329"/>
    <w:rsid w:val="00015132"/>
    <w:rsid w:val="00016AA8"/>
    <w:rsid w:val="00017BA4"/>
    <w:rsid w:val="00021392"/>
    <w:rsid w:val="00021B4F"/>
    <w:rsid w:val="00021E1C"/>
    <w:rsid w:val="000230BD"/>
    <w:rsid w:val="00023E41"/>
    <w:rsid w:val="000246CA"/>
    <w:rsid w:val="00024DC7"/>
    <w:rsid w:val="00025327"/>
    <w:rsid w:val="00026090"/>
    <w:rsid w:val="000312F7"/>
    <w:rsid w:val="00034353"/>
    <w:rsid w:val="0003712B"/>
    <w:rsid w:val="000371EA"/>
    <w:rsid w:val="0004165E"/>
    <w:rsid w:val="00042ECA"/>
    <w:rsid w:val="00044192"/>
    <w:rsid w:val="00050124"/>
    <w:rsid w:val="00051D0B"/>
    <w:rsid w:val="00053884"/>
    <w:rsid w:val="00056224"/>
    <w:rsid w:val="00060C3C"/>
    <w:rsid w:val="000610A0"/>
    <w:rsid w:val="00061900"/>
    <w:rsid w:val="00061F7E"/>
    <w:rsid w:val="000635A8"/>
    <w:rsid w:val="00066B29"/>
    <w:rsid w:val="00066C19"/>
    <w:rsid w:val="00070EB1"/>
    <w:rsid w:val="00072F4E"/>
    <w:rsid w:val="00073946"/>
    <w:rsid w:val="00073CE3"/>
    <w:rsid w:val="00077322"/>
    <w:rsid w:val="00077385"/>
    <w:rsid w:val="00077DAA"/>
    <w:rsid w:val="00080837"/>
    <w:rsid w:val="00081A31"/>
    <w:rsid w:val="00081F20"/>
    <w:rsid w:val="00084B4A"/>
    <w:rsid w:val="000850DF"/>
    <w:rsid w:val="000854CA"/>
    <w:rsid w:val="000855CF"/>
    <w:rsid w:val="0008602C"/>
    <w:rsid w:val="00086271"/>
    <w:rsid w:val="00087F17"/>
    <w:rsid w:val="000905AA"/>
    <w:rsid w:val="00090DA8"/>
    <w:rsid w:val="00093FB6"/>
    <w:rsid w:val="00094F1F"/>
    <w:rsid w:val="00095D32"/>
    <w:rsid w:val="00096A49"/>
    <w:rsid w:val="00097DD9"/>
    <w:rsid w:val="000A0BF5"/>
    <w:rsid w:val="000A2843"/>
    <w:rsid w:val="000A28E9"/>
    <w:rsid w:val="000B0CD5"/>
    <w:rsid w:val="000B2029"/>
    <w:rsid w:val="000B2F4F"/>
    <w:rsid w:val="000B3182"/>
    <w:rsid w:val="000B3DB3"/>
    <w:rsid w:val="000B40BF"/>
    <w:rsid w:val="000B4822"/>
    <w:rsid w:val="000B4970"/>
    <w:rsid w:val="000B5BD3"/>
    <w:rsid w:val="000B5D31"/>
    <w:rsid w:val="000B5ED8"/>
    <w:rsid w:val="000B7A46"/>
    <w:rsid w:val="000C00E8"/>
    <w:rsid w:val="000C1141"/>
    <w:rsid w:val="000C1F7E"/>
    <w:rsid w:val="000C4C55"/>
    <w:rsid w:val="000C52F1"/>
    <w:rsid w:val="000C65A8"/>
    <w:rsid w:val="000D10B1"/>
    <w:rsid w:val="000D16BA"/>
    <w:rsid w:val="000D305D"/>
    <w:rsid w:val="000D3D8D"/>
    <w:rsid w:val="000D59D5"/>
    <w:rsid w:val="000D5D57"/>
    <w:rsid w:val="000D6378"/>
    <w:rsid w:val="000D68C3"/>
    <w:rsid w:val="000E099A"/>
    <w:rsid w:val="000E1033"/>
    <w:rsid w:val="000E112F"/>
    <w:rsid w:val="000E1D02"/>
    <w:rsid w:val="000E4597"/>
    <w:rsid w:val="000E5959"/>
    <w:rsid w:val="000E5A75"/>
    <w:rsid w:val="000E767C"/>
    <w:rsid w:val="000F094A"/>
    <w:rsid w:val="000F1A5D"/>
    <w:rsid w:val="000F1E42"/>
    <w:rsid w:val="000F20C9"/>
    <w:rsid w:val="000F2A59"/>
    <w:rsid w:val="000F373C"/>
    <w:rsid w:val="000F4541"/>
    <w:rsid w:val="000F5A71"/>
    <w:rsid w:val="000F614D"/>
    <w:rsid w:val="000F6374"/>
    <w:rsid w:val="000F641F"/>
    <w:rsid w:val="000F726F"/>
    <w:rsid w:val="00101055"/>
    <w:rsid w:val="001029B3"/>
    <w:rsid w:val="0010401F"/>
    <w:rsid w:val="00105F04"/>
    <w:rsid w:val="00106938"/>
    <w:rsid w:val="00106A5B"/>
    <w:rsid w:val="00107129"/>
    <w:rsid w:val="0011196F"/>
    <w:rsid w:val="0011241A"/>
    <w:rsid w:val="0011265D"/>
    <w:rsid w:val="00112EE0"/>
    <w:rsid w:val="00113EB7"/>
    <w:rsid w:val="001143B8"/>
    <w:rsid w:val="00115542"/>
    <w:rsid w:val="00115F3B"/>
    <w:rsid w:val="00117BA6"/>
    <w:rsid w:val="00122610"/>
    <w:rsid w:val="001242CA"/>
    <w:rsid w:val="001277F0"/>
    <w:rsid w:val="0013036A"/>
    <w:rsid w:val="0013037C"/>
    <w:rsid w:val="00131D8E"/>
    <w:rsid w:val="00132AF7"/>
    <w:rsid w:val="0013409F"/>
    <w:rsid w:val="001353D7"/>
    <w:rsid w:val="00135F21"/>
    <w:rsid w:val="00136431"/>
    <w:rsid w:val="001414A0"/>
    <w:rsid w:val="00144897"/>
    <w:rsid w:val="001452BC"/>
    <w:rsid w:val="001504F4"/>
    <w:rsid w:val="001528E8"/>
    <w:rsid w:val="00153746"/>
    <w:rsid w:val="00156021"/>
    <w:rsid w:val="00156D89"/>
    <w:rsid w:val="00160551"/>
    <w:rsid w:val="00164826"/>
    <w:rsid w:val="00164EA3"/>
    <w:rsid w:val="001654BD"/>
    <w:rsid w:val="001658F0"/>
    <w:rsid w:val="00166480"/>
    <w:rsid w:val="00166EC4"/>
    <w:rsid w:val="00166F54"/>
    <w:rsid w:val="001673EC"/>
    <w:rsid w:val="0016792B"/>
    <w:rsid w:val="00167F2F"/>
    <w:rsid w:val="00172D0E"/>
    <w:rsid w:val="0017335D"/>
    <w:rsid w:val="00173ECA"/>
    <w:rsid w:val="0017557A"/>
    <w:rsid w:val="001755BA"/>
    <w:rsid w:val="00176024"/>
    <w:rsid w:val="00176CC1"/>
    <w:rsid w:val="001774F6"/>
    <w:rsid w:val="00177EB6"/>
    <w:rsid w:val="00180012"/>
    <w:rsid w:val="0018018D"/>
    <w:rsid w:val="001851D6"/>
    <w:rsid w:val="00185432"/>
    <w:rsid w:val="0018548E"/>
    <w:rsid w:val="00187A76"/>
    <w:rsid w:val="001937BD"/>
    <w:rsid w:val="00193E48"/>
    <w:rsid w:val="001941C3"/>
    <w:rsid w:val="00194DBE"/>
    <w:rsid w:val="0019545D"/>
    <w:rsid w:val="00195CBC"/>
    <w:rsid w:val="001A0294"/>
    <w:rsid w:val="001A11A9"/>
    <w:rsid w:val="001A1D3B"/>
    <w:rsid w:val="001A26BD"/>
    <w:rsid w:val="001A55E5"/>
    <w:rsid w:val="001A56EC"/>
    <w:rsid w:val="001A6131"/>
    <w:rsid w:val="001A6637"/>
    <w:rsid w:val="001A76E8"/>
    <w:rsid w:val="001A7E86"/>
    <w:rsid w:val="001B042E"/>
    <w:rsid w:val="001B0E6B"/>
    <w:rsid w:val="001B18EE"/>
    <w:rsid w:val="001B1F89"/>
    <w:rsid w:val="001B21F3"/>
    <w:rsid w:val="001B5D65"/>
    <w:rsid w:val="001B6C9C"/>
    <w:rsid w:val="001C0082"/>
    <w:rsid w:val="001C05FE"/>
    <w:rsid w:val="001C1736"/>
    <w:rsid w:val="001C384F"/>
    <w:rsid w:val="001C38F3"/>
    <w:rsid w:val="001C3EC8"/>
    <w:rsid w:val="001C5509"/>
    <w:rsid w:val="001C5835"/>
    <w:rsid w:val="001C5BB2"/>
    <w:rsid w:val="001C6080"/>
    <w:rsid w:val="001C68D1"/>
    <w:rsid w:val="001C7656"/>
    <w:rsid w:val="001D2571"/>
    <w:rsid w:val="001D349E"/>
    <w:rsid w:val="001D4E1D"/>
    <w:rsid w:val="001D6069"/>
    <w:rsid w:val="001D6A87"/>
    <w:rsid w:val="001D6D31"/>
    <w:rsid w:val="001D6E1D"/>
    <w:rsid w:val="001D738A"/>
    <w:rsid w:val="001D772F"/>
    <w:rsid w:val="001D7A75"/>
    <w:rsid w:val="001E1497"/>
    <w:rsid w:val="001E169A"/>
    <w:rsid w:val="001E345B"/>
    <w:rsid w:val="001E4F96"/>
    <w:rsid w:val="001E53A1"/>
    <w:rsid w:val="001E60AC"/>
    <w:rsid w:val="001E7065"/>
    <w:rsid w:val="001E7088"/>
    <w:rsid w:val="001F1143"/>
    <w:rsid w:val="001F15FC"/>
    <w:rsid w:val="001F2FD5"/>
    <w:rsid w:val="001F3435"/>
    <w:rsid w:val="001F5823"/>
    <w:rsid w:val="0020452F"/>
    <w:rsid w:val="00204905"/>
    <w:rsid w:val="00205A2A"/>
    <w:rsid w:val="002060FE"/>
    <w:rsid w:val="00210315"/>
    <w:rsid w:val="00210C60"/>
    <w:rsid w:val="00210D7D"/>
    <w:rsid w:val="002152E2"/>
    <w:rsid w:val="00215C01"/>
    <w:rsid w:val="00217FF0"/>
    <w:rsid w:val="00223D55"/>
    <w:rsid w:val="0022439C"/>
    <w:rsid w:val="002246B8"/>
    <w:rsid w:val="00225598"/>
    <w:rsid w:val="00225E97"/>
    <w:rsid w:val="00230BFA"/>
    <w:rsid w:val="0023165D"/>
    <w:rsid w:val="0023381D"/>
    <w:rsid w:val="00233C27"/>
    <w:rsid w:val="00242095"/>
    <w:rsid w:val="00244AC8"/>
    <w:rsid w:val="00244F2D"/>
    <w:rsid w:val="0024500B"/>
    <w:rsid w:val="002453F0"/>
    <w:rsid w:val="00245F65"/>
    <w:rsid w:val="00251A37"/>
    <w:rsid w:val="002526DB"/>
    <w:rsid w:val="002527B1"/>
    <w:rsid w:val="002530F2"/>
    <w:rsid w:val="00254E22"/>
    <w:rsid w:val="00255722"/>
    <w:rsid w:val="002575ED"/>
    <w:rsid w:val="0026024D"/>
    <w:rsid w:val="002613D6"/>
    <w:rsid w:val="0026146B"/>
    <w:rsid w:val="00261F1A"/>
    <w:rsid w:val="00262CB7"/>
    <w:rsid w:val="00263429"/>
    <w:rsid w:val="0026391B"/>
    <w:rsid w:val="00264DAC"/>
    <w:rsid w:val="00267B28"/>
    <w:rsid w:val="00271D17"/>
    <w:rsid w:val="0027214A"/>
    <w:rsid w:val="0027253B"/>
    <w:rsid w:val="00272BB4"/>
    <w:rsid w:val="00273532"/>
    <w:rsid w:val="002740C5"/>
    <w:rsid w:val="002755A3"/>
    <w:rsid w:val="002769BE"/>
    <w:rsid w:val="00280569"/>
    <w:rsid w:val="00281959"/>
    <w:rsid w:val="00282147"/>
    <w:rsid w:val="002827A0"/>
    <w:rsid w:val="00283770"/>
    <w:rsid w:val="00284175"/>
    <w:rsid w:val="00286735"/>
    <w:rsid w:val="00286D76"/>
    <w:rsid w:val="00287792"/>
    <w:rsid w:val="002879B4"/>
    <w:rsid w:val="00287BCA"/>
    <w:rsid w:val="00290960"/>
    <w:rsid w:val="0029274D"/>
    <w:rsid w:val="00292EBA"/>
    <w:rsid w:val="002940F8"/>
    <w:rsid w:val="00296FDC"/>
    <w:rsid w:val="00297962"/>
    <w:rsid w:val="00297E5A"/>
    <w:rsid w:val="002A002F"/>
    <w:rsid w:val="002A085B"/>
    <w:rsid w:val="002A23B1"/>
    <w:rsid w:val="002A2F53"/>
    <w:rsid w:val="002A2FF7"/>
    <w:rsid w:val="002A4B36"/>
    <w:rsid w:val="002A57CC"/>
    <w:rsid w:val="002A68D1"/>
    <w:rsid w:val="002A7D66"/>
    <w:rsid w:val="002B08BE"/>
    <w:rsid w:val="002B4E40"/>
    <w:rsid w:val="002B55A3"/>
    <w:rsid w:val="002B6670"/>
    <w:rsid w:val="002B6C31"/>
    <w:rsid w:val="002B7A1E"/>
    <w:rsid w:val="002C02AA"/>
    <w:rsid w:val="002C0D3F"/>
    <w:rsid w:val="002C19F0"/>
    <w:rsid w:val="002C3681"/>
    <w:rsid w:val="002C6DFE"/>
    <w:rsid w:val="002C7EE0"/>
    <w:rsid w:val="002D0BFD"/>
    <w:rsid w:val="002D3330"/>
    <w:rsid w:val="002D4054"/>
    <w:rsid w:val="002D5046"/>
    <w:rsid w:val="002D55A2"/>
    <w:rsid w:val="002E00E8"/>
    <w:rsid w:val="002E0CA4"/>
    <w:rsid w:val="002E0E95"/>
    <w:rsid w:val="002E17C7"/>
    <w:rsid w:val="002E2788"/>
    <w:rsid w:val="002E4BD8"/>
    <w:rsid w:val="002E50DE"/>
    <w:rsid w:val="002E55D8"/>
    <w:rsid w:val="002E699C"/>
    <w:rsid w:val="002E783D"/>
    <w:rsid w:val="002F053C"/>
    <w:rsid w:val="002F088E"/>
    <w:rsid w:val="002F1C05"/>
    <w:rsid w:val="002F26EF"/>
    <w:rsid w:val="002F587F"/>
    <w:rsid w:val="002F5E8B"/>
    <w:rsid w:val="002F7A95"/>
    <w:rsid w:val="0030017B"/>
    <w:rsid w:val="003013C8"/>
    <w:rsid w:val="00302FDF"/>
    <w:rsid w:val="00305130"/>
    <w:rsid w:val="00305D8B"/>
    <w:rsid w:val="0030725C"/>
    <w:rsid w:val="003118AB"/>
    <w:rsid w:val="00311FDF"/>
    <w:rsid w:val="00312A78"/>
    <w:rsid w:val="00314616"/>
    <w:rsid w:val="00314959"/>
    <w:rsid w:val="003172B8"/>
    <w:rsid w:val="003202D5"/>
    <w:rsid w:val="00321268"/>
    <w:rsid w:val="003237BF"/>
    <w:rsid w:val="00323F68"/>
    <w:rsid w:val="0032472C"/>
    <w:rsid w:val="00324834"/>
    <w:rsid w:val="003250C2"/>
    <w:rsid w:val="0032659A"/>
    <w:rsid w:val="00326E66"/>
    <w:rsid w:val="003278FA"/>
    <w:rsid w:val="00330076"/>
    <w:rsid w:val="00330592"/>
    <w:rsid w:val="003338F4"/>
    <w:rsid w:val="0033406D"/>
    <w:rsid w:val="00334301"/>
    <w:rsid w:val="00334F32"/>
    <w:rsid w:val="00335022"/>
    <w:rsid w:val="00335D56"/>
    <w:rsid w:val="00336E54"/>
    <w:rsid w:val="00337A30"/>
    <w:rsid w:val="00341678"/>
    <w:rsid w:val="00342D86"/>
    <w:rsid w:val="003441C9"/>
    <w:rsid w:val="00345324"/>
    <w:rsid w:val="003453FE"/>
    <w:rsid w:val="00346475"/>
    <w:rsid w:val="00346577"/>
    <w:rsid w:val="0034783D"/>
    <w:rsid w:val="00347ECA"/>
    <w:rsid w:val="003507D3"/>
    <w:rsid w:val="00351115"/>
    <w:rsid w:val="00351BD6"/>
    <w:rsid w:val="00351C61"/>
    <w:rsid w:val="0035255C"/>
    <w:rsid w:val="00353E80"/>
    <w:rsid w:val="003547FC"/>
    <w:rsid w:val="00354AFF"/>
    <w:rsid w:val="00354E19"/>
    <w:rsid w:val="00355480"/>
    <w:rsid w:val="0035560E"/>
    <w:rsid w:val="00356AFC"/>
    <w:rsid w:val="003575AE"/>
    <w:rsid w:val="00357CC7"/>
    <w:rsid w:val="00360FA8"/>
    <w:rsid w:val="00361498"/>
    <w:rsid w:val="00362E2F"/>
    <w:rsid w:val="00363CE5"/>
    <w:rsid w:val="00363EF9"/>
    <w:rsid w:val="00364516"/>
    <w:rsid w:val="003647B8"/>
    <w:rsid w:val="00364D15"/>
    <w:rsid w:val="00365BC7"/>
    <w:rsid w:val="00365C43"/>
    <w:rsid w:val="00370E36"/>
    <w:rsid w:val="00371556"/>
    <w:rsid w:val="003725C1"/>
    <w:rsid w:val="003732EF"/>
    <w:rsid w:val="00373523"/>
    <w:rsid w:val="00373F28"/>
    <w:rsid w:val="003774CA"/>
    <w:rsid w:val="00377D08"/>
    <w:rsid w:val="00377E0B"/>
    <w:rsid w:val="00380022"/>
    <w:rsid w:val="00381E48"/>
    <w:rsid w:val="00382372"/>
    <w:rsid w:val="00382CA8"/>
    <w:rsid w:val="00383D92"/>
    <w:rsid w:val="0038445E"/>
    <w:rsid w:val="00386269"/>
    <w:rsid w:val="0038631B"/>
    <w:rsid w:val="00386A07"/>
    <w:rsid w:val="003879DE"/>
    <w:rsid w:val="003908F8"/>
    <w:rsid w:val="003921E1"/>
    <w:rsid w:val="00392267"/>
    <w:rsid w:val="003936E3"/>
    <w:rsid w:val="003939E0"/>
    <w:rsid w:val="00393EEC"/>
    <w:rsid w:val="003940F8"/>
    <w:rsid w:val="003948D7"/>
    <w:rsid w:val="00395217"/>
    <w:rsid w:val="00395988"/>
    <w:rsid w:val="00396899"/>
    <w:rsid w:val="003A012E"/>
    <w:rsid w:val="003A291F"/>
    <w:rsid w:val="003A2BDF"/>
    <w:rsid w:val="003A3262"/>
    <w:rsid w:val="003A32D4"/>
    <w:rsid w:val="003A3E4C"/>
    <w:rsid w:val="003A4BF6"/>
    <w:rsid w:val="003A542F"/>
    <w:rsid w:val="003A5F9D"/>
    <w:rsid w:val="003A656A"/>
    <w:rsid w:val="003A78DB"/>
    <w:rsid w:val="003A7BB4"/>
    <w:rsid w:val="003B1432"/>
    <w:rsid w:val="003B408D"/>
    <w:rsid w:val="003B747C"/>
    <w:rsid w:val="003B7820"/>
    <w:rsid w:val="003B7D61"/>
    <w:rsid w:val="003C05F3"/>
    <w:rsid w:val="003C134F"/>
    <w:rsid w:val="003C35BE"/>
    <w:rsid w:val="003C4472"/>
    <w:rsid w:val="003C520E"/>
    <w:rsid w:val="003C57AF"/>
    <w:rsid w:val="003C79C5"/>
    <w:rsid w:val="003D0621"/>
    <w:rsid w:val="003D06E5"/>
    <w:rsid w:val="003D158D"/>
    <w:rsid w:val="003D18E9"/>
    <w:rsid w:val="003D2C7D"/>
    <w:rsid w:val="003D3107"/>
    <w:rsid w:val="003D3B81"/>
    <w:rsid w:val="003D4BAC"/>
    <w:rsid w:val="003E0200"/>
    <w:rsid w:val="003E0407"/>
    <w:rsid w:val="003E04F0"/>
    <w:rsid w:val="003E0530"/>
    <w:rsid w:val="003E0F3D"/>
    <w:rsid w:val="003E112A"/>
    <w:rsid w:val="003E2666"/>
    <w:rsid w:val="003E2FF2"/>
    <w:rsid w:val="003E3C9B"/>
    <w:rsid w:val="003E5611"/>
    <w:rsid w:val="003E5D5F"/>
    <w:rsid w:val="003E73C9"/>
    <w:rsid w:val="003E75C6"/>
    <w:rsid w:val="003F074B"/>
    <w:rsid w:val="003F0B4D"/>
    <w:rsid w:val="003F1933"/>
    <w:rsid w:val="003F1E43"/>
    <w:rsid w:val="003F2BC4"/>
    <w:rsid w:val="003F31DE"/>
    <w:rsid w:val="003F3E3D"/>
    <w:rsid w:val="003F4B83"/>
    <w:rsid w:val="003F58B4"/>
    <w:rsid w:val="003F58E8"/>
    <w:rsid w:val="00401CE9"/>
    <w:rsid w:val="00402CB8"/>
    <w:rsid w:val="004030B8"/>
    <w:rsid w:val="00403843"/>
    <w:rsid w:val="00403962"/>
    <w:rsid w:val="00405252"/>
    <w:rsid w:val="00405921"/>
    <w:rsid w:val="00405CFB"/>
    <w:rsid w:val="00405EE6"/>
    <w:rsid w:val="00407401"/>
    <w:rsid w:val="00414144"/>
    <w:rsid w:val="00414677"/>
    <w:rsid w:val="00414688"/>
    <w:rsid w:val="00415703"/>
    <w:rsid w:val="004160B2"/>
    <w:rsid w:val="00416BD5"/>
    <w:rsid w:val="00417F5E"/>
    <w:rsid w:val="004200AE"/>
    <w:rsid w:val="004224A7"/>
    <w:rsid w:val="00425D50"/>
    <w:rsid w:val="004313C7"/>
    <w:rsid w:val="0043158C"/>
    <w:rsid w:val="0043220F"/>
    <w:rsid w:val="004322E2"/>
    <w:rsid w:val="00436F02"/>
    <w:rsid w:val="00437B06"/>
    <w:rsid w:val="004409A4"/>
    <w:rsid w:val="00440DA5"/>
    <w:rsid w:val="00440E28"/>
    <w:rsid w:val="004414B2"/>
    <w:rsid w:val="004414C9"/>
    <w:rsid w:val="00441C48"/>
    <w:rsid w:val="0044327D"/>
    <w:rsid w:val="00443A03"/>
    <w:rsid w:val="00445CF1"/>
    <w:rsid w:val="00447847"/>
    <w:rsid w:val="00450B6C"/>
    <w:rsid w:val="00450D49"/>
    <w:rsid w:val="004511DF"/>
    <w:rsid w:val="00451426"/>
    <w:rsid w:val="00451650"/>
    <w:rsid w:val="00451BA9"/>
    <w:rsid w:val="00451BCF"/>
    <w:rsid w:val="004532B7"/>
    <w:rsid w:val="00454371"/>
    <w:rsid w:val="00454D5C"/>
    <w:rsid w:val="00455282"/>
    <w:rsid w:val="00455B41"/>
    <w:rsid w:val="00455E61"/>
    <w:rsid w:val="0045659F"/>
    <w:rsid w:val="00456D6F"/>
    <w:rsid w:val="00457965"/>
    <w:rsid w:val="00460EBB"/>
    <w:rsid w:val="00461398"/>
    <w:rsid w:val="00461654"/>
    <w:rsid w:val="00463AF9"/>
    <w:rsid w:val="00464A18"/>
    <w:rsid w:val="004702B7"/>
    <w:rsid w:val="004712D2"/>
    <w:rsid w:val="004723DB"/>
    <w:rsid w:val="00473161"/>
    <w:rsid w:val="0047587E"/>
    <w:rsid w:val="004808DB"/>
    <w:rsid w:val="00480C2E"/>
    <w:rsid w:val="00483798"/>
    <w:rsid w:val="00484BA2"/>
    <w:rsid w:val="00484EB2"/>
    <w:rsid w:val="00485AF2"/>
    <w:rsid w:val="00486685"/>
    <w:rsid w:val="004866A2"/>
    <w:rsid w:val="00486CD4"/>
    <w:rsid w:val="004871E9"/>
    <w:rsid w:val="00490D0C"/>
    <w:rsid w:val="0049165B"/>
    <w:rsid w:val="004917EE"/>
    <w:rsid w:val="0049284C"/>
    <w:rsid w:val="00496497"/>
    <w:rsid w:val="004977EF"/>
    <w:rsid w:val="004A2A26"/>
    <w:rsid w:val="004A3DC2"/>
    <w:rsid w:val="004A552F"/>
    <w:rsid w:val="004A613A"/>
    <w:rsid w:val="004B1744"/>
    <w:rsid w:val="004B5401"/>
    <w:rsid w:val="004B676E"/>
    <w:rsid w:val="004B699A"/>
    <w:rsid w:val="004B79D7"/>
    <w:rsid w:val="004B7EC5"/>
    <w:rsid w:val="004C0915"/>
    <w:rsid w:val="004C0C7E"/>
    <w:rsid w:val="004C15A3"/>
    <w:rsid w:val="004C1C9C"/>
    <w:rsid w:val="004C25FF"/>
    <w:rsid w:val="004C3347"/>
    <w:rsid w:val="004C375C"/>
    <w:rsid w:val="004C464B"/>
    <w:rsid w:val="004C4DC0"/>
    <w:rsid w:val="004D2B75"/>
    <w:rsid w:val="004D2CE3"/>
    <w:rsid w:val="004D2F8C"/>
    <w:rsid w:val="004D32F6"/>
    <w:rsid w:val="004D3383"/>
    <w:rsid w:val="004D4431"/>
    <w:rsid w:val="004D4C17"/>
    <w:rsid w:val="004D570A"/>
    <w:rsid w:val="004D580A"/>
    <w:rsid w:val="004E0B94"/>
    <w:rsid w:val="004E1B04"/>
    <w:rsid w:val="004E2D4F"/>
    <w:rsid w:val="004E466F"/>
    <w:rsid w:val="004E4B86"/>
    <w:rsid w:val="004E4EA8"/>
    <w:rsid w:val="004E4F43"/>
    <w:rsid w:val="004E5147"/>
    <w:rsid w:val="004E5C0D"/>
    <w:rsid w:val="004E75A6"/>
    <w:rsid w:val="004E7BE7"/>
    <w:rsid w:val="004F1194"/>
    <w:rsid w:val="004F3A39"/>
    <w:rsid w:val="004F3F26"/>
    <w:rsid w:val="004F44CE"/>
    <w:rsid w:val="004F46BA"/>
    <w:rsid w:val="004F4B25"/>
    <w:rsid w:val="004F53FE"/>
    <w:rsid w:val="004F67F0"/>
    <w:rsid w:val="004F6A3F"/>
    <w:rsid w:val="004F6D2C"/>
    <w:rsid w:val="004F73BF"/>
    <w:rsid w:val="0050109D"/>
    <w:rsid w:val="00503A99"/>
    <w:rsid w:val="00504B71"/>
    <w:rsid w:val="00505883"/>
    <w:rsid w:val="00506E12"/>
    <w:rsid w:val="005073C2"/>
    <w:rsid w:val="00507831"/>
    <w:rsid w:val="00507C3D"/>
    <w:rsid w:val="0051017D"/>
    <w:rsid w:val="00510A05"/>
    <w:rsid w:val="00511E26"/>
    <w:rsid w:val="00512459"/>
    <w:rsid w:val="00513220"/>
    <w:rsid w:val="00513C86"/>
    <w:rsid w:val="00514D82"/>
    <w:rsid w:val="00515A3E"/>
    <w:rsid w:val="00515EDD"/>
    <w:rsid w:val="005169A8"/>
    <w:rsid w:val="00516B2D"/>
    <w:rsid w:val="00520D63"/>
    <w:rsid w:val="005219E4"/>
    <w:rsid w:val="00521C8E"/>
    <w:rsid w:val="00521DA9"/>
    <w:rsid w:val="00522708"/>
    <w:rsid w:val="00523014"/>
    <w:rsid w:val="0052485F"/>
    <w:rsid w:val="005255D7"/>
    <w:rsid w:val="00525B78"/>
    <w:rsid w:val="0052666B"/>
    <w:rsid w:val="00526965"/>
    <w:rsid w:val="0053016F"/>
    <w:rsid w:val="005310B4"/>
    <w:rsid w:val="005311E2"/>
    <w:rsid w:val="00531FA6"/>
    <w:rsid w:val="005324D0"/>
    <w:rsid w:val="00532B39"/>
    <w:rsid w:val="00532E53"/>
    <w:rsid w:val="005335E4"/>
    <w:rsid w:val="00533995"/>
    <w:rsid w:val="00533A36"/>
    <w:rsid w:val="005346A1"/>
    <w:rsid w:val="005360DB"/>
    <w:rsid w:val="005361FF"/>
    <w:rsid w:val="00537001"/>
    <w:rsid w:val="005427DA"/>
    <w:rsid w:val="00542C51"/>
    <w:rsid w:val="00542D77"/>
    <w:rsid w:val="005435D1"/>
    <w:rsid w:val="00543794"/>
    <w:rsid w:val="00544536"/>
    <w:rsid w:val="00544D69"/>
    <w:rsid w:val="00545E71"/>
    <w:rsid w:val="005462AC"/>
    <w:rsid w:val="0055058C"/>
    <w:rsid w:val="00550B09"/>
    <w:rsid w:val="00551FD0"/>
    <w:rsid w:val="005523D8"/>
    <w:rsid w:val="00553109"/>
    <w:rsid w:val="005535D1"/>
    <w:rsid w:val="00553A74"/>
    <w:rsid w:val="00554E01"/>
    <w:rsid w:val="00555248"/>
    <w:rsid w:val="00557CFC"/>
    <w:rsid w:val="00561989"/>
    <w:rsid w:val="00561E67"/>
    <w:rsid w:val="00562ADC"/>
    <w:rsid w:val="00563D81"/>
    <w:rsid w:val="0056560F"/>
    <w:rsid w:val="0056640F"/>
    <w:rsid w:val="005668F9"/>
    <w:rsid w:val="00566920"/>
    <w:rsid w:val="00570CDC"/>
    <w:rsid w:val="005716B0"/>
    <w:rsid w:val="00571A36"/>
    <w:rsid w:val="00571D91"/>
    <w:rsid w:val="00572749"/>
    <w:rsid w:val="00576664"/>
    <w:rsid w:val="00577786"/>
    <w:rsid w:val="00577F18"/>
    <w:rsid w:val="00577FF9"/>
    <w:rsid w:val="00580A0B"/>
    <w:rsid w:val="00580D46"/>
    <w:rsid w:val="00581AC6"/>
    <w:rsid w:val="005838E9"/>
    <w:rsid w:val="00583A40"/>
    <w:rsid w:val="00583B95"/>
    <w:rsid w:val="00584439"/>
    <w:rsid w:val="00584494"/>
    <w:rsid w:val="00584558"/>
    <w:rsid w:val="00584A9C"/>
    <w:rsid w:val="00584AF6"/>
    <w:rsid w:val="0058578C"/>
    <w:rsid w:val="00587903"/>
    <w:rsid w:val="00587FA9"/>
    <w:rsid w:val="005910F1"/>
    <w:rsid w:val="0059330C"/>
    <w:rsid w:val="0059374F"/>
    <w:rsid w:val="00595521"/>
    <w:rsid w:val="005956C6"/>
    <w:rsid w:val="00596156"/>
    <w:rsid w:val="005967D4"/>
    <w:rsid w:val="00597F54"/>
    <w:rsid w:val="005A01A1"/>
    <w:rsid w:val="005A0673"/>
    <w:rsid w:val="005A2798"/>
    <w:rsid w:val="005A440B"/>
    <w:rsid w:val="005A48B7"/>
    <w:rsid w:val="005A4987"/>
    <w:rsid w:val="005A5390"/>
    <w:rsid w:val="005A6AA5"/>
    <w:rsid w:val="005A7088"/>
    <w:rsid w:val="005B0D60"/>
    <w:rsid w:val="005B2998"/>
    <w:rsid w:val="005B2C59"/>
    <w:rsid w:val="005B2DF8"/>
    <w:rsid w:val="005B3C30"/>
    <w:rsid w:val="005B49F1"/>
    <w:rsid w:val="005B4B9D"/>
    <w:rsid w:val="005B4BF7"/>
    <w:rsid w:val="005B629C"/>
    <w:rsid w:val="005B69A8"/>
    <w:rsid w:val="005B7AE8"/>
    <w:rsid w:val="005C08CD"/>
    <w:rsid w:val="005C136F"/>
    <w:rsid w:val="005C191E"/>
    <w:rsid w:val="005C1D17"/>
    <w:rsid w:val="005C205D"/>
    <w:rsid w:val="005C69E5"/>
    <w:rsid w:val="005C738A"/>
    <w:rsid w:val="005C7A99"/>
    <w:rsid w:val="005D03DB"/>
    <w:rsid w:val="005D0EA8"/>
    <w:rsid w:val="005D1A80"/>
    <w:rsid w:val="005D2032"/>
    <w:rsid w:val="005D2491"/>
    <w:rsid w:val="005D2518"/>
    <w:rsid w:val="005D2FFC"/>
    <w:rsid w:val="005D3721"/>
    <w:rsid w:val="005D42CC"/>
    <w:rsid w:val="005D455B"/>
    <w:rsid w:val="005D4D5D"/>
    <w:rsid w:val="005D4D7E"/>
    <w:rsid w:val="005D51AB"/>
    <w:rsid w:val="005D6483"/>
    <w:rsid w:val="005D661F"/>
    <w:rsid w:val="005D7F18"/>
    <w:rsid w:val="005E0B1B"/>
    <w:rsid w:val="005E0FE9"/>
    <w:rsid w:val="005E5477"/>
    <w:rsid w:val="005E5606"/>
    <w:rsid w:val="005E68D5"/>
    <w:rsid w:val="005E6D9E"/>
    <w:rsid w:val="005F09EB"/>
    <w:rsid w:val="005F24F6"/>
    <w:rsid w:val="005F3247"/>
    <w:rsid w:val="005F3284"/>
    <w:rsid w:val="005F3A17"/>
    <w:rsid w:val="005F3F21"/>
    <w:rsid w:val="005F4675"/>
    <w:rsid w:val="005F5659"/>
    <w:rsid w:val="005F737B"/>
    <w:rsid w:val="006009FB"/>
    <w:rsid w:val="00601158"/>
    <w:rsid w:val="00601746"/>
    <w:rsid w:val="00601993"/>
    <w:rsid w:val="00603D19"/>
    <w:rsid w:val="00607874"/>
    <w:rsid w:val="00607A16"/>
    <w:rsid w:val="0061058F"/>
    <w:rsid w:val="00610DE6"/>
    <w:rsid w:val="006113B1"/>
    <w:rsid w:val="00612A62"/>
    <w:rsid w:val="0061303F"/>
    <w:rsid w:val="00615E3D"/>
    <w:rsid w:val="00616134"/>
    <w:rsid w:val="00622745"/>
    <w:rsid w:val="00624348"/>
    <w:rsid w:val="00624641"/>
    <w:rsid w:val="0062516F"/>
    <w:rsid w:val="0062580F"/>
    <w:rsid w:val="006267D3"/>
    <w:rsid w:val="006308D3"/>
    <w:rsid w:val="00631A24"/>
    <w:rsid w:val="00631D25"/>
    <w:rsid w:val="00634FE9"/>
    <w:rsid w:val="006359E7"/>
    <w:rsid w:val="00635A17"/>
    <w:rsid w:val="00635BD9"/>
    <w:rsid w:val="00636959"/>
    <w:rsid w:val="0064088B"/>
    <w:rsid w:val="006411C9"/>
    <w:rsid w:val="006414E1"/>
    <w:rsid w:val="00641558"/>
    <w:rsid w:val="00641750"/>
    <w:rsid w:val="00642F37"/>
    <w:rsid w:val="00642FC4"/>
    <w:rsid w:val="0064466F"/>
    <w:rsid w:val="00644E91"/>
    <w:rsid w:val="00645057"/>
    <w:rsid w:val="00646330"/>
    <w:rsid w:val="00646A37"/>
    <w:rsid w:val="006471DD"/>
    <w:rsid w:val="00647E61"/>
    <w:rsid w:val="00647F94"/>
    <w:rsid w:val="0065087E"/>
    <w:rsid w:val="006536A6"/>
    <w:rsid w:val="00653B72"/>
    <w:rsid w:val="006553A5"/>
    <w:rsid w:val="006554FE"/>
    <w:rsid w:val="00655771"/>
    <w:rsid w:val="00655829"/>
    <w:rsid w:val="00655BE9"/>
    <w:rsid w:val="00655FD8"/>
    <w:rsid w:val="006561F6"/>
    <w:rsid w:val="00656307"/>
    <w:rsid w:val="00657DF8"/>
    <w:rsid w:val="00660B87"/>
    <w:rsid w:val="0066126D"/>
    <w:rsid w:val="00661D5B"/>
    <w:rsid w:val="00664804"/>
    <w:rsid w:val="0066527C"/>
    <w:rsid w:val="00667DF2"/>
    <w:rsid w:val="00671F57"/>
    <w:rsid w:val="0067253C"/>
    <w:rsid w:val="006734B0"/>
    <w:rsid w:val="0067487D"/>
    <w:rsid w:val="006752F0"/>
    <w:rsid w:val="00675814"/>
    <w:rsid w:val="00675F6E"/>
    <w:rsid w:val="00676FAE"/>
    <w:rsid w:val="00677065"/>
    <w:rsid w:val="00677BAB"/>
    <w:rsid w:val="00677BE7"/>
    <w:rsid w:val="0068085A"/>
    <w:rsid w:val="0068162F"/>
    <w:rsid w:val="006824B5"/>
    <w:rsid w:val="00683055"/>
    <w:rsid w:val="006831E1"/>
    <w:rsid w:val="0068353E"/>
    <w:rsid w:val="00683A22"/>
    <w:rsid w:val="00683F88"/>
    <w:rsid w:val="006844D5"/>
    <w:rsid w:val="00685CEB"/>
    <w:rsid w:val="00686E06"/>
    <w:rsid w:val="006915B7"/>
    <w:rsid w:val="006927F4"/>
    <w:rsid w:val="006928B7"/>
    <w:rsid w:val="00694243"/>
    <w:rsid w:val="006950EE"/>
    <w:rsid w:val="006952AF"/>
    <w:rsid w:val="006955D8"/>
    <w:rsid w:val="0069588A"/>
    <w:rsid w:val="0069776C"/>
    <w:rsid w:val="006A1BFF"/>
    <w:rsid w:val="006A45FE"/>
    <w:rsid w:val="006A4A8F"/>
    <w:rsid w:val="006A508E"/>
    <w:rsid w:val="006A543E"/>
    <w:rsid w:val="006A58D8"/>
    <w:rsid w:val="006A61F5"/>
    <w:rsid w:val="006A7C80"/>
    <w:rsid w:val="006B3EBE"/>
    <w:rsid w:val="006B501F"/>
    <w:rsid w:val="006B5909"/>
    <w:rsid w:val="006B7966"/>
    <w:rsid w:val="006C1F00"/>
    <w:rsid w:val="006C2F96"/>
    <w:rsid w:val="006C4C36"/>
    <w:rsid w:val="006C5522"/>
    <w:rsid w:val="006C5550"/>
    <w:rsid w:val="006C66CC"/>
    <w:rsid w:val="006C757A"/>
    <w:rsid w:val="006C771B"/>
    <w:rsid w:val="006D05CC"/>
    <w:rsid w:val="006D1078"/>
    <w:rsid w:val="006D1592"/>
    <w:rsid w:val="006D168E"/>
    <w:rsid w:val="006D1DCF"/>
    <w:rsid w:val="006D2338"/>
    <w:rsid w:val="006D3B34"/>
    <w:rsid w:val="006D3C1B"/>
    <w:rsid w:val="006D4A66"/>
    <w:rsid w:val="006D5B5C"/>
    <w:rsid w:val="006D7B3E"/>
    <w:rsid w:val="006E1114"/>
    <w:rsid w:val="006E1848"/>
    <w:rsid w:val="006E1998"/>
    <w:rsid w:val="006E25D4"/>
    <w:rsid w:val="006E43E4"/>
    <w:rsid w:val="006E4EE4"/>
    <w:rsid w:val="006E746E"/>
    <w:rsid w:val="006F0DA7"/>
    <w:rsid w:val="006F1031"/>
    <w:rsid w:val="006F1BF8"/>
    <w:rsid w:val="006F3232"/>
    <w:rsid w:val="006F3D54"/>
    <w:rsid w:val="006F4040"/>
    <w:rsid w:val="006F4205"/>
    <w:rsid w:val="006F5820"/>
    <w:rsid w:val="006F6A57"/>
    <w:rsid w:val="006F75D3"/>
    <w:rsid w:val="006F7C9C"/>
    <w:rsid w:val="006F7ECF"/>
    <w:rsid w:val="007026BF"/>
    <w:rsid w:val="00702FB4"/>
    <w:rsid w:val="00703CD1"/>
    <w:rsid w:val="00704A47"/>
    <w:rsid w:val="00707992"/>
    <w:rsid w:val="00710FA3"/>
    <w:rsid w:val="00712621"/>
    <w:rsid w:val="00713F0A"/>
    <w:rsid w:val="00714924"/>
    <w:rsid w:val="007162A1"/>
    <w:rsid w:val="00716F7D"/>
    <w:rsid w:val="007172FF"/>
    <w:rsid w:val="00720C53"/>
    <w:rsid w:val="007262BC"/>
    <w:rsid w:val="00726C12"/>
    <w:rsid w:val="007271AC"/>
    <w:rsid w:val="007315D0"/>
    <w:rsid w:val="00731B08"/>
    <w:rsid w:val="007329E4"/>
    <w:rsid w:val="00732F44"/>
    <w:rsid w:val="00733276"/>
    <w:rsid w:val="007341A8"/>
    <w:rsid w:val="00734872"/>
    <w:rsid w:val="0073533C"/>
    <w:rsid w:val="00736FB5"/>
    <w:rsid w:val="00740DF7"/>
    <w:rsid w:val="00741502"/>
    <w:rsid w:val="00741F69"/>
    <w:rsid w:val="007432DA"/>
    <w:rsid w:val="00743706"/>
    <w:rsid w:val="007443E5"/>
    <w:rsid w:val="007465A2"/>
    <w:rsid w:val="007501AB"/>
    <w:rsid w:val="00751315"/>
    <w:rsid w:val="00751822"/>
    <w:rsid w:val="007524BC"/>
    <w:rsid w:val="007534B1"/>
    <w:rsid w:val="00754354"/>
    <w:rsid w:val="007548D6"/>
    <w:rsid w:val="00754EE8"/>
    <w:rsid w:val="00755194"/>
    <w:rsid w:val="0075594B"/>
    <w:rsid w:val="00755D0D"/>
    <w:rsid w:val="00756697"/>
    <w:rsid w:val="00757333"/>
    <w:rsid w:val="00757732"/>
    <w:rsid w:val="00762A38"/>
    <w:rsid w:val="00762F87"/>
    <w:rsid w:val="00763AA9"/>
    <w:rsid w:val="00763D77"/>
    <w:rsid w:val="007654D3"/>
    <w:rsid w:val="007656E4"/>
    <w:rsid w:val="00766949"/>
    <w:rsid w:val="00766A24"/>
    <w:rsid w:val="007671B2"/>
    <w:rsid w:val="00767B9F"/>
    <w:rsid w:val="00771A3C"/>
    <w:rsid w:val="00772BA8"/>
    <w:rsid w:val="00772F08"/>
    <w:rsid w:val="00774430"/>
    <w:rsid w:val="00774595"/>
    <w:rsid w:val="0077480F"/>
    <w:rsid w:val="00774A76"/>
    <w:rsid w:val="007754BC"/>
    <w:rsid w:val="00775E81"/>
    <w:rsid w:val="00776FEE"/>
    <w:rsid w:val="00787B74"/>
    <w:rsid w:val="007906FB"/>
    <w:rsid w:val="00792B31"/>
    <w:rsid w:val="00792BCF"/>
    <w:rsid w:val="0079326F"/>
    <w:rsid w:val="007933C2"/>
    <w:rsid w:val="0079352C"/>
    <w:rsid w:val="007942A6"/>
    <w:rsid w:val="007944A2"/>
    <w:rsid w:val="00794BCA"/>
    <w:rsid w:val="0079558D"/>
    <w:rsid w:val="007958A3"/>
    <w:rsid w:val="00795BF8"/>
    <w:rsid w:val="00796597"/>
    <w:rsid w:val="00796B84"/>
    <w:rsid w:val="007A0A97"/>
    <w:rsid w:val="007A0D0D"/>
    <w:rsid w:val="007A12E2"/>
    <w:rsid w:val="007A1589"/>
    <w:rsid w:val="007A2D0F"/>
    <w:rsid w:val="007A2D7C"/>
    <w:rsid w:val="007A2F57"/>
    <w:rsid w:val="007A3C8B"/>
    <w:rsid w:val="007A455D"/>
    <w:rsid w:val="007A4752"/>
    <w:rsid w:val="007A7173"/>
    <w:rsid w:val="007B1059"/>
    <w:rsid w:val="007B3513"/>
    <w:rsid w:val="007B3E64"/>
    <w:rsid w:val="007B49C3"/>
    <w:rsid w:val="007B5295"/>
    <w:rsid w:val="007B7691"/>
    <w:rsid w:val="007B7A2C"/>
    <w:rsid w:val="007C045F"/>
    <w:rsid w:val="007C09B0"/>
    <w:rsid w:val="007C1602"/>
    <w:rsid w:val="007C1AE5"/>
    <w:rsid w:val="007C542F"/>
    <w:rsid w:val="007C68AD"/>
    <w:rsid w:val="007D0AAC"/>
    <w:rsid w:val="007D0C3E"/>
    <w:rsid w:val="007D3B53"/>
    <w:rsid w:val="007D4789"/>
    <w:rsid w:val="007D4C66"/>
    <w:rsid w:val="007D4CEF"/>
    <w:rsid w:val="007D4F13"/>
    <w:rsid w:val="007D708E"/>
    <w:rsid w:val="007D7E62"/>
    <w:rsid w:val="007E08CF"/>
    <w:rsid w:val="007E2C68"/>
    <w:rsid w:val="007E306E"/>
    <w:rsid w:val="007E487C"/>
    <w:rsid w:val="007E4F90"/>
    <w:rsid w:val="007E539C"/>
    <w:rsid w:val="007E7B0C"/>
    <w:rsid w:val="007F0B90"/>
    <w:rsid w:val="007F198A"/>
    <w:rsid w:val="007F2443"/>
    <w:rsid w:val="007F3490"/>
    <w:rsid w:val="007F4EED"/>
    <w:rsid w:val="007F5505"/>
    <w:rsid w:val="007F6320"/>
    <w:rsid w:val="007F6669"/>
    <w:rsid w:val="007F7E69"/>
    <w:rsid w:val="008003D3"/>
    <w:rsid w:val="0080112B"/>
    <w:rsid w:val="008018A4"/>
    <w:rsid w:val="008033C3"/>
    <w:rsid w:val="00803647"/>
    <w:rsid w:val="008037FA"/>
    <w:rsid w:val="00803F4F"/>
    <w:rsid w:val="008041B7"/>
    <w:rsid w:val="00804866"/>
    <w:rsid w:val="00805175"/>
    <w:rsid w:val="0080545B"/>
    <w:rsid w:val="00806A13"/>
    <w:rsid w:val="008076B3"/>
    <w:rsid w:val="00811724"/>
    <w:rsid w:val="00812F12"/>
    <w:rsid w:val="00813FAE"/>
    <w:rsid w:val="00814D02"/>
    <w:rsid w:val="008157FD"/>
    <w:rsid w:val="00821ECC"/>
    <w:rsid w:val="00821FF3"/>
    <w:rsid w:val="0082233C"/>
    <w:rsid w:val="00822609"/>
    <w:rsid w:val="0082294E"/>
    <w:rsid w:val="00822E1C"/>
    <w:rsid w:val="00823BB7"/>
    <w:rsid w:val="00824A11"/>
    <w:rsid w:val="00825275"/>
    <w:rsid w:val="00826787"/>
    <w:rsid w:val="008267E1"/>
    <w:rsid w:val="00826AF4"/>
    <w:rsid w:val="00826FE9"/>
    <w:rsid w:val="00827911"/>
    <w:rsid w:val="00827D19"/>
    <w:rsid w:val="00830396"/>
    <w:rsid w:val="008304DC"/>
    <w:rsid w:val="008331A7"/>
    <w:rsid w:val="00833383"/>
    <w:rsid w:val="008347D8"/>
    <w:rsid w:val="008347F2"/>
    <w:rsid w:val="00837D94"/>
    <w:rsid w:val="008417BE"/>
    <w:rsid w:val="0084382A"/>
    <w:rsid w:val="0084389A"/>
    <w:rsid w:val="00844659"/>
    <w:rsid w:val="00844D9C"/>
    <w:rsid w:val="008455DD"/>
    <w:rsid w:val="0084648F"/>
    <w:rsid w:val="0084731E"/>
    <w:rsid w:val="008507FF"/>
    <w:rsid w:val="008513B7"/>
    <w:rsid w:val="008520F2"/>
    <w:rsid w:val="00852A7A"/>
    <w:rsid w:val="0085332B"/>
    <w:rsid w:val="0085391A"/>
    <w:rsid w:val="00853F04"/>
    <w:rsid w:val="00853F93"/>
    <w:rsid w:val="008549DC"/>
    <w:rsid w:val="00855A02"/>
    <w:rsid w:val="00857F20"/>
    <w:rsid w:val="0086088F"/>
    <w:rsid w:val="0086307C"/>
    <w:rsid w:val="00864E3D"/>
    <w:rsid w:val="0086606C"/>
    <w:rsid w:val="00870DD4"/>
    <w:rsid w:val="0087113A"/>
    <w:rsid w:val="0087123A"/>
    <w:rsid w:val="008726FE"/>
    <w:rsid w:val="008761CB"/>
    <w:rsid w:val="008763BB"/>
    <w:rsid w:val="00876E50"/>
    <w:rsid w:val="00880A09"/>
    <w:rsid w:val="00881130"/>
    <w:rsid w:val="00884001"/>
    <w:rsid w:val="008864E0"/>
    <w:rsid w:val="00886ABC"/>
    <w:rsid w:val="00886C67"/>
    <w:rsid w:val="00886C93"/>
    <w:rsid w:val="00887F41"/>
    <w:rsid w:val="0089007C"/>
    <w:rsid w:val="008905CC"/>
    <w:rsid w:val="00890F15"/>
    <w:rsid w:val="008946D5"/>
    <w:rsid w:val="008966C6"/>
    <w:rsid w:val="00896E84"/>
    <w:rsid w:val="008A07FF"/>
    <w:rsid w:val="008A1E1A"/>
    <w:rsid w:val="008A2314"/>
    <w:rsid w:val="008A2A17"/>
    <w:rsid w:val="008A3C3B"/>
    <w:rsid w:val="008A53C7"/>
    <w:rsid w:val="008A55DA"/>
    <w:rsid w:val="008A7EFD"/>
    <w:rsid w:val="008B04A7"/>
    <w:rsid w:val="008B1277"/>
    <w:rsid w:val="008B623E"/>
    <w:rsid w:val="008C4264"/>
    <w:rsid w:val="008C474B"/>
    <w:rsid w:val="008C50D5"/>
    <w:rsid w:val="008C555B"/>
    <w:rsid w:val="008D22E3"/>
    <w:rsid w:val="008D2631"/>
    <w:rsid w:val="008D2A86"/>
    <w:rsid w:val="008D3D16"/>
    <w:rsid w:val="008D45F7"/>
    <w:rsid w:val="008D57D6"/>
    <w:rsid w:val="008D6102"/>
    <w:rsid w:val="008D6DCD"/>
    <w:rsid w:val="008D7687"/>
    <w:rsid w:val="008D7BCD"/>
    <w:rsid w:val="008D7F98"/>
    <w:rsid w:val="008E0A0E"/>
    <w:rsid w:val="008E1070"/>
    <w:rsid w:val="008E13FD"/>
    <w:rsid w:val="008E247A"/>
    <w:rsid w:val="008E2D88"/>
    <w:rsid w:val="008E3179"/>
    <w:rsid w:val="008E4C2F"/>
    <w:rsid w:val="008E6E30"/>
    <w:rsid w:val="008F13B7"/>
    <w:rsid w:val="008F28BF"/>
    <w:rsid w:val="008F3092"/>
    <w:rsid w:val="008F5042"/>
    <w:rsid w:val="008F6524"/>
    <w:rsid w:val="008F7A0E"/>
    <w:rsid w:val="009015AD"/>
    <w:rsid w:val="00903D8F"/>
    <w:rsid w:val="00904AD1"/>
    <w:rsid w:val="00904FD1"/>
    <w:rsid w:val="009052CB"/>
    <w:rsid w:val="0090781D"/>
    <w:rsid w:val="00916B4C"/>
    <w:rsid w:val="00916BCF"/>
    <w:rsid w:val="009170F0"/>
    <w:rsid w:val="009178D2"/>
    <w:rsid w:val="00920F69"/>
    <w:rsid w:val="00921627"/>
    <w:rsid w:val="0092191B"/>
    <w:rsid w:val="00922E17"/>
    <w:rsid w:val="0092333F"/>
    <w:rsid w:val="00923DEA"/>
    <w:rsid w:val="009246F1"/>
    <w:rsid w:val="00927344"/>
    <w:rsid w:val="009277CD"/>
    <w:rsid w:val="00930478"/>
    <w:rsid w:val="0093089C"/>
    <w:rsid w:val="00930F36"/>
    <w:rsid w:val="00933067"/>
    <w:rsid w:val="00933C5B"/>
    <w:rsid w:val="00934155"/>
    <w:rsid w:val="00936679"/>
    <w:rsid w:val="0093694D"/>
    <w:rsid w:val="009373DE"/>
    <w:rsid w:val="009416F3"/>
    <w:rsid w:val="0094388F"/>
    <w:rsid w:val="00943A7E"/>
    <w:rsid w:val="00943DC1"/>
    <w:rsid w:val="00943E8A"/>
    <w:rsid w:val="00945AAA"/>
    <w:rsid w:val="009465A1"/>
    <w:rsid w:val="009465C0"/>
    <w:rsid w:val="00947DB9"/>
    <w:rsid w:val="009509EF"/>
    <w:rsid w:val="0095129A"/>
    <w:rsid w:val="00951714"/>
    <w:rsid w:val="00952EF7"/>
    <w:rsid w:val="00952FCB"/>
    <w:rsid w:val="009531B6"/>
    <w:rsid w:val="009532C0"/>
    <w:rsid w:val="009539DD"/>
    <w:rsid w:val="00953CC4"/>
    <w:rsid w:val="00954D02"/>
    <w:rsid w:val="009554C0"/>
    <w:rsid w:val="00955D71"/>
    <w:rsid w:val="009574BF"/>
    <w:rsid w:val="00957C0F"/>
    <w:rsid w:val="00960709"/>
    <w:rsid w:val="00961767"/>
    <w:rsid w:val="00962F19"/>
    <w:rsid w:val="00963DE9"/>
    <w:rsid w:val="00964C21"/>
    <w:rsid w:val="00965D0A"/>
    <w:rsid w:val="00965FCA"/>
    <w:rsid w:val="0096728C"/>
    <w:rsid w:val="0097135C"/>
    <w:rsid w:val="00972AFE"/>
    <w:rsid w:val="00972DB1"/>
    <w:rsid w:val="00973373"/>
    <w:rsid w:val="00973412"/>
    <w:rsid w:val="00973D50"/>
    <w:rsid w:val="0097431B"/>
    <w:rsid w:val="009759C9"/>
    <w:rsid w:val="00980A47"/>
    <w:rsid w:val="009811C8"/>
    <w:rsid w:val="00981F05"/>
    <w:rsid w:val="009827F1"/>
    <w:rsid w:val="00983197"/>
    <w:rsid w:val="00985947"/>
    <w:rsid w:val="0098769D"/>
    <w:rsid w:val="00991466"/>
    <w:rsid w:val="0099170A"/>
    <w:rsid w:val="009920AC"/>
    <w:rsid w:val="0099274C"/>
    <w:rsid w:val="0099430C"/>
    <w:rsid w:val="00995C82"/>
    <w:rsid w:val="009964CF"/>
    <w:rsid w:val="009965FA"/>
    <w:rsid w:val="009967B0"/>
    <w:rsid w:val="00997E2A"/>
    <w:rsid w:val="009A050E"/>
    <w:rsid w:val="009A2475"/>
    <w:rsid w:val="009A2A65"/>
    <w:rsid w:val="009A4E79"/>
    <w:rsid w:val="009A66CA"/>
    <w:rsid w:val="009A7158"/>
    <w:rsid w:val="009A7423"/>
    <w:rsid w:val="009A7D85"/>
    <w:rsid w:val="009B1D1B"/>
    <w:rsid w:val="009B2D15"/>
    <w:rsid w:val="009B494B"/>
    <w:rsid w:val="009B53D3"/>
    <w:rsid w:val="009B53E0"/>
    <w:rsid w:val="009B718F"/>
    <w:rsid w:val="009B79BD"/>
    <w:rsid w:val="009B7FC8"/>
    <w:rsid w:val="009C015F"/>
    <w:rsid w:val="009C08C7"/>
    <w:rsid w:val="009C1616"/>
    <w:rsid w:val="009C3075"/>
    <w:rsid w:val="009C3934"/>
    <w:rsid w:val="009C4BEB"/>
    <w:rsid w:val="009C4EC9"/>
    <w:rsid w:val="009C516D"/>
    <w:rsid w:val="009C55DA"/>
    <w:rsid w:val="009C65C7"/>
    <w:rsid w:val="009D09E7"/>
    <w:rsid w:val="009D1441"/>
    <w:rsid w:val="009D2A3E"/>
    <w:rsid w:val="009D2D8E"/>
    <w:rsid w:val="009D3C44"/>
    <w:rsid w:val="009D468E"/>
    <w:rsid w:val="009D6D68"/>
    <w:rsid w:val="009D77A8"/>
    <w:rsid w:val="009D7A72"/>
    <w:rsid w:val="009E0549"/>
    <w:rsid w:val="009E0CBC"/>
    <w:rsid w:val="009E0D8D"/>
    <w:rsid w:val="009E0E0F"/>
    <w:rsid w:val="009E1EED"/>
    <w:rsid w:val="009E385C"/>
    <w:rsid w:val="009E6D12"/>
    <w:rsid w:val="009F27DB"/>
    <w:rsid w:val="009F3610"/>
    <w:rsid w:val="009F3987"/>
    <w:rsid w:val="009F555E"/>
    <w:rsid w:val="009F563E"/>
    <w:rsid w:val="009F5F2A"/>
    <w:rsid w:val="009F6093"/>
    <w:rsid w:val="009F6BF1"/>
    <w:rsid w:val="00A00D35"/>
    <w:rsid w:val="00A01A57"/>
    <w:rsid w:val="00A0201D"/>
    <w:rsid w:val="00A031DB"/>
    <w:rsid w:val="00A03469"/>
    <w:rsid w:val="00A03C15"/>
    <w:rsid w:val="00A04509"/>
    <w:rsid w:val="00A05290"/>
    <w:rsid w:val="00A05E7D"/>
    <w:rsid w:val="00A06601"/>
    <w:rsid w:val="00A06E76"/>
    <w:rsid w:val="00A07557"/>
    <w:rsid w:val="00A075C1"/>
    <w:rsid w:val="00A1020C"/>
    <w:rsid w:val="00A10785"/>
    <w:rsid w:val="00A11214"/>
    <w:rsid w:val="00A11596"/>
    <w:rsid w:val="00A11755"/>
    <w:rsid w:val="00A11B73"/>
    <w:rsid w:val="00A12634"/>
    <w:rsid w:val="00A12D64"/>
    <w:rsid w:val="00A14F50"/>
    <w:rsid w:val="00A152AF"/>
    <w:rsid w:val="00A160E9"/>
    <w:rsid w:val="00A16E1F"/>
    <w:rsid w:val="00A17794"/>
    <w:rsid w:val="00A20B8C"/>
    <w:rsid w:val="00A22C4C"/>
    <w:rsid w:val="00A23913"/>
    <w:rsid w:val="00A2397F"/>
    <w:rsid w:val="00A26032"/>
    <w:rsid w:val="00A2774F"/>
    <w:rsid w:val="00A27ACE"/>
    <w:rsid w:val="00A27B2D"/>
    <w:rsid w:val="00A27D53"/>
    <w:rsid w:val="00A3076E"/>
    <w:rsid w:val="00A3094B"/>
    <w:rsid w:val="00A30F7D"/>
    <w:rsid w:val="00A320C7"/>
    <w:rsid w:val="00A32F5D"/>
    <w:rsid w:val="00A3467E"/>
    <w:rsid w:val="00A369ED"/>
    <w:rsid w:val="00A40FF0"/>
    <w:rsid w:val="00A41380"/>
    <w:rsid w:val="00A41487"/>
    <w:rsid w:val="00A42E1C"/>
    <w:rsid w:val="00A46512"/>
    <w:rsid w:val="00A465D1"/>
    <w:rsid w:val="00A4709F"/>
    <w:rsid w:val="00A509B4"/>
    <w:rsid w:val="00A50A03"/>
    <w:rsid w:val="00A5174A"/>
    <w:rsid w:val="00A52683"/>
    <w:rsid w:val="00A526CC"/>
    <w:rsid w:val="00A53C2D"/>
    <w:rsid w:val="00A547B3"/>
    <w:rsid w:val="00A54A2B"/>
    <w:rsid w:val="00A54F73"/>
    <w:rsid w:val="00A609A1"/>
    <w:rsid w:val="00A611C5"/>
    <w:rsid w:val="00A61F96"/>
    <w:rsid w:val="00A63394"/>
    <w:rsid w:val="00A672E1"/>
    <w:rsid w:val="00A7020E"/>
    <w:rsid w:val="00A70A04"/>
    <w:rsid w:val="00A70D25"/>
    <w:rsid w:val="00A71B81"/>
    <w:rsid w:val="00A73E59"/>
    <w:rsid w:val="00A745BE"/>
    <w:rsid w:val="00A74635"/>
    <w:rsid w:val="00A75718"/>
    <w:rsid w:val="00A76C0A"/>
    <w:rsid w:val="00A7783E"/>
    <w:rsid w:val="00A80D25"/>
    <w:rsid w:val="00A82E39"/>
    <w:rsid w:val="00A84052"/>
    <w:rsid w:val="00A84079"/>
    <w:rsid w:val="00A8439F"/>
    <w:rsid w:val="00A84858"/>
    <w:rsid w:val="00A868E6"/>
    <w:rsid w:val="00A86A1B"/>
    <w:rsid w:val="00A9022C"/>
    <w:rsid w:val="00A903EA"/>
    <w:rsid w:val="00A90C20"/>
    <w:rsid w:val="00A91381"/>
    <w:rsid w:val="00A91B7E"/>
    <w:rsid w:val="00A91F97"/>
    <w:rsid w:val="00A93AA6"/>
    <w:rsid w:val="00A94437"/>
    <w:rsid w:val="00A94BD6"/>
    <w:rsid w:val="00A94F91"/>
    <w:rsid w:val="00A96500"/>
    <w:rsid w:val="00AA458D"/>
    <w:rsid w:val="00AA4933"/>
    <w:rsid w:val="00AA4FB0"/>
    <w:rsid w:val="00AA51CF"/>
    <w:rsid w:val="00AA59F4"/>
    <w:rsid w:val="00AA6082"/>
    <w:rsid w:val="00AA635C"/>
    <w:rsid w:val="00AB0234"/>
    <w:rsid w:val="00AB185F"/>
    <w:rsid w:val="00AB1C27"/>
    <w:rsid w:val="00AB2FD6"/>
    <w:rsid w:val="00AB58E1"/>
    <w:rsid w:val="00AB5FB0"/>
    <w:rsid w:val="00AB65BD"/>
    <w:rsid w:val="00AC0800"/>
    <w:rsid w:val="00AC1C8B"/>
    <w:rsid w:val="00AC23D8"/>
    <w:rsid w:val="00AC25FB"/>
    <w:rsid w:val="00AC2DB8"/>
    <w:rsid w:val="00AC2DEB"/>
    <w:rsid w:val="00AC33D0"/>
    <w:rsid w:val="00AC468C"/>
    <w:rsid w:val="00AC6209"/>
    <w:rsid w:val="00AD1128"/>
    <w:rsid w:val="00AD12A6"/>
    <w:rsid w:val="00AD175B"/>
    <w:rsid w:val="00AD2446"/>
    <w:rsid w:val="00AD2522"/>
    <w:rsid w:val="00AD416D"/>
    <w:rsid w:val="00AE011C"/>
    <w:rsid w:val="00AE118B"/>
    <w:rsid w:val="00AE1EDD"/>
    <w:rsid w:val="00AE2F1E"/>
    <w:rsid w:val="00AE2FCD"/>
    <w:rsid w:val="00AE32D9"/>
    <w:rsid w:val="00AE389F"/>
    <w:rsid w:val="00AE4B1F"/>
    <w:rsid w:val="00AE53B3"/>
    <w:rsid w:val="00AE6CDC"/>
    <w:rsid w:val="00AE74B7"/>
    <w:rsid w:val="00AF053C"/>
    <w:rsid w:val="00AF0755"/>
    <w:rsid w:val="00AF0777"/>
    <w:rsid w:val="00AF0A1B"/>
    <w:rsid w:val="00AF1221"/>
    <w:rsid w:val="00AF2DC1"/>
    <w:rsid w:val="00AF310E"/>
    <w:rsid w:val="00AF46D5"/>
    <w:rsid w:val="00AF5A7E"/>
    <w:rsid w:val="00B013F4"/>
    <w:rsid w:val="00B01FA1"/>
    <w:rsid w:val="00B02C80"/>
    <w:rsid w:val="00B03C12"/>
    <w:rsid w:val="00B0419D"/>
    <w:rsid w:val="00B05B75"/>
    <w:rsid w:val="00B06B0A"/>
    <w:rsid w:val="00B07C78"/>
    <w:rsid w:val="00B12402"/>
    <w:rsid w:val="00B1357F"/>
    <w:rsid w:val="00B14C83"/>
    <w:rsid w:val="00B15913"/>
    <w:rsid w:val="00B167D0"/>
    <w:rsid w:val="00B16810"/>
    <w:rsid w:val="00B17A9A"/>
    <w:rsid w:val="00B20CA0"/>
    <w:rsid w:val="00B22094"/>
    <w:rsid w:val="00B22DBD"/>
    <w:rsid w:val="00B25C44"/>
    <w:rsid w:val="00B26771"/>
    <w:rsid w:val="00B26B06"/>
    <w:rsid w:val="00B302D0"/>
    <w:rsid w:val="00B3068D"/>
    <w:rsid w:val="00B30CDA"/>
    <w:rsid w:val="00B30EE3"/>
    <w:rsid w:val="00B310AE"/>
    <w:rsid w:val="00B311AC"/>
    <w:rsid w:val="00B33D72"/>
    <w:rsid w:val="00B36849"/>
    <w:rsid w:val="00B37BC1"/>
    <w:rsid w:val="00B402BB"/>
    <w:rsid w:val="00B40A4A"/>
    <w:rsid w:val="00B4195C"/>
    <w:rsid w:val="00B423DC"/>
    <w:rsid w:val="00B439BE"/>
    <w:rsid w:val="00B444AE"/>
    <w:rsid w:val="00B4485B"/>
    <w:rsid w:val="00B45409"/>
    <w:rsid w:val="00B46261"/>
    <w:rsid w:val="00B47CA6"/>
    <w:rsid w:val="00B50202"/>
    <w:rsid w:val="00B537A5"/>
    <w:rsid w:val="00B5425A"/>
    <w:rsid w:val="00B54CAF"/>
    <w:rsid w:val="00B56252"/>
    <w:rsid w:val="00B602A1"/>
    <w:rsid w:val="00B60766"/>
    <w:rsid w:val="00B611AB"/>
    <w:rsid w:val="00B621B5"/>
    <w:rsid w:val="00B6294C"/>
    <w:rsid w:val="00B62C01"/>
    <w:rsid w:val="00B632A7"/>
    <w:rsid w:val="00B6340C"/>
    <w:rsid w:val="00B63B31"/>
    <w:rsid w:val="00B64C4D"/>
    <w:rsid w:val="00B65491"/>
    <w:rsid w:val="00B67BFD"/>
    <w:rsid w:val="00B7141D"/>
    <w:rsid w:val="00B72C3B"/>
    <w:rsid w:val="00B72EA2"/>
    <w:rsid w:val="00B74B20"/>
    <w:rsid w:val="00B75523"/>
    <w:rsid w:val="00B75626"/>
    <w:rsid w:val="00B76155"/>
    <w:rsid w:val="00B77181"/>
    <w:rsid w:val="00B8036A"/>
    <w:rsid w:val="00B803E7"/>
    <w:rsid w:val="00B83EA6"/>
    <w:rsid w:val="00B86FDE"/>
    <w:rsid w:val="00B902EB"/>
    <w:rsid w:val="00B90C27"/>
    <w:rsid w:val="00B934B7"/>
    <w:rsid w:val="00B958EC"/>
    <w:rsid w:val="00B95BB1"/>
    <w:rsid w:val="00B95D18"/>
    <w:rsid w:val="00B96A97"/>
    <w:rsid w:val="00B9788C"/>
    <w:rsid w:val="00B97C94"/>
    <w:rsid w:val="00B97E6C"/>
    <w:rsid w:val="00BA13AA"/>
    <w:rsid w:val="00BA1EA9"/>
    <w:rsid w:val="00BA415F"/>
    <w:rsid w:val="00BA77F0"/>
    <w:rsid w:val="00BB101A"/>
    <w:rsid w:val="00BB1229"/>
    <w:rsid w:val="00BB2EDF"/>
    <w:rsid w:val="00BB33D6"/>
    <w:rsid w:val="00BB6342"/>
    <w:rsid w:val="00BB6404"/>
    <w:rsid w:val="00BC1EA5"/>
    <w:rsid w:val="00BC27C8"/>
    <w:rsid w:val="00BC28A7"/>
    <w:rsid w:val="00BC2C3A"/>
    <w:rsid w:val="00BC334B"/>
    <w:rsid w:val="00BC3768"/>
    <w:rsid w:val="00BC4C28"/>
    <w:rsid w:val="00BC5022"/>
    <w:rsid w:val="00BC5618"/>
    <w:rsid w:val="00BC6AE1"/>
    <w:rsid w:val="00BC7A5D"/>
    <w:rsid w:val="00BD0057"/>
    <w:rsid w:val="00BD0A33"/>
    <w:rsid w:val="00BD1BDC"/>
    <w:rsid w:val="00BD1CC8"/>
    <w:rsid w:val="00BD2231"/>
    <w:rsid w:val="00BD2A06"/>
    <w:rsid w:val="00BD43B3"/>
    <w:rsid w:val="00BD59A4"/>
    <w:rsid w:val="00BD7042"/>
    <w:rsid w:val="00BE0575"/>
    <w:rsid w:val="00BE1E82"/>
    <w:rsid w:val="00BE2AE4"/>
    <w:rsid w:val="00BE3D9F"/>
    <w:rsid w:val="00BE56D8"/>
    <w:rsid w:val="00BE712C"/>
    <w:rsid w:val="00BE7CA2"/>
    <w:rsid w:val="00BF05F4"/>
    <w:rsid w:val="00BF06CD"/>
    <w:rsid w:val="00BF3292"/>
    <w:rsid w:val="00BF6460"/>
    <w:rsid w:val="00BF69FC"/>
    <w:rsid w:val="00C0182C"/>
    <w:rsid w:val="00C03D20"/>
    <w:rsid w:val="00C05219"/>
    <w:rsid w:val="00C0537A"/>
    <w:rsid w:val="00C05F8D"/>
    <w:rsid w:val="00C07355"/>
    <w:rsid w:val="00C0774E"/>
    <w:rsid w:val="00C07DB6"/>
    <w:rsid w:val="00C11F09"/>
    <w:rsid w:val="00C13E09"/>
    <w:rsid w:val="00C147CE"/>
    <w:rsid w:val="00C15609"/>
    <w:rsid w:val="00C15F65"/>
    <w:rsid w:val="00C16889"/>
    <w:rsid w:val="00C206FD"/>
    <w:rsid w:val="00C22222"/>
    <w:rsid w:val="00C228B3"/>
    <w:rsid w:val="00C22FE3"/>
    <w:rsid w:val="00C23713"/>
    <w:rsid w:val="00C246E4"/>
    <w:rsid w:val="00C246E7"/>
    <w:rsid w:val="00C2572E"/>
    <w:rsid w:val="00C259CC"/>
    <w:rsid w:val="00C266BD"/>
    <w:rsid w:val="00C26A52"/>
    <w:rsid w:val="00C26D9C"/>
    <w:rsid w:val="00C27241"/>
    <w:rsid w:val="00C2764E"/>
    <w:rsid w:val="00C27D8D"/>
    <w:rsid w:val="00C31B6E"/>
    <w:rsid w:val="00C3629B"/>
    <w:rsid w:val="00C36A21"/>
    <w:rsid w:val="00C37713"/>
    <w:rsid w:val="00C379AD"/>
    <w:rsid w:val="00C402E0"/>
    <w:rsid w:val="00C408F5"/>
    <w:rsid w:val="00C413E1"/>
    <w:rsid w:val="00C4272D"/>
    <w:rsid w:val="00C433D6"/>
    <w:rsid w:val="00C43BBA"/>
    <w:rsid w:val="00C4404C"/>
    <w:rsid w:val="00C444CA"/>
    <w:rsid w:val="00C44569"/>
    <w:rsid w:val="00C44A23"/>
    <w:rsid w:val="00C44F95"/>
    <w:rsid w:val="00C45320"/>
    <w:rsid w:val="00C4542D"/>
    <w:rsid w:val="00C455D0"/>
    <w:rsid w:val="00C4601A"/>
    <w:rsid w:val="00C46826"/>
    <w:rsid w:val="00C46A3E"/>
    <w:rsid w:val="00C47DAC"/>
    <w:rsid w:val="00C504EA"/>
    <w:rsid w:val="00C522E6"/>
    <w:rsid w:val="00C523EA"/>
    <w:rsid w:val="00C54D7C"/>
    <w:rsid w:val="00C61E31"/>
    <w:rsid w:val="00C6292A"/>
    <w:rsid w:val="00C632DF"/>
    <w:rsid w:val="00C64EF4"/>
    <w:rsid w:val="00C653BF"/>
    <w:rsid w:val="00C65D74"/>
    <w:rsid w:val="00C71020"/>
    <w:rsid w:val="00C711E0"/>
    <w:rsid w:val="00C73143"/>
    <w:rsid w:val="00C7456E"/>
    <w:rsid w:val="00C76240"/>
    <w:rsid w:val="00C7720F"/>
    <w:rsid w:val="00C77E35"/>
    <w:rsid w:val="00C8243D"/>
    <w:rsid w:val="00C82DBB"/>
    <w:rsid w:val="00C8513D"/>
    <w:rsid w:val="00C85371"/>
    <w:rsid w:val="00C867CC"/>
    <w:rsid w:val="00C878CB"/>
    <w:rsid w:val="00C903CE"/>
    <w:rsid w:val="00C903D5"/>
    <w:rsid w:val="00C90516"/>
    <w:rsid w:val="00C92871"/>
    <w:rsid w:val="00C93080"/>
    <w:rsid w:val="00C93FE7"/>
    <w:rsid w:val="00C950BB"/>
    <w:rsid w:val="00C9561D"/>
    <w:rsid w:val="00C96B53"/>
    <w:rsid w:val="00C97B6D"/>
    <w:rsid w:val="00CA0945"/>
    <w:rsid w:val="00CA1301"/>
    <w:rsid w:val="00CA259C"/>
    <w:rsid w:val="00CA34E6"/>
    <w:rsid w:val="00CA465D"/>
    <w:rsid w:val="00CA48A8"/>
    <w:rsid w:val="00CA7CFD"/>
    <w:rsid w:val="00CA7D07"/>
    <w:rsid w:val="00CB05F1"/>
    <w:rsid w:val="00CB1EA3"/>
    <w:rsid w:val="00CB30BC"/>
    <w:rsid w:val="00CB6796"/>
    <w:rsid w:val="00CB7DB2"/>
    <w:rsid w:val="00CC094A"/>
    <w:rsid w:val="00CC244F"/>
    <w:rsid w:val="00CC37A1"/>
    <w:rsid w:val="00CC3B64"/>
    <w:rsid w:val="00CC4FE2"/>
    <w:rsid w:val="00CC53E7"/>
    <w:rsid w:val="00CC689F"/>
    <w:rsid w:val="00CC7873"/>
    <w:rsid w:val="00CC7AC7"/>
    <w:rsid w:val="00CD0156"/>
    <w:rsid w:val="00CD1D96"/>
    <w:rsid w:val="00CD1DD6"/>
    <w:rsid w:val="00CD4425"/>
    <w:rsid w:val="00CD5D90"/>
    <w:rsid w:val="00CD61E8"/>
    <w:rsid w:val="00CD6924"/>
    <w:rsid w:val="00CE1A1E"/>
    <w:rsid w:val="00CE2282"/>
    <w:rsid w:val="00CE2767"/>
    <w:rsid w:val="00CE28C3"/>
    <w:rsid w:val="00CE3C5C"/>
    <w:rsid w:val="00CE4E07"/>
    <w:rsid w:val="00CE56B4"/>
    <w:rsid w:val="00CE63B2"/>
    <w:rsid w:val="00CE6BBE"/>
    <w:rsid w:val="00CE7C56"/>
    <w:rsid w:val="00CF1847"/>
    <w:rsid w:val="00CF2739"/>
    <w:rsid w:val="00CF2EA4"/>
    <w:rsid w:val="00CF3FE3"/>
    <w:rsid w:val="00CF581C"/>
    <w:rsid w:val="00CF5C4C"/>
    <w:rsid w:val="00CF6C03"/>
    <w:rsid w:val="00CF79BA"/>
    <w:rsid w:val="00D00C34"/>
    <w:rsid w:val="00D01ED2"/>
    <w:rsid w:val="00D03C05"/>
    <w:rsid w:val="00D04F9A"/>
    <w:rsid w:val="00D06FC2"/>
    <w:rsid w:val="00D07165"/>
    <w:rsid w:val="00D07B6D"/>
    <w:rsid w:val="00D07C8B"/>
    <w:rsid w:val="00D104B3"/>
    <w:rsid w:val="00D1142C"/>
    <w:rsid w:val="00D1312C"/>
    <w:rsid w:val="00D14368"/>
    <w:rsid w:val="00D1529A"/>
    <w:rsid w:val="00D1670F"/>
    <w:rsid w:val="00D16E02"/>
    <w:rsid w:val="00D1742A"/>
    <w:rsid w:val="00D17815"/>
    <w:rsid w:val="00D2515D"/>
    <w:rsid w:val="00D26493"/>
    <w:rsid w:val="00D2656D"/>
    <w:rsid w:val="00D27ECB"/>
    <w:rsid w:val="00D27EE4"/>
    <w:rsid w:val="00D3262C"/>
    <w:rsid w:val="00D328E8"/>
    <w:rsid w:val="00D32C96"/>
    <w:rsid w:val="00D3468D"/>
    <w:rsid w:val="00D35244"/>
    <w:rsid w:val="00D3754A"/>
    <w:rsid w:val="00D3786E"/>
    <w:rsid w:val="00D403BC"/>
    <w:rsid w:val="00D407AE"/>
    <w:rsid w:val="00D412B9"/>
    <w:rsid w:val="00D42809"/>
    <w:rsid w:val="00D43235"/>
    <w:rsid w:val="00D4345B"/>
    <w:rsid w:val="00D44559"/>
    <w:rsid w:val="00D44605"/>
    <w:rsid w:val="00D44A77"/>
    <w:rsid w:val="00D45747"/>
    <w:rsid w:val="00D46BF3"/>
    <w:rsid w:val="00D46CEF"/>
    <w:rsid w:val="00D50608"/>
    <w:rsid w:val="00D50EE0"/>
    <w:rsid w:val="00D510A3"/>
    <w:rsid w:val="00D51192"/>
    <w:rsid w:val="00D5330C"/>
    <w:rsid w:val="00D53EDE"/>
    <w:rsid w:val="00D55E02"/>
    <w:rsid w:val="00D60045"/>
    <w:rsid w:val="00D603B2"/>
    <w:rsid w:val="00D60CA4"/>
    <w:rsid w:val="00D60EA7"/>
    <w:rsid w:val="00D618FB"/>
    <w:rsid w:val="00D62798"/>
    <w:rsid w:val="00D628E8"/>
    <w:rsid w:val="00D63390"/>
    <w:rsid w:val="00D639E8"/>
    <w:rsid w:val="00D639EA"/>
    <w:rsid w:val="00D63A04"/>
    <w:rsid w:val="00D64B08"/>
    <w:rsid w:val="00D64F6A"/>
    <w:rsid w:val="00D65B9B"/>
    <w:rsid w:val="00D661D4"/>
    <w:rsid w:val="00D67797"/>
    <w:rsid w:val="00D67A19"/>
    <w:rsid w:val="00D71200"/>
    <w:rsid w:val="00D72098"/>
    <w:rsid w:val="00D72606"/>
    <w:rsid w:val="00D72BBD"/>
    <w:rsid w:val="00D73671"/>
    <w:rsid w:val="00D736DE"/>
    <w:rsid w:val="00D764E7"/>
    <w:rsid w:val="00D76A4A"/>
    <w:rsid w:val="00D77105"/>
    <w:rsid w:val="00D77223"/>
    <w:rsid w:val="00D77E53"/>
    <w:rsid w:val="00D81170"/>
    <w:rsid w:val="00D81521"/>
    <w:rsid w:val="00D81635"/>
    <w:rsid w:val="00D81790"/>
    <w:rsid w:val="00D8181E"/>
    <w:rsid w:val="00D81D92"/>
    <w:rsid w:val="00D8203A"/>
    <w:rsid w:val="00D82B01"/>
    <w:rsid w:val="00D830DF"/>
    <w:rsid w:val="00D833DC"/>
    <w:rsid w:val="00D83BC3"/>
    <w:rsid w:val="00D8420F"/>
    <w:rsid w:val="00D85015"/>
    <w:rsid w:val="00D85B4C"/>
    <w:rsid w:val="00D862E0"/>
    <w:rsid w:val="00D874C5"/>
    <w:rsid w:val="00D90C28"/>
    <w:rsid w:val="00D918AA"/>
    <w:rsid w:val="00D91A1A"/>
    <w:rsid w:val="00D92392"/>
    <w:rsid w:val="00D92510"/>
    <w:rsid w:val="00D92E73"/>
    <w:rsid w:val="00D93D02"/>
    <w:rsid w:val="00D93FA6"/>
    <w:rsid w:val="00D94FC7"/>
    <w:rsid w:val="00D9531C"/>
    <w:rsid w:val="00D9538E"/>
    <w:rsid w:val="00D9789B"/>
    <w:rsid w:val="00DA34D8"/>
    <w:rsid w:val="00DA3A08"/>
    <w:rsid w:val="00DA48EA"/>
    <w:rsid w:val="00DA5C09"/>
    <w:rsid w:val="00DA5FE1"/>
    <w:rsid w:val="00DA6C55"/>
    <w:rsid w:val="00DA6DDA"/>
    <w:rsid w:val="00DA6F90"/>
    <w:rsid w:val="00DA7117"/>
    <w:rsid w:val="00DA7340"/>
    <w:rsid w:val="00DA7F35"/>
    <w:rsid w:val="00DB12B9"/>
    <w:rsid w:val="00DB15B4"/>
    <w:rsid w:val="00DB3ACE"/>
    <w:rsid w:val="00DB4D8B"/>
    <w:rsid w:val="00DB532F"/>
    <w:rsid w:val="00DB7A88"/>
    <w:rsid w:val="00DB7E94"/>
    <w:rsid w:val="00DC0C07"/>
    <w:rsid w:val="00DC1B66"/>
    <w:rsid w:val="00DC2395"/>
    <w:rsid w:val="00DC2BA5"/>
    <w:rsid w:val="00DC3FDB"/>
    <w:rsid w:val="00DC6624"/>
    <w:rsid w:val="00DC7DBA"/>
    <w:rsid w:val="00DD1E4B"/>
    <w:rsid w:val="00DD2CFD"/>
    <w:rsid w:val="00DD31B0"/>
    <w:rsid w:val="00DD3342"/>
    <w:rsid w:val="00DD63B0"/>
    <w:rsid w:val="00DD68B9"/>
    <w:rsid w:val="00DE0872"/>
    <w:rsid w:val="00DE2806"/>
    <w:rsid w:val="00DE459B"/>
    <w:rsid w:val="00DE45AE"/>
    <w:rsid w:val="00DE6311"/>
    <w:rsid w:val="00DF1733"/>
    <w:rsid w:val="00DF1B88"/>
    <w:rsid w:val="00DF1DCF"/>
    <w:rsid w:val="00DF2C5A"/>
    <w:rsid w:val="00DF2F31"/>
    <w:rsid w:val="00DF438B"/>
    <w:rsid w:val="00DF4D24"/>
    <w:rsid w:val="00DF5835"/>
    <w:rsid w:val="00DF5AD4"/>
    <w:rsid w:val="00DF7400"/>
    <w:rsid w:val="00DF7E10"/>
    <w:rsid w:val="00E03B44"/>
    <w:rsid w:val="00E04693"/>
    <w:rsid w:val="00E05A79"/>
    <w:rsid w:val="00E05C0C"/>
    <w:rsid w:val="00E1042B"/>
    <w:rsid w:val="00E116F2"/>
    <w:rsid w:val="00E14078"/>
    <w:rsid w:val="00E143D3"/>
    <w:rsid w:val="00E14C74"/>
    <w:rsid w:val="00E16A6A"/>
    <w:rsid w:val="00E171EF"/>
    <w:rsid w:val="00E17308"/>
    <w:rsid w:val="00E178D7"/>
    <w:rsid w:val="00E2094B"/>
    <w:rsid w:val="00E216F7"/>
    <w:rsid w:val="00E21F00"/>
    <w:rsid w:val="00E23CD1"/>
    <w:rsid w:val="00E24381"/>
    <w:rsid w:val="00E25C4F"/>
    <w:rsid w:val="00E26F68"/>
    <w:rsid w:val="00E273E1"/>
    <w:rsid w:val="00E302B8"/>
    <w:rsid w:val="00E34EE2"/>
    <w:rsid w:val="00E36F9B"/>
    <w:rsid w:val="00E37258"/>
    <w:rsid w:val="00E428D5"/>
    <w:rsid w:val="00E43098"/>
    <w:rsid w:val="00E4346E"/>
    <w:rsid w:val="00E444F7"/>
    <w:rsid w:val="00E4602F"/>
    <w:rsid w:val="00E47C0A"/>
    <w:rsid w:val="00E500BB"/>
    <w:rsid w:val="00E520EB"/>
    <w:rsid w:val="00E52AA0"/>
    <w:rsid w:val="00E52F0F"/>
    <w:rsid w:val="00E55338"/>
    <w:rsid w:val="00E559F4"/>
    <w:rsid w:val="00E566D2"/>
    <w:rsid w:val="00E56B03"/>
    <w:rsid w:val="00E57CDC"/>
    <w:rsid w:val="00E57D8C"/>
    <w:rsid w:val="00E57D97"/>
    <w:rsid w:val="00E60F3F"/>
    <w:rsid w:val="00E64401"/>
    <w:rsid w:val="00E648B2"/>
    <w:rsid w:val="00E670D7"/>
    <w:rsid w:val="00E70443"/>
    <w:rsid w:val="00E73A05"/>
    <w:rsid w:val="00E80C94"/>
    <w:rsid w:val="00E834AC"/>
    <w:rsid w:val="00E83BBA"/>
    <w:rsid w:val="00E8449A"/>
    <w:rsid w:val="00E8468C"/>
    <w:rsid w:val="00E84693"/>
    <w:rsid w:val="00E85B09"/>
    <w:rsid w:val="00E86C9F"/>
    <w:rsid w:val="00E87C6D"/>
    <w:rsid w:val="00E94BF7"/>
    <w:rsid w:val="00E95D11"/>
    <w:rsid w:val="00EA25A6"/>
    <w:rsid w:val="00EA2DEC"/>
    <w:rsid w:val="00EA307C"/>
    <w:rsid w:val="00EA3C73"/>
    <w:rsid w:val="00EA418C"/>
    <w:rsid w:val="00EA5AF5"/>
    <w:rsid w:val="00EB0D09"/>
    <w:rsid w:val="00EB26E3"/>
    <w:rsid w:val="00EB3BFC"/>
    <w:rsid w:val="00EB51F0"/>
    <w:rsid w:val="00EB55E1"/>
    <w:rsid w:val="00EB7161"/>
    <w:rsid w:val="00EC00A3"/>
    <w:rsid w:val="00EC0B6B"/>
    <w:rsid w:val="00EC0CE3"/>
    <w:rsid w:val="00EC0E49"/>
    <w:rsid w:val="00EC141E"/>
    <w:rsid w:val="00EC2FB1"/>
    <w:rsid w:val="00EC3965"/>
    <w:rsid w:val="00EC5B18"/>
    <w:rsid w:val="00EC632F"/>
    <w:rsid w:val="00EC6E03"/>
    <w:rsid w:val="00ED1B76"/>
    <w:rsid w:val="00ED2041"/>
    <w:rsid w:val="00ED718A"/>
    <w:rsid w:val="00EE15B6"/>
    <w:rsid w:val="00EE2235"/>
    <w:rsid w:val="00EE2397"/>
    <w:rsid w:val="00EE4E37"/>
    <w:rsid w:val="00EE5642"/>
    <w:rsid w:val="00EE630B"/>
    <w:rsid w:val="00EF0ABE"/>
    <w:rsid w:val="00EF192D"/>
    <w:rsid w:val="00EF1F35"/>
    <w:rsid w:val="00EF3AD7"/>
    <w:rsid w:val="00EF4188"/>
    <w:rsid w:val="00F00446"/>
    <w:rsid w:val="00F00BA7"/>
    <w:rsid w:val="00F014ED"/>
    <w:rsid w:val="00F03066"/>
    <w:rsid w:val="00F03944"/>
    <w:rsid w:val="00F03E45"/>
    <w:rsid w:val="00F05196"/>
    <w:rsid w:val="00F0556A"/>
    <w:rsid w:val="00F10988"/>
    <w:rsid w:val="00F10A38"/>
    <w:rsid w:val="00F10DA5"/>
    <w:rsid w:val="00F10DDE"/>
    <w:rsid w:val="00F123CB"/>
    <w:rsid w:val="00F13759"/>
    <w:rsid w:val="00F1480C"/>
    <w:rsid w:val="00F164B9"/>
    <w:rsid w:val="00F16575"/>
    <w:rsid w:val="00F16CBB"/>
    <w:rsid w:val="00F20DD6"/>
    <w:rsid w:val="00F2121C"/>
    <w:rsid w:val="00F21463"/>
    <w:rsid w:val="00F221F0"/>
    <w:rsid w:val="00F22FAB"/>
    <w:rsid w:val="00F23BF7"/>
    <w:rsid w:val="00F245BB"/>
    <w:rsid w:val="00F26023"/>
    <w:rsid w:val="00F26287"/>
    <w:rsid w:val="00F26E42"/>
    <w:rsid w:val="00F275BC"/>
    <w:rsid w:val="00F31180"/>
    <w:rsid w:val="00F31CC0"/>
    <w:rsid w:val="00F361FB"/>
    <w:rsid w:val="00F363C0"/>
    <w:rsid w:val="00F36424"/>
    <w:rsid w:val="00F36877"/>
    <w:rsid w:val="00F36CEA"/>
    <w:rsid w:val="00F37A5E"/>
    <w:rsid w:val="00F37AA2"/>
    <w:rsid w:val="00F37DF1"/>
    <w:rsid w:val="00F40348"/>
    <w:rsid w:val="00F42DB2"/>
    <w:rsid w:val="00F42EA4"/>
    <w:rsid w:val="00F449F4"/>
    <w:rsid w:val="00F47580"/>
    <w:rsid w:val="00F479DE"/>
    <w:rsid w:val="00F5140F"/>
    <w:rsid w:val="00F51419"/>
    <w:rsid w:val="00F51E37"/>
    <w:rsid w:val="00F5280E"/>
    <w:rsid w:val="00F52958"/>
    <w:rsid w:val="00F53BA1"/>
    <w:rsid w:val="00F54FBE"/>
    <w:rsid w:val="00F5617E"/>
    <w:rsid w:val="00F56C3B"/>
    <w:rsid w:val="00F57F78"/>
    <w:rsid w:val="00F60ADF"/>
    <w:rsid w:val="00F60F2C"/>
    <w:rsid w:val="00F646A6"/>
    <w:rsid w:val="00F653FC"/>
    <w:rsid w:val="00F65B09"/>
    <w:rsid w:val="00F66ACB"/>
    <w:rsid w:val="00F67AE7"/>
    <w:rsid w:val="00F67D8B"/>
    <w:rsid w:val="00F70B5D"/>
    <w:rsid w:val="00F71B52"/>
    <w:rsid w:val="00F71E11"/>
    <w:rsid w:val="00F71F8C"/>
    <w:rsid w:val="00F73FE1"/>
    <w:rsid w:val="00F7423D"/>
    <w:rsid w:val="00F763ED"/>
    <w:rsid w:val="00F801E0"/>
    <w:rsid w:val="00F80A0C"/>
    <w:rsid w:val="00F822AA"/>
    <w:rsid w:val="00F8380A"/>
    <w:rsid w:val="00F83C29"/>
    <w:rsid w:val="00F84D07"/>
    <w:rsid w:val="00F871F5"/>
    <w:rsid w:val="00F874DA"/>
    <w:rsid w:val="00F90EAD"/>
    <w:rsid w:val="00F91325"/>
    <w:rsid w:val="00F926EF"/>
    <w:rsid w:val="00F928BC"/>
    <w:rsid w:val="00F92EA1"/>
    <w:rsid w:val="00F93881"/>
    <w:rsid w:val="00F93C0D"/>
    <w:rsid w:val="00F94C72"/>
    <w:rsid w:val="00F9547F"/>
    <w:rsid w:val="00F95635"/>
    <w:rsid w:val="00F95C9B"/>
    <w:rsid w:val="00F95E72"/>
    <w:rsid w:val="00F95F4F"/>
    <w:rsid w:val="00F973FB"/>
    <w:rsid w:val="00F97815"/>
    <w:rsid w:val="00F97F03"/>
    <w:rsid w:val="00FA12C2"/>
    <w:rsid w:val="00FA19BB"/>
    <w:rsid w:val="00FA2179"/>
    <w:rsid w:val="00FA285F"/>
    <w:rsid w:val="00FA323D"/>
    <w:rsid w:val="00FA3433"/>
    <w:rsid w:val="00FA6D62"/>
    <w:rsid w:val="00FA6FAB"/>
    <w:rsid w:val="00FB0205"/>
    <w:rsid w:val="00FB055B"/>
    <w:rsid w:val="00FB0CA8"/>
    <w:rsid w:val="00FB0FA6"/>
    <w:rsid w:val="00FB20BF"/>
    <w:rsid w:val="00FB2385"/>
    <w:rsid w:val="00FB2782"/>
    <w:rsid w:val="00FB35C7"/>
    <w:rsid w:val="00FB520E"/>
    <w:rsid w:val="00FB6C5A"/>
    <w:rsid w:val="00FB6D2E"/>
    <w:rsid w:val="00FB761A"/>
    <w:rsid w:val="00FC0CD8"/>
    <w:rsid w:val="00FC2B9E"/>
    <w:rsid w:val="00FC3337"/>
    <w:rsid w:val="00FC391C"/>
    <w:rsid w:val="00FC516E"/>
    <w:rsid w:val="00FC5E66"/>
    <w:rsid w:val="00FC5F38"/>
    <w:rsid w:val="00FC724B"/>
    <w:rsid w:val="00FD0648"/>
    <w:rsid w:val="00FD0AD7"/>
    <w:rsid w:val="00FD13D2"/>
    <w:rsid w:val="00FD177E"/>
    <w:rsid w:val="00FD1A8F"/>
    <w:rsid w:val="00FD2CD6"/>
    <w:rsid w:val="00FD38D1"/>
    <w:rsid w:val="00FD6940"/>
    <w:rsid w:val="00FD74F5"/>
    <w:rsid w:val="00FD7629"/>
    <w:rsid w:val="00FD76E0"/>
    <w:rsid w:val="00FE0D95"/>
    <w:rsid w:val="00FE2C84"/>
    <w:rsid w:val="00FE5B96"/>
    <w:rsid w:val="00FE6BF3"/>
    <w:rsid w:val="00FE76D0"/>
    <w:rsid w:val="00FF212C"/>
    <w:rsid w:val="00FF271A"/>
    <w:rsid w:val="00FF2EBD"/>
    <w:rsid w:val="00FF3080"/>
    <w:rsid w:val="00FF68E6"/>
    <w:rsid w:val="00FF6F9B"/>
    <w:rsid w:val="00FF7755"/>
    <w:rsid w:val="00FF7765"/>
    <w:rsid w:val="00FF7C4A"/>
    <w:rsid w:val="00FF7FD0"/>
    <w:rsid w:val="01454F43"/>
    <w:rsid w:val="015204FE"/>
    <w:rsid w:val="01535F6F"/>
    <w:rsid w:val="016A5229"/>
    <w:rsid w:val="0211569C"/>
    <w:rsid w:val="027C319D"/>
    <w:rsid w:val="028D6BBA"/>
    <w:rsid w:val="029032C2"/>
    <w:rsid w:val="02C005BA"/>
    <w:rsid w:val="02DC3431"/>
    <w:rsid w:val="02E15A93"/>
    <w:rsid w:val="02E872D9"/>
    <w:rsid w:val="02EC3B9E"/>
    <w:rsid w:val="02F6610D"/>
    <w:rsid w:val="02FF5866"/>
    <w:rsid w:val="032075B6"/>
    <w:rsid w:val="032D5CD1"/>
    <w:rsid w:val="03333CB7"/>
    <w:rsid w:val="03547F3F"/>
    <w:rsid w:val="03640452"/>
    <w:rsid w:val="036E5786"/>
    <w:rsid w:val="037C0A38"/>
    <w:rsid w:val="03C84489"/>
    <w:rsid w:val="040A0363"/>
    <w:rsid w:val="040A5286"/>
    <w:rsid w:val="043319AA"/>
    <w:rsid w:val="043D41FD"/>
    <w:rsid w:val="04AF6145"/>
    <w:rsid w:val="04B26CF0"/>
    <w:rsid w:val="052B4CCF"/>
    <w:rsid w:val="05406CD8"/>
    <w:rsid w:val="05502C20"/>
    <w:rsid w:val="05B07BA9"/>
    <w:rsid w:val="05EB4214"/>
    <w:rsid w:val="065E580B"/>
    <w:rsid w:val="06610A50"/>
    <w:rsid w:val="0677170C"/>
    <w:rsid w:val="06A12B51"/>
    <w:rsid w:val="06C14192"/>
    <w:rsid w:val="06CA4C80"/>
    <w:rsid w:val="06CE6F03"/>
    <w:rsid w:val="06D13134"/>
    <w:rsid w:val="06DC7063"/>
    <w:rsid w:val="073A2BD6"/>
    <w:rsid w:val="07D3376B"/>
    <w:rsid w:val="07F341CA"/>
    <w:rsid w:val="081F3162"/>
    <w:rsid w:val="083633E9"/>
    <w:rsid w:val="08592B78"/>
    <w:rsid w:val="08762705"/>
    <w:rsid w:val="088F19E5"/>
    <w:rsid w:val="08E95CD9"/>
    <w:rsid w:val="08F90F9D"/>
    <w:rsid w:val="092706CD"/>
    <w:rsid w:val="093C69DE"/>
    <w:rsid w:val="09995A49"/>
    <w:rsid w:val="09B2339D"/>
    <w:rsid w:val="09C45FC9"/>
    <w:rsid w:val="09E51655"/>
    <w:rsid w:val="0A344626"/>
    <w:rsid w:val="0A387F64"/>
    <w:rsid w:val="0A524DED"/>
    <w:rsid w:val="0B1F1E1B"/>
    <w:rsid w:val="0BC52BF3"/>
    <w:rsid w:val="0BFC7E92"/>
    <w:rsid w:val="0C0C6FCD"/>
    <w:rsid w:val="0C74386D"/>
    <w:rsid w:val="0C8B3F2C"/>
    <w:rsid w:val="0CA94973"/>
    <w:rsid w:val="0CAC00F9"/>
    <w:rsid w:val="0CB461FC"/>
    <w:rsid w:val="0CEA36C2"/>
    <w:rsid w:val="0D1D1C55"/>
    <w:rsid w:val="0D3A1CCC"/>
    <w:rsid w:val="0D730F9D"/>
    <w:rsid w:val="0D8B3B8E"/>
    <w:rsid w:val="0D9E5E72"/>
    <w:rsid w:val="0DC546F1"/>
    <w:rsid w:val="0DCA740E"/>
    <w:rsid w:val="0E075C7C"/>
    <w:rsid w:val="0E401464"/>
    <w:rsid w:val="0E405CCE"/>
    <w:rsid w:val="0E60010E"/>
    <w:rsid w:val="0E7A7DEF"/>
    <w:rsid w:val="0E93373D"/>
    <w:rsid w:val="0E935DFC"/>
    <w:rsid w:val="0EB12541"/>
    <w:rsid w:val="0EDA1126"/>
    <w:rsid w:val="0EE3661B"/>
    <w:rsid w:val="0EF14461"/>
    <w:rsid w:val="0EFB0491"/>
    <w:rsid w:val="0F1054EB"/>
    <w:rsid w:val="0F354719"/>
    <w:rsid w:val="0F4E6CC7"/>
    <w:rsid w:val="0F9A3D24"/>
    <w:rsid w:val="0FCD6281"/>
    <w:rsid w:val="100661DB"/>
    <w:rsid w:val="10184A98"/>
    <w:rsid w:val="102B4634"/>
    <w:rsid w:val="104769FF"/>
    <w:rsid w:val="104A0FBD"/>
    <w:rsid w:val="10756D20"/>
    <w:rsid w:val="108A61A1"/>
    <w:rsid w:val="108B40A1"/>
    <w:rsid w:val="10920FC3"/>
    <w:rsid w:val="10946041"/>
    <w:rsid w:val="10F7431A"/>
    <w:rsid w:val="111C5298"/>
    <w:rsid w:val="11400725"/>
    <w:rsid w:val="11412E54"/>
    <w:rsid w:val="1143104B"/>
    <w:rsid w:val="11431A0A"/>
    <w:rsid w:val="115A6E48"/>
    <w:rsid w:val="11AE1D72"/>
    <w:rsid w:val="11C91DDD"/>
    <w:rsid w:val="11F74454"/>
    <w:rsid w:val="121012B0"/>
    <w:rsid w:val="12141F94"/>
    <w:rsid w:val="122E325E"/>
    <w:rsid w:val="124F526F"/>
    <w:rsid w:val="12517E5A"/>
    <w:rsid w:val="12543802"/>
    <w:rsid w:val="13061562"/>
    <w:rsid w:val="132449FD"/>
    <w:rsid w:val="1332191F"/>
    <w:rsid w:val="133236CD"/>
    <w:rsid w:val="1345121F"/>
    <w:rsid w:val="13514CEC"/>
    <w:rsid w:val="13910C41"/>
    <w:rsid w:val="13BD6FD4"/>
    <w:rsid w:val="13D33102"/>
    <w:rsid w:val="13FB5FF7"/>
    <w:rsid w:val="14554287"/>
    <w:rsid w:val="147B58A0"/>
    <w:rsid w:val="14D56DA7"/>
    <w:rsid w:val="151B4C49"/>
    <w:rsid w:val="1569112B"/>
    <w:rsid w:val="15A70D84"/>
    <w:rsid w:val="15C03982"/>
    <w:rsid w:val="15CC0233"/>
    <w:rsid w:val="160070E4"/>
    <w:rsid w:val="16034EF7"/>
    <w:rsid w:val="16475F51"/>
    <w:rsid w:val="16556474"/>
    <w:rsid w:val="169D6E57"/>
    <w:rsid w:val="16A06334"/>
    <w:rsid w:val="16CC705B"/>
    <w:rsid w:val="16D71A6F"/>
    <w:rsid w:val="1717198A"/>
    <w:rsid w:val="17194E9E"/>
    <w:rsid w:val="1734566F"/>
    <w:rsid w:val="173E364F"/>
    <w:rsid w:val="176D36C6"/>
    <w:rsid w:val="178A2F73"/>
    <w:rsid w:val="178C2891"/>
    <w:rsid w:val="17BE4E77"/>
    <w:rsid w:val="18222D86"/>
    <w:rsid w:val="183C05C6"/>
    <w:rsid w:val="185F70C5"/>
    <w:rsid w:val="18846236"/>
    <w:rsid w:val="18904796"/>
    <w:rsid w:val="1891340C"/>
    <w:rsid w:val="18A419C7"/>
    <w:rsid w:val="19013CEC"/>
    <w:rsid w:val="197450AD"/>
    <w:rsid w:val="198527A8"/>
    <w:rsid w:val="19976D9B"/>
    <w:rsid w:val="19A61752"/>
    <w:rsid w:val="19F841F0"/>
    <w:rsid w:val="1ABE20FF"/>
    <w:rsid w:val="1ABE60D0"/>
    <w:rsid w:val="1B66485B"/>
    <w:rsid w:val="1B6E765B"/>
    <w:rsid w:val="1B7422C6"/>
    <w:rsid w:val="1BBC2D42"/>
    <w:rsid w:val="1BE139EC"/>
    <w:rsid w:val="1C0A4CDE"/>
    <w:rsid w:val="1C247235"/>
    <w:rsid w:val="1C454285"/>
    <w:rsid w:val="1C461088"/>
    <w:rsid w:val="1C49091F"/>
    <w:rsid w:val="1C742EFC"/>
    <w:rsid w:val="1CA7512B"/>
    <w:rsid w:val="1CF23CAD"/>
    <w:rsid w:val="1D0F612D"/>
    <w:rsid w:val="1D5A1416"/>
    <w:rsid w:val="1D880345"/>
    <w:rsid w:val="1D8C5A9F"/>
    <w:rsid w:val="1DBA22CB"/>
    <w:rsid w:val="1DFB65EC"/>
    <w:rsid w:val="1E060BC0"/>
    <w:rsid w:val="1E605592"/>
    <w:rsid w:val="1E8E592C"/>
    <w:rsid w:val="1EBF49AE"/>
    <w:rsid w:val="1F474D7B"/>
    <w:rsid w:val="1F92082A"/>
    <w:rsid w:val="1FA33C36"/>
    <w:rsid w:val="1FC61D16"/>
    <w:rsid w:val="200F6579"/>
    <w:rsid w:val="202B33E4"/>
    <w:rsid w:val="20722761"/>
    <w:rsid w:val="209552DB"/>
    <w:rsid w:val="20FF6B45"/>
    <w:rsid w:val="213D40CF"/>
    <w:rsid w:val="214941E3"/>
    <w:rsid w:val="21495E1D"/>
    <w:rsid w:val="2156390A"/>
    <w:rsid w:val="21736345"/>
    <w:rsid w:val="219A1036"/>
    <w:rsid w:val="21DE3C82"/>
    <w:rsid w:val="2202004C"/>
    <w:rsid w:val="22137A1A"/>
    <w:rsid w:val="221C2118"/>
    <w:rsid w:val="223C6316"/>
    <w:rsid w:val="225A599C"/>
    <w:rsid w:val="225E6BE9"/>
    <w:rsid w:val="22722A3B"/>
    <w:rsid w:val="22EE7FB6"/>
    <w:rsid w:val="22F04290"/>
    <w:rsid w:val="23272B22"/>
    <w:rsid w:val="233B037C"/>
    <w:rsid w:val="23571322"/>
    <w:rsid w:val="23891685"/>
    <w:rsid w:val="24250432"/>
    <w:rsid w:val="246B54C0"/>
    <w:rsid w:val="24984EAA"/>
    <w:rsid w:val="24EF5977"/>
    <w:rsid w:val="24F061FE"/>
    <w:rsid w:val="25017584"/>
    <w:rsid w:val="252604DE"/>
    <w:rsid w:val="254C61C1"/>
    <w:rsid w:val="257E393F"/>
    <w:rsid w:val="25B569CE"/>
    <w:rsid w:val="25EC4B1A"/>
    <w:rsid w:val="263C73D4"/>
    <w:rsid w:val="264044C9"/>
    <w:rsid w:val="267804C5"/>
    <w:rsid w:val="267C337A"/>
    <w:rsid w:val="26CC42A4"/>
    <w:rsid w:val="26EC1B94"/>
    <w:rsid w:val="27285015"/>
    <w:rsid w:val="27AC319C"/>
    <w:rsid w:val="27CF2954"/>
    <w:rsid w:val="27D9660C"/>
    <w:rsid w:val="27FF406E"/>
    <w:rsid w:val="280F4BE8"/>
    <w:rsid w:val="2811569A"/>
    <w:rsid w:val="28915E4A"/>
    <w:rsid w:val="28A32C4B"/>
    <w:rsid w:val="28A63D8D"/>
    <w:rsid w:val="28A8200F"/>
    <w:rsid w:val="28DA4193"/>
    <w:rsid w:val="29055F1C"/>
    <w:rsid w:val="29702FAD"/>
    <w:rsid w:val="298828D3"/>
    <w:rsid w:val="29B7559B"/>
    <w:rsid w:val="29D72056"/>
    <w:rsid w:val="2A0E788F"/>
    <w:rsid w:val="2AD24997"/>
    <w:rsid w:val="2B4B5E1B"/>
    <w:rsid w:val="2B943059"/>
    <w:rsid w:val="2BA36FF4"/>
    <w:rsid w:val="2BA64A7C"/>
    <w:rsid w:val="2BCA6F2D"/>
    <w:rsid w:val="2BCE7FDF"/>
    <w:rsid w:val="2C0F0632"/>
    <w:rsid w:val="2C1752F1"/>
    <w:rsid w:val="2C847D67"/>
    <w:rsid w:val="2D9C563E"/>
    <w:rsid w:val="2DB155E9"/>
    <w:rsid w:val="2DD23CE6"/>
    <w:rsid w:val="2E07342C"/>
    <w:rsid w:val="2E5172B2"/>
    <w:rsid w:val="2E8E2F7A"/>
    <w:rsid w:val="2EA0139F"/>
    <w:rsid w:val="2EC90F31"/>
    <w:rsid w:val="2ECF2D0F"/>
    <w:rsid w:val="2EEB3C38"/>
    <w:rsid w:val="2F0C6953"/>
    <w:rsid w:val="2F0F7145"/>
    <w:rsid w:val="2F5A3FDC"/>
    <w:rsid w:val="2F7A1102"/>
    <w:rsid w:val="2FA42A1A"/>
    <w:rsid w:val="30420F01"/>
    <w:rsid w:val="309C732E"/>
    <w:rsid w:val="31736FDE"/>
    <w:rsid w:val="317C509B"/>
    <w:rsid w:val="31AB2B70"/>
    <w:rsid w:val="31BA6F51"/>
    <w:rsid w:val="31FE7D63"/>
    <w:rsid w:val="320329AC"/>
    <w:rsid w:val="32074A1C"/>
    <w:rsid w:val="321426A9"/>
    <w:rsid w:val="321B3B8C"/>
    <w:rsid w:val="322E54AE"/>
    <w:rsid w:val="3238214C"/>
    <w:rsid w:val="32A3257F"/>
    <w:rsid w:val="330662B0"/>
    <w:rsid w:val="331E7307"/>
    <w:rsid w:val="33447828"/>
    <w:rsid w:val="334C7B28"/>
    <w:rsid w:val="33792F26"/>
    <w:rsid w:val="33D765A3"/>
    <w:rsid w:val="33DA55C5"/>
    <w:rsid w:val="34247DFF"/>
    <w:rsid w:val="34390907"/>
    <w:rsid w:val="344466B4"/>
    <w:rsid w:val="34655DDC"/>
    <w:rsid w:val="34746A67"/>
    <w:rsid w:val="347B4A7C"/>
    <w:rsid w:val="34A522D6"/>
    <w:rsid w:val="34B24CE0"/>
    <w:rsid w:val="34B5027D"/>
    <w:rsid w:val="34FF1DED"/>
    <w:rsid w:val="350D0FEC"/>
    <w:rsid w:val="356A2C35"/>
    <w:rsid w:val="35DC154A"/>
    <w:rsid w:val="35FD6562"/>
    <w:rsid w:val="36035EE7"/>
    <w:rsid w:val="36156C13"/>
    <w:rsid w:val="36745D26"/>
    <w:rsid w:val="367739EA"/>
    <w:rsid w:val="372E0CF4"/>
    <w:rsid w:val="374A66EF"/>
    <w:rsid w:val="374B208B"/>
    <w:rsid w:val="37855DD1"/>
    <w:rsid w:val="37EA5D98"/>
    <w:rsid w:val="381939D1"/>
    <w:rsid w:val="385B39B2"/>
    <w:rsid w:val="38704B7D"/>
    <w:rsid w:val="38B61E9C"/>
    <w:rsid w:val="38B96E17"/>
    <w:rsid w:val="38ED03A5"/>
    <w:rsid w:val="39042241"/>
    <w:rsid w:val="393A58DD"/>
    <w:rsid w:val="396A19CA"/>
    <w:rsid w:val="39702F8E"/>
    <w:rsid w:val="397D3895"/>
    <w:rsid w:val="39927343"/>
    <w:rsid w:val="3A083907"/>
    <w:rsid w:val="3A151F9B"/>
    <w:rsid w:val="3A7D1B9D"/>
    <w:rsid w:val="3A803BA5"/>
    <w:rsid w:val="3AE31E89"/>
    <w:rsid w:val="3B0728B5"/>
    <w:rsid w:val="3BAA25E0"/>
    <w:rsid w:val="3BAF7A61"/>
    <w:rsid w:val="3BDF4690"/>
    <w:rsid w:val="3BE823DB"/>
    <w:rsid w:val="3BEB24E7"/>
    <w:rsid w:val="3C020136"/>
    <w:rsid w:val="3C637901"/>
    <w:rsid w:val="3C7132FB"/>
    <w:rsid w:val="3C782BCE"/>
    <w:rsid w:val="3C813DBA"/>
    <w:rsid w:val="3C907E26"/>
    <w:rsid w:val="3C9F1CFE"/>
    <w:rsid w:val="3CCC0368"/>
    <w:rsid w:val="3D1E2F71"/>
    <w:rsid w:val="3D4B6CED"/>
    <w:rsid w:val="3D5937BF"/>
    <w:rsid w:val="3D7F205A"/>
    <w:rsid w:val="3D857E1D"/>
    <w:rsid w:val="3DBD0986"/>
    <w:rsid w:val="3DBE7DE2"/>
    <w:rsid w:val="3DD03A5B"/>
    <w:rsid w:val="3DE20064"/>
    <w:rsid w:val="3E1449BA"/>
    <w:rsid w:val="3E1C518E"/>
    <w:rsid w:val="3E6C567F"/>
    <w:rsid w:val="3E8B328F"/>
    <w:rsid w:val="3E8D7BBE"/>
    <w:rsid w:val="3EBA3A47"/>
    <w:rsid w:val="3F0D0127"/>
    <w:rsid w:val="3F393611"/>
    <w:rsid w:val="3F474CF3"/>
    <w:rsid w:val="3F856A53"/>
    <w:rsid w:val="3FB76E16"/>
    <w:rsid w:val="3FC44BD0"/>
    <w:rsid w:val="3FC971F5"/>
    <w:rsid w:val="3FD51712"/>
    <w:rsid w:val="40083C8C"/>
    <w:rsid w:val="401329B0"/>
    <w:rsid w:val="4017260B"/>
    <w:rsid w:val="40197523"/>
    <w:rsid w:val="40932105"/>
    <w:rsid w:val="40CD0732"/>
    <w:rsid w:val="40E815CE"/>
    <w:rsid w:val="4105229D"/>
    <w:rsid w:val="41172074"/>
    <w:rsid w:val="413C4756"/>
    <w:rsid w:val="41690F3C"/>
    <w:rsid w:val="417816C8"/>
    <w:rsid w:val="418F7491"/>
    <w:rsid w:val="41EC6E66"/>
    <w:rsid w:val="42371EAB"/>
    <w:rsid w:val="428E16A2"/>
    <w:rsid w:val="42A03600"/>
    <w:rsid w:val="42B32E44"/>
    <w:rsid w:val="42CE0E0E"/>
    <w:rsid w:val="42DE0B75"/>
    <w:rsid w:val="42E00752"/>
    <w:rsid w:val="42ED123B"/>
    <w:rsid w:val="43095949"/>
    <w:rsid w:val="434B34C3"/>
    <w:rsid w:val="437E6337"/>
    <w:rsid w:val="43AB21A6"/>
    <w:rsid w:val="43AF5F5F"/>
    <w:rsid w:val="441A4A00"/>
    <w:rsid w:val="44262098"/>
    <w:rsid w:val="44576F4B"/>
    <w:rsid w:val="447363D8"/>
    <w:rsid w:val="44954A00"/>
    <w:rsid w:val="44F36923"/>
    <w:rsid w:val="45267A54"/>
    <w:rsid w:val="45460577"/>
    <w:rsid w:val="45777CCA"/>
    <w:rsid w:val="458D5315"/>
    <w:rsid w:val="45D55AA5"/>
    <w:rsid w:val="45F621B4"/>
    <w:rsid w:val="46872B59"/>
    <w:rsid w:val="46AE2973"/>
    <w:rsid w:val="471B0D4A"/>
    <w:rsid w:val="47503D40"/>
    <w:rsid w:val="476247F4"/>
    <w:rsid w:val="476E4107"/>
    <w:rsid w:val="478E03D3"/>
    <w:rsid w:val="47BA5B68"/>
    <w:rsid w:val="47F07085"/>
    <w:rsid w:val="47F27155"/>
    <w:rsid w:val="49464703"/>
    <w:rsid w:val="49687E62"/>
    <w:rsid w:val="4A1D4B96"/>
    <w:rsid w:val="4A1E7312"/>
    <w:rsid w:val="4A50476A"/>
    <w:rsid w:val="4A871F75"/>
    <w:rsid w:val="4AC74F9B"/>
    <w:rsid w:val="4AD0632F"/>
    <w:rsid w:val="4AF71ABC"/>
    <w:rsid w:val="4AFB4F78"/>
    <w:rsid w:val="4B030D11"/>
    <w:rsid w:val="4B072B6C"/>
    <w:rsid w:val="4B243A74"/>
    <w:rsid w:val="4B2C6F30"/>
    <w:rsid w:val="4B3779F3"/>
    <w:rsid w:val="4B411E89"/>
    <w:rsid w:val="4B89328B"/>
    <w:rsid w:val="4BA44460"/>
    <w:rsid w:val="4BF80E05"/>
    <w:rsid w:val="4C4371EA"/>
    <w:rsid w:val="4C4479B2"/>
    <w:rsid w:val="4C7C1244"/>
    <w:rsid w:val="4CA02BA4"/>
    <w:rsid w:val="4CAB6218"/>
    <w:rsid w:val="4D52318F"/>
    <w:rsid w:val="4D573E80"/>
    <w:rsid w:val="4D636BE4"/>
    <w:rsid w:val="4D6C2CDB"/>
    <w:rsid w:val="4D8A1329"/>
    <w:rsid w:val="4DB44C8D"/>
    <w:rsid w:val="4E062E4A"/>
    <w:rsid w:val="4E20276B"/>
    <w:rsid w:val="4E3E7539"/>
    <w:rsid w:val="4EAD1AED"/>
    <w:rsid w:val="4EFB181F"/>
    <w:rsid w:val="4EFD3B0A"/>
    <w:rsid w:val="4F127E7D"/>
    <w:rsid w:val="4F6A4411"/>
    <w:rsid w:val="4F766B9B"/>
    <w:rsid w:val="4F7C3480"/>
    <w:rsid w:val="50076C8C"/>
    <w:rsid w:val="50193DAB"/>
    <w:rsid w:val="501E1CDE"/>
    <w:rsid w:val="50672F54"/>
    <w:rsid w:val="50B21089"/>
    <w:rsid w:val="50B25FB2"/>
    <w:rsid w:val="50C4335B"/>
    <w:rsid w:val="51656440"/>
    <w:rsid w:val="52074DC0"/>
    <w:rsid w:val="52223050"/>
    <w:rsid w:val="52376ECA"/>
    <w:rsid w:val="525D1478"/>
    <w:rsid w:val="527A416D"/>
    <w:rsid w:val="527A5325"/>
    <w:rsid w:val="527A5D47"/>
    <w:rsid w:val="52815D15"/>
    <w:rsid w:val="529237E7"/>
    <w:rsid w:val="52DA5DDA"/>
    <w:rsid w:val="530D30E0"/>
    <w:rsid w:val="531F4357"/>
    <w:rsid w:val="534F2758"/>
    <w:rsid w:val="536130BC"/>
    <w:rsid w:val="536E3CD2"/>
    <w:rsid w:val="53705CE9"/>
    <w:rsid w:val="538819A0"/>
    <w:rsid w:val="53BC2C8F"/>
    <w:rsid w:val="53BC5CF6"/>
    <w:rsid w:val="54893D93"/>
    <w:rsid w:val="54A0200C"/>
    <w:rsid w:val="54C769F7"/>
    <w:rsid w:val="54CD1D32"/>
    <w:rsid w:val="54E24BA2"/>
    <w:rsid w:val="54E53899"/>
    <w:rsid w:val="54F37E70"/>
    <w:rsid w:val="55096C34"/>
    <w:rsid w:val="556709D9"/>
    <w:rsid w:val="55683C90"/>
    <w:rsid w:val="56D610FD"/>
    <w:rsid w:val="56F30C69"/>
    <w:rsid w:val="57336F10"/>
    <w:rsid w:val="5752462B"/>
    <w:rsid w:val="576B4917"/>
    <w:rsid w:val="579A4D26"/>
    <w:rsid w:val="57A53A3A"/>
    <w:rsid w:val="57C00874"/>
    <w:rsid w:val="57F93F31"/>
    <w:rsid w:val="588F3847"/>
    <w:rsid w:val="58C1131C"/>
    <w:rsid w:val="590942F8"/>
    <w:rsid w:val="5912563A"/>
    <w:rsid w:val="59417161"/>
    <w:rsid w:val="594C0EDC"/>
    <w:rsid w:val="599321E1"/>
    <w:rsid w:val="59B30274"/>
    <w:rsid w:val="59B97AEA"/>
    <w:rsid w:val="59E10C78"/>
    <w:rsid w:val="59EA5471"/>
    <w:rsid w:val="59FB3F39"/>
    <w:rsid w:val="5A096502"/>
    <w:rsid w:val="5A46072B"/>
    <w:rsid w:val="5A50000A"/>
    <w:rsid w:val="5A582E75"/>
    <w:rsid w:val="5A740D9C"/>
    <w:rsid w:val="5A932270"/>
    <w:rsid w:val="5AAC2DED"/>
    <w:rsid w:val="5AE44879"/>
    <w:rsid w:val="5AEB6E8A"/>
    <w:rsid w:val="5B5C7743"/>
    <w:rsid w:val="5B8F2A37"/>
    <w:rsid w:val="5B955468"/>
    <w:rsid w:val="5BE8571E"/>
    <w:rsid w:val="5C0549D2"/>
    <w:rsid w:val="5C4038ED"/>
    <w:rsid w:val="5C4205E9"/>
    <w:rsid w:val="5CBA2930"/>
    <w:rsid w:val="5CDC1CAC"/>
    <w:rsid w:val="5CEE3B6A"/>
    <w:rsid w:val="5D253CCB"/>
    <w:rsid w:val="5D650676"/>
    <w:rsid w:val="5DAD2177"/>
    <w:rsid w:val="5DB44D32"/>
    <w:rsid w:val="5DD81F04"/>
    <w:rsid w:val="5E1E1468"/>
    <w:rsid w:val="5E2722FF"/>
    <w:rsid w:val="5E6E3F90"/>
    <w:rsid w:val="5E743BCC"/>
    <w:rsid w:val="5EA507D5"/>
    <w:rsid w:val="5EBC1A74"/>
    <w:rsid w:val="5EDF3AEA"/>
    <w:rsid w:val="5EE33B8F"/>
    <w:rsid w:val="5F46456F"/>
    <w:rsid w:val="5F64496A"/>
    <w:rsid w:val="5F6671DA"/>
    <w:rsid w:val="5FB671C1"/>
    <w:rsid w:val="5FF20803"/>
    <w:rsid w:val="60300E27"/>
    <w:rsid w:val="60576293"/>
    <w:rsid w:val="605970F4"/>
    <w:rsid w:val="605D1356"/>
    <w:rsid w:val="6084355F"/>
    <w:rsid w:val="608D59B6"/>
    <w:rsid w:val="608F6263"/>
    <w:rsid w:val="609D3330"/>
    <w:rsid w:val="60A521E6"/>
    <w:rsid w:val="60C20C9F"/>
    <w:rsid w:val="61104C0C"/>
    <w:rsid w:val="616E6AE6"/>
    <w:rsid w:val="61970898"/>
    <w:rsid w:val="626F5DF8"/>
    <w:rsid w:val="627500D5"/>
    <w:rsid w:val="62A06CEF"/>
    <w:rsid w:val="62B9483E"/>
    <w:rsid w:val="62F10C8A"/>
    <w:rsid w:val="631303F2"/>
    <w:rsid w:val="63307A6A"/>
    <w:rsid w:val="633D616F"/>
    <w:rsid w:val="633F4D2C"/>
    <w:rsid w:val="63882550"/>
    <w:rsid w:val="63C077A7"/>
    <w:rsid w:val="63CF6EDE"/>
    <w:rsid w:val="63EC1424"/>
    <w:rsid w:val="63F70079"/>
    <w:rsid w:val="641F4B74"/>
    <w:rsid w:val="646A32BC"/>
    <w:rsid w:val="646E72AD"/>
    <w:rsid w:val="64821EA6"/>
    <w:rsid w:val="64B96EB8"/>
    <w:rsid w:val="64D42AE5"/>
    <w:rsid w:val="65A32D01"/>
    <w:rsid w:val="65BE0B39"/>
    <w:rsid w:val="65C94C9A"/>
    <w:rsid w:val="66165984"/>
    <w:rsid w:val="66251230"/>
    <w:rsid w:val="66432D9C"/>
    <w:rsid w:val="66643978"/>
    <w:rsid w:val="66733843"/>
    <w:rsid w:val="669F3B67"/>
    <w:rsid w:val="66EA1CEA"/>
    <w:rsid w:val="67040075"/>
    <w:rsid w:val="67307B19"/>
    <w:rsid w:val="67DA14DE"/>
    <w:rsid w:val="68155AB1"/>
    <w:rsid w:val="682906B3"/>
    <w:rsid w:val="683E5AB9"/>
    <w:rsid w:val="684F0487"/>
    <w:rsid w:val="68A02A20"/>
    <w:rsid w:val="68AA40B9"/>
    <w:rsid w:val="68AB2E7A"/>
    <w:rsid w:val="68CA7E42"/>
    <w:rsid w:val="68EA492C"/>
    <w:rsid w:val="68F640F6"/>
    <w:rsid w:val="691862FC"/>
    <w:rsid w:val="697533FC"/>
    <w:rsid w:val="6985289D"/>
    <w:rsid w:val="69876EF5"/>
    <w:rsid w:val="6988696A"/>
    <w:rsid w:val="699033E1"/>
    <w:rsid w:val="69A67186"/>
    <w:rsid w:val="69AA0473"/>
    <w:rsid w:val="69D476F2"/>
    <w:rsid w:val="69DF2454"/>
    <w:rsid w:val="69ED7E5C"/>
    <w:rsid w:val="69F72E88"/>
    <w:rsid w:val="6A073D34"/>
    <w:rsid w:val="6A0D5208"/>
    <w:rsid w:val="6A0E6C62"/>
    <w:rsid w:val="6A1D7E7D"/>
    <w:rsid w:val="6A2024B9"/>
    <w:rsid w:val="6A64789D"/>
    <w:rsid w:val="6A695017"/>
    <w:rsid w:val="6A886ADF"/>
    <w:rsid w:val="6B3B2294"/>
    <w:rsid w:val="6B623A6E"/>
    <w:rsid w:val="6B6F73A6"/>
    <w:rsid w:val="6B8D4A58"/>
    <w:rsid w:val="6B921E1E"/>
    <w:rsid w:val="6B96396E"/>
    <w:rsid w:val="6BBB5226"/>
    <w:rsid w:val="6BDC3EA5"/>
    <w:rsid w:val="6BF440A3"/>
    <w:rsid w:val="6C044E7B"/>
    <w:rsid w:val="6C2B47BD"/>
    <w:rsid w:val="6C400C2B"/>
    <w:rsid w:val="6C474C68"/>
    <w:rsid w:val="6C521745"/>
    <w:rsid w:val="6C9F6852"/>
    <w:rsid w:val="6CD55C37"/>
    <w:rsid w:val="6CD674B3"/>
    <w:rsid w:val="6CE71834"/>
    <w:rsid w:val="6CED0F4B"/>
    <w:rsid w:val="6CF6091F"/>
    <w:rsid w:val="6D3C66A0"/>
    <w:rsid w:val="6D6221C9"/>
    <w:rsid w:val="6D662E93"/>
    <w:rsid w:val="6E1E7874"/>
    <w:rsid w:val="6E6D2BA2"/>
    <w:rsid w:val="6EBA3E17"/>
    <w:rsid w:val="6EBD0C40"/>
    <w:rsid w:val="6ED51EEA"/>
    <w:rsid w:val="6F0122E0"/>
    <w:rsid w:val="6F6124E5"/>
    <w:rsid w:val="6F7262D4"/>
    <w:rsid w:val="6FA45E17"/>
    <w:rsid w:val="6FB053AA"/>
    <w:rsid w:val="6FB6547E"/>
    <w:rsid w:val="6FBD1C50"/>
    <w:rsid w:val="6FDC1B6B"/>
    <w:rsid w:val="6FE3498C"/>
    <w:rsid w:val="6FEF189F"/>
    <w:rsid w:val="6FFD3FBC"/>
    <w:rsid w:val="701443C8"/>
    <w:rsid w:val="702A1C8F"/>
    <w:rsid w:val="704114FC"/>
    <w:rsid w:val="70424A70"/>
    <w:rsid w:val="70536B7C"/>
    <w:rsid w:val="7056677B"/>
    <w:rsid w:val="705B0702"/>
    <w:rsid w:val="70B50A79"/>
    <w:rsid w:val="70CE6FDE"/>
    <w:rsid w:val="70FF2A3F"/>
    <w:rsid w:val="712D05D7"/>
    <w:rsid w:val="71AB5242"/>
    <w:rsid w:val="71D8111A"/>
    <w:rsid w:val="71F251FB"/>
    <w:rsid w:val="72473C4B"/>
    <w:rsid w:val="72750781"/>
    <w:rsid w:val="72961F6A"/>
    <w:rsid w:val="72F86E4F"/>
    <w:rsid w:val="737B780B"/>
    <w:rsid w:val="738F1783"/>
    <w:rsid w:val="73CB3F72"/>
    <w:rsid w:val="73EA0AB0"/>
    <w:rsid w:val="74304F62"/>
    <w:rsid w:val="744715FE"/>
    <w:rsid w:val="74541EF2"/>
    <w:rsid w:val="74856C0D"/>
    <w:rsid w:val="75072EE0"/>
    <w:rsid w:val="75DB6257"/>
    <w:rsid w:val="75FC43E8"/>
    <w:rsid w:val="76636B42"/>
    <w:rsid w:val="76DF40C3"/>
    <w:rsid w:val="771D4FFE"/>
    <w:rsid w:val="772E7150"/>
    <w:rsid w:val="77B23E49"/>
    <w:rsid w:val="77C964D7"/>
    <w:rsid w:val="77F35CA4"/>
    <w:rsid w:val="78115C16"/>
    <w:rsid w:val="782329EE"/>
    <w:rsid w:val="783863BB"/>
    <w:rsid w:val="7860158C"/>
    <w:rsid w:val="78675A35"/>
    <w:rsid w:val="7870058F"/>
    <w:rsid w:val="78AA0A59"/>
    <w:rsid w:val="78C95594"/>
    <w:rsid w:val="79732452"/>
    <w:rsid w:val="79AE0878"/>
    <w:rsid w:val="79C737B7"/>
    <w:rsid w:val="79EC0BC4"/>
    <w:rsid w:val="7A594F98"/>
    <w:rsid w:val="7A644563"/>
    <w:rsid w:val="7A767EE7"/>
    <w:rsid w:val="7ABA4FD8"/>
    <w:rsid w:val="7ABE6BBF"/>
    <w:rsid w:val="7AF75AAB"/>
    <w:rsid w:val="7B0E5EF7"/>
    <w:rsid w:val="7B131C0F"/>
    <w:rsid w:val="7B2072B1"/>
    <w:rsid w:val="7B8E10ED"/>
    <w:rsid w:val="7BAC3AE4"/>
    <w:rsid w:val="7BBC3384"/>
    <w:rsid w:val="7BC36528"/>
    <w:rsid w:val="7C5E24ED"/>
    <w:rsid w:val="7CD57CCC"/>
    <w:rsid w:val="7D1F4390"/>
    <w:rsid w:val="7D7B29C4"/>
    <w:rsid w:val="7D7C12B8"/>
    <w:rsid w:val="7D902D39"/>
    <w:rsid w:val="7E203CC6"/>
    <w:rsid w:val="7E5C52C4"/>
    <w:rsid w:val="7E5F5B6D"/>
    <w:rsid w:val="7E640566"/>
    <w:rsid w:val="7E7B475C"/>
    <w:rsid w:val="7EA816EB"/>
    <w:rsid w:val="7EC8691E"/>
    <w:rsid w:val="7F2876D4"/>
    <w:rsid w:val="7F862332"/>
    <w:rsid w:val="7F966BD2"/>
    <w:rsid w:val="FB87B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99"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pPr>
    <w:rPr>
      <w:rFonts w:ascii="Times New Roman" w:hAnsi="Times New Roman" w:eastAsia="宋体" w:cs="Times New Roman"/>
      <w:kern w:val="2"/>
      <w:sz w:val="24"/>
      <w:szCs w:val="24"/>
      <w:lang w:val="en-US" w:eastAsia="zh-CN" w:bidi="ar-SA"/>
    </w:rPr>
  </w:style>
  <w:style w:type="paragraph" w:styleId="3">
    <w:name w:val="heading 1"/>
    <w:basedOn w:val="1"/>
    <w:next w:val="1"/>
    <w:link w:val="122"/>
    <w:qFormat/>
    <w:uiPriority w:val="0"/>
    <w:pPr>
      <w:keepNext/>
      <w:keepLines/>
      <w:ind w:firstLine="0" w:firstLineChars="0"/>
      <w:jc w:val="center"/>
      <w:outlineLvl w:val="0"/>
    </w:pPr>
    <w:rPr>
      <w:rFonts w:ascii="宋体" w:hAnsi="宋体"/>
      <w:sz w:val="32"/>
    </w:rPr>
  </w:style>
  <w:style w:type="paragraph" w:styleId="4">
    <w:name w:val="heading 2"/>
    <w:basedOn w:val="1"/>
    <w:next w:val="1"/>
    <w:link w:val="155"/>
    <w:qFormat/>
    <w:uiPriority w:val="0"/>
    <w:pPr>
      <w:keepNext/>
      <w:keepLines/>
      <w:outlineLvl w:val="1"/>
    </w:pPr>
    <w:rPr>
      <w:rFonts w:ascii="宋体" w:hAnsi="宋体"/>
      <w:b/>
      <w:bCs/>
      <w:szCs w:val="32"/>
    </w:rPr>
  </w:style>
  <w:style w:type="paragraph" w:styleId="5">
    <w:name w:val="heading 3"/>
    <w:basedOn w:val="1"/>
    <w:next w:val="1"/>
    <w:link w:val="116"/>
    <w:qFormat/>
    <w:uiPriority w:val="0"/>
    <w:pPr>
      <w:keepNext/>
      <w:keepLines/>
      <w:numPr>
        <w:ilvl w:val="2"/>
        <w:numId w:val="1"/>
      </w:numPr>
      <w:spacing w:before="260" w:after="260" w:line="416" w:lineRule="auto"/>
      <w:jc w:val="both"/>
      <w:outlineLvl w:val="2"/>
    </w:pPr>
    <w:rPr>
      <w:b/>
      <w:bCs/>
      <w:sz w:val="28"/>
      <w:szCs w:val="32"/>
    </w:rPr>
  </w:style>
  <w:style w:type="paragraph" w:styleId="6">
    <w:name w:val="heading 4"/>
    <w:basedOn w:val="1"/>
    <w:next w:val="1"/>
    <w:link w:val="73"/>
    <w:semiHidden/>
    <w:unhideWhenUsed/>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97"/>
    <w:qFormat/>
    <w:uiPriority w:val="99"/>
    <w:pPr>
      <w:keepNext/>
      <w:tabs>
        <w:tab w:val="left" w:pos="720"/>
        <w:tab w:val="left" w:pos="930"/>
      </w:tabs>
      <w:ind w:left="930" w:hanging="750"/>
      <w:outlineLvl w:val="4"/>
    </w:pPr>
    <w:rPr>
      <w:rFonts w:hint="eastAsia"/>
      <w:sz w:val="32"/>
      <w:szCs w:val="20"/>
    </w:rPr>
  </w:style>
  <w:style w:type="paragraph" w:styleId="8">
    <w:name w:val="heading 6"/>
    <w:basedOn w:val="1"/>
    <w:next w:val="1"/>
    <w:link w:val="98"/>
    <w:qFormat/>
    <w:uiPriority w:val="99"/>
    <w:pPr>
      <w:keepNext/>
      <w:tabs>
        <w:tab w:val="left" w:pos="1350"/>
      </w:tabs>
      <w:ind w:left="1350" w:hanging="510"/>
      <w:outlineLvl w:val="5"/>
    </w:pPr>
    <w:rPr>
      <w:rFonts w:hint="eastAsia"/>
      <w:sz w:val="28"/>
      <w:szCs w:val="20"/>
    </w:rPr>
  </w:style>
  <w:style w:type="paragraph" w:styleId="9">
    <w:name w:val="heading 7"/>
    <w:basedOn w:val="1"/>
    <w:next w:val="1"/>
    <w:link w:val="99"/>
    <w:qFormat/>
    <w:uiPriority w:val="99"/>
    <w:pPr>
      <w:keepNext/>
      <w:keepLines/>
      <w:spacing w:before="240" w:after="64" w:line="320" w:lineRule="atLeast"/>
      <w:textAlignment w:val="baseline"/>
      <w:outlineLvl w:val="6"/>
    </w:pPr>
    <w:rPr>
      <w:rFonts w:hint="eastAsia"/>
      <w:b/>
      <w:szCs w:val="20"/>
    </w:rPr>
  </w:style>
  <w:style w:type="paragraph" w:styleId="10">
    <w:name w:val="heading 8"/>
    <w:basedOn w:val="1"/>
    <w:next w:val="1"/>
    <w:link w:val="100"/>
    <w:qFormat/>
    <w:uiPriority w:val="99"/>
    <w:pPr>
      <w:keepNext/>
      <w:tabs>
        <w:tab w:val="left" w:pos="0"/>
        <w:tab w:val="left" w:pos="1080"/>
        <w:tab w:val="left" w:pos="1260"/>
      </w:tabs>
      <w:ind w:left="540"/>
      <w:outlineLvl w:val="7"/>
    </w:pPr>
    <w:rPr>
      <w:rFonts w:hint="eastAsia"/>
      <w:sz w:val="28"/>
      <w:szCs w:val="20"/>
    </w:rPr>
  </w:style>
  <w:style w:type="paragraph" w:styleId="11">
    <w:name w:val="heading 9"/>
    <w:basedOn w:val="1"/>
    <w:next w:val="1"/>
    <w:link w:val="101"/>
    <w:qFormat/>
    <w:uiPriority w:val="99"/>
    <w:pPr>
      <w:keepNext/>
      <w:tabs>
        <w:tab w:val="left" w:pos="180"/>
        <w:tab w:val="left" w:pos="360"/>
        <w:tab w:val="left" w:pos="720"/>
      </w:tabs>
      <w:ind w:left="358" w:hanging="358"/>
      <w:outlineLvl w:val="8"/>
    </w:pPr>
    <w:rPr>
      <w:rFonts w:hint="eastAsia"/>
      <w:sz w:val="28"/>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olor w:val="000000"/>
      <w:kern w:val="0"/>
    </w:rPr>
  </w:style>
  <w:style w:type="paragraph" w:styleId="12">
    <w:name w:val="toc 7"/>
    <w:basedOn w:val="1"/>
    <w:next w:val="1"/>
    <w:unhideWhenUsed/>
    <w:qFormat/>
    <w:uiPriority w:val="39"/>
    <w:pPr>
      <w:ind w:left="1260"/>
    </w:pPr>
    <w:rPr>
      <w:rFonts w:hint="eastAsia"/>
      <w:sz w:val="18"/>
      <w:szCs w:val="20"/>
    </w:rPr>
  </w:style>
  <w:style w:type="paragraph" w:styleId="13">
    <w:name w:val="table of authorities"/>
    <w:basedOn w:val="1"/>
    <w:next w:val="1"/>
    <w:unhideWhenUsed/>
    <w:qFormat/>
    <w:uiPriority w:val="0"/>
    <w:pPr>
      <w:ind w:left="420" w:leftChars="200"/>
    </w:pPr>
    <w:rPr>
      <w:rFonts w:hint="eastAsia"/>
      <w:szCs w:val="20"/>
    </w:rPr>
  </w:style>
  <w:style w:type="paragraph" w:styleId="14">
    <w:name w:val="Normal Indent"/>
    <w:basedOn w:val="1"/>
    <w:qFormat/>
    <w:uiPriority w:val="0"/>
    <w:pPr>
      <w:jc w:val="both"/>
    </w:pPr>
    <w:rPr>
      <w:sz w:val="21"/>
    </w:rPr>
  </w:style>
  <w:style w:type="paragraph" w:styleId="15">
    <w:name w:val="annotation text"/>
    <w:basedOn w:val="1"/>
    <w:link w:val="127"/>
    <w:unhideWhenUsed/>
    <w:qFormat/>
    <w:uiPriority w:val="99"/>
    <w:pPr>
      <w:widowControl/>
    </w:pPr>
    <w:rPr>
      <w:rFonts w:hint="eastAsia" w:hAnsi="Calibri" w:eastAsia="Times New Roman"/>
      <w:kern w:val="0"/>
      <w:szCs w:val="20"/>
    </w:rPr>
  </w:style>
  <w:style w:type="paragraph" w:styleId="16">
    <w:name w:val="Body Text 3"/>
    <w:basedOn w:val="1"/>
    <w:link w:val="134"/>
    <w:unhideWhenUsed/>
    <w:qFormat/>
    <w:uiPriority w:val="99"/>
    <w:pPr>
      <w:widowControl/>
      <w:spacing w:line="480" w:lineRule="exact"/>
    </w:pPr>
    <w:rPr>
      <w:rFonts w:hint="eastAsia" w:hAnsi="Calibri" w:eastAsia="Times New Roman"/>
      <w:kern w:val="0"/>
      <w:sz w:val="16"/>
      <w:szCs w:val="20"/>
    </w:rPr>
  </w:style>
  <w:style w:type="paragraph" w:styleId="17">
    <w:name w:val="Body Text"/>
    <w:basedOn w:val="1"/>
    <w:next w:val="18"/>
    <w:link w:val="141"/>
    <w:unhideWhenUsed/>
    <w:qFormat/>
    <w:uiPriority w:val="99"/>
    <w:pPr>
      <w:spacing w:line="520" w:lineRule="exact"/>
    </w:pPr>
    <w:rPr>
      <w:rFonts w:ascii="Tahoma" w:hAnsi="Calibri"/>
      <w:kern w:val="0"/>
      <w:szCs w:val="20"/>
    </w:rPr>
  </w:style>
  <w:style w:type="paragraph" w:customStyle="1" w:styleId="18">
    <w:name w:val="Default"/>
    <w:next w:val="19"/>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19">
    <w:name w:val="大标题"/>
    <w:basedOn w:val="1"/>
    <w:next w:val="20"/>
    <w:qFormat/>
    <w:uiPriority w:val="0"/>
    <w:pPr>
      <w:jc w:val="center"/>
    </w:pPr>
    <w:rPr>
      <w:rFonts w:ascii="Arial" w:hAnsi="Arial" w:cs="Arial"/>
      <w:b/>
      <w:bCs/>
      <w:sz w:val="28"/>
      <w:szCs w:val="28"/>
    </w:rPr>
  </w:style>
  <w:style w:type="paragraph" w:styleId="20">
    <w:name w:val="Body Text First Indent 2"/>
    <w:basedOn w:val="21"/>
    <w:next w:val="1"/>
    <w:link w:val="160"/>
    <w:qFormat/>
    <w:uiPriority w:val="0"/>
    <w:pPr>
      <w:tabs>
        <w:tab w:val="left" w:pos="945"/>
        <w:tab w:val="left" w:pos="1155"/>
      </w:tabs>
    </w:pPr>
    <w:rPr>
      <w:sz w:val="20"/>
    </w:rPr>
  </w:style>
  <w:style w:type="paragraph" w:styleId="21">
    <w:name w:val="Body Text Indent"/>
    <w:basedOn w:val="1"/>
    <w:next w:val="22"/>
    <w:link w:val="107"/>
    <w:unhideWhenUsed/>
    <w:qFormat/>
    <w:uiPriority w:val="99"/>
    <w:pPr>
      <w:adjustRightInd w:val="0"/>
      <w:spacing w:after="120" w:line="360" w:lineRule="atLeast"/>
      <w:ind w:left="420" w:leftChars="200"/>
      <w:textAlignment w:val="baseline"/>
    </w:pPr>
    <w:rPr>
      <w:kern w:val="0"/>
      <w:szCs w:val="20"/>
    </w:rPr>
  </w:style>
  <w:style w:type="paragraph" w:styleId="22">
    <w:name w:val="envelope return"/>
    <w:basedOn w:val="1"/>
    <w:unhideWhenUsed/>
    <w:qFormat/>
    <w:uiPriority w:val="99"/>
    <w:pPr>
      <w:snapToGrid w:val="0"/>
    </w:pPr>
    <w:rPr>
      <w:rFonts w:ascii="Arial" w:hAnsi="Arial"/>
    </w:rPr>
  </w:style>
  <w:style w:type="paragraph" w:styleId="23">
    <w:name w:val="toc 5"/>
    <w:basedOn w:val="1"/>
    <w:next w:val="1"/>
    <w:unhideWhenUsed/>
    <w:qFormat/>
    <w:uiPriority w:val="39"/>
    <w:pPr>
      <w:ind w:left="840"/>
    </w:pPr>
    <w:rPr>
      <w:rFonts w:hint="eastAsia"/>
      <w:sz w:val="18"/>
      <w:szCs w:val="20"/>
    </w:rPr>
  </w:style>
  <w:style w:type="paragraph" w:styleId="24">
    <w:name w:val="toc 3"/>
    <w:basedOn w:val="1"/>
    <w:next w:val="1"/>
    <w:qFormat/>
    <w:uiPriority w:val="0"/>
    <w:pPr>
      <w:ind w:left="840"/>
    </w:pPr>
  </w:style>
  <w:style w:type="paragraph" w:styleId="25">
    <w:name w:val="Plain Text"/>
    <w:basedOn w:val="1"/>
    <w:link w:val="108"/>
    <w:unhideWhenUsed/>
    <w:qFormat/>
    <w:uiPriority w:val="99"/>
    <w:rPr>
      <w:rFonts w:hint="eastAsia" w:ascii="宋体" w:hAnsi="Courier"/>
      <w:kern w:val="0"/>
      <w:szCs w:val="20"/>
    </w:rPr>
  </w:style>
  <w:style w:type="paragraph" w:styleId="26">
    <w:name w:val="toc 8"/>
    <w:basedOn w:val="1"/>
    <w:next w:val="1"/>
    <w:unhideWhenUsed/>
    <w:qFormat/>
    <w:uiPriority w:val="39"/>
    <w:pPr>
      <w:ind w:left="1470"/>
    </w:pPr>
    <w:rPr>
      <w:rFonts w:hint="eastAsia"/>
      <w:sz w:val="18"/>
      <w:szCs w:val="20"/>
    </w:rPr>
  </w:style>
  <w:style w:type="paragraph" w:styleId="27">
    <w:name w:val="Date"/>
    <w:basedOn w:val="1"/>
    <w:next w:val="1"/>
    <w:link w:val="103"/>
    <w:qFormat/>
    <w:uiPriority w:val="0"/>
    <w:pPr>
      <w:jc w:val="both"/>
    </w:pPr>
    <w:rPr>
      <w:sz w:val="21"/>
    </w:rPr>
  </w:style>
  <w:style w:type="paragraph" w:styleId="28">
    <w:name w:val="Body Text Indent 2"/>
    <w:basedOn w:val="1"/>
    <w:link w:val="124"/>
    <w:unhideWhenUsed/>
    <w:qFormat/>
    <w:uiPriority w:val="99"/>
    <w:pPr>
      <w:spacing w:line="520" w:lineRule="exact"/>
    </w:pPr>
    <w:rPr>
      <w:rFonts w:hint="eastAsia" w:hAnsi="Calibri" w:eastAsia="Times New Roman"/>
      <w:kern w:val="0"/>
      <w:szCs w:val="20"/>
    </w:rPr>
  </w:style>
  <w:style w:type="paragraph" w:styleId="29">
    <w:name w:val="Balloon Text"/>
    <w:basedOn w:val="1"/>
    <w:link w:val="71"/>
    <w:unhideWhenUsed/>
    <w:qFormat/>
    <w:uiPriority w:val="99"/>
    <w:rPr>
      <w:sz w:val="18"/>
      <w:szCs w:val="18"/>
    </w:rPr>
  </w:style>
  <w:style w:type="paragraph" w:styleId="30">
    <w:name w:val="footer"/>
    <w:basedOn w:val="1"/>
    <w:next w:val="1"/>
    <w:link w:val="132"/>
    <w:qFormat/>
    <w:uiPriority w:val="99"/>
    <w:pPr>
      <w:tabs>
        <w:tab w:val="left" w:pos="4138"/>
        <w:tab w:val="left" w:pos="8005"/>
      </w:tabs>
      <w:spacing w:line="714" w:lineRule="atLeast"/>
      <w:ind w:firstLine="419"/>
      <w:textAlignment w:val="baseline"/>
    </w:pPr>
    <w:rPr>
      <w:color w:val="000000"/>
      <w:sz w:val="18"/>
      <w:u w:color="000000"/>
    </w:rPr>
  </w:style>
  <w:style w:type="paragraph" w:styleId="31">
    <w:name w:val="header"/>
    <w:basedOn w:val="1"/>
    <w:link w:val="128"/>
    <w:qFormat/>
    <w:uiPriority w:val="0"/>
    <w:pPr>
      <w:tabs>
        <w:tab w:val="left" w:pos="4144"/>
        <w:tab w:val="left" w:pos="8010"/>
      </w:tabs>
      <w:spacing w:line="600" w:lineRule="atLeast"/>
      <w:ind w:firstLine="419"/>
      <w:jc w:val="center"/>
      <w:textAlignment w:val="baseline"/>
    </w:pPr>
    <w:rPr>
      <w:color w:val="000000"/>
      <w:sz w:val="18"/>
      <w:u w:color="000000"/>
    </w:rPr>
  </w:style>
  <w:style w:type="paragraph" w:styleId="32">
    <w:name w:val="toc 1"/>
    <w:basedOn w:val="1"/>
    <w:next w:val="1"/>
    <w:qFormat/>
    <w:uiPriority w:val="0"/>
  </w:style>
  <w:style w:type="paragraph" w:styleId="33">
    <w:name w:val="toc 4"/>
    <w:basedOn w:val="1"/>
    <w:next w:val="1"/>
    <w:unhideWhenUsed/>
    <w:qFormat/>
    <w:uiPriority w:val="39"/>
    <w:pPr>
      <w:ind w:left="630"/>
    </w:pPr>
    <w:rPr>
      <w:rFonts w:hint="eastAsia"/>
      <w:sz w:val="18"/>
      <w:szCs w:val="20"/>
    </w:rPr>
  </w:style>
  <w:style w:type="paragraph" w:styleId="34">
    <w:name w:val="toc 6"/>
    <w:basedOn w:val="1"/>
    <w:next w:val="1"/>
    <w:unhideWhenUsed/>
    <w:qFormat/>
    <w:uiPriority w:val="39"/>
    <w:pPr>
      <w:ind w:left="1050"/>
    </w:pPr>
    <w:rPr>
      <w:rFonts w:hint="eastAsia"/>
      <w:sz w:val="18"/>
      <w:szCs w:val="20"/>
    </w:rPr>
  </w:style>
  <w:style w:type="paragraph" w:styleId="35">
    <w:name w:val="Body Text Indent 3"/>
    <w:basedOn w:val="1"/>
    <w:link w:val="118"/>
    <w:unhideWhenUsed/>
    <w:qFormat/>
    <w:uiPriority w:val="99"/>
    <w:pPr>
      <w:spacing w:after="120"/>
      <w:ind w:left="420" w:leftChars="200"/>
    </w:pPr>
    <w:rPr>
      <w:sz w:val="16"/>
      <w:szCs w:val="16"/>
    </w:rPr>
  </w:style>
  <w:style w:type="paragraph" w:styleId="36">
    <w:name w:val="toc 2"/>
    <w:basedOn w:val="1"/>
    <w:next w:val="1"/>
    <w:qFormat/>
    <w:uiPriority w:val="0"/>
    <w:pPr>
      <w:ind w:left="420"/>
    </w:pPr>
  </w:style>
  <w:style w:type="paragraph" w:styleId="37">
    <w:name w:val="toc 9"/>
    <w:basedOn w:val="1"/>
    <w:next w:val="1"/>
    <w:unhideWhenUsed/>
    <w:qFormat/>
    <w:uiPriority w:val="39"/>
    <w:pPr>
      <w:ind w:left="1680"/>
    </w:pPr>
    <w:rPr>
      <w:rFonts w:hint="eastAsia"/>
      <w:sz w:val="18"/>
      <w:szCs w:val="20"/>
    </w:rPr>
  </w:style>
  <w:style w:type="paragraph" w:styleId="38">
    <w:name w:val="Body Text 2"/>
    <w:basedOn w:val="1"/>
    <w:link w:val="136"/>
    <w:unhideWhenUsed/>
    <w:qFormat/>
    <w:uiPriority w:val="99"/>
    <w:pPr>
      <w:widowControl/>
      <w:spacing w:line="480" w:lineRule="exact"/>
    </w:pPr>
    <w:rPr>
      <w:rFonts w:hint="eastAsia" w:hAnsi="Calibri" w:eastAsia="Times New Roman"/>
      <w:kern w:val="0"/>
      <w:szCs w:val="20"/>
    </w:rPr>
  </w:style>
  <w:style w:type="paragraph" w:styleId="39">
    <w:name w:val="Normal (Web)"/>
    <w:basedOn w:val="1"/>
    <w:unhideWhenUsed/>
    <w:qFormat/>
    <w:uiPriority w:val="99"/>
    <w:pPr>
      <w:widowControl/>
      <w:spacing w:before="100" w:beforeAutospacing="1" w:after="100" w:afterAutospacing="1"/>
    </w:pPr>
    <w:rPr>
      <w:rFonts w:hint="eastAsia" w:ascii="宋体" w:hAnsi="宋体"/>
      <w:szCs w:val="20"/>
    </w:rPr>
  </w:style>
  <w:style w:type="paragraph" w:styleId="40">
    <w:name w:val="index 1"/>
    <w:basedOn w:val="1"/>
    <w:next w:val="1"/>
    <w:unhideWhenUsed/>
    <w:qFormat/>
    <w:uiPriority w:val="99"/>
    <w:pPr>
      <w:jc w:val="center"/>
    </w:pPr>
    <w:rPr>
      <w:rFonts w:hint="eastAsia"/>
      <w:szCs w:val="20"/>
    </w:rPr>
  </w:style>
  <w:style w:type="paragraph" w:styleId="41">
    <w:name w:val="Title"/>
    <w:basedOn w:val="1"/>
    <w:next w:val="1"/>
    <w:link w:val="76"/>
    <w:qFormat/>
    <w:uiPriority w:val="10"/>
    <w:pPr>
      <w:spacing w:before="240" w:after="60"/>
      <w:jc w:val="center"/>
      <w:outlineLvl w:val="0"/>
    </w:pPr>
    <w:rPr>
      <w:rFonts w:ascii="Cambria" w:hAnsi="Cambria"/>
      <w:b/>
      <w:bCs/>
      <w:sz w:val="32"/>
      <w:szCs w:val="32"/>
    </w:rPr>
  </w:style>
  <w:style w:type="paragraph" w:styleId="42">
    <w:name w:val="annotation subject"/>
    <w:basedOn w:val="15"/>
    <w:next w:val="15"/>
    <w:link w:val="135"/>
    <w:unhideWhenUsed/>
    <w:qFormat/>
    <w:uiPriority w:val="99"/>
    <w:rPr>
      <w:b/>
    </w:rPr>
  </w:style>
  <w:style w:type="paragraph" w:styleId="43">
    <w:name w:val="Body Text First Indent"/>
    <w:basedOn w:val="17"/>
    <w:qFormat/>
    <w:uiPriority w:val="0"/>
    <w:pPr>
      <w:spacing w:line="240" w:lineRule="auto"/>
      <w:ind w:firstLine="100" w:firstLineChars="100"/>
      <w:jc w:val="both"/>
    </w:pPr>
    <w:rPr>
      <w:rFonts w:ascii="Calibri"/>
      <w:sz w:val="21"/>
      <w:szCs w:val="24"/>
    </w:rPr>
  </w:style>
  <w:style w:type="table" w:styleId="45">
    <w:name w:val="Table Grid"/>
    <w:basedOn w:val="44"/>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99"/>
    <w:rPr>
      <w:rFonts w:hint="eastAsia" w:ascii="Times New Roman" w:hAnsi="Calibri" w:eastAsia="Times New Roman" w:cs="Times New Roman"/>
      <w:b/>
      <w:sz w:val="24"/>
    </w:rPr>
  </w:style>
  <w:style w:type="character" w:styleId="48">
    <w:name w:val="page number"/>
    <w:basedOn w:val="46"/>
    <w:qFormat/>
    <w:uiPriority w:val="0"/>
    <w:rPr>
      <w:rFonts w:ascii="Times New Roman" w:hAnsi="Times New Roman" w:eastAsia="宋体" w:cs="Times New Roman"/>
    </w:rPr>
  </w:style>
  <w:style w:type="character" w:styleId="49">
    <w:name w:val="Emphasis"/>
    <w:qFormat/>
    <w:uiPriority w:val="99"/>
    <w:rPr>
      <w:rFonts w:hint="eastAsia" w:ascii="Times New Roman" w:hAnsi="Calibri" w:eastAsia="Times New Roman" w:cs="Times New Roman"/>
      <w:sz w:val="24"/>
    </w:rPr>
  </w:style>
  <w:style w:type="character" w:styleId="50">
    <w:name w:val="Hyperlink"/>
    <w:qFormat/>
    <w:uiPriority w:val="0"/>
    <w:rPr>
      <w:rFonts w:ascii="Times New Roman" w:hAnsi="Times New Roman" w:eastAsia="宋体" w:cs="Times New Roman"/>
      <w:color w:val="0000FF"/>
      <w:u w:val="single"/>
    </w:rPr>
  </w:style>
  <w:style w:type="character" w:styleId="51">
    <w:name w:val="annotation reference"/>
    <w:unhideWhenUsed/>
    <w:qFormat/>
    <w:uiPriority w:val="99"/>
    <w:rPr>
      <w:rFonts w:hint="eastAsia" w:ascii="Times New Roman" w:hAnsi="Calibri" w:eastAsia="Times New Roman" w:cs="Times New Roman"/>
      <w:sz w:val="21"/>
    </w:rPr>
  </w:style>
  <w:style w:type="character" w:styleId="52">
    <w:name w:val="HTML Sample"/>
    <w:basedOn w:val="46"/>
    <w:qFormat/>
    <w:uiPriority w:val="0"/>
    <w:rPr>
      <w:rFonts w:ascii="Courier New" w:hAnsi="Courier New"/>
    </w:rPr>
  </w:style>
  <w:style w:type="paragraph" w:customStyle="1" w:styleId="53">
    <w:name w:val="样式 正文首行缩进 2 + Arial"/>
    <w:basedOn w:val="1"/>
    <w:next w:val="1"/>
    <w:qFormat/>
    <w:uiPriority w:val="0"/>
    <w:pPr>
      <w:spacing w:after="120" w:line="320" w:lineRule="atLeast"/>
      <w:ind w:firstLine="200"/>
    </w:pPr>
    <w:rPr>
      <w:rFonts w:ascii="Arial" w:hAnsi="Arial"/>
      <w:kern w:val="0"/>
    </w:rPr>
  </w:style>
  <w:style w:type="paragraph" w:customStyle="1" w:styleId="54">
    <w:name w:val="BodyText1I2"/>
    <w:basedOn w:val="55"/>
    <w:qFormat/>
    <w:uiPriority w:val="0"/>
    <w:pPr>
      <w:ind w:firstLine="420"/>
    </w:pPr>
  </w:style>
  <w:style w:type="paragraph" w:customStyle="1" w:styleId="55">
    <w:name w:val="BodyTextIndent"/>
    <w:basedOn w:val="1"/>
    <w:qFormat/>
    <w:uiPriority w:val="0"/>
    <w:pPr>
      <w:widowControl/>
      <w:ind w:firstLine="540"/>
      <w:jc w:val="both"/>
      <w:textAlignment w:val="baseline"/>
    </w:pPr>
    <w:rPr>
      <w:rFonts w:ascii="宋体" w:hAnsi="MS Sans Serif"/>
      <w:spacing w:val="12"/>
      <w:kern w:val="0"/>
      <w:szCs w:val="20"/>
    </w:rPr>
  </w:style>
  <w:style w:type="paragraph" w:customStyle="1" w:styleId="56">
    <w:name w:val="Style1"/>
    <w:basedOn w:val="1"/>
    <w:qFormat/>
    <w:uiPriority w:val="99"/>
    <w:pPr>
      <w:tabs>
        <w:tab w:val="left" w:pos="-720"/>
      </w:tabs>
      <w:spacing w:after="120"/>
    </w:pPr>
    <w:rPr>
      <w:spacing w:val="-3"/>
      <w:szCs w:val="20"/>
      <w:lang w:val="en-AU" w:eastAsia="en-US"/>
    </w:rPr>
  </w:style>
  <w:style w:type="paragraph" w:customStyle="1" w:styleId="57">
    <w:name w:val="p17"/>
    <w:basedOn w:val="1"/>
    <w:qFormat/>
    <w:uiPriority w:val="0"/>
    <w:pPr>
      <w:widowControl/>
      <w:shd w:val="clear" w:color="auto" w:fill="FFFFFF"/>
      <w:spacing w:before="100" w:after="100"/>
    </w:pPr>
    <w:rPr>
      <w:rFonts w:ascii="ˎ̥" w:hAnsi="ˎ̥" w:cs="宋体"/>
      <w:kern w:val="0"/>
      <w:sz w:val="18"/>
      <w:szCs w:val="18"/>
    </w:rPr>
  </w:style>
  <w:style w:type="paragraph" w:customStyle="1" w:styleId="58">
    <w:name w:val="普通正文"/>
    <w:basedOn w:val="1"/>
    <w:qFormat/>
    <w:uiPriority w:val="0"/>
    <w:pPr>
      <w:adjustRightInd w:val="0"/>
      <w:spacing w:after="120"/>
      <w:ind w:left="210" w:leftChars="100" w:right="210" w:rightChars="100"/>
      <w:jc w:val="both"/>
      <w:textAlignment w:val="baseline"/>
    </w:pPr>
    <w:rPr>
      <w:rFonts w:ascii="宋体" w:hAnsi="宋体"/>
      <w:color w:val="000000"/>
    </w:rPr>
  </w:style>
  <w:style w:type="paragraph" w:customStyle="1" w:styleId="59">
    <w:name w:val="MM Topic 3"/>
    <w:basedOn w:val="5"/>
    <w:qFormat/>
    <w:uiPriority w:val="0"/>
    <w:pPr>
      <w:tabs>
        <w:tab w:val="clear" w:pos="709"/>
      </w:tabs>
    </w:pPr>
  </w:style>
  <w:style w:type="paragraph" w:customStyle="1" w:styleId="60">
    <w:name w:val="表题"/>
    <w:qFormat/>
    <w:uiPriority w:val="0"/>
    <w:pPr>
      <w:keepNext/>
      <w:keepLines/>
      <w:numPr>
        <w:ilvl w:val="5"/>
        <w:numId w:val="2"/>
      </w:numPr>
      <w:adjustRightInd w:val="0"/>
      <w:snapToGrid w:val="0"/>
      <w:spacing w:before="80" w:line="360" w:lineRule="auto"/>
      <w:jc w:val="center"/>
    </w:pPr>
    <w:rPr>
      <w:rFonts w:ascii="Arial" w:hAnsi="Arial" w:eastAsia="黑体" w:cs="Times New Roman"/>
      <w:sz w:val="16"/>
      <w:lang w:val="en-US" w:eastAsia="zh-CN" w:bidi="ar-SA"/>
    </w:rPr>
  </w:style>
  <w:style w:type="paragraph" w:customStyle="1" w:styleId="61">
    <w:name w:val="MM Topic 2"/>
    <w:basedOn w:val="4"/>
    <w:qFormat/>
    <w:uiPriority w:val="0"/>
    <w:rPr>
      <w:rFonts w:ascii="Cambria" w:hAnsi="Cambria"/>
    </w:rPr>
  </w:style>
  <w:style w:type="paragraph" w:customStyle="1" w:styleId="62">
    <w:name w:val="MM Topic 1"/>
    <w:basedOn w:val="3"/>
    <w:qFormat/>
    <w:uiPriority w:val="0"/>
  </w:style>
  <w:style w:type="paragraph" w:customStyle="1" w:styleId="63">
    <w:name w:val="列出段落1"/>
    <w:basedOn w:val="1"/>
    <w:qFormat/>
    <w:uiPriority w:val="34"/>
    <w:rPr>
      <w:rFonts w:ascii="Calibri" w:hAnsi="Calibri" w:cs="黑体"/>
      <w:szCs w:val="22"/>
    </w:rPr>
  </w:style>
  <w:style w:type="paragraph" w:styleId="64">
    <w:name w:val="List Paragraph"/>
    <w:basedOn w:val="1"/>
    <w:link w:val="151"/>
    <w:qFormat/>
    <w:uiPriority w:val="34"/>
  </w:style>
  <w:style w:type="paragraph" w:customStyle="1" w:styleId="65">
    <w:name w:val="p15"/>
    <w:basedOn w:val="1"/>
    <w:qFormat/>
    <w:uiPriority w:val="0"/>
    <w:pPr>
      <w:widowControl/>
      <w:shd w:val="clear" w:color="auto" w:fill="FFFFFF"/>
      <w:spacing w:before="100" w:after="100"/>
    </w:pPr>
    <w:rPr>
      <w:rFonts w:ascii="ˎ̥" w:hAnsi="ˎ̥" w:cs="宋体"/>
      <w:kern w:val="0"/>
      <w:sz w:val="18"/>
      <w:szCs w:val="18"/>
    </w:rPr>
  </w:style>
  <w:style w:type="paragraph" w:customStyle="1" w:styleId="66">
    <w:name w:val="_Style 54"/>
    <w:basedOn w:val="3"/>
    <w:next w:val="1"/>
    <w:qFormat/>
    <w:uiPriority w:val="0"/>
    <w:pPr>
      <w:tabs>
        <w:tab w:val="left" w:pos="425"/>
      </w:tabs>
      <w:spacing w:before="480" w:line="276" w:lineRule="auto"/>
      <w:outlineLvl w:val="9"/>
    </w:pPr>
    <w:rPr>
      <w:rFonts w:ascii="Cambria" w:hAnsi="Cambria"/>
      <w:b/>
      <w:bCs/>
      <w:color w:val="365F91"/>
      <w:sz w:val="28"/>
      <w:szCs w:val="28"/>
    </w:rPr>
  </w:style>
  <w:style w:type="paragraph" w:customStyle="1" w:styleId="67">
    <w:name w:val="List Paragraph1"/>
    <w:basedOn w:val="1"/>
    <w:qFormat/>
    <w:uiPriority w:val="99"/>
    <w:rPr>
      <w:rFonts w:ascii="Calibri" w:hAnsi="Calibri" w:cs="Calibri"/>
      <w:szCs w:val="21"/>
    </w:rPr>
  </w:style>
  <w:style w:type="paragraph" w:customStyle="1" w:styleId="68">
    <w:name w:val="p0"/>
    <w:basedOn w:val="1"/>
    <w:qFormat/>
    <w:uiPriority w:val="0"/>
    <w:pPr>
      <w:widowControl/>
    </w:pPr>
    <w:rPr>
      <w:kern w:val="0"/>
      <w:szCs w:val="21"/>
    </w:rPr>
  </w:style>
  <w:style w:type="paragraph" w:customStyle="1" w:styleId="69">
    <w:name w:val="p16"/>
    <w:basedOn w:val="1"/>
    <w:qFormat/>
    <w:uiPriority w:val="0"/>
    <w:pPr>
      <w:widowControl/>
      <w:shd w:val="clear" w:color="auto" w:fill="FFFFFF"/>
      <w:spacing w:before="100" w:after="100"/>
    </w:pPr>
    <w:rPr>
      <w:rFonts w:ascii="ˎ̥" w:hAnsi="ˎ̥" w:cs="宋体"/>
      <w:kern w:val="0"/>
      <w:sz w:val="18"/>
      <w:szCs w:val="18"/>
    </w:rPr>
  </w:style>
  <w:style w:type="paragraph" w:customStyle="1" w:styleId="70">
    <w:name w:val="规范正文"/>
    <w:basedOn w:val="1"/>
    <w:link w:val="75"/>
    <w:qFormat/>
    <w:uiPriority w:val="0"/>
    <w:pPr>
      <w:adjustRightInd w:val="0"/>
      <w:ind w:left="480"/>
    </w:pPr>
    <w:rPr>
      <w:kern w:val="0"/>
      <w:szCs w:val="20"/>
    </w:rPr>
  </w:style>
  <w:style w:type="character" w:customStyle="1" w:styleId="71">
    <w:name w:val="批注框文本 Char"/>
    <w:link w:val="29"/>
    <w:semiHidden/>
    <w:qFormat/>
    <w:uiPriority w:val="99"/>
    <w:rPr>
      <w:rFonts w:ascii="Times New Roman" w:hAnsi="Times New Roman" w:eastAsia="宋体" w:cs="Times New Roman"/>
      <w:kern w:val="2"/>
      <w:sz w:val="18"/>
      <w:szCs w:val="18"/>
    </w:rPr>
  </w:style>
  <w:style w:type="character" w:customStyle="1" w:styleId="72">
    <w:name w:val="15"/>
    <w:qFormat/>
    <w:uiPriority w:val="0"/>
    <w:rPr>
      <w:rFonts w:hint="default" w:ascii="Times New Roman" w:hAnsi="Times New Roman" w:eastAsia="宋体" w:cs="Times New Roman"/>
      <w:color w:val="000000"/>
      <w:sz w:val="18"/>
      <w:szCs w:val="18"/>
    </w:rPr>
  </w:style>
  <w:style w:type="character" w:customStyle="1" w:styleId="73">
    <w:name w:val="标题 4 Char"/>
    <w:link w:val="6"/>
    <w:semiHidden/>
    <w:qFormat/>
    <w:uiPriority w:val="9"/>
    <w:rPr>
      <w:rFonts w:ascii="Cambria" w:hAnsi="Cambria" w:eastAsia="宋体" w:cs="Times New Roman"/>
      <w:b/>
      <w:bCs/>
      <w:kern w:val="2"/>
      <w:sz w:val="28"/>
      <w:szCs w:val="28"/>
    </w:rPr>
  </w:style>
  <w:style w:type="character" w:customStyle="1" w:styleId="74">
    <w:name w:val="列出段落 Char"/>
    <w:qFormat/>
    <w:uiPriority w:val="34"/>
    <w:rPr>
      <w:rFonts w:ascii="Times New Roman" w:hAnsi="Times New Roman" w:eastAsia="宋体" w:cs="Times New Roman"/>
      <w:kern w:val="2"/>
      <w:sz w:val="21"/>
      <w:szCs w:val="24"/>
    </w:rPr>
  </w:style>
  <w:style w:type="character" w:customStyle="1" w:styleId="75">
    <w:name w:val="规范正文 Char"/>
    <w:link w:val="70"/>
    <w:qFormat/>
    <w:uiPriority w:val="0"/>
    <w:rPr>
      <w:rFonts w:ascii="Times New Roman" w:hAnsi="Times New Roman" w:eastAsia="宋体" w:cs="Times New Roman"/>
      <w:sz w:val="24"/>
    </w:rPr>
  </w:style>
  <w:style w:type="character" w:customStyle="1" w:styleId="76">
    <w:name w:val="标题 Char"/>
    <w:link w:val="41"/>
    <w:qFormat/>
    <w:uiPriority w:val="10"/>
    <w:rPr>
      <w:rFonts w:ascii="Cambria" w:hAnsi="Cambria" w:eastAsia="宋体" w:cs="Times New Roman"/>
      <w:b/>
      <w:bCs/>
      <w:kern w:val="2"/>
      <w:sz w:val="32"/>
      <w:szCs w:val="32"/>
    </w:rPr>
  </w:style>
  <w:style w:type="character" w:customStyle="1" w:styleId="77">
    <w:name w:val="apple-converted-space"/>
    <w:basedOn w:val="46"/>
    <w:qFormat/>
    <w:uiPriority w:val="0"/>
    <w:rPr>
      <w:rFonts w:ascii="Times New Roman" w:hAnsi="Times New Roman" w:eastAsia="宋体" w:cs="Times New Roman"/>
    </w:rPr>
  </w:style>
  <w:style w:type="paragraph" w:customStyle="1" w:styleId="78">
    <w:name w:val="std0"/>
    <w:basedOn w:val="1"/>
    <w:unhideWhenUsed/>
    <w:qFormat/>
    <w:uiPriority w:val="0"/>
    <w:pPr>
      <w:widowControl/>
    </w:pPr>
    <w:rPr>
      <w:rFonts w:hint="eastAsia" w:ascii="宋体" w:hAnsi="宋体"/>
      <w:szCs w:val="20"/>
    </w:rPr>
  </w:style>
  <w:style w:type="paragraph" w:customStyle="1" w:styleId="79">
    <w:name w:val="样式"/>
    <w:unhideWhenUsed/>
    <w:qFormat/>
    <w:uiPriority w:val="0"/>
    <w:pPr>
      <w:widowControl w:val="0"/>
      <w:autoSpaceDE w:val="0"/>
      <w:autoSpaceDN w:val="0"/>
    </w:pPr>
    <w:rPr>
      <w:rFonts w:hint="eastAsia" w:ascii="Times New Roman" w:hAnsi="Times New Roman" w:eastAsia="宋体" w:cs="Times New Roman"/>
      <w:sz w:val="24"/>
      <w:lang w:val="en-US" w:eastAsia="zh-CN" w:bidi="ar-SA"/>
    </w:rPr>
  </w:style>
  <w:style w:type="paragraph" w:customStyle="1" w:styleId="80">
    <w:name w:val="Char1"/>
    <w:basedOn w:val="1"/>
    <w:unhideWhenUsed/>
    <w:qFormat/>
    <w:uiPriority w:val="99"/>
    <w:pPr>
      <w:widowControl/>
      <w:spacing w:after="160" w:line="240" w:lineRule="exact"/>
    </w:pPr>
    <w:rPr>
      <w:rFonts w:hint="eastAsia"/>
      <w:szCs w:val="20"/>
    </w:rPr>
  </w:style>
  <w:style w:type="paragraph" w:customStyle="1" w:styleId="81">
    <w:name w:val="图1"/>
    <w:basedOn w:val="1"/>
    <w:next w:val="1"/>
    <w:unhideWhenUsed/>
    <w:qFormat/>
    <w:uiPriority w:val="99"/>
    <w:pPr>
      <w:tabs>
        <w:tab w:val="left" w:pos="777"/>
      </w:tabs>
      <w:spacing w:before="156" w:beforeLines="50"/>
      <w:ind w:left="4420" w:hanging="748"/>
      <w:jc w:val="center"/>
    </w:pPr>
    <w:rPr>
      <w:rFonts w:hint="eastAsia"/>
      <w:szCs w:val="20"/>
    </w:rPr>
  </w:style>
  <w:style w:type="paragraph" w:customStyle="1" w:styleId="82">
    <w:name w:val="1"/>
    <w:basedOn w:val="1"/>
    <w:unhideWhenUsed/>
    <w:qFormat/>
    <w:uiPriority w:val="99"/>
    <w:pPr>
      <w:widowControl/>
      <w:spacing w:before="100" w:beforeAutospacing="1" w:after="100" w:afterAutospacing="1"/>
    </w:pPr>
    <w:rPr>
      <w:rFonts w:hint="eastAsia" w:ascii="宋体" w:hAnsi="宋体"/>
      <w:szCs w:val="20"/>
    </w:rPr>
  </w:style>
  <w:style w:type="paragraph" w:customStyle="1" w:styleId="83">
    <w:name w:val="目录文字"/>
    <w:basedOn w:val="1"/>
    <w:unhideWhenUsed/>
    <w:qFormat/>
    <w:uiPriority w:val="99"/>
    <w:pPr>
      <w:widowControl/>
      <w:spacing w:line="480" w:lineRule="auto"/>
    </w:pPr>
    <w:rPr>
      <w:rFonts w:hint="eastAsia" w:ascii="宋体" w:hAnsi="宋体"/>
      <w:szCs w:val="20"/>
    </w:rPr>
  </w:style>
  <w:style w:type="paragraph" w:customStyle="1" w:styleId="84">
    <w:name w:val="Char Char Char"/>
    <w:basedOn w:val="1"/>
    <w:unhideWhenUsed/>
    <w:qFormat/>
    <w:uiPriority w:val="0"/>
    <w:rPr>
      <w:rFonts w:hint="eastAsia" w:ascii="Tahoma" w:hAnsi="Tahoma"/>
      <w:szCs w:val="20"/>
    </w:rPr>
  </w:style>
  <w:style w:type="paragraph" w:customStyle="1" w:styleId="85">
    <w:name w:val="封面标准文稿编辑信息"/>
    <w:unhideWhenUsed/>
    <w:qFormat/>
    <w:uiPriority w:val="99"/>
    <w:pPr>
      <w:spacing w:before="180" w:line="180" w:lineRule="exact"/>
      <w:jc w:val="center"/>
    </w:pPr>
    <w:rPr>
      <w:rFonts w:hint="eastAsia" w:ascii="宋体" w:hAnsi="Times New Roman" w:eastAsia="宋体" w:cs="Times New Roman"/>
      <w:sz w:val="21"/>
      <w:lang w:val="en-US" w:eastAsia="zh-CN" w:bidi="ar-SA"/>
    </w:rPr>
  </w:style>
  <w:style w:type="paragraph" w:customStyle="1" w:styleId="86">
    <w:name w:val="Char Char Char Char"/>
    <w:basedOn w:val="1"/>
    <w:unhideWhenUsed/>
    <w:qFormat/>
    <w:uiPriority w:val="99"/>
    <w:rPr>
      <w:rFonts w:hint="eastAsia"/>
      <w:szCs w:val="20"/>
    </w:rPr>
  </w:style>
  <w:style w:type="paragraph" w:customStyle="1" w:styleId="87">
    <w:name w:val="Char Char Char Char2"/>
    <w:basedOn w:val="1"/>
    <w:unhideWhenUsed/>
    <w:qFormat/>
    <w:uiPriority w:val="99"/>
    <w:rPr>
      <w:rFonts w:hint="eastAsia"/>
      <w:szCs w:val="20"/>
    </w:rPr>
  </w:style>
  <w:style w:type="paragraph" w:customStyle="1" w:styleId="88">
    <w:name w:val="Char"/>
    <w:basedOn w:val="1"/>
    <w:unhideWhenUsed/>
    <w:qFormat/>
    <w:uiPriority w:val="99"/>
    <w:rPr>
      <w:rFonts w:hint="eastAsia" w:ascii="Tahoma" w:hAnsi="Tahoma"/>
      <w:szCs w:val="20"/>
    </w:rPr>
  </w:style>
  <w:style w:type="paragraph" w:customStyle="1" w:styleId="89">
    <w:name w:val="Char Char Char Char1"/>
    <w:basedOn w:val="1"/>
    <w:unhideWhenUsed/>
    <w:qFormat/>
    <w:uiPriority w:val="99"/>
    <w:pPr>
      <w:tabs>
        <w:tab w:val="left" w:pos="420"/>
      </w:tabs>
      <w:ind w:left="420" w:hanging="420"/>
    </w:pPr>
    <w:rPr>
      <w:rFonts w:hint="eastAsia" w:ascii="Tahoma" w:hAnsi="Tahoma"/>
      <w:sz w:val="28"/>
      <w:szCs w:val="20"/>
    </w:rPr>
  </w:style>
  <w:style w:type="paragraph" w:customStyle="1" w:styleId="90">
    <w:name w:val="样式1"/>
    <w:basedOn w:val="1"/>
    <w:next w:val="43"/>
    <w:unhideWhenUsed/>
    <w:qFormat/>
    <w:uiPriority w:val="0"/>
    <w:pPr>
      <w:textAlignment w:val="baseline"/>
    </w:pPr>
    <w:rPr>
      <w:rFonts w:hint="eastAsia" w:ascii="宋体" w:hAnsi="宋体"/>
      <w:szCs w:val="20"/>
    </w:rPr>
  </w:style>
  <w:style w:type="paragraph" w:customStyle="1" w:styleId="91">
    <w:name w:val="正文_2_27"/>
    <w:unhideWhenUsed/>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2">
    <w:name w:val="unnamed2"/>
    <w:basedOn w:val="1"/>
    <w:unhideWhenUsed/>
    <w:qFormat/>
    <w:uiPriority w:val="99"/>
    <w:pPr>
      <w:widowControl/>
      <w:spacing w:before="100" w:beforeAutospacing="1" w:after="100" w:afterAutospacing="1" w:line="375" w:lineRule="atLeast"/>
    </w:pPr>
    <w:rPr>
      <w:rFonts w:hint="eastAsia" w:ascii="宋体" w:hAnsi="宋体"/>
      <w:sz w:val="20"/>
      <w:szCs w:val="20"/>
    </w:rPr>
  </w:style>
  <w:style w:type="paragraph" w:customStyle="1" w:styleId="93">
    <w:name w:val="Char Char1"/>
    <w:basedOn w:val="1"/>
    <w:unhideWhenUsed/>
    <w:qFormat/>
    <w:uiPriority w:val="99"/>
    <w:rPr>
      <w:rFonts w:hint="eastAsia"/>
      <w:szCs w:val="20"/>
    </w:rPr>
  </w:style>
  <w:style w:type="paragraph" w:customStyle="1" w:styleId="94">
    <w:name w:val="Char2"/>
    <w:basedOn w:val="1"/>
    <w:unhideWhenUsed/>
    <w:qFormat/>
    <w:uiPriority w:val="99"/>
    <w:rPr>
      <w:rFonts w:hint="eastAsia"/>
      <w:szCs w:val="20"/>
    </w:rPr>
  </w:style>
  <w:style w:type="paragraph" w:customStyle="1" w:styleId="95">
    <w:name w:val="Char Char1 Char Char"/>
    <w:basedOn w:val="1"/>
    <w:qFormat/>
    <w:uiPriority w:val="0"/>
    <w:rPr>
      <w:rFonts w:hint="eastAsia" w:ascii="Calibri" w:hAnsi="Calibri"/>
      <w:szCs w:val="21"/>
    </w:rPr>
  </w:style>
  <w:style w:type="paragraph" w:customStyle="1" w:styleId="96">
    <w:name w:val="Table Paragraph"/>
    <w:basedOn w:val="1"/>
    <w:qFormat/>
    <w:uiPriority w:val="1"/>
    <w:pPr>
      <w:autoSpaceDE w:val="0"/>
      <w:autoSpaceDN w:val="0"/>
    </w:pPr>
    <w:rPr>
      <w:rFonts w:ascii="宋体" w:hAnsi="宋体" w:cs="宋体"/>
      <w:kern w:val="0"/>
      <w:sz w:val="22"/>
      <w:szCs w:val="22"/>
      <w:lang w:val="zh-CN" w:bidi="zh-CN"/>
    </w:rPr>
  </w:style>
  <w:style w:type="character" w:customStyle="1" w:styleId="97">
    <w:name w:val="标题 5 Char"/>
    <w:link w:val="7"/>
    <w:qFormat/>
    <w:uiPriority w:val="99"/>
    <w:rPr>
      <w:rFonts w:ascii="Times New Roman" w:hAnsi="Times New Roman" w:eastAsia="宋体" w:cs="Times New Roman"/>
      <w:kern w:val="2"/>
      <w:sz w:val="32"/>
    </w:rPr>
  </w:style>
  <w:style w:type="character" w:customStyle="1" w:styleId="98">
    <w:name w:val="标题 6 Char"/>
    <w:link w:val="8"/>
    <w:qFormat/>
    <w:uiPriority w:val="99"/>
    <w:rPr>
      <w:rFonts w:ascii="Times New Roman" w:hAnsi="Times New Roman" w:eastAsia="宋体" w:cs="Times New Roman"/>
      <w:kern w:val="2"/>
      <w:sz w:val="28"/>
    </w:rPr>
  </w:style>
  <w:style w:type="character" w:customStyle="1" w:styleId="99">
    <w:name w:val="标题 7 Char"/>
    <w:link w:val="9"/>
    <w:qFormat/>
    <w:uiPriority w:val="99"/>
    <w:rPr>
      <w:rFonts w:ascii="Times New Roman" w:hAnsi="Times New Roman" w:eastAsia="宋体" w:cs="Times New Roman"/>
      <w:b/>
      <w:kern w:val="2"/>
      <w:sz w:val="24"/>
    </w:rPr>
  </w:style>
  <w:style w:type="character" w:customStyle="1" w:styleId="100">
    <w:name w:val="标题 8 Char"/>
    <w:link w:val="10"/>
    <w:qFormat/>
    <w:uiPriority w:val="99"/>
    <w:rPr>
      <w:rFonts w:ascii="Times New Roman" w:hAnsi="Times New Roman" w:eastAsia="宋体" w:cs="Times New Roman"/>
      <w:kern w:val="2"/>
      <w:sz w:val="28"/>
    </w:rPr>
  </w:style>
  <w:style w:type="character" w:customStyle="1" w:styleId="101">
    <w:name w:val="标题 9 Char"/>
    <w:link w:val="11"/>
    <w:qFormat/>
    <w:uiPriority w:val="99"/>
    <w:rPr>
      <w:rFonts w:ascii="Times New Roman" w:hAnsi="Times New Roman" w:eastAsia="宋体" w:cs="Times New Roman"/>
      <w:kern w:val="2"/>
      <w:sz w:val="28"/>
    </w:rPr>
  </w:style>
  <w:style w:type="character" w:customStyle="1" w:styleId="102">
    <w:name w:val="批注主题 Char1"/>
    <w:unhideWhenUsed/>
    <w:qFormat/>
    <w:uiPriority w:val="99"/>
    <w:rPr>
      <w:rFonts w:hint="default" w:ascii="Tahoma" w:hAnsi="Calibri" w:eastAsia="宋体" w:cs="Times New Roman"/>
      <w:b/>
      <w:sz w:val="21"/>
    </w:rPr>
  </w:style>
  <w:style w:type="character" w:customStyle="1" w:styleId="103">
    <w:name w:val="日期 Char"/>
    <w:link w:val="27"/>
    <w:unhideWhenUsed/>
    <w:qFormat/>
    <w:uiPriority w:val="99"/>
    <w:rPr>
      <w:rFonts w:ascii="Times New Roman" w:hAnsi="Times New Roman" w:eastAsia="宋体" w:cs="Times New Roman"/>
      <w:kern w:val="2"/>
      <w:sz w:val="21"/>
      <w:szCs w:val="24"/>
    </w:rPr>
  </w:style>
  <w:style w:type="character" w:customStyle="1" w:styleId="104">
    <w:name w:val="正文文本缩进 2 Char1"/>
    <w:unhideWhenUsed/>
    <w:qFormat/>
    <w:uiPriority w:val="99"/>
    <w:rPr>
      <w:rFonts w:hint="default" w:ascii="Tahoma" w:hAnsi="Calibri" w:eastAsia="宋体" w:cs="Times New Roman"/>
      <w:sz w:val="21"/>
    </w:rPr>
  </w:style>
  <w:style w:type="character" w:customStyle="1" w:styleId="105">
    <w:name w:val="font41"/>
    <w:unhideWhenUsed/>
    <w:qFormat/>
    <w:uiPriority w:val="0"/>
    <w:rPr>
      <w:rFonts w:hint="eastAsia" w:ascii="宋体" w:hAnsi="Calibri" w:eastAsia="宋体" w:cs="Times New Roman"/>
      <w:color w:val="000000"/>
      <w:sz w:val="28"/>
    </w:rPr>
  </w:style>
  <w:style w:type="character" w:customStyle="1" w:styleId="106">
    <w:name w:val="标题 2 Char"/>
    <w:unhideWhenUsed/>
    <w:qFormat/>
    <w:uiPriority w:val="99"/>
    <w:rPr>
      <w:rFonts w:ascii="宋体" w:hAnsi="宋体" w:eastAsia="宋体" w:cs="Times New Roman"/>
      <w:b/>
      <w:bCs/>
      <w:kern w:val="2"/>
      <w:sz w:val="24"/>
      <w:szCs w:val="32"/>
    </w:rPr>
  </w:style>
  <w:style w:type="character" w:customStyle="1" w:styleId="107">
    <w:name w:val="正文文本缩进 Char1"/>
    <w:link w:val="21"/>
    <w:unhideWhenUsed/>
    <w:qFormat/>
    <w:uiPriority w:val="99"/>
    <w:rPr>
      <w:rFonts w:ascii="Times New Roman" w:hAnsi="Times New Roman" w:eastAsia="宋体" w:cs="Times New Roman"/>
      <w:sz w:val="24"/>
    </w:rPr>
  </w:style>
  <w:style w:type="character" w:customStyle="1" w:styleId="108">
    <w:name w:val="纯文本 Char"/>
    <w:link w:val="25"/>
    <w:unhideWhenUsed/>
    <w:qFormat/>
    <w:uiPriority w:val="99"/>
    <w:rPr>
      <w:rFonts w:ascii="宋体" w:hAnsi="Courier" w:eastAsia="宋体" w:cs="Times New Roman"/>
      <w:sz w:val="21"/>
    </w:rPr>
  </w:style>
  <w:style w:type="character" w:customStyle="1" w:styleId="109">
    <w:name w:val="页脚 Char1"/>
    <w:unhideWhenUsed/>
    <w:qFormat/>
    <w:uiPriority w:val="99"/>
    <w:rPr>
      <w:rFonts w:ascii="Times New Roman" w:hAnsi="Times New Roman" w:eastAsia="宋体" w:cs="Times New Roman"/>
      <w:color w:val="000000"/>
      <w:kern w:val="2"/>
      <w:sz w:val="18"/>
      <w:szCs w:val="24"/>
      <w:u w:val="none" w:color="000000"/>
    </w:rPr>
  </w:style>
  <w:style w:type="character" w:customStyle="1" w:styleId="110">
    <w:name w:val="textcontents"/>
    <w:unhideWhenUsed/>
    <w:qFormat/>
    <w:uiPriority w:val="99"/>
    <w:rPr>
      <w:rFonts w:hint="eastAsia" w:ascii="Times New Roman" w:hAnsi="Calibri" w:eastAsia="Times New Roman" w:cs="Times New Roman"/>
      <w:sz w:val="24"/>
    </w:rPr>
  </w:style>
  <w:style w:type="character" w:customStyle="1" w:styleId="111">
    <w:name w:val="r1_1"/>
    <w:unhideWhenUsed/>
    <w:qFormat/>
    <w:uiPriority w:val="99"/>
    <w:rPr>
      <w:rFonts w:hint="eastAsia" w:ascii="Times New Roman" w:hAnsi="Calibri" w:eastAsia="Times New Roman" w:cs="Times New Roman"/>
      <w:sz w:val="24"/>
    </w:rPr>
  </w:style>
  <w:style w:type="character" w:customStyle="1" w:styleId="112">
    <w:name w:val="批注框文本 Char1"/>
    <w:unhideWhenUsed/>
    <w:qFormat/>
    <w:uiPriority w:val="99"/>
    <w:rPr>
      <w:rFonts w:hint="default" w:ascii="Tahoma" w:hAnsi="Calibri" w:eastAsia="宋体" w:cs="Times New Roman"/>
      <w:sz w:val="18"/>
    </w:rPr>
  </w:style>
  <w:style w:type="character" w:customStyle="1" w:styleId="113">
    <w:name w:val="z1复制"/>
    <w:unhideWhenUsed/>
    <w:qFormat/>
    <w:uiPriority w:val="99"/>
    <w:rPr>
      <w:rFonts w:hint="eastAsia" w:ascii="Times New Roman" w:hAnsi="Calibri" w:eastAsia="Times New Roman" w:cs="Times New Roman"/>
      <w:sz w:val="24"/>
    </w:rPr>
  </w:style>
  <w:style w:type="character" w:customStyle="1" w:styleId="114">
    <w:name w:val="批注文字 Char1"/>
    <w:unhideWhenUsed/>
    <w:qFormat/>
    <w:uiPriority w:val="99"/>
    <w:rPr>
      <w:rFonts w:hint="default" w:ascii="Tahoma" w:hAnsi="Calibri" w:eastAsia="宋体" w:cs="Times New Roman"/>
      <w:sz w:val="21"/>
    </w:rPr>
  </w:style>
  <w:style w:type="character" w:customStyle="1" w:styleId="115">
    <w:name w:val="font01"/>
    <w:unhideWhenUsed/>
    <w:qFormat/>
    <w:uiPriority w:val="0"/>
    <w:rPr>
      <w:rFonts w:hint="eastAsia" w:ascii="Times New Roman" w:hAnsi="Calibri" w:eastAsia="Times New Roman" w:cs="Times New Roman"/>
      <w:color w:val="000000"/>
      <w:sz w:val="24"/>
      <w:vertAlign w:val="superscript"/>
    </w:rPr>
  </w:style>
  <w:style w:type="character" w:customStyle="1" w:styleId="116">
    <w:name w:val="标题 3 Char"/>
    <w:link w:val="5"/>
    <w:unhideWhenUsed/>
    <w:qFormat/>
    <w:uiPriority w:val="99"/>
    <w:rPr>
      <w:rFonts w:ascii="Times New Roman" w:hAnsi="Times New Roman" w:eastAsia="宋体" w:cs="Times New Roman"/>
      <w:b/>
      <w:bCs/>
      <w:kern w:val="2"/>
      <w:sz w:val="28"/>
      <w:szCs w:val="32"/>
    </w:rPr>
  </w:style>
  <w:style w:type="character" w:customStyle="1" w:styleId="117">
    <w:name w:val="b121"/>
    <w:unhideWhenUsed/>
    <w:qFormat/>
    <w:uiPriority w:val="99"/>
    <w:rPr>
      <w:rFonts w:hint="default" w:ascii="??" w:hAnsi="Calibri" w:eastAsia="宋体" w:cs="Times New Roman"/>
      <w:sz w:val="18"/>
    </w:rPr>
  </w:style>
  <w:style w:type="character" w:customStyle="1" w:styleId="118">
    <w:name w:val="正文文本缩进 3 Char"/>
    <w:link w:val="35"/>
    <w:unhideWhenUsed/>
    <w:qFormat/>
    <w:uiPriority w:val="99"/>
    <w:rPr>
      <w:rFonts w:ascii="Times New Roman" w:hAnsi="Times New Roman" w:eastAsia="宋体" w:cs="Times New Roman"/>
      <w:kern w:val="2"/>
      <w:sz w:val="16"/>
      <w:szCs w:val="16"/>
    </w:rPr>
  </w:style>
  <w:style w:type="character" w:customStyle="1" w:styleId="119">
    <w:name w:val="listarticle1"/>
    <w:unhideWhenUsed/>
    <w:qFormat/>
    <w:uiPriority w:val="99"/>
    <w:rPr>
      <w:rFonts w:hint="eastAsia" w:ascii="Times New Roman" w:hAnsi="Calibri" w:eastAsia="Times New Roman" w:cs="Times New Roman"/>
      <w:b/>
      <w:sz w:val="27"/>
    </w:rPr>
  </w:style>
  <w:style w:type="character" w:customStyle="1" w:styleId="120">
    <w:name w:val="font61"/>
    <w:unhideWhenUsed/>
    <w:qFormat/>
    <w:uiPriority w:val="0"/>
    <w:rPr>
      <w:rFonts w:hint="eastAsia" w:ascii="宋体" w:hAnsi="Calibri" w:eastAsia="宋体" w:cs="Times New Roman"/>
      <w:color w:val="000000"/>
      <w:sz w:val="24"/>
    </w:rPr>
  </w:style>
  <w:style w:type="character" w:customStyle="1" w:styleId="121">
    <w:name w:val="正文文本缩进 3 Char1"/>
    <w:unhideWhenUsed/>
    <w:qFormat/>
    <w:uiPriority w:val="99"/>
    <w:rPr>
      <w:rFonts w:hint="default" w:ascii="Tahoma" w:hAnsi="Calibri" w:eastAsia="宋体" w:cs="Times New Roman"/>
      <w:sz w:val="16"/>
    </w:rPr>
  </w:style>
  <w:style w:type="character" w:customStyle="1" w:styleId="122">
    <w:name w:val="标题 1 Char"/>
    <w:link w:val="3"/>
    <w:unhideWhenUsed/>
    <w:qFormat/>
    <w:uiPriority w:val="99"/>
    <w:rPr>
      <w:rFonts w:ascii="宋体" w:hAnsi="宋体" w:eastAsia="宋体" w:cs="Times New Roman"/>
      <w:kern w:val="2"/>
      <w:sz w:val="32"/>
      <w:szCs w:val="24"/>
    </w:rPr>
  </w:style>
  <w:style w:type="character" w:customStyle="1" w:styleId="123">
    <w:name w:val="black1"/>
    <w:unhideWhenUsed/>
    <w:qFormat/>
    <w:uiPriority w:val="99"/>
    <w:rPr>
      <w:rFonts w:hint="eastAsia" w:ascii="Times New Roman" w:hAnsi="Calibri" w:eastAsia="Times New Roman" w:cs="Times New Roman"/>
      <w:color w:val="000000"/>
      <w:sz w:val="18"/>
    </w:rPr>
  </w:style>
  <w:style w:type="character" w:customStyle="1" w:styleId="124">
    <w:name w:val="正文文本缩进 2 Char"/>
    <w:link w:val="28"/>
    <w:unhideWhenUsed/>
    <w:qFormat/>
    <w:uiPriority w:val="99"/>
    <w:rPr>
      <w:rFonts w:ascii="Times New Roman" w:hAnsi="Calibri" w:eastAsia="Times New Roman" w:cs="Times New Roman"/>
      <w:sz w:val="21"/>
    </w:rPr>
  </w:style>
  <w:style w:type="character" w:customStyle="1" w:styleId="125">
    <w:name w:val="正文文本缩进 Char"/>
    <w:unhideWhenUsed/>
    <w:qFormat/>
    <w:uiPriority w:val="99"/>
    <w:rPr>
      <w:rFonts w:hint="eastAsia" w:ascii="Times New Roman" w:hAnsi="Calibri" w:eastAsia="Times New Roman" w:cs="Times New Roman"/>
      <w:sz w:val="21"/>
    </w:rPr>
  </w:style>
  <w:style w:type="character" w:customStyle="1" w:styleId="126">
    <w:name w:val="正文文本 2 Char1"/>
    <w:unhideWhenUsed/>
    <w:qFormat/>
    <w:uiPriority w:val="99"/>
    <w:rPr>
      <w:rFonts w:hint="default" w:ascii="Tahoma" w:hAnsi="Calibri" w:eastAsia="宋体" w:cs="Times New Roman"/>
      <w:sz w:val="21"/>
    </w:rPr>
  </w:style>
  <w:style w:type="character" w:customStyle="1" w:styleId="127">
    <w:name w:val="批注文字 Char"/>
    <w:link w:val="15"/>
    <w:unhideWhenUsed/>
    <w:qFormat/>
    <w:uiPriority w:val="99"/>
    <w:rPr>
      <w:rFonts w:ascii="Times New Roman" w:hAnsi="Calibri" w:eastAsia="Times New Roman" w:cs="Times New Roman"/>
      <w:sz w:val="21"/>
    </w:rPr>
  </w:style>
  <w:style w:type="character" w:customStyle="1" w:styleId="128">
    <w:name w:val="页眉 Char"/>
    <w:link w:val="31"/>
    <w:unhideWhenUsed/>
    <w:qFormat/>
    <w:uiPriority w:val="99"/>
    <w:rPr>
      <w:rFonts w:ascii="Times New Roman" w:hAnsi="Times New Roman" w:eastAsia="宋体" w:cs="Times New Roman"/>
      <w:color w:val="000000"/>
      <w:kern w:val="2"/>
      <w:sz w:val="18"/>
      <w:szCs w:val="24"/>
      <w:u w:val="none" w:color="000000"/>
    </w:rPr>
  </w:style>
  <w:style w:type="character" w:customStyle="1" w:styleId="129">
    <w:name w:val="f_fon12heib"/>
    <w:unhideWhenUsed/>
    <w:qFormat/>
    <w:uiPriority w:val="99"/>
    <w:rPr>
      <w:rFonts w:hint="eastAsia" w:ascii="Times New Roman" w:hAnsi="Calibri" w:eastAsia="Times New Roman" w:cs="Times New Roman"/>
      <w:sz w:val="24"/>
    </w:rPr>
  </w:style>
  <w:style w:type="character" w:customStyle="1" w:styleId="130">
    <w:name w:val="正文文本 3 Char1"/>
    <w:unhideWhenUsed/>
    <w:qFormat/>
    <w:uiPriority w:val="99"/>
    <w:rPr>
      <w:rFonts w:hint="default" w:ascii="Tahoma" w:hAnsi="Calibri" w:eastAsia="宋体" w:cs="Times New Roman"/>
      <w:sz w:val="16"/>
    </w:rPr>
  </w:style>
  <w:style w:type="character" w:customStyle="1" w:styleId="131">
    <w:name w:val="页眉 Char1"/>
    <w:unhideWhenUsed/>
    <w:qFormat/>
    <w:uiPriority w:val="99"/>
    <w:rPr>
      <w:rFonts w:hint="default" w:ascii="Tahoma" w:hAnsi="Calibri" w:eastAsia="宋体" w:cs="Times New Roman"/>
      <w:sz w:val="18"/>
    </w:rPr>
  </w:style>
  <w:style w:type="character" w:customStyle="1" w:styleId="132">
    <w:name w:val="页脚 Char"/>
    <w:link w:val="30"/>
    <w:unhideWhenUsed/>
    <w:qFormat/>
    <w:uiPriority w:val="99"/>
    <w:rPr>
      <w:rFonts w:hint="eastAsia" w:ascii="Times New Roman" w:hAnsi="Calibri" w:eastAsia="Times New Roman" w:cs="Times New Roman"/>
      <w:sz w:val="18"/>
    </w:rPr>
  </w:style>
  <w:style w:type="character" w:customStyle="1" w:styleId="133">
    <w:name w:val="font71"/>
    <w:unhideWhenUsed/>
    <w:qFormat/>
    <w:uiPriority w:val="0"/>
    <w:rPr>
      <w:rFonts w:hint="eastAsia" w:ascii="Times New Roman" w:hAnsi="Calibri" w:eastAsia="Times New Roman" w:cs="Times New Roman"/>
      <w:sz w:val="20"/>
    </w:rPr>
  </w:style>
  <w:style w:type="character" w:customStyle="1" w:styleId="134">
    <w:name w:val="正文文本 3 Char"/>
    <w:link w:val="16"/>
    <w:unhideWhenUsed/>
    <w:qFormat/>
    <w:uiPriority w:val="99"/>
    <w:rPr>
      <w:rFonts w:ascii="Times New Roman" w:hAnsi="Calibri" w:eastAsia="Times New Roman" w:cs="Times New Roman"/>
      <w:sz w:val="16"/>
    </w:rPr>
  </w:style>
  <w:style w:type="character" w:customStyle="1" w:styleId="135">
    <w:name w:val="批注主题 Char"/>
    <w:link w:val="42"/>
    <w:unhideWhenUsed/>
    <w:qFormat/>
    <w:uiPriority w:val="99"/>
    <w:rPr>
      <w:rFonts w:ascii="Times New Roman" w:hAnsi="Calibri" w:eastAsia="Times New Roman" w:cs="Times New Roman"/>
      <w:b/>
      <w:sz w:val="21"/>
    </w:rPr>
  </w:style>
  <w:style w:type="character" w:customStyle="1" w:styleId="136">
    <w:name w:val="正文文本 2 Char"/>
    <w:link w:val="38"/>
    <w:unhideWhenUsed/>
    <w:qFormat/>
    <w:uiPriority w:val="99"/>
    <w:rPr>
      <w:rFonts w:ascii="Times New Roman" w:hAnsi="Calibri" w:eastAsia="Times New Roman" w:cs="Times New Roman"/>
      <w:sz w:val="21"/>
    </w:rPr>
  </w:style>
  <w:style w:type="character" w:customStyle="1" w:styleId="137">
    <w:name w:val="main_tdbg_760"/>
    <w:unhideWhenUsed/>
    <w:qFormat/>
    <w:uiPriority w:val="99"/>
    <w:rPr>
      <w:rFonts w:hint="eastAsia" w:ascii="Times New Roman" w:hAnsi="Calibri" w:eastAsia="Times New Roman" w:cs="Times New Roman"/>
      <w:sz w:val="24"/>
    </w:rPr>
  </w:style>
  <w:style w:type="character" w:customStyle="1" w:styleId="138">
    <w:name w:val="font21"/>
    <w:unhideWhenUsed/>
    <w:qFormat/>
    <w:uiPriority w:val="0"/>
    <w:rPr>
      <w:rFonts w:hint="eastAsia" w:ascii="Times New Roman" w:hAnsi="Calibri" w:eastAsia="Times New Roman" w:cs="Times New Roman"/>
      <w:color w:val="000000"/>
      <w:sz w:val="24"/>
    </w:rPr>
  </w:style>
  <w:style w:type="character" w:customStyle="1" w:styleId="139">
    <w:name w:val="font11"/>
    <w:unhideWhenUsed/>
    <w:qFormat/>
    <w:uiPriority w:val="0"/>
    <w:rPr>
      <w:rFonts w:hint="eastAsia" w:ascii="宋体" w:hAnsi="Calibri" w:eastAsia="宋体" w:cs="Times New Roman"/>
      <w:color w:val="000000"/>
      <w:sz w:val="28"/>
      <w:vertAlign w:val="superscript"/>
    </w:rPr>
  </w:style>
  <w:style w:type="character" w:customStyle="1" w:styleId="140">
    <w:name w:val="p1501"/>
    <w:unhideWhenUsed/>
    <w:qFormat/>
    <w:uiPriority w:val="99"/>
    <w:rPr>
      <w:rFonts w:hint="eastAsia" w:ascii="Times New Roman" w:hAnsi="Calibri" w:eastAsia="Times New Roman" w:cs="Times New Roman"/>
      <w:sz w:val="24"/>
    </w:rPr>
  </w:style>
  <w:style w:type="character" w:customStyle="1" w:styleId="141">
    <w:name w:val="正文文本 Char"/>
    <w:link w:val="17"/>
    <w:unhideWhenUsed/>
    <w:qFormat/>
    <w:uiPriority w:val="99"/>
    <w:rPr>
      <w:rFonts w:ascii="Tahoma" w:hAnsi="Calibri" w:eastAsia="宋体" w:cs="Times New Roman"/>
      <w:sz w:val="21"/>
    </w:rPr>
  </w:style>
  <w:style w:type="character" w:customStyle="1" w:styleId="142">
    <w:name w:val="批注文字 Char2"/>
    <w:semiHidden/>
    <w:qFormat/>
    <w:uiPriority w:val="99"/>
    <w:rPr>
      <w:rFonts w:ascii="Times New Roman" w:hAnsi="Times New Roman" w:eastAsia="宋体" w:cs="Times New Roman"/>
      <w:kern w:val="2"/>
      <w:sz w:val="21"/>
      <w:szCs w:val="24"/>
    </w:rPr>
  </w:style>
  <w:style w:type="character" w:customStyle="1" w:styleId="143">
    <w:name w:val="正文文本 Char1"/>
    <w:semiHidden/>
    <w:qFormat/>
    <w:uiPriority w:val="99"/>
    <w:rPr>
      <w:rFonts w:ascii="Times New Roman" w:hAnsi="Times New Roman" w:eastAsia="宋体" w:cs="Times New Roman"/>
      <w:kern w:val="2"/>
      <w:sz w:val="21"/>
      <w:szCs w:val="24"/>
    </w:rPr>
  </w:style>
  <w:style w:type="character" w:customStyle="1" w:styleId="144">
    <w:name w:val="正文文本 3 Char2"/>
    <w:semiHidden/>
    <w:qFormat/>
    <w:uiPriority w:val="99"/>
    <w:rPr>
      <w:rFonts w:ascii="Times New Roman" w:hAnsi="Times New Roman" w:eastAsia="宋体" w:cs="Times New Roman"/>
      <w:kern w:val="2"/>
      <w:sz w:val="16"/>
      <w:szCs w:val="16"/>
    </w:rPr>
  </w:style>
  <w:style w:type="character" w:customStyle="1" w:styleId="145">
    <w:name w:val="纯文本 Char1"/>
    <w:semiHidden/>
    <w:qFormat/>
    <w:uiPriority w:val="99"/>
    <w:rPr>
      <w:rFonts w:ascii="宋体" w:hAnsi="Courier New" w:eastAsia="宋体" w:cs="Courier New"/>
      <w:kern w:val="2"/>
      <w:sz w:val="21"/>
      <w:szCs w:val="21"/>
    </w:rPr>
  </w:style>
  <w:style w:type="character" w:customStyle="1" w:styleId="146">
    <w:name w:val="正文文本缩进 2 Char2"/>
    <w:semiHidden/>
    <w:qFormat/>
    <w:uiPriority w:val="99"/>
    <w:rPr>
      <w:rFonts w:ascii="Times New Roman" w:hAnsi="Times New Roman" w:eastAsia="宋体" w:cs="Times New Roman"/>
      <w:kern w:val="2"/>
      <w:sz w:val="21"/>
      <w:szCs w:val="24"/>
    </w:rPr>
  </w:style>
  <w:style w:type="character" w:customStyle="1" w:styleId="147">
    <w:name w:val="正文文本 2 Char2"/>
    <w:semiHidden/>
    <w:qFormat/>
    <w:uiPriority w:val="99"/>
    <w:rPr>
      <w:rFonts w:ascii="Times New Roman" w:hAnsi="Times New Roman" w:eastAsia="宋体" w:cs="Times New Roman"/>
      <w:kern w:val="2"/>
      <w:sz w:val="21"/>
      <w:szCs w:val="24"/>
    </w:rPr>
  </w:style>
  <w:style w:type="character" w:customStyle="1" w:styleId="148">
    <w:name w:val="批注主题 Char2"/>
    <w:semiHidden/>
    <w:qFormat/>
    <w:uiPriority w:val="99"/>
    <w:rPr>
      <w:rFonts w:ascii="Times New Roman" w:hAnsi="Times New Roman" w:eastAsia="宋体" w:cs="Times New Roman"/>
      <w:b/>
      <w:bCs/>
      <w:kern w:val="2"/>
      <w:sz w:val="21"/>
      <w:szCs w:val="24"/>
    </w:rPr>
  </w:style>
  <w:style w:type="paragraph" w:customStyle="1" w:styleId="149">
    <w:name w:val="style1"/>
    <w:basedOn w:val="1"/>
    <w:qFormat/>
    <w:uiPriority w:val="0"/>
    <w:pPr>
      <w:widowControl/>
      <w:spacing w:before="100" w:beforeAutospacing="1" w:after="100" w:afterAutospacing="1"/>
    </w:pPr>
    <w:rPr>
      <w:rFonts w:ascii="宋体" w:hAnsi="宋体" w:cs="宋体"/>
      <w:kern w:val="0"/>
    </w:rPr>
  </w:style>
  <w:style w:type="character" w:customStyle="1" w:styleId="150">
    <w:name w:val="param-name"/>
    <w:basedOn w:val="46"/>
    <w:qFormat/>
    <w:uiPriority w:val="0"/>
    <w:rPr>
      <w:rFonts w:ascii="Calibri" w:hAnsi="Calibri" w:eastAsia="宋体" w:cs="Times New Roman"/>
    </w:rPr>
  </w:style>
  <w:style w:type="character" w:customStyle="1" w:styleId="151">
    <w:name w:val="列出段落 Char1"/>
    <w:link w:val="64"/>
    <w:qFormat/>
    <w:uiPriority w:val="34"/>
    <w:rPr>
      <w:rFonts w:ascii="Times New Roman" w:hAnsi="Times New Roman" w:eastAsia="宋体" w:cs="Times New Roman"/>
      <w:szCs w:val="24"/>
    </w:rPr>
  </w:style>
  <w:style w:type="character" w:customStyle="1" w:styleId="152">
    <w:name w:val="font31"/>
    <w:qFormat/>
    <w:uiPriority w:val="0"/>
    <w:rPr>
      <w:rFonts w:hint="eastAsia" w:ascii="宋体" w:hAnsi="宋体" w:eastAsia="宋体" w:cs="宋体"/>
      <w:color w:val="000000"/>
      <w:sz w:val="20"/>
      <w:szCs w:val="20"/>
      <w:u w:val="none"/>
    </w:rPr>
  </w:style>
  <w:style w:type="paragraph" w:customStyle="1" w:styleId="153">
    <w:name w:val="Body Text First Indent 21"/>
    <w:basedOn w:val="154"/>
    <w:qFormat/>
    <w:uiPriority w:val="0"/>
  </w:style>
  <w:style w:type="paragraph" w:customStyle="1" w:styleId="154">
    <w:name w:val="Body Text Indent1"/>
    <w:basedOn w:val="1"/>
    <w:qFormat/>
    <w:uiPriority w:val="0"/>
    <w:pPr>
      <w:spacing w:after="120"/>
      <w:ind w:left="420" w:leftChars="200"/>
    </w:pPr>
  </w:style>
  <w:style w:type="character" w:customStyle="1" w:styleId="155">
    <w:name w:val="标题 2 Char1"/>
    <w:link w:val="4"/>
    <w:qFormat/>
    <w:uiPriority w:val="0"/>
    <w:rPr>
      <w:rFonts w:ascii="Arial" w:hAnsi="Arial" w:eastAsia="宋体" w:cs="Times New Roman"/>
      <w:sz w:val="28"/>
      <w:szCs w:val="24"/>
    </w:rPr>
  </w:style>
  <w:style w:type="paragraph" w:customStyle="1" w:styleId="156">
    <w:name w:val="WPSOffice手动目录 1"/>
    <w:qFormat/>
    <w:uiPriority w:val="0"/>
    <w:rPr>
      <w:rFonts w:ascii="Times New Roman" w:hAnsi="Times New Roman" w:eastAsia="宋体" w:cs="Times New Roman"/>
      <w:lang w:val="en-US" w:eastAsia="zh-CN" w:bidi="ar-SA"/>
    </w:rPr>
  </w:style>
  <w:style w:type="paragraph" w:customStyle="1" w:styleId="157">
    <w:name w:val="_Style 150"/>
    <w:basedOn w:val="1"/>
    <w:next w:val="1"/>
    <w:qFormat/>
    <w:uiPriority w:val="0"/>
    <w:pPr>
      <w:pBdr>
        <w:bottom w:val="single" w:color="auto" w:sz="6" w:space="1"/>
      </w:pBdr>
      <w:jc w:val="center"/>
    </w:pPr>
    <w:rPr>
      <w:rFonts w:ascii="Arial"/>
      <w:vanish/>
      <w:sz w:val="16"/>
    </w:rPr>
  </w:style>
  <w:style w:type="paragraph" w:customStyle="1" w:styleId="158">
    <w:name w:val="_Style 151"/>
    <w:basedOn w:val="1"/>
    <w:next w:val="1"/>
    <w:qFormat/>
    <w:uiPriority w:val="0"/>
    <w:pPr>
      <w:pBdr>
        <w:top w:val="single" w:color="auto" w:sz="6" w:space="1"/>
      </w:pBdr>
      <w:jc w:val="center"/>
    </w:pPr>
    <w:rPr>
      <w:rFonts w:ascii="Arial"/>
      <w:vanish/>
      <w:sz w:val="16"/>
    </w:rPr>
  </w:style>
  <w:style w:type="paragraph" w:customStyle="1" w:styleId="159">
    <w:name w:val="No Spacing_ad81b47b-6779-4c76-b471-79375858c8cb"/>
    <w:basedOn w:val="1"/>
    <w:qFormat/>
    <w:uiPriority w:val="0"/>
    <w:pPr>
      <w:ind w:firstLine="200"/>
    </w:pPr>
  </w:style>
  <w:style w:type="character" w:customStyle="1" w:styleId="160">
    <w:name w:val="正文首行缩进 2 Char"/>
    <w:link w:val="20"/>
    <w:qFormat/>
    <w:uiPriority w:val="0"/>
    <w:rPr>
      <w:kern w:val="2"/>
      <w:sz w:val="24"/>
      <w:szCs w:val="24"/>
    </w:rPr>
  </w:style>
  <w:style w:type="character" w:customStyle="1" w:styleId="161">
    <w:name w:val="样式2"/>
    <w:basedOn w:val="46"/>
    <w:qFormat/>
    <w:uiPriority w:val="0"/>
    <w:rPr>
      <w:rFonts w:hint="eastAsia" w:ascii="Times New Roman" w:hAnsi="Times New Roman"/>
    </w:rPr>
  </w:style>
  <w:style w:type="character" w:customStyle="1" w:styleId="162">
    <w:name w:val="NormalCharacter"/>
    <w:semiHidden/>
    <w:qFormat/>
    <w:uiPriority w:val="0"/>
  </w:style>
  <w:style w:type="paragraph" w:customStyle="1" w:styleId="163">
    <w:name w:val="Other|1"/>
    <w:basedOn w:val="1"/>
    <w:qFormat/>
    <w:uiPriority w:val="0"/>
    <w:pPr>
      <w:widowControl w:val="0"/>
      <w:shd w:val="clear" w:color="auto" w:fill="auto"/>
      <w:spacing w:line="427" w:lineRule="auto"/>
      <w:ind w:firstLine="400"/>
    </w:pPr>
    <w:rPr>
      <w:rFonts w:ascii="宋体" w:hAnsi="宋体" w:eastAsia="宋体" w:cs="宋体"/>
      <w:color w:val="24242E"/>
      <w:sz w:val="15"/>
      <w:szCs w:val="15"/>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27913</Words>
  <Characters>29631</Characters>
  <Lines>174</Lines>
  <Paragraphs>49</Paragraphs>
  <TotalTime>145</TotalTime>
  <ScaleCrop>false</ScaleCrop>
  <LinksUpToDate>false</LinksUpToDate>
  <CharactersWithSpaces>32767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2020-10-22T17:12:00Z</dcterms:created>
  <dc:creator>꯭魏꯭小꯭莉꯭</dc:creator>
  <cp:lastModifiedBy>user</cp:lastModifiedBy>
  <cp:lastPrinted>2022-07-26T17:52:00Z</cp:lastPrinted>
  <dcterms:modified xsi:type="dcterms:W3CDTF">2024-09-02T10:01:53Z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77D7A0E39CDE40C191BB829B085200D1</vt:lpwstr>
  </property>
</Properties>
</file>