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DB286">
      <w:pPr>
        <w:jc w:val="center"/>
        <w:rPr>
          <w:rFonts w:ascii="华文中宋" w:hAnsi="华文中宋" w:eastAsia="华文中宋"/>
          <w:b/>
          <w:bCs/>
          <w:sz w:val="44"/>
          <w:szCs w:val="44"/>
        </w:rPr>
      </w:pPr>
    </w:p>
    <w:p w14:paraId="0DD99D02">
      <w:pPr>
        <w:jc w:val="center"/>
        <w:rPr>
          <w:rFonts w:hint="eastAsia" w:ascii="方正小标宋简体" w:hAnsi="华文中宋" w:eastAsia="方正小标宋简体"/>
          <w:b/>
          <w:bCs/>
          <w:sz w:val="44"/>
          <w:szCs w:val="44"/>
        </w:rPr>
      </w:pPr>
      <w:r>
        <w:rPr>
          <w:rFonts w:hint="eastAsia" w:ascii="方正小标宋简体" w:hAnsi="华文中宋" w:eastAsia="方正小标宋简体"/>
          <w:b/>
          <w:bCs/>
          <w:sz w:val="44"/>
          <w:szCs w:val="44"/>
        </w:rPr>
        <w:t>长治市长子县金融工作服务中心</w:t>
      </w:r>
    </w:p>
    <w:p w14:paraId="0AE40959">
      <w:pPr>
        <w:jc w:val="center"/>
        <w:rPr>
          <w:rFonts w:hint="eastAsia" w:ascii="方正小标宋简体" w:hAnsi="华文中宋" w:eastAsia="方正小标宋简体"/>
          <w:b/>
          <w:bCs/>
          <w:sz w:val="44"/>
          <w:szCs w:val="44"/>
        </w:rPr>
      </w:pPr>
      <w:r>
        <w:rPr>
          <w:rFonts w:hint="eastAsia" w:ascii="方正小标宋简体" w:hAnsi="华文中宋" w:eastAsia="方正小标宋简体"/>
          <w:b/>
          <w:bCs/>
          <w:sz w:val="44"/>
          <w:szCs w:val="44"/>
        </w:rPr>
        <w:t>2022年度预算</w:t>
      </w:r>
    </w:p>
    <w:p w14:paraId="2A0DC44C">
      <w:pPr>
        <w:jc w:val="center"/>
        <w:rPr>
          <w:rFonts w:hint="eastAsia" w:ascii="方正小标宋简体" w:hAnsi="华文中宋" w:eastAsia="方正小标宋简体"/>
          <w:b/>
          <w:bCs/>
          <w:sz w:val="44"/>
          <w:szCs w:val="44"/>
        </w:rPr>
      </w:pPr>
    </w:p>
    <w:p w14:paraId="79ED4A4A">
      <w:pPr>
        <w:spacing w:line="720" w:lineRule="exact"/>
        <w:rPr>
          <w:rFonts w:ascii="黑体" w:hAnsi="黑体" w:eastAsia="黑体"/>
          <w:sz w:val="32"/>
          <w:szCs w:val="32"/>
        </w:rPr>
      </w:pPr>
      <w:r>
        <w:rPr>
          <w:rFonts w:hint="eastAsia" w:ascii="黑体" w:hAnsi="黑体" w:eastAsia="黑体"/>
          <w:sz w:val="32"/>
          <w:szCs w:val="32"/>
        </w:rPr>
        <w:t>第一部分概况</w:t>
      </w:r>
    </w:p>
    <w:p w14:paraId="26B8BF4C">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一、本部门职责</w:t>
      </w:r>
    </w:p>
    <w:p w14:paraId="74F11B79">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（一）本部门职责</w:t>
      </w:r>
    </w:p>
    <w:p w14:paraId="719F7C0A">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1.负责贯彻执行国家、省、市、县金融工作的法律法规、方针和政策，督促落实县委、县政府有关金融工作的决定和工作部署；</w:t>
      </w:r>
    </w:p>
    <w:p w14:paraId="11E59763">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2.根据本县国民经济和社会发展总体规划，会同有关部门编制和修订地方性金融业发展中长期规划和工作计划；</w:t>
      </w:r>
    </w:p>
    <w:p w14:paraId="6984907E">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3.研究分析宏观金融形势、国家金融政策和我县金融运行情况，及时提出改善金融发展环境，加强服务，促进发展的意见与政策建议；</w:t>
      </w:r>
    </w:p>
    <w:p w14:paraId="5616A64B">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4.负责政府、政府职能部门及本地企业与金融机构的日常联系和合作，做好配合、协调、考评和信息交流工作，实现政银、银企的共同发展；</w:t>
      </w:r>
    </w:p>
    <w:p w14:paraId="652BB928">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5.负责全县融资性担保机构和小额贷款公司的监督管理、设立、资格初审、备案、变更、退出等工作；</w:t>
      </w:r>
    </w:p>
    <w:p w14:paraId="546EC063">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6.进一步改善金融发展环境，协助有关监管部门整顿和规范金融秩序，打击和处置非法集资，防范化解金融风险，维护金融业的稳定发展；</w:t>
      </w:r>
    </w:p>
    <w:p w14:paraId="1B6C901B">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7.承办县委、县政府交办的其他事项。</w:t>
      </w:r>
    </w:p>
    <w:p w14:paraId="3A01FC62">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二、机构设置情况</w:t>
      </w:r>
    </w:p>
    <w:p w14:paraId="7B88B6EB">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长子县金融工作服务中心隶属于长子县人民政府，长子县金融工作服务中心办公室下设四个科室，办公室、综合科、财务科、运行科。</w:t>
      </w:r>
    </w:p>
    <w:p w14:paraId="0C1676BD">
      <w:pPr>
        <w:spacing w:line="720" w:lineRule="exact"/>
        <w:ind w:firstLine="640" w:firstLineChars="200"/>
        <w:rPr>
          <w:rFonts w:ascii="仿宋" w:hAnsi="仿宋" w:eastAsia="仿宋" w:cs="仿宋"/>
          <w:sz w:val="32"/>
          <w:szCs w:val="32"/>
        </w:rPr>
      </w:pPr>
    </w:p>
    <w:p w14:paraId="0EF0D659">
      <w:pPr>
        <w:rPr>
          <w:rFonts w:ascii="黑体" w:hAnsi="黑体" w:eastAsia="黑体" w:cs="黑体"/>
          <w:szCs w:val="32"/>
        </w:rPr>
      </w:pPr>
      <w:r>
        <w:rPr>
          <w:rFonts w:hint="eastAsia" w:ascii="黑体" w:hAnsi="黑体" w:eastAsia="黑体" w:cs="黑体"/>
          <w:sz w:val="36"/>
          <w:szCs w:val="36"/>
        </w:rPr>
        <w:t>第二部分  2022年度部门预算报表</w:t>
      </w:r>
    </w:p>
    <w:p w14:paraId="6C69462D">
      <w:pPr>
        <w:ind w:firstLine="420" w:firstLineChars="200"/>
        <w:rPr>
          <w:rFonts w:ascii="宋体" w:hAnsi="宋体" w:cs="宋体"/>
          <w:szCs w:val="32"/>
        </w:rPr>
      </w:pPr>
    </w:p>
    <w:p w14:paraId="273427B7">
      <w:pPr>
        <w:rPr>
          <w:rFonts w:ascii="仿宋" w:hAnsi="仿宋" w:eastAsia="仿宋" w:cs="仿宋"/>
          <w:b/>
          <w:bCs/>
          <w:sz w:val="32"/>
          <w:szCs w:val="32"/>
        </w:rPr>
      </w:pPr>
      <w:r>
        <w:rPr>
          <w:rFonts w:hint="eastAsia" w:ascii="仿宋" w:hAnsi="仿宋" w:eastAsia="仿宋" w:cs="仿宋"/>
          <w:sz w:val="32"/>
          <w:szCs w:val="32"/>
        </w:rPr>
        <w:t>一、2022年预算收支总表</w:t>
      </w:r>
    </w:p>
    <w:p w14:paraId="7CDCA4BA">
      <w:pPr>
        <w:rPr>
          <w:rFonts w:ascii="仿宋" w:hAnsi="仿宋" w:eastAsia="仿宋" w:cs="仿宋"/>
          <w:sz w:val="32"/>
          <w:szCs w:val="32"/>
        </w:rPr>
      </w:pPr>
      <w:r>
        <w:rPr>
          <w:rFonts w:hint="eastAsia" w:ascii="仿宋" w:hAnsi="仿宋" w:eastAsia="仿宋" w:cs="仿宋"/>
          <w:sz w:val="32"/>
          <w:szCs w:val="32"/>
        </w:rPr>
        <w:t>二、2022年预算收入总表</w:t>
      </w:r>
    </w:p>
    <w:p w14:paraId="42B0A990">
      <w:pPr>
        <w:rPr>
          <w:rFonts w:ascii="仿宋" w:hAnsi="仿宋" w:eastAsia="仿宋" w:cs="仿宋"/>
          <w:sz w:val="32"/>
          <w:szCs w:val="32"/>
        </w:rPr>
      </w:pPr>
      <w:r>
        <w:rPr>
          <w:rFonts w:hint="eastAsia" w:ascii="仿宋" w:hAnsi="仿宋" w:eastAsia="仿宋" w:cs="仿宋"/>
          <w:sz w:val="32"/>
          <w:szCs w:val="32"/>
        </w:rPr>
        <w:t>三、2022年预算支出总表</w:t>
      </w:r>
    </w:p>
    <w:p w14:paraId="0CFDB8CB">
      <w:pPr>
        <w:rPr>
          <w:rFonts w:ascii="仿宋" w:hAnsi="仿宋" w:eastAsia="仿宋" w:cs="仿宋"/>
          <w:sz w:val="32"/>
          <w:szCs w:val="32"/>
        </w:rPr>
      </w:pPr>
      <w:r>
        <w:rPr>
          <w:rFonts w:hint="eastAsia" w:ascii="仿宋" w:hAnsi="仿宋" w:eastAsia="仿宋" w:cs="仿宋"/>
          <w:sz w:val="32"/>
          <w:szCs w:val="32"/>
        </w:rPr>
        <w:t>四、2022年财政拨款收支总表</w:t>
      </w:r>
    </w:p>
    <w:p w14:paraId="1429F6AA">
      <w:pPr>
        <w:rPr>
          <w:rFonts w:ascii="仿宋" w:hAnsi="仿宋" w:eastAsia="仿宋" w:cs="仿宋"/>
          <w:sz w:val="32"/>
          <w:szCs w:val="32"/>
        </w:rPr>
      </w:pPr>
      <w:r>
        <w:rPr>
          <w:rFonts w:hint="eastAsia" w:ascii="仿宋" w:hAnsi="仿宋" w:eastAsia="仿宋" w:cs="仿宋"/>
          <w:sz w:val="32"/>
          <w:szCs w:val="32"/>
        </w:rPr>
        <w:t>五、2022年一般公共预算支出预算表</w:t>
      </w:r>
    </w:p>
    <w:p w14:paraId="0A0C735C">
      <w:pPr>
        <w:rPr>
          <w:rFonts w:ascii="仿宋" w:hAnsi="仿宋" w:eastAsia="仿宋" w:cs="仿宋"/>
          <w:sz w:val="32"/>
          <w:szCs w:val="32"/>
        </w:rPr>
      </w:pPr>
      <w:r>
        <w:rPr>
          <w:rFonts w:hint="eastAsia" w:ascii="仿宋" w:hAnsi="仿宋" w:eastAsia="仿宋" w:cs="仿宋"/>
          <w:sz w:val="32"/>
          <w:szCs w:val="32"/>
        </w:rPr>
        <w:t>六、2022年一般公共预算安排基本支出分经济科目表</w:t>
      </w:r>
    </w:p>
    <w:p w14:paraId="2FDDF8CD">
      <w:pPr>
        <w:rPr>
          <w:rFonts w:ascii="仿宋" w:hAnsi="仿宋" w:eastAsia="仿宋" w:cs="仿宋"/>
          <w:sz w:val="32"/>
          <w:szCs w:val="32"/>
        </w:rPr>
      </w:pPr>
      <w:r>
        <w:rPr>
          <w:rFonts w:hint="eastAsia" w:ascii="仿宋" w:hAnsi="仿宋" w:eastAsia="仿宋" w:cs="仿宋"/>
          <w:sz w:val="32"/>
          <w:szCs w:val="32"/>
        </w:rPr>
        <w:t>七、2022年政府性基金预算收入预算表</w:t>
      </w:r>
    </w:p>
    <w:p w14:paraId="1375DE46">
      <w:pPr>
        <w:rPr>
          <w:rFonts w:ascii="仿宋" w:hAnsi="仿宋" w:eastAsia="仿宋" w:cs="仿宋"/>
          <w:sz w:val="32"/>
          <w:szCs w:val="32"/>
        </w:rPr>
      </w:pPr>
      <w:r>
        <w:rPr>
          <w:rFonts w:hint="eastAsia" w:ascii="仿宋" w:hAnsi="仿宋" w:eastAsia="仿宋" w:cs="仿宋"/>
          <w:sz w:val="32"/>
          <w:szCs w:val="32"/>
        </w:rPr>
        <w:t>八、2022年政府性基金预算支出预算表</w:t>
      </w:r>
    </w:p>
    <w:p w14:paraId="45E10082">
      <w:pPr>
        <w:rPr>
          <w:rFonts w:ascii="仿宋" w:hAnsi="仿宋" w:eastAsia="仿宋" w:cs="仿宋"/>
          <w:sz w:val="32"/>
          <w:szCs w:val="32"/>
        </w:rPr>
      </w:pPr>
      <w:r>
        <w:rPr>
          <w:rFonts w:hint="eastAsia" w:ascii="仿宋" w:hAnsi="仿宋" w:eastAsia="仿宋" w:cs="仿宋"/>
          <w:sz w:val="32"/>
          <w:szCs w:val="32"/>
        </w:rPr>
        <w:t>九、2022年国有资本经营预算收支预算表</w:t>
      </w:r>
    </w:p>
    <w:p w14:paraId="699FCF5B">
      <w:pPr>
        <w:rPr>
          <w:rFonts w:ascii="仿宋" w:hAnsi="仿宋" w:eastAsia="仿宋" w:cs="仿宋"/>
          <w:sz w:val="32"/>
          <w:szCs w:val="32"/>
        </w:rPr>
      </w:pPr>
      <w:r>
        <w:rPr>
          <w:rFonts w:hint="eastAsia" w:ascii="仿宋" w:hAnsi="仿宋" w:eastAsia="仿宋" w:cs="仿宋"/>
          <w:sz w:val="32"/>
          <w:szCs w:val="32"/>
        </w:rPr>
        <w:t>十、2022年“三公”经费支出预算表</w:t>
      </w:r>
    </w:p>
    <w:p w14:paraId="48009012">
      <w:pPr>
        <w:rPr>
          <w:rFonts w:ascii="仿宋" w:hAnsi="仿宋" w:eastAsia="仿宋" w:cs="仿宋"/>
          <w:sz w:val="32"/>
          <w:szCs w:val="32"/>
        </w:rPr>
      </w:pPr>
      <w:r>
        <w:rPr>
          <w:rFonts w:hint="eastAsia" w:ascii="仿宋" w:hAnsi="仿宋" w:eastAsia="仿宋" w:cs="仿宋"/>
          <w:sz w:val="32"/>
          <w:szCs w:val="32"/>
        </w:rPr>
        <w:t>十一、2022年机关运行经费预算财政拨款情况表</w:t>
      </w:r>
    </w:p>
    <w:p w14:paraId="61F1FBF5">
      <w:pPr>
        <w:spacing w:line="720" w:lineRule="exact"/>
        <w:ind w:firstLine="640" w:firstLineChars="200"/>
        <w:rPr>
          <w:rFonts w:ascii="仿宋" w:hAnsi="仿宋" w:eastAsia="仿宋" w:cs="仿宋"/>
          <w:sz w:val="32"/>
          <w:szCs w:val="32"/>
        </w:rPr>
      </w:pPr>
    </w:p>
    <w:p w14:paraId="630DDC42">
      <w:pPr>
        <w:numPr>
          <w:ilvl w:val="0"/>
          <w:numId w:val="1"/>
        </w:numPr>
        <w:spacing w:line="720" w:lineRule="exact"/>
        <w:rPr>
          <w:rFonts w:ascii="黑体" w:hAnsi="黑体" w:eastAsia="黑体"/>
          <w:sz w:val="32"/>
          <w:szCs w:val="32"/>
        </w:rPr>
      </w:pPr>
      <w:r>
        <w:rPr>
          <w:rFonts w:ascii="黑体" w:hAnsi="黑体" w:eastAsia="黑体"/>
          <w:sz w:val="32"/>
          <w:szCs w:val="32"/>
        </w:rPr>
        <w:t xml:space="preserve"> 202</w:t>
      </w:r>
      <w:r>
        <w:rPr>
          <w:rFonts w:hint="eastAsia" w:ascii="黑体" w:hAnsi="黑体" w:eastAsia="黑体"/>
          <w:sz w:val="32"/>
          <w:szCs w:val="32"/>
        </w:rPr>
        <w:t>2年度部门预算情况说明</w:t>
      </w:r>
    </w:p>
    <w:p w14:paraId="304CF798">
      <w:pPr>
        <w:spacing w:line="720" w:lineRule="exact"/>
        <w:ind w:firstLine="635"/>
        <w:rPr>
          <w:rFonts w:ascii="仿宋" w:hAnsi="仿宋" w:eastAsia="仿宋" w:cs="仿宋"/>
          <w:sz w:val="32"/>
          <w:szCs w:val="32"/>
        </w:rPr>
      </w:pPr>
      <w:r>
        <w:rPr>
          <w:rFonts w:hint="eastAsia" w:ascii="仿宋" w:hAnsi="仿宋" w:eastAsia="仿宋" w:cs="仿宋"/>
          <w:sz w:val="32"/>
          <w:szCs w:val="32"/>
        </w:rPr>
        <w:t>一、2022年度部门预算数据变动情况及原因</w:t>
      </w:r>
    </w:p>
    <w:p w14:paraId="5A9E4380">
      <w:pPr>
        <w:pStyle w:val="9"/>
        <w:spacing w:line="720" w:lineRule="exact"/>
        <w:ind w:firstLine="635"/>
        <w:rPr>
          <w:rFonts w:ascii="仿宋" w:hAnsi="仿宋" w:eastAsia="仿宋" w:cs="仿宋"/>
          <w:sz w:val="32"/>
          <w:szCs w:val="32"/>
        </w:rPr>
      </w:pPr>
      <w:r>
        <w:rPr>
          <w:rFonts w:hint="eastAsia" w:ascii="仿宋" w:hAnsi="仿宋" w:eastAsia="仿宋" w:cs="仿宋"/>
          <w:sz w:val="32"/>
          <w:szCs w:val="32"/>
        </w:rPr>
        <w:t>2022年一般公共预算为71.189882万元，较2021年一般公共预算66.29万元增加4.899882万元，主要原因是2022年增加人员经费，人员工资上涨，增加元宵节灯展经费。</w:t>
      </w:r>
    </w:p>
    <w:p w14:paraId="3213531B">
      <w:pPr>
        <w:pStyle w:val="9"/>
        <w:spacing w:line="720" w:lineRule="exact"/>
        <w:ind w:firstLine="635"/>
        <w:rPr>
          <w:rFonts w:ascii="楷体" w:hAnsi="楷体" w:eastAsia="仿宋"/>
          <w:sz w:val="32"/>
          <w:szCs w:val="32"/>
        </w:rPr>
      </w:pPr>
      <w:r>
        <w:rPr>
          <w:rFonts w:hint="eastAsia" w:ascii="仿宋" w:hAnsi="仿宋" w:eastAsia="仿宋" w:cs="仿宋"/>
          <w:sz w:val="32"/>
          <w:szCs w:val="32"/>
        </w:rPr>
        <w:t>2022年一般公共服务行政运行支出56.64753万元，较2021年一般公共服务行政运行支出52.19万元增加4.45753万元，主要原因是2022年增加人员经费，人员工资上涨，增加元宵节灯展经费；2022年社会保障和就业支出6.775414万元，较2021年6.57万元增加0.205414万元，主要原因是人员工资上涨，机关事业单位养老保险缴费基数上调；2022年卫生健康支出2.809318万元，比2021年2.72万元预算增加0.089318万元，主要</w:t>
      </w:r>
      <w:bookmarkStart w:id="0" w:name="_GoBack"/>
      <w:bookmarkEnd w:id="0"/>
      <w:r>
        <w:rPr>
          <w:rFonts w:hint="eastAsia" w:ascii="仿宋" w:hAnsi="仿宋" w:eastAsia="仿宋" w:cs="仿宋"/>
          <w:sz w:val="32"/>
          <w:szCs w:val="32"/>
          <w:lang w:eastAsia="zh-CN"/>
        </w:rPr>
        <w:t>原因是</w:t>
      </w:r>
      <w:r>
        <w:rPr>
          <w:rFonts w:hint="eastAsia" w:ascii="仿宋" w:hAnsi="仿宋" w:eastAsia="仿宋" w:cs="仿宋"/>
          <w:sz w:val="32"/>
          <w:szCs w:val="32"/>
        </w:rPr>
        <w:t>人员工资上涨，行政事业单位医疗保险基数上调。2022年住房保障支出4.95762万元，比2021年4.81万元预算增加0.14762万元，主要原因是2022年人员工资上涨，公积金基数上调。</w:t>
      </w:r>
    </w:p>
    <w:p w14:paraId="0848698D">
      <w:pPr>
        <w:numPr>
          <w:ilvl w:val="0"/>
          <w:numId w:val="2"/>
        </w:numPr>
        <w:spacing w:line="720" w:lineRule="exact"/>
        <w:ind w:firstLine="636"/>
        <w:rPr>
          <w:rFonts w:ascii="仿宋" w:hAnsi="仿宋" w:eastAsia="仿宋" w:cs="仿宋"/>
          <w:sz w:val="32"/>
          <w:szCs w:val="32"/>
        </w:rPr>
      </w:pPr>
      <w:r>
        <w:rPr>
          <w:rFonts w:hint="eastAsia" w:ascii="仿宋" w:hAnsi="仿宋" w:eastAsia="仿宋" w:cs="仿宋"/>
          <w:sz w:val="32"/>
          <w:szCs w:val="32"/>
        </w:rPr>
        <w:t>“三公”经费增减变动原因说明</w:t>
      </w:r>
    </w:p>
    <w:p w14:paraId="3926F3BC">
      <w:pPr>
        <w:spacing w:line="720" w:lineRule="exact"/>
        <w:rPr>
          <w:rFonts w:ascii="仿宋" w:hAnsi="仿宋" w:eastAsia="仿宋" w:cs="仿宋"/>
          <w:sz w:val="32"/>
          <w:szCs w:val="32"/>
        </w:rPr>
      </w:pPr>
      <w:r>
        <w:rPr>
          <w:rFonts w:hint="eastAsia" w:ascii="仿宋" w:hAnsi="仿宋" w:eastAsia="仿宋" w:cs="仿宋"/>
          <w:sz w:val="32"/>
          <w:szCs w:val="32"/>
        </w:rPr>
        <w:t xml:space="preserve">    2022年一般公共预算安排的“三公”经费预算0.2万元，与上年相比较无增减变动情况。其中，因公出国（境）费为0万元，公务接待费为0.2万元，公务用车购置费为0万元，公务用车运行维护费为0万元，与上年相比较无增减变动情况。</w:t>
      </w:r>
    </w:p>
    <w:p w14:paraId="6B784C81">
      <w:pPr>
        <w:numPr>
          <w:ilvl w:val="0"/>
          <w:numId w:val="2"/>
        </w:numPr>
        <w:spacing w:line="720" w:lineRule="exact"/>
        <w:ind w:firstLine="636"/>
        <w:rPr>
          <w:rFonts w:ascii="仿宋" w:hAnsi="仿宋" w:eastAsia="仿宋" w:cs="仿宋"/>
          <w:sz w:val="32"/>
          <w:szCs w:val="32"/>
        </w:rPr>
      </w:pPr>
      <w:r>
        <w:rPr>
          <w:rFonts w:hint="eastAsia" w:ascii="仿宋" w:hAnsi="仿宋" w:eastAsia="仿宋" w:cs="仿宋"/>
          <w:sz w:val="32"/>
          <w:szCs w:val="32"/>
        </w:rPr>
        <w:t>机关运行经费增减变动原因说明</w:t>
      </w:r>
    </w:p>
    <w:p w14:paraId="3958655C">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我单位2021年、2022年的机关运行经费财政拨款预算均0万元，与上年相比较无增减变动情况。</w:t>
      </w:r>
    </w:p>
    <w:p w14:paraId="2A9D2F01">
      <w:pPr>
        <w:spacing w:line="720" w:lineRule="exact"/>
        <w:ind w:left="636"/>
        <w:rPr>
          <w:rFonts w:ascii="仿宋" w:hAnsi="仿宋" w:eastAsia="仿宋" w:cs="仿宋"/>
          <w:sz w:val="32"/>
          <w:szCs w:val="32"/>
        </w:rPr>
      </w:pPr>
      <w:r>
        <w:rPr>
          <w:rFonts w:hint="eastAsia" w:ascii="仿宋" w:hAnsi="仿宋" w:eastAsia="仿宋" w:cs="仿宋"/>
          <w:sz w:val="32"/>
          <w:szCs w:val="32"/>
        </w:rPr>
        <w:t>四、政府采购情况</w:t>
      </w:r>
    </w:p>
    <w:p w14:paraId="13A6D334">
      <w:pPr>
        <w:spacing w:line="720" w:lineRule="exact"/>
        <w:ind w:firstLine="636"/>
        <w:rPr>
          <w:rFonts w:ascii="仿宋" w:hAnsi="仿宋" w:eastAsia="仿宋" w:cs="仿宋"/>
          <w:sz w:val="32"/>
          <w:szCs w:val="32"/>
        </w:rPr>
      </w:pPr>
      <w:r>
        <w:rPr>
          <w:rFonts w:hint="eastAsia" w:ascii="仿宋" w:hAnsi="仿宋" w:eastAsia="仿宋" w:cs="仿宋"/>
          <w:sz w:val="32"/>
          <w:szCs w:val="32"/>
        </w:rPr>
        <w:t>2022年长子县金融工作服务中心政府采购预算总额0万元，其中：政府采购货物预算0万元、政府采购工程预算0万元、政府采购服务预算0万元。</w:t>
      </w:r>
    </w:p>
    <w:p w14:paraId="4BD48C3C">
      <w:pPr>
        <w:spacing w:line="720" w:lineRule="exact"/>
        <w:ind w:firstLine="636"/>
        <w:rPr>
          <w:rFonts w:ascii="仿宋" w:hAnsi="仿宋" w:eastAsia="仿宋" w:cs="仿宋"/>
          <w:sz w:val="32"/>
          <w:szCs w:val="32"/>
        </w:rPr>
      </w:pPr>
      <w:r>
        <w:rPr>
          <w:rFonts w:hint="eastAsia" w:ascii="仿宋" w:hAnsi="仿宋" w:eastAsia="仿宋" w:cs="仿宋"/>
          <w:sz w:val="32"/>
          <w:szCs w:val="32"/>
        </w:rPr>
        <w:t>五、绩效管理情况</w:t>
      </w:r>
    </w:p>
    <w:p w14:paraId="7B9E7182">
      <w:pPr>
        <w:spacing w:line="720" w:lineRule="exact"/>
        <w:ind w:firstLine="636"/>
        <w:rPr>
          <w:rFonts w:ascii="仿宋" w:hAnsi="仿宋" w:eastAsia="仿宋" w:cs="仿宋"/>
          <w:sz w:val="32"/>
          <w:szCs w:val="32"/>
        </w:rPr>
      </w:pPr>
      <w:r>
        <w:rPr>
          <w:rFonts w:hint="eastAsia" w:ascii="仿宋" w:hAnsi="仿宋" w:eastAsia="仿宋" w:cs="仿宋"/>
          <w:sz w:val="32"/>
          <w:szCs w:val="32"/>
        </w:rPr>
        <w:t>2022年实行绩效目标管理的项目1个，涉及一般公共预算当年拨款3万元。</w:t>
      </w:r>
    </w:p>
    <w:p w14:paraId="3851E6C3">
      <w:pPr>
        <w:spacing w:line="720" w:lineRule="exact"/>
        <w:ind w:firstLine="636"/>
        <w:rPr>
          <w:rFonts w:ascii="仿宋" w:hAnsi="仿宋" w:eastAsia="仿宋" w:cs="仿宋"/>
          <w:sz w:val="32"/>
          <w:szCs w:val="32"/>
        </w:rPr>
      </w:pPr>
      <w:r>
        <w:rPr>
          <w:rFonts w:hint="eastAsia" w:ascii="仿宋" w:hAnsi="仿宋" w:eastAsia="仿宋" w:cs="仿宋"/>
          <w:sz w:val="32"/>
          <w:szCs w:val="32"/>
        </w:rPr>
        <w:t>1、2021年元宵节灯展项目3万元。</w:t>
      </w:r>
    </w:p>
    <w:p w14:paraId="19884AEF">
      <w:pPr>
        <w:numPr>
          <w:ilvl w:val="0"/>
          <w:numId w:val="3"/>
        </w:numPr>
        <w:spacing w:line="720" w:lineRule="exact"/>
        <w:ind w:firstLine="636"/>
        <w:rPr>
          <w:rFonts w:ascii="仿宋" w:hAnsi="仿宋" w:eastAsia="仿宋" w:cs="仿宋"/>
          <w:sz w:val="32"/>
          <w:szCs w:val="32"/>
        </w:rPr>
      </w:pPr>
      <w:r>
        <w:rPr>
          <w:rFonts w:hint="eastAsia" w:ascii="仿宋" w:hAnsi="仿宋" w:eastAsia="仿宋" w:cs="仿宋"/>
          <w:sz w:val="32"/>
          <w:szCs w:val="32"/>
        </w:rPr>
        <w:t>国有资产占有使用情况</w:t>
      </w:r>
    </w:p>
    <w:p w14:paraId="3D7C8E1D">
      <w:pPr>
        <w:tabs>
          <w:tab w:val="left" w:pos="565"/>
        </w:tabs>
        <w:spacing w:line="720" w:lineRule="exact"/>
        <w:ind w:firstLine="636"/>
        <w:rPr>
          <w:rFonts w:ascii="仿宋" w:hAnsi="仿宋" w:eastAsia="仿宋" w:cs="仿宋"/>
          <w:sz w:val="32"/>
          <w:szCs w:val="32"/>
        </w:rPr>
      </w:pPr>
      <w:r>
        <w:rPr>
          <w:rFonts w:hint="eastAsia" w:ascii="仿宋" w:hAnsi="仿宋" w:eastAsia="仿宋" w:cs="仿宋"/>
          <w:sz w:val="32"/>
          <w:szCs w:val="32"/>
        </w:rPr>
        <w:t>1、车辆情况；</w:t>
      </w:r>
    </w:p>
    <w:p w14:paraId="64A5AF0E">
      <w:pPr>
        <w:spacing w:line="720" w:lineRule="exact"/>
        <w:ind w:firstLine="636"/>
        <w:rPr>
          <w:rFonts w:ascii="仿宋" w:hAnsi="仿宋" w:eastAsia="仿宋" w:cs="仿宋"/>
          <w:sz w:val="32"/>
          <w:szCs w:val="32"/>
        </w:rPr>
      </w:pPr>
      <w:r>
        <w:rPr>
          <w:rFonts w:hint="eastAsia" w:ascii="仿宋" w:hAnsi="仿宋" w:eastAsia="仿宋" w:cs="仿宋"/>
          <w:sz w:val="32"/>
          <w:szCs w:val="32"/>
        </w:rPr>
        <w:t>2022年单位无公务用车</w:t>
      </w:r>
    </w:p>
    <w:p w14:paraId="1D47E690">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2、房屋情况；</w:t>
      </w:r>
    </w:p>
    <w:p w14:paraId="5E0E0E65">
      <w:pPr>
        <w:spacing w:line="720" w:lineRule="exact"/>
        <w:rPr>
          <w:rFonts w:ascii="仿宋" w:hAnsi="仿宋" w:eastAsia="仿宋" w:cs="仿宋"/>
          <w:sz w:val="32"/>
          <w:szCs w:val="32"/>
        </w:rPr>
      </w:pPr>
      <w:r>
        <w:rPr>
          <w:rFonts w:hint="eastAsia" w:ascii="仿宋" w:hAnsi="仿宋" w:eastAsia="仿宋" w:cs="仿宋"/>
          <w:sz w:val="32"/>
          <w:szCs w:val="32"/>
        </w:rPr>
        <w:t xml:space="preserve">    单位无房屋，现办公用房占用财政局的26㎡。</w:t>
      </w:r>
    </w:p>
    <w:p w14:paraId="1834D785">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3、其他国有资产占有使用情况</w:t>
      </w:r>
    </w:p>
    <w:p w14:paraId="649F0055">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土地、房屋及建筑物类价值0万元，通用设备类价值1.8万元，专用设备类价值0万元，家具、用具、装具及动植物类价值0.36万元，图书、档案类价值0万元，无形资产类价值0万元，合计资产总额（账面净值）为2.16万元。</w:t>
      </w:r>
    </w:p>
    <w:p w14:paraId="11821EDF">
      <w:pPr>
        <w:spacing w:line="720" w:lineRule="exact"/>
        <w:ind w:firstLine="636"/>
        <w:rPr>
          <w:rFonts w:ascii="仿宋" w:hAnsi="仿宋" w:eastAsia="仿宋" w:cs="仿宋"/>
          <w:sz w:val="32"/>
          <w:szCs w:val="32"/>
        </w:rPr>
      </w:pPr>
      <w:r>
        <w:rPr>
          <w:rFonts w:hint="eastAsia" w:ascii="仿宋" w:hAnsi="仿宋" w:eastAsia="仿宋" w:cs="仿宋"/>
          <w:sz w:val="32"/>
          <w:szCs w:val="32"/>
        </w:rPr>
        <w:t>七、其他说明</w:t>
      </w:r>
    </w:p>
    <w:p w14:paraId="0522C71C">
      <w:pPr>
        <w:spacing w:line="720" w:lineRule="exact"/>
        <w:ind w:firstLine="636"/>
        <w:rPr>
          <w:rFonts w:ascii="仿宋" w:hAnsi="仿宋" w:eastAsia="仿宋" w:cs="仿宋"/>
          <w:sz w:val="32"/>
          <w:szCs w:val="32"/>
        </w:rPr>
      </w:pPr>
      <w:r>
        <w:rPr>
          <w:rFonts w:hint="eastAsia" w:ascii="仿宋" w:hAnsi="仿宋" w:eastAsia="仿宋" w:cs="仿宋"/>
          <w:sz w:val="32"/>
          <w:szCs w:val="32"/>
        </w:rPr>
        <w:t>（一）政府购买服务指导性目录</w:t>
      </w:r>
    </w:p>
    <w:p w14:paraId="5C36D34A">
      <w:pPr>
        <w:spacing w:line="720" w:lineRule="exact"/>
        <w:ind w:firstLine="636"/>
        <w:rPr>
          <w:rFonts w:ascii="仿宋" w:hAnsi="仿宋" w:eastAsia="仿宋" w:cs="仿宋"/>
          <w:sz w:val="32"/>
          <w:szCs w:val="32"/>
        </w:rPr>
      </w:pPr>
      <w:r>
        <w:rPr>
          <w:rFonts w:hint="eastAsia" w:ascii="仿宋" w:hAnsi="仿宋" w:eastAsia="仿宋" w:cs="仿宋"/>
          <w:sz w:val="32"/>
          <w:szCs w:val="32"/>
        </w:rPr>
        <w:t>本单位无政府购买服务</w:t>
      </w:r>
    </w:p>
    <w:p w14:paraId="27620494">
      <w:pPr>
        <w:spacing w:line="720" w:lineRule="exact"/>
        <w:rPr>
          <w:rFonts w:ascii="仿宋" w:hAnsi="仿宋" w:eastAsia="仿宋" w:cs="仿宋"/>
          <w:sz w:val="32"/>
          <w:szCs w:val="32"/>
        </w:rPr>
      </w:pPr>
      <w:r>
        <w:rPr>
          <w:rFonts w:hint="eastAsia" w:ascii="仿宋" w:hAnsi="仿宋" w:eastAsia="仿宋" w:cs="仿宋"/>
          <w:sz w:val="32"/>
          <w:szCs w:val="32"/>
        </w:rPr>
        <w:t xml:space="preserve">    （二）其他</w:t>
      </w:r>
    </w:p>
    <w:p w14:paraId="024F8547">
      <w:pPr>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本单位无其他需说明的相关内容。</w:t>
      </w:r>
    </w:p>
    <w:p w14:paraId="715A53CF">
      <w:pPr>
        <w:spacing w:line="720" w:lineRule="exact"/>
        <w:ind w:firstLine="640" w:firstLineChars="200"/>
        <w:rPr>
          <w:rFonts w:ascii="仿宋" w:hAnsi="仿宋" w:eastAsia="仿宋" w:cs="仿宋"/>
          <w:sz w:val="32"/>
          <w:szCs w:val="32"/>
        </w:rPr>
      </w:pPr>
    </w:p>
    <w:p w14:paraId="4B8AD419">
      <w:pPr>
        <w:spacing w:line="720" w:lineRule="exact"/>
        <w:rPr>
          <w:rFonts w:ascii="黑体" w:hAnsi="黑体" w:eastAsia="黑体"/>
          <w:sz w:val="32"/>
          <w:szCs w:val="32"/>
        </w:rPr>
      </w:pPr>
      <w:r>
        <w:rPr>
          <w:rFonts w:hint="eastAsia" w:ascii="黑体" w:hAnsi="黑体" w:eastAsia="黑体"/>
          <w:sz w:val="32"/>
          <w:szCs w:val="32"/>
        </w:rPr>
        <w:t>第四部分  名词解释</w:t>
      </w:r>
    </w:p>
    <w:p w14:paraId="094A4841">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（一）基本支出：指为保障机构正常运转、完成日常</w:t>
      </w:r>
    </w:p>
    <w:p w14:paraId="1B100F97">
      <w:pPr>
        <w:autoSpaceDE w:val="0"/>
        <w:autoSpaceDN w:val="0"/>
        <w:adjustRightInd w:val="0"/>
        <w:spacing w:line="720" w:lineRule="exact"/>
        <w:rPr>
          <w:rFonts w:ascii="仿宋" w:hAnsi="仿宋" w:eastAsia="仿宋" w:cs="仿宋"/>
          <w:sz w:val="32"/>
          <w:szCs w:val="32"/>
        </w:rPr>
      </w:pPr>
      <w:r>
        <w:rPr>
          <w:rFonts w:hint="eastAsia" w:ascii="仿宋" w:hAnsi="仿宋" w:eastAsia="仿宋" w:cs="仿宋"/>
          <w:sz w:val="32"/>
          <w:szCs w:val="32"/>
        </w:rPr>
        <w:t>工作任务而发生的人员支出和公用支出。</w:t>
      </w:r>
    </w:p>
    <w:p w14:paraId="76AE662C">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（二）项目支出：指在基本支出之外为完成特定行政任</w:t>
      </w:r>
    </w:p>
    <w:p w14:paraId="6FCB2239">
      <w:pPr>
        <w:spacing w:line="720" w:lineRule="exact"/>
        <w:rPr>
          <w:rFonts w:ascii="仿宋" w:hAnsi="仿宋" w:eastAsia="仿宋" w:cs="仿宋"/>
          <w:sz w:val="32"/>
          <w:szCs w:val="32"/>
        </w:rPr>
      </w:pPr>
      <w:r>
        <w:rPr>
          <w:rFonts w:hint="eastAsia" w:ascii="仿宋" w:hAnsi="仿宋" w:eastAsia="仿宋" w:cs="仿宋"/>
          <w:sz w:val="32"/>
          <w:szCs w:val="32"/>
        </w:rPr>
        <w:t>务和事业发展目标所发生的支出。</w:t>
      </w:r>
    </w:p>
    <w:p w14:paraId="55456A97">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三）“三公”经费：指区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75BD0504">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（四）机关运行经费：指行政单位和参照公务员法管理的事业单位使用一般公共预算安排的基本支出中的日常公用经费支出。</w:t>
      </w:r>
    </w:p>
    <w:p w14:paraId="4E3F4032">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62F3538E">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（六）一般公共预算：是指以税收为主体的财政收入，安排用于保障和改善民生、推动经济社会发展、维护国家安全、维持国家机构正常运转等方面的收支预算。</w:t>
      </w:r>
    </w:p>
    <w:p w14:paraId="23FDF0A7">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（七）政府性基金预算：是对依照法律、行政法规的规定在一定期限内向特定对象征收、收取或者以其他方式雉的资金，专项用于特定公共事业发展的收支预算。</w:t>
      </w:r>
    </w:p>
    <w:p w14:paraId="4CFA47C9">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（八）国有资本经营预算：是对国有资本收益作出支出安排的收支预算。</w:t>
      </w:r>
    </w:p>
    <w:p w14:paraId="5B7D836B">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（九）财政专户管理资金：专指教育收费，包括目前在财政专户管理的高中以上学费、住宿费，高校委托培养费，党校收费，教育考试教务费，函大、电大、夜大及短训班培训费等。</w:t>
      </w:r>
    </w:p>
    <w:p w14:paraId="7D287910">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（十）、单位资金：是指除政府预算资金和财政专户管理资金以外的资金，包括事业收入、事业单位经营收入、上级补助收入、附属单位上缴收入、其他收入。</w:t>
      </w:r>
    </w:p>
    <w:p w14:paraId="72068E8B">
      <w:pPr>
        <w:autoSpaceDE w:val="0"/>
        <w:autoSpaceDN w:val="0"/>
        <w:adjustRightInd w:val="0"/>
        <w:spacing w:line="720" w:lineRule="exact"/>
        <w:ind w:firstLine="640" w:firstLineChars="200"/>
        <w:rPr>
          <w:rFonts w:ascii="仿宋" w:hAnsi="仿宋" w:eastAsia="仿宋" w:cs="仿宋"/>
          <w:sz w:val="32"/>
          <w:szCs w:val="32"/>
        </w:rPr>
      </w:pPr>
      <w:r>
        <w:rPr>
          <w:rFonts w:hint="eastAsia" w:ascii="仿宋" w:hAnsi="仿宋" w:eastAsia="仿宋" w:cs="仿宋"/>
          <w:sz w:val="32"/>
          <w:szCs w:val="32"/>
        </w:rPr>
        <w:t>(十一)、上年结转：指以前年度预算安排、结转到本年仍按原规定用途使用的资金。</w:t>
      </w:r>
    </w:p>
    <w:p w14:paraId="01521873">
      <w:pPr>
        <w:autoSpaceDE w:val="0"/>
        <w:autoSpaceDN w:val="0"/>
        <w:adjustRightInd w:val="0"/>
        <w:spacing w:line="720" w:lineRule="exact"/>
        <w:ind w:firstLine="640" w:firstLineChars="200"/>
        <w:rPr>
          <w:rFonts w:ascii="仿宋" w:hAnsi="仿宋" w:eastAsia="仿宋" w:cs="仿宋"/>
          <w:sz w:val="32"/>
          <w:szCs w:val="32"/>
        </w:rPr>
      </w:pPr>
    </w:p>
    <w:p w14:paraId="344DF03C">
      <w:pPr>
        <w:ind w:firstLine="4160" w:firstLineChars="1300"/>
        <w:rPr>
          <w:rFonts w:ascii="仿宋" w:hAnsi="仿宋" w:eastAsia="仿宋" w:cs="仿宋"/>
          <w:sz w:val="32"/>
          <w:szCs w:val="32"/>
        </w:rPr>
      </w:pPr>
      <w:r>
        <w:rPr>
          <w:rFonts w:hint="eastAsia" w:ascii="仿宋" w:hAnsi="仿宋" w:eastAsia="仿宋" w:cs="仿宋"/>
          <w:sz w:val="32"/>
          <w:szCs w:val="32"/>
        </w:rPr>
        <w:t>二〇二二年三月二十八日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1DD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7876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a:noFill/>
                      </a:ln>
                    </wps:spPr>
                    <wps:txbx>
                      <w:txbxContent>
                        <w:p w14:paraId="5E0C5A62">
                          <w:pPr>
                            <w:pStyle w:val="2"/>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21.95pt;width:4.6pt;mso-position-horizontal:center;mso-position-horizontal-relative:margin;mso-wrap-style:none;z-index:251659264;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vigOtEAAAACAQAADwAAAAAAAAABACAAAAAiAAAAZHJzL2Rv&#10;d25yZXYueG1sUEsBAhQAFAAAAAgAh07iQIet+bbPAQAAmQMAAA4AAAAAAAAAAQAgAAAAIAEAAGRy&#10;cy9lMm9Eb2MueG1sUEsFBgAAAAAGAAYAWQEAAGEFAAAAAA==&#10;">
              <v:fill on="f" focussize="0,0"/>
              <v:stroke on="f"/>
              <v:imagedata o:title=""/>
              <o:lock v:ext="edit" aspectratio="f"/>
              <v:textbox inset="0mm,0mm,0mm,0mm" style="mso-fit-shape-to-text:t;">
                <w:txbxContent>
                  <w:p w14:paraId="5E0C5A62">
                    <w:pPr>
                      <w:pStyle w:val="2"/>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8E923">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B18A37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02D8E">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D15EC"/>
    <w:multiLevelType w:val="singleLevel"/>
    <w:tmpl w:val="B59D15EC"/>
    <w:lvl w:ilvl="0" w:tentative="0">
      <w:start w:val="3"/>
      <w:numFmt w:val="chineseCounting"/>
      <w:suff w:val="space"/>
      <w:lvlText w:val="第%1部分"/>
      <w:lvlJc w:val="left"/>
      <w:rPr>
        <w:rFonts w:hint="eastAsia"/>
      </w:rPr>
    </w:lvl>
  </w:abstractNum>
  <w:abstractNum w:abstractNumId="1">
    <w:nsid w:val="E3266228"/>
    <w:multiLevelType w:val="singleLevel"/>
    <w:tmpl w:val="E3266228"/>
    <w:lvl w:ilvl="0" w:tentative="0">
      <w:start w:val="2"/>
      <w:numFmt w:val="chineseCounting"/>
      <w:suff w:val="nothing"/>
      <w:lvlText w:val="%1、"/>
      <w:lvlJc w:val="left"/>
      <w:rPr>
        <w:rFonts w:hint="eastAsia"/>
      </w:rPr>
    </w:lvl>
  </w:abstractNum>
  <w:abstractNum w:abstractNumId="2">
    <w:nsid w:val="21917DCD"/>
    <w:multiLevelType w:val="singleLevel"/>
    <w:tmpl w:val="21917DCD"/>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61"/>
    <w:rsid w:val="00013EED"/>
    <w:rsid w:val="000554AE"/>
    <w:rsid w:val="00091A2B"/>
    <w:rsid w:val="00217A55"/>
    <w:rsid w:val="00286C29"/>
    <w:rsid w:val="002D22C4"/>
    <w:rsid w:val="00332350"/>
    <w:rsid w:val="00386645"/>
    <w:rsid w:val="00413747"/>
    <w:rsid w:val="00417FFC"/>
    <w:rsid w:val="00505BCF"/>
    <w:rsid w:val="00530361"/>
    <w:rsid w:val="005458A4"/>
    <w:rsid w:val="00552BFB"/>
    <w:rsid w:val="00575A54"/>
    <w:rsid w:val="0069691F"/>
    <w:rsid w:val="006C112A"/>
    <w:rsid w:val="006C2045"/>
    <w:rsid w:val="00734346"/>
    <w:rsid w:val="007E3878"/>
    <w:rsid w:val="00855EA6"/>
    <w:rsid w:val="008572F4"/>
    <w:rsid w:val="00880B8A"/>
    <w:rsid w:val="008E24FF"/>
    <w:rsid w:val="009C570F"/>
    <w:rsid w:val="009D2D67"/>
    <w:rsid w:val="00A3656E"/>
    <w:rsid w:val="00A665B7"/>
    <w:rsid w:val="00A66AAD"/>
    <w:rsid w:val="00A76357"/>
    <w:rsid w:val="00AD1AB2"/>
    <w:rsid w:val="00BA45BD"/>
    <w:rsid w:val="00BA5322"/>
    <w:rsid w:val="00C956DD"/>
    <w:rsid w:val="00D278F0"/>
    <w:rsid w:val="00E24128"/>
    <w:rsid w:val="00E34BCE"/>
    <w:rsid w:val="00E43FC2"/>
    <w:rsid w:val="00E860FA"/>
    <w:rsid w:val="00EA5319"/>
    <w:rsid w:val="00F16872"/>
    <w:rsid w:val="00F82268"/>
    <w:rsid w:val="00FE1DF9"/>
    <w:rsid w:val="00FF56A0"/>
    <w:rsid w:val="01B4135D"/>
    <w:rsid w:val="01FC4EC4"/>
    <w:rsid w:val="04335DA6"/>
    <w:rsid w:val="04842AA6"/>
    <w:rsid w:val="04C3586B"/>
    <w:rsid w:val="05510D46"/>
    <w:rsid w:val="05BC1A78"/>
    <w:rsid w:val="065A1D10"/>
    <w:rsid w:val="07367F05"/>
    <w:rsid w:val="07C136C9"/>
    <w:rsid w:val="088272FC"/>
    <w:rsid w:val="08F075A5"/>
    <w:rsid w:val="09532A47"/>
    <w:rsid w:val="0985628C"/>
    <w:rsid w:val="09AB6799"/>
    <w:rsid w:val="09E813E1"/>
    <w:rsid w:val="0A16096C"/>
    <w:rsid w:val="0AFB5144"/>
    <w:rsid w:val="0B5A1DB5"/>
    <w:rsid w:val="0C0369A6"/>
    <w:rsid w:val="0C543CF0"/>
    <w:rsid w:val="0D583EC4"/>
    <w:rsid w:val="0DD24290"/>
    <w:rsid w:val="0DE16873"/>
    <w:rsid w:val="0E2054CC"/>
    <w:rsid w:val="0EBA03EC"/>
    <w:rsid w:val="0EDE2DB2"/>
    <w:rsid w:val="0F6136E6"/>
    <w:rsid w:val="1159290C"/>
    <w:rsid w:val="115B693C"/>
    <w:rsid w:val="11B23F0D"/>
    <w:rsid w:val="12443874"/>
    <w:rsid w:val="12485112"/>
    <w:rsid w:val="13D7769E"/>
    <w:rsid w:val="144C07BE"/>
    <w:rsid w:val="14C26903"/>
    <w:rsid w:val="150423F4"/>
    <w:rsid w:val="158521DA"/>
    <w:rsid w:val="1690217F"/>
    <w:rsid w:val="17301234"/>
    <w:rsid w:val="17562080"/>
    <w:rsid w:val="17570B8F"/>
    <w:rsid w:val="1763654B"/>
    <w:rsid w:val="185365BF"/>
    <w:rsid w:val="18CA7305"/>
    <w:rsid w:val="19CF2D7F"/>
    <w:rsid w:val="1A420260"/>
    <w:rsid w:val="1A4B3503"/>
    <w:rsid w:val="1A6E3C90"/>
    <w:rsid w:val="1A952EBF"/>
    <w:rsid w:val="1B636B19"/>
    <w:rsid w:val="1BDF1D72"/>
    <w:rsid w:val="1C0C3B07"/>
    <w:rsid w:val="1C5446B4"/>
    <w:rsid w:val="1C5A58E7"/>
    <w:rsid w:val="1CA07D5C"/>
    <w:rsid w:val="1CB810E7"/>
    <w:rsid w:val="1CC37CD1"/>
    <w:rsid w:val="1CC45CDD"/>
    <w:rsid w:val="1D165224"/>
    <w:rsid w:val="1D5170DE"/>
    <w:rsid w:val="1DFC3255"/>
    <w:rsid w:val="1E122A78"/>
    <w:rsid w:val="1E606C97"/>
    <w:rsid w:val="1EAF6508"/>
    <w:rsid w:val="1F3C4032"/>
    <w:rsid w:val="1F52137F"/>
    <w:rsid w:val="1F75674E"/>
    <w:rsid w:val="1FC20651"/>
    <w:rsid w:val="1FEB532F"/>
    <w:rsid w:val="20297D2B"/>
    <w:rsid w:val="20AF45AF"/>
    <w:rsid w:val="20EB7F23"/>
    <w:rsid w:val="210F504D"/>
    <w:rsid w:val="2130749E"/>
    <w:rsid w:val="224F4DFE"/>
    <w:rsid w:val="22B30682"/>
    <w:rsid w:val="22FE1050"/>
    <w:rsid w:val="232748D0"/>
    <w:rsid w:val="23A77DDD"/>
    <w:rsid w:val="24D46CDA"/>
    <w:rsid w:val="25921085"/>
    <w:rsid w:val="25E03A80"/>
    <w:rsid w:val="26763B3D"/>
    <w:rsid w:val="28115F4E"/>
    <w:rsid w:val="285A43AB"/>
    <w:rsid w:val="28D11343"/>
    <w:rsid w:val="2929006F"/>
    <w:rsid w:val="296F5223"/>
    <w:rsid w:val="29C62817"/>
    <w:rsid w:val="2B1A0FA3"/>
    <w:rsid w:val="2B1C0376"/>
    <w:rsid w:val="2BA1664E"/>
    <w:rsid w:val="2D157E8F"/>
    <w:rsid w:val="2D681053"/>
    <w:rsid w:val="2E004358"/>
    <w:rsid w:val="2F4C4DC1"/>
    <w:rsid w:val="30751371"/>
    <w:rsid w:val="30782051"/>
    <w:rsid w:val="323A2BC7"/>
    <w:rsid w:val="32DD3506"/>
    <w:rsid w:val="341B2272"/>
    <w:rsid w:val="34CC3529"/>
    <w:rsid w:val="35BC1C21"/>
    <w:rsid w:val="35F363F2"/>
    <w:rsid w:val="36363350"/>
    <w:rsid w:val="369D517D"/>
    <w:rsid w:val="37334D73"/>
    <w:rsid w:val="37AC04DA"/>
    <w:rsid w:val="38680F28"/>
    <w:rsid w:val="38A87E0A"/>
    <w:rsid w:val="390D56C2"/>
    <w:rsid w:val="39300E19"/>
    <w:rsid w:val="3932459C"/>
    <w:rsid w:val="395D0393"/>
    <w:rsid w:val="3974419E"/>
    <w:rsid w:val="397C3770"/>
    <w:rsid w:val="399359CE"/>
    <w:rsid w:val="39FA1E40"/>
    <w:rsid w:val="3A5439F9"/>
    <w:rsid w:val="3AF13CEA"/>
    <w:rsid w:val="3B464CA6"/>
    <w:rsid w:val="3B952126"/>
    <w:rsid w:val="3C7A386B"/>
    <w:rsid w:val="3CDB07AE"/>
    <w:rsid w:val="3D0D46DF"/>
    <w:rsid w:val="3D1D0DC6"/>
    <w:rsid w:val="3D5D5666"/>
    <w:rsid w:val="3DAB63D2"/>
    <w:rsid w:val="3DAC1FE6"/>
    <w:rsid w:val="3DB66B25"/>
    <w:rsid w:val="3DF00289"/>
    <w:rsid w:val="3E614CE2"/>
    <w:rsid w:val="3FE45BCB"/>
    <w:rsid w:val="40396B5A"/>
    <w:rsid w:val="40555476"/>
    <w:rsid w:val="40BA7872"/>
    <w:rsid w:val="40D75730"/>
    <w:rsid w:val="415E375B"/>
    <w:rsid w:val="41B94E35"/>
    <w:rsid w:val="41CC2DBB"/>
    <w:rsid w:val="427064F4"/>
    <w:rsid w:val="43572563"/>
    <w:rsid w:val="435C016E"/>
    <w:rsid w:val="437C42C7"/>
    <w:rsid w:val="43B50B9C"/>
    <w:rsid w:val="43ED5834"/>
    <w:rsid w:val="44140464"/>
    <w:rsid w:val="44601920"/>
    <w:rsid w:val="45036AF3"/>
    <w:rsid w:val="45621B03"/>
    <w:rsid w:val="460E39AA"/>
    <w:rsid w:val="465157BF"/>
    <w:rsid w:val="46517D32"/>
    <w:rsid w:val="46601D24"/>
    <w:rsid w:val="47DB5B06"/>
    <w:rsid w:val="480B5513"/>
    <w:rsid w:val="48293112"/>
    <w:rsid w:val="486E3787"/>
    <w:rsid w:val="497E2550"/>
    <w:rsid w:val="498521CD"/>
    <w:rsid w:val="4AD90284"/>
    <w:rsid w:val="4AFB026D"/>
    <w:rsid w:val="4C237A7B"/>
    <w:rsid w:val="4C2A373B"/>
    <w:rsid w:val="4C321CB7"/>
    <w:rsid w:val="4C346369"/>
    <w:rsid w:val="4CA51BC3"/>
    <w:rsid w:val="4D27293B"/>
    <w:rsid w:val="4D2D7CF1"/>
    <w:rsid w:val="4DA6314F"/>
    <w:rsid w:val="4DC847FA"/>
    <w:rsid w:val="4DCB03CA"/>
    <w:rsid w:val="4DD92AE7"/>
    <w:rsid w:val="4E6E6B8A"/>
    <w:rsid w:val="4E736531"/>
    <w:rsid w:val="4E7740AE"/>
    <w:rsid w:val="4E8F13F8"/>
    <w:rsid w:val="4EE22461"/>
    <w:rsid w:val="4F7D7F40"/>
    <w:rsid w:val="4F8F09AB"/>
    <w:rsid w:val="4FC7696F"/>
    <w:rsid w:val="501E791D"/>
    <w:rsid w:val="502F0840"/>
    <w:rsid w:val="506F14E1"/>
    <w:rsid w:val="508F58F6"/>
    <w:rsid w:val="50974594"/>
    <w:rsid w:val="516E1A8F"/>
    <w:rsid w:val="51F63D24"/>
    <w:rsid w:val="52313B43"/>
    <w:rsid w:val="53236E94"/>
    <w:rsid w:val="53A371B6"/>
    <w:rsid w:val="55215475"/>
    <w:rsid w:val="55F45FE4"/>
    <w:rsid w:val="560721BC"/>
    <w:rsid w:val="56424FA2"/>
    <w:rsid w:val="56723AD9"/>
    <w:rsid w:val="56DE7307"/>
    <w:rsid w:val="571C16B6"/>
    <w:rsid w:val="57392849"/>
    <w:rsid w:val="579E6D8A"/>
    <w:rsid w:val="581A05BA"/>
    <w:rsid w:val="587358E6"/>
    <w:rsid w:val="587D6BEC"/>
    <w:rsid w:val="588B2B59"/>
    <w:rsid w:val="58A87E90"/>
    <w:rsid w:val="58BF26EE"/>
    <w:rsid w:val="58F4103D"/>
    <w:rsid w:val="595474C6"/>
    <w:rsid w:val="595E0345"/>
    <w:rsid w:val="59767DAC"/>
    <w:rsid w:val="59E719CB"/>
    <w:rsid w:val="5AAC50E0"/>
    <w:rsid w:val="5C1B5B89"/>
    <w:rsid w:val="5C653798"/>
    <w:rsid w:val="5C6A5252"/>
    <w:rsid w:val="5C8205E7"/>
    <w:rsid w:val="5CA249EC"/>
    <w:rsid w:val="5D3E093C"/>
    <w:rsid w:val="5D867E6A"/>
    <w:rsid w:val="5D990568"/>
    <w:rsid w:val="5DAD189A"/>
    <w:rsid w:val="5DB46E56"/>
    <w:rsid w:val="5DC866D4"/>
    <w:rsid w:val="5E3E6996"/>
    <w:rsid w:val="5EBB050D"/>
    <w:rsid w:val="5EDE7484"/>
    <w:rsid w:val="5EF27AED"/>
    <w:rsid w:val="5F69359F"/>
    <w:rsid w:val="60936B26"/>
    <w:rsid w:val="609C410B"/>
    <w:rsid w:val="61196E57"/>
    <w:rsid w:val="61421F9F"/>
    <w:rsid w:val="614713DB"/>
    <w:rsid w:val="6157253F"/>
    <w:rsid w:val="61F335F4"/>
    <w:rsid w:val="624D0F56"/>
    <w:rsid w:val="62586279"/>
    <w:rsid w:val="6328535F"/>
    <w:rsid w:val="63637CAA"/>
    <w:rsid w:val="63AD43A2"/>
    <w:rsid w:val="6488772B"/>
    <w:rsid w:val="64973748"/>
    <w:rsid w:val="65971F48"/>
    <w:rsid w:val="65A01E5F"/>
    <w:rsid w:val="662326FA"/>
    <w:rsid w:val="66367325"/>
    <w:rsid w:val="671E7365"/>
    <w:rsid w:val="677B4993"/>
    <w:rsid w:val="680447AD"/>
    <w:rsid w:val="680D3130"/>
    <w:rsid w:val="683C12B8"/>
    <w:rsid w:val="68CB0C77"/>
    <w:rsid w:val="690507DD"/>
    <w:rsid w:val="69A27DD9"/>
    <w:rsid w:val="69B244C2"/>
    <w:rsid w:val="6A864F18"/>
    <w:rsid w:val="6B79100E"/>
    <w:rsid w:val="6BBB5183"/>
    <w:rsid w:val="6BDD159D"/>
    <w:rsid w:val="6CF21C66"/>
    <w:rsid w:val="6CF92406"/>
    <w:rsid w:val="6D071CF1"/>
    <w:rsid w:val="6E571197"/>
    <w:rsid w:val="6F317329"/>
    <w:rsid w:val="6F433E0D"/>
    <w:rsid w:val="6F765431"/>
    <w:rsid w:val="6F8F3FCE"/>
    <w:rsid w:val="6FBE65B5"/>
    <w:rsid w:val="6FF15BD3"/>
    <w:rsid w:val="71431EA2"/>
    <w:rsid w:val="71765F13"/>
    <w:rsid w:val="71927A5F"/>
    <w:rsid w:val="72357D6E"/>
    <w:rsid w:val="72A93F87"/>
    <w:rsid w:val="73D332D9"/>
    <w:rsid w:val="743957DE"/>
    <w:rsid w:val="7501454E"/>
    <w:rsid w:val="756D26A7"/>
    <w:rsid w:val="76440BAC"/>
    <w:rsid w:val="768A5760"/>
    <w:rsid w:val="77A240A0"/>
    <w:rsid w:val="77F11168"/>
    <w:rsid w:val="78C04DBC"/>
    <w:rsid w:val="792720A9"/>
    <w:rsid w:val="79346D56"/>
    <w:rsid w:val="79BF11F5"/>
    <w:rsid w:val="7A0B0ABA"/>
    <w:rsid w:val="7A2649C6"/>
    <w:rsid w:val="7A401A13"/>
    <w:rsid w:val="7AF72E69"/>
    <w:rsid w:val="7B530800"/>
    <w:rsid w:val="7C404986"/>
    <w:rsid w:val="7C720728"/>
    <w:rsid w:val="7CFD17B0"/>
    <w:rsid w:val="7D172435"/>
    <w:rsid w:val="7DA4569C"/>
    <w:rsid w:val="7DF406EF"/>
    <w:rsid w:val="7E737BEA"/>
    <w:rsid w:val="7F023E4C"/>
    <w:rsid w:val="7F553E36"/>
    <w:rsid w:val="AFD77905"/>
    <w:rsid w:val="BFFFD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Calibri" w:hAnsi="Calibr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Calibri" w:hAnsi="Calibri"/>
      <w:sz w:val="18"/>
      <w:szCs w:val="18"/>
    </w:rPr>
  </w:style>
  <w:style w:type="character" w:styleId="6">
    <w:name w:val="page number"/>
    <w:basedOn w:val="5"/>
    <w:qFormat/>
    <w:uiPriority w:val="0"/>
    <w:rPr>
      <w:rFonts w:cs="Times New Roman"/>
    </w:rPr>
  </w:style>
  <w:style w:type="character" w:customStyle="1" w:styleId="7">
    <w:name w:val="页脚 Char"/>
    <w:basedOn w:val="5"/>
    <w:link w:val="2"/>
    <w:semiHidden/>
    <w:qFormat/>
    <w:locked/>
    <w:uiPriority w:val="0"/>
    <w:rPr>
      <w:rFonts w:cs="Times New Roman"/>
      <w:sz w:val="18"/>
      <w:szCs w:val="18"/>
    </w:rPr>
  </w:style>
  <w:style w:type="character" w:customStyle="1" w:styleId="8">
    <w:name w:val="页眉 Char"/>
    <w:basedOn w:val="5"/>
    <w:link w:val="3"/>
    <w:semiHidden/>
    <w:qFormat/>
    <w:locked/>
    <w:uiPriority w:val="0"/>
    <w:rPr>
      <w:rFonts w:cs="Times New Roman"/>
      <w:sz w:val="18"/>
      <w:szCs w:val="18"/>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2322</Words>
  <Characters>2532</Characters>
  <Lines>2</Lines>
  <Paragraphs>5</Paragraphs>
  <TotalTime>3</TotalTime>
  <ScaleCrop>false</ScaleCrop>
  <LinksUpToDate>false</LinksUpToDate>
  <CharactersWithSpaces>2549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2021-04-30T16:40:00Z</dcterms:created>
  <dc:creator>郜汝敬 </dc:creator>
  <cp:lastModifiedBy>Administrator</cp:lastModifiedBy>
  <cp:lastPrinted>2021-04-27T23:40:00Z</cp:lastPrinted>
  <dcterms:modified xsi:type="dcterms:W3CDTF">2025-06-10T11:10:38Z</dcterms:modified>
  <dc:title>附件4</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9B30F44BB01348B78EA3128C038829A7_13</vt:lpwstr>
  </property>
  <property fmtid="{D5CDD505-2E9C-101B-9397-08002B2CF9AE}" pid="4" name="KSOTemplateDocerSaveRecord">
    <vt:lpwstr>eyJoZGlkIjoiM2M4ODk1M2U0ZWE1N2RkNmJjYzUxOWJkMjRmMDFjYmMifQ==</vt:lpwstr>
  </property>
</Properties>
</file>