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华文中宋" w:hAnsi="华文中宋" w:eastAsia="华文中宋"/>
          <w:sz w:val="44"/>
          <w:szCs w:val="44"/>
        </w:rPr>
      </w:pPr>
      <w:bookmarkStart w:id="1" w:name="_GoBack"/>
      <w:bookmarkEnd w:id="1"/>
    </w:p>
    <w:p>
      <w:pPr>
        <w:spacing w:line="600" w:lineRule="atLeast"/>
        <w:jc w:val="center"/>
        <w:rPr>
          <w:rFonts w:ascii="华文中宋" w:hAnsi="华文中宋" w:eastAsia="华文中宋"/>
          <w:sz w:val="44"/>
          <w:szCs w:val="44"/>
        </w:rPr>
      </w:pPr>
    </w:p>
    <w:p>
      <w:pPr>
        <w:spacing w:line="600" w:lineRule="atLeast"/>
        <w:jc w:val="center"/>
        <w:rPr>
          <w:rFonts w:ascii="华文中宋" w:hAnsi="华文中宋" w:eastAsia="华文中宋"/>
          <w:sz w:val="44"/>
          <w:szCs w:val="44"/>
        </w:rPr>
      </w:pPr>
    </w:p>
    <w:p>
      <w:pPr>
        <w:spacing w:line="600" w:lineRule="atLeast"/>
        <w:jc w:val="center"/>
        <w:rPr>
          <w:rFonts w:ascii="华文中宋" w:hAnsi="华文中宋" w:eastAsia="华文中宋"/>
          <w:sz w:val="44"/>
          <w:szCs w:val="44"/>
        </w:rPr>
      </w:pPr>
    </w:p>
    <w:p>
      <w:pPr>
        <w:spacing w:line="600" w:lineRule="atLeast"/>
        <w:jc w:val="center"/>
        <w:rPr>
          <w:rFonts w:ascii="华文中宋" w:hAnsi="华文中宋" w:eastAsia="华文中宋"/>
          <w:sz w:val="44"/>
          <w:szCs w:val="44"/>
        </w:rPr>
      </w:pPr>
    </w:p>
    <w:p>
      <w:pPr>
        <w:spacing w:line="600" w:lineRule="atLeast"/>
        <w:jc w:val="center"/>
        <w:rPr>
          <w:rFonts w:ascii="黑体" w:hAnsi="黑体" w:eastAsia="黑体" w:cs="黑体"/>
          <w:b/>
          <w:bCs/>
          <w:sz w:val="52"/>
          <w:szCs w:val="52"/>
        </w:rPr>
      </w:pPr>
      <w:r>
        <w:rPr>
          <w:rFonts w:hint="eastAsia" w:ascii="黑体" w:hAnsi="黑体" w:eastAsia="黑体" w:cs="黑体"/>
          <w:b/>
          <w:bCs/>
          <w:sz w:val="52"/>
          <w:szCs w:val="52"/>
        </w:rPr>
        <w:t>长子县工商业联合会</w:t>
      </w:r>
    </w:p>
    <w:p>
      <w:pPr>
        <w:spacing w:line="600" w:lineRule="atLeast"/>
        <w:jc w:val="center"/>
        <w:rPr>
          <w:rFonts w:ascii="黑体" w:hAnsi="黑体" w:eastAsia="黑体" w:cs="黑体"/>
          <w:b/>
          <w:bCs/>
          <w:sz w:val="52"/>
          <w:szCs w:val="52"/>
        </w:rPr>
      </w:pPr>
      <w:r>
        <w:rPr>
          <w:rFonts w:hint="eastAsia" w:ascii="黑体" w:hAnsi="黑体" w:eastAsia="黑体" w:cs="黑体"/>
          <w:b/>
          <w:bCs/>
          <w:sz w:val="52"/>
          <w:szCs w:val="52"/>
        </w:rPr>
        <w:t>2022年度单位预算公开</w:t>
      </w:r>
    </w:p>
    <w:p>
      <w:pPr>
        <w:spacing w:line="600" w:lineRule="atLeast"/>
        <w:jc w:val="center"/>
        <w:rPr>
          <w:rFonts w:ascii="仿宋" w:hAnsi="仿宋" w:eastAsia="仿宋"/>
          <w:sz w:val="32"/>
          <w:szCs w:val="32"/>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sdt>
      <w:sdtPr>
        <w:rPr>
          <w:rFonts w:ascii="宋体" w:hAnsi="宋体" w:eastAsia="宋体"/>
        </w:rPr>
        <w:id w:val="147470359"/>
        <w:docPartObj>
          <w:docPartGallery w:val="Table of Contents"/>
          <w:docPartUnique/>
        </w:docPartObj>
      </w:sdtPr>
      <w:sdtEndPr>
        <w:rPr>
          <w:rFonts w:ascii="仿宋" w:hAnsi="仿宋" w:eastAsia="仿宋"/>
          <w:szCs w:val="32"/>
        </w:rPr>
      </w:sdtEndPr>
      <w:sdtContent>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cs="宋体"/>
              <w:sz w:val="28"/>
              <w:szCs w:val="28"/>
            </w:rPr>
          </w:pPr>
          <w:r>
            <w:rPr>
              <w:rFonts w:hint="eastAsia" w:ascii="宋体" w:hAnsi="宋体" w:eastAsia="宋体" w:cs="宋体"/>
              <w:b/>
              <w:bCs/>
              <w:sz w:val="44"/>
              <w:szCs w:val="44"/>
            </w:rPr>
            <w:t>目 录</w:t>
          </w:r>
        </w:p>
        <w:p>
          <w:pPr>
            <w:pStyle w:val="9"/>
            <w:tabs>
              <w:tab w:val="right" w:leader="dot" w:pos="8306"/>
            </w:tabs>
            <w:spacing w:line="360" w:lineRule="auto"/>
            <w:rPr>
              <w:rFonts w:ascii="仿宋" w:hAnsi="仿宋" w:eastAsia="仿宋" w:cs="仿宋"/>
              <w:sz w:val="30"/>
              <w:szCs w:val="30"/>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"1-3" \h \u </w:instrText>
          </w:r>
          <w:r>
            <w:rPr>
              <w:rFonts w:hint="eastAsia" w:ascii="仿宋" w:hAnsi="仿宋" w:eastAsia="仿宋" w:cs="仿宋"/>
              <w:sz w:val="32"/>
              <w:szCs w:val="32"/>
            </w:rPr>
            <w:fldChar w:fldCharType="separate"/>
          </w:r>
          <w:r>
            <w:fldChar w:fldCharType="begin"/>
          </w:r>
          <w:r>
            <w:instrText xml:space="preserve"> HYPERLINK \l "_Toc66" </w:instrText>
          </w:r>
          <w:r>
            <w:fldChar w:fldCharType="separate"/>
          </w:r>
          <w:r>
            <w:rPr>
              <w:rFonts w:hint="eastAsia" w:ascii="仿宋" w:hAnsi="仿宋" w:eastAsia="仿宋" w:cs="仿宋"/>
              <w:b/>
              <w:bCs/>
              <w:sz w:val="30"/>
              <w:szCs w:val="30"/>
            </w:rPr>
            <w:t>第一部分  概况</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_Toc66 \h </w:instrText>
          </w:r>
          <w:r>
            <w:rPr>
              <w:rFonts w:hint="eastAsia" w:ascii="仿宋" w:hAnsi="仿宋" w:eastAsia="仿宋" w:cs="仿宋"/>
              <w:b/>
              <w:bCs/>
              <w:sz w:val="30"/>
              <w:szCs w:val="30"/>
            </w:rPr>
            <w:fldChar w:fldCharType="separate"/>
          </w:r>
          <w:r>
            <w:rPr>
              <w:rFonts w:ascii="仿宋" w:hAnsi="仿宋" w:eastAsia="仿宋" w:cs="仿宋"/>
              <w:b/>
              <w:bCs/>
              <w:sz w:val="30"/>
              <w:szCs w:val="30"/>
            </w:rPr>
            <w:t>1</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10"/>
            <w:tabs>
              <w:tab w:val="right" w:leader="dot" w:pos="8306"/>
            </w:tabs>
            <w:spacing w:line="360" w:lineRule="auto"/>
            <w:ind w:firstLine="210" w:firstLineChars="100"/>
            <w:rPr>
              <w:rFonts w:ascii="仿宋" w:hAnsi="仿宋" w:eastAsia="仿宋" w:cs="仿宋"/>
              <w:sz w:val="30"/>
              <w:szCs w:val="30"/>
            </w:rPr>
          </w:pPr>
          <w:r>
            <w:fldChar w:fldCharType="begin"/>
          </w:r>
          <w:r>
            <w:instrText xml:space="preserve"> HYPERLINK \l "_Toc26012" </w:instrText>
          </w:r>
          <w:r>
            <w:fldChar w:fldCharType="separate"/>
          </w:r>
          <w:r>
            <w:rPr>
              <w:rFonts w:hint="eastAsia" w:ascii="仿宋" w:hAnsi="仿宋" w:eastAsia="仿宋" w:cs="仿宋"/>
              <w:sz w:val="30"/>
              <w:szCs w:val="30"/>
            </w:rPr>
            <w:t>一、单位职责</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_Toc26012 \h </w:instrText>
          </w:r>
          <w:r>
            <w:rPr>
              <w:rFonts w:hint="eastAsia" w:ascii="仿宋" w:hAnsi="仿宋" w:eastAsia="仿宋" w:cs="仿宋"/>
              <w:sz w:val="30"/>
              <w:szCs w:val="30"/>
            </w:rPr>
            <w:fldChar w:fldCharType="separate"/>
          </w:r>
          <w:r>
            <w:rPr>
              <w:rFonts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10"/>
            <w:tabs>
              <w:tab w:val="right" w:leader="dot" w:pos="8306"/>
            </w:tabs>
            <w:spacing w:line="360" w:lineRule="auto"/>
            <w:ind w:firstLine="210" w:firstLineChars="100"/>
            <w:rPr>
              <w:rFonts w:ascii="仿宋" w:hAnsi="仿宋" w:eastAsia="仿宋" w:cs="仿宋"/>
              <w:sz w:val="30"/>
              <w:szCs w:val="30"/>
            </w:rPr>
          </w:pPr>
          <w:r>
            <w:fldChar w:fldCharType="begin"/>
          </w:r>
          <w:r>
            <w:instrText xml:space="preserve"> HYPERLINK \l "_Toc3708" </w:instrText>
          </w:r>
          <w:r>
            <w:fldChar w:fldCharType="separate"/>
          </w:r>
          <w:r>
            <w:rPr>
              <w:rFonts w:hint="eastAsia" w:ascii="仿宋" w:hAnsi="仿宋" w:eastAsia="仿宋" w:cs="仿宋"/>
              <w:sz w:val="30"/>
              <w:szCs w:val="30"/>
            </w:rPr>
            <w:t>二、机构设置情况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_Toc3708 \h </w:instrText>
          </w:r>
          <w:r>
            <w:rPr>
              <w:rFonts w:hint="eastAsia" w:ascii="仿宋" w:hAnsi="仿宋" w:eastAsia="仿宋" w:cs="仿宋"/>
              <w:sz w:val="30"/>
              <w:szCs w:val="30"/>
            </w:rPr>
            <w:fldChar w:fldCharType="separate"/>
          </w:r>
          <w:r>
            <w:rPr>
              <w:rFonts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9"/>
            <w:tabs>
              <w:tab w:val="right" w:leader="dot" w:pos="8306"/>
            </w:tabs>
            <w:spacing w:line="360" w:lineRule="auto"/>
            <w:rPr>
              <w:rFonts w:ascii="仿宋" w:hAnsi="仿宋" w:eastAsia="仿宋" w:cs="仿宋"/>
              <w:b/>
              <w:bCs/>
              <w:sz w:val="30"/>
              <w:szCs w:val="30"/>
            </w:rPr>
          </w:pPr>
          <w:r>
            <w:fldChar w:fldCharType="begin"/>
          </w:r>
          <w:r>
            <w:instrText xml:space="preserve"> HYPERLINK \l "_Toc25989" </w:instrText>
          </w:r>
          <w:r>
            <w:fldChar w:fldCharType="separate"/>
          </w:r>
          <w:r>
            <w:rPr>
              <w:rFonts w:hint="eastAsia" w:ascii="仿宋" w:hAnsi="仿宋" w:eastAsia="仿宋" w:cs="仿宋"/>
              <w:b/>
              <w:bCs/>
              <w:sz w:val="30"/>
              <w:szCs w:val="30"/>
            </w:rPr>
            <w:t>第二部分 2022年度单位预算报表</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_Toc25989 \h </w:instrText>
          </w:r>
          <w:r>
            <w:rPr>
              <w:rFonts w:hint="eastAsia" w:ascii="仿宋" w:hAnsi="仿宋" w:eastAsia="仿宋" w:cs="仿宋"/>
              <w:b/>
              <w:bCs/>
              <w:sz w:val="30"/>
              <w:szCs w:val="30"/>
            </w:rPr>
            <w:fldChar w:fldCharType="separate"/>
          </w:r>
          <w:r>
            <w:rPr>
              <w:rFonts w:ascii="仿宋" w:hAnsi="仿宋" w:eastAsia="仿宋" w:cs="仿宋"/>
              <w:b/>
              <w:bCs/>
              <w:sz w:val="30"/>
              <w:szCs w:val="30"/>
            </w:rPr>
            <w:t>2</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一、长子县工商业联合会部门2022年预算收支总表</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二、长子县工商业联合会部门2022年预算收入总表</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三、长子县工商业联合会部门2022年预算支出总表</w:t>
          </w:r>
        </w:p>
        <w:p>
          <w:pPr>
            <w:snapToGrid w:val="0"/>
            <w:spacing w:line="560" w:lineRule="exact"/>
            <w:ind w:firstLine="632" w:firstLineChars="200"/>
            <w:rPr>
              <w:rFonts w:ascii="仿宋" w:hAnsi="仿宋" w:eastAsia="仿宋" w:cs="仿宋"/>
              <w:sz w:val="32"/>
              <w:szCs w:val="32"/>
            </w:rPr>
          </w:pPr>
          <w:r>
            <w:rPr>
              <w:rFonts w:hint="eastAsia" w:ascii="仿宋" w:hAnsi="仿宋" w:eastAsia="仿宋" w:cs="仿宋"/>
              <w:spacing w:val="-2"/>
              <w:sz w:val="32"/>
              <w:szCs w:val="32"/>
            </w:rPr>
            <w:t>四、</w:t>
          </w:r>
          <w:r>
            <w:rPr>
              <w:rFonts w:hint="eastAsia" w:ascii="仿宋" w:hAnsi="仿宋" w:eastAsia="仿宋" w:cs="仿宋"/>
              <w:sz w:val="32"/>
              <w:szCs w:val="32"/>
            </w:rPr>
            <w:t>长子县工商业联合会</w:t>
          </w:r>
          <w:r>
            <w:rPr>
              <w:rFonts w:hint="eastAsia" w:ascii="仿宋" w:hAnsi="仿宋" w:eastAsia="仿宋" w:cs="仿宋"/>
              <w:spacing w:val="-2"/>
              <w:sz w:val="32"/>
              <w:szCs w:val="32"/>
            </w:rPr>
            <w:t>部门2022年财政拨款收支总表</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五、长子县工商业联合会部门2022年一般公共预算支出预算表</w:t>
          </w:r>
        </w:p>
        <w:p>
          <w:pPr>
            <w:snapToGrid w:val="0"/>
            <w:spacing w:line="360" w:lineRule="auto"/>
            <w:ind w:firstLine="700" w:firstLineChars="200"/>
            <w:rPr>
              <w:rFonts w:ascii="仿宋" w:hAnsi="仿宋" w:eastAsia="仿宋" w:cs="仿宋"/>
              <w:sz w:val="32"/>
              <w:szCs w:val="32"/>
            </w:rPr>
          </w:pPr>
          <w:r>
            <w:rPr>
              <w:rFonts w:hint="eastAsia" w:ascii="仿宋" w:hAnsi="仿宋" w:eastAsia="仿宋" w:cs="仿宋"/>
              <w:spacing w:val="15"/>
              <w:sz w:val="32"/>
              <w:szCs w:val="32"/>
            </w:rPr>
            <w:t>六、</w:t>
          </w:r>
          <w:r>
            <w:rPr>
              <w:rFonts w:hint="eastAsia" w:ascii="仿宋" w:hAnsi="仿宋" w:eastAsia="仿宋" w:cs="仿宋"/>
              <w:sz w:val="32"/>
              <w:szCs w:val="32"/>
            </w:rPr>
            <w:t>长子县工商业联合会</w:t>
          </w:r>
          <w:r>
            <w:rPr>
              <w:rFonts w:hint="eastAsia" w:ascii="仿宋" w:hAnsi="仿宋" w:eastAsia="仿宋" w:cs="仿宋"/>
              <w:spacing w:val="15"/>
              <w:sz w:val="32"/>
              <w:szCs w:val="32"/>
            </w:rPr>
            <w:t>部门2022年一般公共预算安排基本支出分经济</w:t>
          </w:r>
          <w:r>
            <w:rPr>
              <w:rFonts w:hint="eastAsia" w:ascii="仿宋" w:hAnsi="仿宋" w:eastAsia="仿宋" w:cs="仿宋"/>
              <w:spacing w:val="-2"/>
              <w:sz w:val="32"/>
              <w:szCs w:val="32"/>
            </w:rPr>
            <w:t>科目表</w:t>
          </w:r>
        </w:p>
        <w:p>
          <w:pPr>
            <w:snapToGrid w:val="0"/>
            <w:spacing w:line="360" w:lineRule="auto"/>
            <w:ind w:firstLine="660"/>
            <w:rPr>
              <w:rFonts w:ascii="仿宋" w:hAnsi="仿宋" w:eastAsia="仿宋" w:cs="仿宋"/>
              <w:sz w:val="32"/>
              <w:szCs w:val="32"/>
            </w:rPr>
          </w:pPr>
          <w:r>
            <w:rPr>
              <w:rFonts w:hint="eastAsia" w:ascii="仿宋" w:hAnsi="仿宋" w:eastAsia="仿宋" w:cs="仿宋"/>
              <w:sz w:val="32"/>
              <w:szCs w:val="32"/>
            </w:rPr>
            <w:t>七、长子县工商业联合会部门2022年政府性基金预算收入预算表</w:t>
          </w:r>
        </w:p>
        <w:p>
          <w:pPr>
            <w:snapToGrid w:val="0"/>
            <w:spacing w:line="360" w:lineRule="auto"/>
            <w:ind w:firstLine="658"/>
            <w:rPr>
              <w:rFonts w:ascii="仿宋" w:hAnsi="仿宋" w:eastAsia="仿宋" w:cs="仿宋"/>
              <w:sz w:val="32"/>
              <w:szCs w:val="32"/>
            </w:rPr>
          </w:pPr>
          <w:r>
            <w:rPr>
              <w:rFonts w:hint="eastAsia" w:ascii="仿宋" w:hAnsi="仿宋" w:eastAsia="仿宋" w:cs="仿宋"/>
              <w:sz w:val="32"/>
              <w:szCs w:val="32"/>
            </w:rPr>
            <w:t>八、长子县工商业联合会部门2022年政府性基金预算支出预算表</w:t>
          </w:r>
        </w:p>
        <w:p>
          <w:pPr>
            <w:snapToGrid w:val="0"/>
            <w:spacing w:line="360" w:lineRule="auto"/>
            <w:ind w:firstLine="672" w:firstLineChars="200"/>
            <w:rPr>
              <w:rFonts w:ascii="仿宋" w:hAnsi="仿宋" w:eastAsia="仿宋" w:cs="仿宋"/>
              <w:sz w:val="32"/>
              <w:szCs w:val="32"/>
            </w:rPr>
          </w:pPr>
          <w:r>
            <w:rPr>
              <w:rFonts w:hint="eastAsia" w:ascii="仿宋" w:hAnsi="仿宋" w:eastAsia="仿宋" w:cs="仿宋"/>
              <w:spacing w:val="8"/>
              <w:sz w:val="32"/>
              <w:szCs w:val="32"/>
            </w:rPr>
            <w:t>九、</w:t>
          </w:r>
          <w:r>
            <w:rPr>
              <w:rFonts w:hint="eastAsia" w:ascii="仿宋" w:hAnsi="仿宋" w:eastAsia="仿宋" w:cs="仿宋"/>
              <w:sz w:val="32"/>
              <w:szCs w:val="32"/>
            </w:rPr>
            <w:t>长子县工商业联合会</w:t>
          </w:r>
          <w:r>
            <w:rPr>
              <w:rFonts w:hint="eastAsia" w:ascii="仿宋" w:hAnsi="仿宋" w:eastAsia="仿宋" w:cs="仿宋"/>
              <w:spacing w:val="8"/>
              <w:sz w:val="32"/>
              <w:szCs w:val="32"/>
            </w:rPr>
            <w:t>部门2022年国有资本经营预算收支预算表</w:t>
          </w:r>
        </w:p>
        <w:p>
          <w:pPr>
            <w:snapToGrid w:val="0"/>
            <w:spacing w:line="360" w:lineRule="auto"/>
            <w:ind w:right="158" w:firstLine="640" w:firstLineChars="200"/>
            <w:rPr>
              <w:rFonts w:ascii="仿宋" w:hAnsi="仿宋" w:eastAsia="仿宋" w:cs="仿宋"/>
              <w:sz w:val="32"/>
              <w:szCs w:val="32"/>
            </w:rPr>
          </w:pPr>
          <w:r>
            <w:rPr>
              <w:rFonts w:hint="eastAsia" w:ascii="仿宋" w:hAnsi="仿宋" w:eastAsia="仿宋" w:cs="仿宋"/>
              <w:sz w:val="32"/>
              <w:szCs w:val="32"/>
            </w:rPr>
            <w:t>十、长子县工商业联合会</w:t>
          </w:r>
          <w:r>
            <w:rPr>
              <w:rFonts w:hint="eastAsia" w:ascii="仿宋" w:hAnsi="仿宋" w:eastAsia="仿宋" w:cs="仿宋"/>
              <w:spacing w:val="-1"/>
              <w:sz w:val="32"/>
              <w:szCs w:val="32"/>
            </w:rPr>
            <w:t>部门2022年"三公"经费支出预算表</w:t>
          </w:r>
          <w:r>
            <w:rPr>
              <w:rFonts w:hint="eastAsia" w:ascii="仿宋" w:hAnsi="仿宋" w:eastAsia="仿宋" w:cs="仿宋"/>
              <w:sz w:val="32"/>
              <w:szCs w:val="32"/>
            </w:rPr>
            <w:t xml:space="preserve"> </w:t>
          </w:r>
        </w:p>
        <w:p>
          <w:pPr>
            <w:snapToGrid w:val="0"/>
            <w:spacing w:line="360" w:lineRule="auto"/>
            <w:ind w:right="158" w:firstLine="706" w:firstLineChars="200"/>
            <w:rPr>
              <w:rFonts w:ascii="仿宋" w:hAnsi="仿宋" w:eastAsia="仿宋" w:cs="仿宋"/>
              <w:spacing w:val="15"/>
              <w:w w:val="101"/>
              <w:sz w:val="32"/>
              <w:szCs w:val="32"/>
            </w:rPr>
            <w:sectPr>
              <w:footerReference r:id="rId6" w:type="default"/>
              <w:pgSz w:w="11906" w:h="16838"/>
              <w:pgMar w:top="1440" w:right="1800" w:bottom="1440" w:left="1800" w:header="851" w:footer="992" w:gutter="0"/>
              <w:pgNumType w:fmt="upperRoman" w:start="1"/>
              <w:cols w:space="720" w:num="1"/>
              <w:docGrid w:type="lines" w:linePitch="312" w:charSpace="0"/>
            </w:sectPr>
          </w:pPr>
        </w:p>
        <w:p>
          <w:pPr>
            <w:snapToGrid w:val="0"/>
            <w:spacing w:line="560" w:lineRule="exact"/>
            <w:ind w:right="158" w:firstLine="706" w:firstLineChars="200"/>
            <w:rPr>
              <w:rFonts w:ascii="仿宋" w:hAnsi="仿宋" w:eastAsia="仿宋" w:cs="仿宋"/>
              <w:spacing w:val="-2"/>
              <w:sz w:val="32"/>
              <w:szCs w:val="32"/>
            </w:rPr>
          </w:pPr>
          <w:r>
            <w:rPr>
              <w:rFonts w:hint="eastAsia" w:ascii="仿宋" w:hAnsi="仿宋" w:eastAsia="仿宋" w:cs="仿宋"/>
              <w:spacing w:val="15"/>
              <w:w w:val="101"/>
              <w:sz w:val="32"/>
              <w:szCs w:val="32"/>
            </w:rPr>
            <w:t>十一、长子县工商业联合会2022年机关运行经费预算财政拨款情况</w:t>
          </w:r>
          <w:r>
            <w:rPr>
              <w:rFonts w:hint="eastAsia" w:ascii="仿宋" w:hAnsi="仿宋" w:eastAsia="仿宋" w:cs="仿宋"/>
              <w:spacing w:val="-2"/>
              <w:sz w:val="32"/>
              <w:szCs w:val="32"/>
            </w:rPr>
            <w:t>表</w:t>
          </w:r>
        </w:p>
        <w:p>
          <w:pPr>
            <w:pStyle w:val="9"/>
            <w:tabs>
              <w:tab w:val="right" w:leader="dot" w:pos="8306"/>
            </w:tabs>
            <w:spacing w:line="360" w:lineRule="auto"/>
            <w:rPr>
              <w:rFonts w:ascii="仿宋" w:hAnsi="仿宋" w:eastAsia="仿宋" w:cs="仿宋"/>
              <w:sz w:val="30"/>
              <w:szCs w:val="30"/>
            </w:rPr>
          </w:pPr>
          <w:r>
            <w:fldChar w:fldCharType="begin"/>
          </w:r>
          <w:r>
            <w:instrText xml:space="preserve"> HYPERLINK \l "_Toc5658" </w:instrText>
          </w:r>
          <w:r>
            <w:fldChar w:fldCharType="separate"/>
          </w:r>
          <w:r>
            <w:rPr>
              <w:rFonts w:hint="eastAsia" w:ascii="仿宋" w:hAnsi="仿宋" w:eastAsia="仿宋" w:cs="仿宋"/>
              <w:b/>
              <w:bCs/>
              <w:sz w:val="30"/>
              <w:szCs w:val="30"/>
            </w:rPr>
            <w:t>第三部分  2022年度单位预算情况说明</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_Toc5658 \h </w:instrText>
          </w:r>
          <w:r>
            <w:rPr>
              <w:rFonts w:hint="eastAsia" w:ascii="仿宋" w:hAnsi="仿宋" w:eastAsia="仿宋" w:cs="仿宋"/>
              <w:b/>
              <w:bCs/>
              <w:sz w:val="30"/>
              <w:szCs w:val="30"/>
            </w:rPr>
            <w:fldChar w:fldCharType="separate"/>
          </w:r>
          <w:r>
            <w:rPr>
              <w:rFonts w:ascii="仿宋" w:hAnsi="仿宋" w:eastAsia="仿宋" w:cs="仿宋"/>
              <w:b/>
              <w:bCs/>
              <w:sz w:val="30"/>
              <w:szCs w:val="30"/>
            </w:rPr>
            <w:t>3</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10"/>
            <w:tabs>
              <w:tab w:val="right" w:leader="dot" w:pos="8306"/>
            </w:tabs>
            <w:spacing w:line="360" w:lineRule="auto"/>
            <w:ind w:left="0" w:leftChars="0" w:firstLine="630" w:firstLineChars="300"/>
            <w:rPr>
              <w:rFonts w:ascii="仿宋" w:hAnsi="仿宋" w:eastAsia="仿宋" w:cs="仿宋"/>
              <w:sz w:val="30"/>
              <w:szCs w:val="30"/>
            </w:rPr>
          </w:pPr>
          <w:r>
            <w:fldChar w:fldCharType="begin"/>
          </w:r>
          <w:r>
            <w:instrText xml:space="preserve"> HYPERLINK \l "_Toc9022" </w:instrText>
          </w:r>
          <w:r>
            <w:fldChar w:fldCharType="separate"/>
          </w:r>
          <w:r>
            <w:rPr>
              <w:rFonts w:hint="eastAsia" w:ascii="仿宋" w:hAnsi="仿宋" w:eastAsia="仿宋" w:cs="仿宋"/>
              <w:sz w:val="30"/>
              <w:szCs w:val="30"/>
            </w:rPr>
            <w:t>一、2022年度单位预算数据变动情况及原因</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_Toc9022 \h </w:instrText>
          </w:r>
          <w:r>
            <w:rPr>
              <w:rFonts w:hint="eastAsia" w:ascii="仿宋" w:hAnsi="仿宋" w:eastAsia="仿宋" w:cs="仿宋"/>
              <w:sz w:val="30"/>
              <w:szCs w:val="30"/>
            </w:rPr>
            <w:fldChar w:fldCharType="separate"/>
          </w:r>
          <w:r>
            <w:rPr>
              <w:rFonts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10"/>
            <w:tabs>
              <w:tab w:val="right" w:leader="dot" w:pos="8306"/>
            </w:tabs>
            <w:spacing w:line="360" w:lineRule="auto"/>
            <w:ind w:firstLine="210" w:firstLineChars="100"/>
            <w:rPr>
              <w:rFonts w:ascii="仿宋" w:hAnsi="仿宋" w:eastAsia="仿宋" w:cs="仿宋"/>
              <w:sz w:val="30"/>
              <w:szCs w:val="30"/>
            </w:rPr>
          </w:pPr>
          <w:r>
            <w:fldChar w:fldCharType="begin"/>
          </w:r>
          <w:r>
            <w:instrText xml:space="preserve"> HYPERLINK \l "_Toc8028" </w:instrText>
          </w:r>
          <w:r>
            <w:fldChar w:fldCharType="separate"/>
          </w:r>
          <w:r>
            <w:rPr>
              <w:rFonts w:hint="eastAsia" w:ascii="仿宋" w:hAnsi="仿宋" w:eastAsia="仿宋" w:cs="仿宋"/>
              <w:sz w:val="30"/>
              <w:szCs w:val="30"/>
            </w:rPr>
            <w:t>二、“三公”经费增减变动原因说明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_Toc8028 \h </w:instrText>
          </w:r>
          <w:r>
            <w:rPr>
              <w:rFonts w:hint="eastAsia" w:ascii="仿宋" w:hAnsi="仿宋" w:eastAsia="仿宋" w:cs="仿宋"/>
              <w:sz w:val="30"/>
              <w:szCs w:val="30"/>
            </w:rPr>
            <w:fldChar w:fldCharType="separate"/>
          </w:r>
          <w:r>
            <w:rPr>
              <w:rFonts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10"/>
            <w:tabs>
              <w:tab w:val="right" w:leader="dot" w:pos="8306"/>
            </w:tabs>
            <w:spacing w:line="360" w:lineRule="auto"/>
            <w:ind w:firstLine="210" w:firstLineChars="100"/>
            <w:rPr>
              <w:rFonts w:ascii="仿宋" w:hAnsi="仿宋" w:eastAsia="仿宋" w:cs="仿宋"/>
              <w:sz w:val="30"/>
              <w:szCs w:val="30"/>
            </w:rPr>
          </w:pPr>
          <w:r>
            <w:fldChar w:fldCharType="begin"/>
          </w:r>
          <w:r>
            <w:instrText xml:space="preserve"> HYPERLINK \l "_Toc32726" </w:instrText>
          </w:r>
          <w:r>
            <w:fldChar w:fldCharType="separate"/>
          </w:r>
          <w:r>
            <w:rPr>
              <w:rFonts w:hint="eastAsia" w:ascii="仿宋" w:hAnsi="仿宋" w:eastAsia="仿宋" w:cs="仿宋"/>
              <w:sz w:val="30"/>
              <w:szCs w:val="30"/>
            </w:rPr>
            <w:t>三、机关运行经费增减变动原因说明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_Toc32726 \h </w:instrText>
          </w:r>
          <w:r>
            <w:rPr>
              <w:rFonts w:hint="eastAsia" w:ascii="仿宋" w:hAnsi="仿宋" w:eastAsia="仿宋" w:cs="仿宋"/>
              <w:sz w:val="30"/>
              <w:szCs w:val="30"/>
            </w:rPr>
            <w:fldChar w:fldCharType="separate"/>
          </w:r>
          <w:r>
            <w:rPr>
              <w:rFonts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10"/>
            <w:tabs>
              <w:tab w:val="right" w:leader="dot" w:pos="8306"/>
            </w:tabs>
            <w:spacing w:line="360" w:lineRule="auto"/>
            <w:ind w:firstLine="210" w:firstLineChars="100"/>
            <w:rPr>
              <w:rFonts w:ascii="仿宋" w:hAnsi="仿宋" w:eastAsia="仿宋" w:cs="仿宋"/>
              <w:sz w:val="30"/>
              <w:szCs w:val="30"/>
            </w:rPr>
          </w:pPr>
          <w:r>
            <w:fldChar w:fldCharType="begin"/>
          </w:r>
          <w:r>
            <w:instrText xml:space="preserve"> HYPERLINK \l "_Toc24984" </w:instrText>
          </w:r>
          <w:r>
            <w:fldChar w:fldCharType="separate"/>
          </w:r>
          <w:r>
            <w:rPr>
              <w:rFonts w:hint="eastAsia" w:ascii="仿宋" w:hAnsi="仿宋" w:eastAsia="仿宋" w:cs="仿宋"/>
              <w:sz w:val="30"/>
              <w:szCs w:val="30"/>
            </w:rPr>
            <w:t>四、政府采购情况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_Toc24984 \h </w:instrText>
          </w:r>
          <w:r>
            <w:rPr>
              <w:rFonts w:hint="eastAsia" w:ascii="仿宋" w:hAnsi="仿宋" w:eastAsia="仿宋" w:cs="仿宋"/>
              <w:sz w:val="30"/>
              <w:szCs w:val="30"/>
            </w:rPr>
            <w:fldChar w:fldCharType="separate"/>
          </w:r>
          <w:r>
            <w:rPr>
              <w:rFonts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10"/>
            <w:tabs>
              <w:tab w:val="right" w:leader="dot" w:pos="8306"/>
            </w:tabs>
            <w:spacing w:line="360" w:lineRule="auto"/>
            <w:ind w:firstLine="210" w:firstLineChars="100"/>
            <w:rPr>
              <w:rFonts w:ascii="仿宋" w:hAnsi="仿宋" w:eastAsia="仿宋" w:cs="仿宋"/>
              <w:sz w:val="30"/>
              <w:szCs w:val="30"/>
            </w:rPr>
          </w:pPr>
          <w:r>
            <w:fldChar w:fldCharType="begin"/>
          </w:r>
          <w:r>
            <w:instrText xml:space="preserve"> HYPERLINK \l "_Toc28077" </w:instrText>
          </w:r>
          <w:r>
            <w:fldChar w:fldCharType="separate"/>
          </w:r>
          <w:r>
            <w:rPr>
              <w:rFonts w:hint="eastAsia" w:ascii="仿宋" w:hAnsi="仿宋" w:eastAsia="仿宋" w:cs="仿宋"/>
              <w:sz w:val="30"/>
              <w:szCs w:val="30"/>
            </w:rPr>
            <w:t>五、绩效管理情况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_Toc28077 \h </w:instrText>
          </w:r>
          <w:r>
            <w:rPr>
              <w:rFonts w:hint="eastAsia" w:ascii="仿宋" w:hAnsi="仿宋" w:eastAsia="仿宋" w:cs="仿宋"/>
              <w:sz w:val="30"/>
              <w:szCs w:val="30"/>
            </w:rPr>
            <w:fldChar w:fldCharType="separate"/>
          </w:r>
          <w:r>
            <w:rPr>
              <w:rFonts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10"/>
            <w:tabs>
              <w:tab w:val="right" w:leader="dot" w:pos="8306"/>
            </w:tabs>
            <w:spacing w:line="360" w:lineRule="auto"/>
            <w:ind w:firstLine="210" w:firstLineChars="100"/>
            <w:rPr>
              <w:rFonts w:ascii="仿宋" w:hAnsi="仿宋" w:eastAsia="仿宋" w:cs="仿宋"/>
              <w:sz w:val="30"/>
              <w:szCs w:val="30"/>
            </w:rPr>
          </w:pPr>
          <w:r>
            <w:fldChar w:fldCharType="begin"/>
          </w:r>
          <w:r>
            <w:instrText xml:space="preserve"> HYPERLINK \l "_Toc17551" </w:instrText>
          </w:r>
          <w:r>
            <w:fldChar w:fldCharType="separate"/>
          </w:r>
          <w:r>
            <w:rPr>
              <w:rFonts w:hint="eastAsia" w:ascii="仿宋" w:hAnsi="仿宋" w:eastAsia="仿宋" w:cs="仿宋"/>
              <w:sz w:val="30"/>
              <w:szCs w:val="30"/>
            </w:rPr>
            <w:t>六、国有资产占有使用情况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_Toc17551 \h </w:instrText>
          </w:r>
          <w:r>
            <w:rPr>
              <w:rFonts w:hint="eastAsia" w:ascii="仿宋" w:hAnsi="仿宋" w:eastAsia="仿宋" w:cs="仿宋"/>
              <w:sz w:val="30"/>
              <w:szCs w:val="30"/>
            </w:rPr>
            <w:fldChar w:fldCharType="separate"/>
          </w:r>
          <w:r>
            <w:rPr>
              <w:rFonts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10"/>
            <w:tabs>
              <w:tab w:val="right" w:leader="dot" w:pos="8306"/>
            </w:tabs>
            <w:spacing w:line="360" w:lineRule="auto"/>
            <w:ind w:firstLine="210" w:firstLineChars="100"/>
            <w:rPr>
              <w:rFonts w:ascii="仿宋" w:hAnsi="仿宋" w:eastAsia="仿宋" w:cs="仿宋"/>
              <w:sz w:val="30"/>
              <w:szCs w:val="30"/>
            </w:rPr>
          </w:pPr>
          <w:r>
            <w:fldChar w:fldCharType="begin"/>
          </w:r>
          <w:r>
            <w:instrText xml:space="preserve"> HYPERLINK \l "_Toc24820" </w:instrText>
          </w:r>
          <w:r>
            <w:fldChar w:fldCharType="separate"/>
          </w:r>
          <w:r>
            <w:rPr>
              <w:rFonts w:hint="eastAsia" w:ascii="仿宋" w:hAnsi="仿宋" w:eastAsia="仿宋" w:cs="仿宋"/>
              <w:sz w:val="30"/>
              <w:szCs w:val="30"/>
            </w:rPr>
            <w:t>七、其他说明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_Toc24820 \h </w:instrText>
          </w:r>
          <w:r>
            <w:rPr>
              <w:rFonts w:hint="eastAsia" w:ascii="仿宋" w:hAnsi="仿宋" w:eastAsia="仿宋" w:cs="仿宋"/>
              <w:sz w:val="30"/>
              <w:szCs w:val="30"/>
            </w:rPr>
            <w:fldChar w:fldCharType="separate"/>
          </w:r>
          <w:r>
            <w:rPr>
              <w:rFonts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5"/>
            <w:tabs>
              <w:tab w:val="right" w:leader="dot" w:pos="8306"/>
            </w:tabs>
            <w:spacing w:line="360" w:lineRule="auto"/>
            <w:rPr>
              <w:rFonts w:ascii="仿宋" w:hAnsi="仿宋" w:eastAsia="仿宋" w:cs="仿宋"/>
              <w:sz w:val="30"/>
              <w:szCs w:val="30"/>
            </w:rPr>
          </w:pPr>
          <w:r>
            <w:fldChar w:fldCharType="begin"/>
          </w:r>
          <w:r>
            <w:instrText xml:space="preserve"> HYPERLINK \l "_Toc12631" </w:instrText>
          </w:r>
          <w:r>
            <w:fldChar w:fldCharType="separate"/>
          </w:r>
          <w:r>
            <w:rPr>
              <w:rFonts w:hint="eastAsia" w:ascii="仿宋" w:hAnsi="仿宋" w:eastAsia="仿宋" w:cs="仿宋"/>
              <w:sz w:val="30"/>
              <w:szCs w:val="30"/>
            </w:rPr>
            <w:t>（一）政府购买服务指导性目录</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_Toc12631 \h </w:instrText>
          </w:r>
          <w:r>
            <w:rPr>
              <w:rFonts w:hint="eastAsia" w:ascii="仿宋" w:hAnsi="仿宋" w:eastAsia="仿宋" w:cs="仿宋"/>
              <w:sz w:val="30"/>
              <w:szCs w:val="30"/>
            </w:rPr>
            <w:fldChar w:fldCharType="separate"/>
          </w:r>
          <w:r>
            <w:rPr>
              <w:rFonts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10"/>
            <w:tabs>
              <w:tab w:val="right" w:leader="dot" w:pos="8306"/>
            </w:tabs>
            <w:spacing w:line="360" w:lineRule="auto"/>
            <w:ind w:firstLine="420" w:firstLineChars="200"/>
            <w:rPr>
              <w:rFonts w:ascii="仿宋" w:hAnsi="仿宋" w:eastAsia="仿宋" w:cs="仿宋"/>
              <w:sz w:val="30"/>
              <w:szCs w:val="30"/>
            </w:rPr>
          </w:pPr>
          <w:r>
            <w:fldChar w:fldCharType="begin"/>
          </w:r>
          <w:r>
            <w:instrText xml:space="preserve"> HYPERLINK \l "_Toc30058" </w:instrText>
          </w:r>
          <w:r>
            <w:fldChar w:fldCharType="separate"/>
          </w:r>
          <w:r>
            <w:rPr>
              <w:rFonts w:hint="eastAsia" w:ascii="仿宋" w:hAnsi="仿宋" w:eastAsia="仿宋" w:cs="仿宋"/>
              <w:sz w:val="30"/>
              <w:szCs w:val="30"/>
            </w:rPr>
            <w:t>（二）其他</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_Toc30058 \h </w:instrText>
          </w:r>
          <w:r>
            <w:rPr>
              <w:rFonts w:hint="eastAsia" w:ascii="仿宋" w:hAnsi="仿宋" w:eastAsia="仿宋" w:cs="仿宋"/>
              <w:sz w:val="30"/>
              <w:szCs w:val="30"/>
            </w:rPr>
            <w:fldChar w:fldCharType="separate"/>
          </w:r>
          <w:r>
            <w:rPr>
              <w:rFonts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9"/>
            <w:tabs>
              <w:tab w:val="right" w:leader="dot" w:pos="8306"/>
            </w:tabs>
            <w:spacing w:line="360" w:lineRule="auto"/>
          </w:pPr>
          <w:r>
            <w:fldChar w:fldCharType="begin"/>
          </w:r>
          <w:r>
            <w:instrText xml:space="preserve"> HYPERLINK \l "_Toc22441" </w:instrText>
          </w:r>
          <w:r>
            <w:fldChar w:fldCharType="separate"/>
          </w:r>
          <w:r>
            <w:rPr>
              <w:rFonts w:hint="eastAsia" w:ascii="仿宋" w:hAnsi="仿宋" w:eastAsia="仿宋" w:cs="仿宋"/>
              <w:b/>
              <w:bCs/>
              <w:sz w:val="30"/>
              <w:szCs w:val="30"/>
            </w:rPr>
            <w:t>第四部分  名词解释</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_Toc22441 \h </w:instrText>
          </w:r>
          <w:r>
            <w:rPr>
              <w:rFonts w:hint="eastAsia" w:ascii="仿宋" w:hAnsi="仿宋" w:eastAsia="仿宋" w:cs="仿宋"/>
              <w:b/>
              <w:bCs/>
              <w:sz w:val="30"/>
              <w:szCs w:val="30"/>
            </w:rPr>
            <w:fldChar w:fldCharType="separate"/>
          </w:r>
          <w:r>
            <w:rPr>
              <w:rFonts w:ascii="仿宋" w:hAnsi="仿宋" w:eastAsia="仿宋" w:cs="仿宋"/>
              <w:b/>
              <w:bCs/>
              <w:sz w:val="30"/>
              <w:szCs w:val="30"/>
            </w:rPr>
            <w:t>4</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spacing w:line="600" w:lineRule="atLeast"/>
            <w:jc w:val="center"/>
            <w:rPr>
              <w:rFonts w:ascii="仿宋" w:hAnsi="仿宋" w:eastAsia="仿宋"/>
              <w:sz w:val="32"/>
              <w:szCs w:val="32"/>
            </w:rPr>
          </w:pPr>
          <w:r>
            <w:rPr>
              <w:rFonts w:hint="eastAsia" w:ascii="仿宋" w:hAnsi="仿宋" w:eastAsia="仿宋" w:cs="仿宋"/>
              <w:szCs w:val="32"/>
            </w:rPr>
            <w:fldChar w:fldCharType="end"/>
          </w:r>
        </w:p>
      </w:sdtContent>
    </w:sdt>
    <w:p>
      <w:pPr>
        <w:spacing w:line="600" w:lineRule="atLeast"/>
        <w:rPr>
          <w:rFonts w:ascii="黑体" w:hAnsi="黑体" w:eastAsia="黑体"/>
          <w:sz w:val="32"/>
          <w:szCs w:val="32"/>
        </w:rPr>
        <w:sectPr>
          <w:footerReference r:id="rId7" w:type="default"/>
          <w:pgSz w:w="11906" w:h="16838"/>
          <w:pgMar w:top="1440" w:right="1800" w:bottom="1440" w:left="1800" w:header="851" w:footer="992" w:gutter="0"/>
          <w:pgNumType w:fmt="upperRoman" w:start="1"/>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概况</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一、本部门职责</w:t>
      </w:r>
    </w:p>
    <w:p>
      <w:pPr>
        <w:snapToGrid w:val="0"/>
        <w:spacing w:line="560" w:lineRule="exact"/>
        <w:ind w:firstLine="640" w:firstLineChars="200"/>
        <w:rPr>
          <w:rFonts w:ascii="仿宋" w:hAnsi="仿宋" w:eastAsia="仿宋" w:cs="仿宋"/>
          <w:color w:val="222222"/>
          <w:sz w:val="32"/>
          <w:szCs w:val="32"/>
        </w:rPr>
      </w:pPr>
      <w:r>
        <w:rPr>
          <w:rFonts w:hint="eastAsia" w:ascii="仿宋" w:hAnsi="仿宋" w:eastAsia="仿宋" w:cs="仿宋"/>
          <w:color w:val="222222"/>
          <w:sz w:val="32"/>
          <w:szCs w:val="32"/>
        </w:rPr>
        <w:t>1、做非公有制经济代表人士的思想政治工作，进行爱国、敬业、守法的教育，协助党和政府团结、帮助、引导、教育非公有制经济人士，并维护非公有制经济人士的合法权益，反映他们的意见和要求。</w:t>
      </w:r>
    </w:p>
    <w:p>
      <w:pPr>
        <w:snapToGrid w:val="0"/>
        <w:spacing w:line="560" w:lineRule="exact"/>
        <w:ind w:firstLine="640"/>
        <w:rPr>
          <w:rFonts w:ascii="仿宋" w:hAnsi="仿宋" w:eastAsia="仿宋" w:cs="仿宋"/>
          <w:color w:val="222222"/>
          <w:sz w:val="32"/>
          <w:szCs w:val="32"/>
        </w:rPr>
      </w:pPr>
      <w:r>
        <w:rPr>
          <w:rFonts w:hint="eastAsia" w:ascii="仿宋" w:hAnsi="仿宋" w:eastAsia="仿宋" w:cs="仿宋"/>
          <w:color w:val="222222"/>
          <w:sz w:val="32"/>
          <w:szCs w:val="32"/>
        </w:rPr>
        <w:t>2、参政议政，参与地方经济、社会重大决策的政治协商，发挥民主监督作用，做好代表人士政治安排的推荐工作，对有关法律、法规、政策的制定提出建议并协助贯彻执行。</w:t>
      </w:r>
    </w:p>
    <w:p>
      <w:pPr>
        <w:snapToGrid w:val="0"/>
        <w:spacing w:line="560" w:lineRule="exact"/>
        <w:ind w:firstLine="640"/>
        <w:rPr>
          <w:rFonts w:ascii="仿宋" w:hAnsi="仿宋" w:eastAsia="仿宋" w:cs="仿宋"/>
          <w:color w:val="222222"/>
          <w:sz w:val="32"/>
          <w:szCs w:val="32"/>
        </w:rPr>
      </w:pPr>
      <w:r>
        <w:rPr>
          <w:rFonts w:hint="eastAsia" w:ascii="仿宋" w:hAnsi="仿宋" w:eastAsia="仿宋" w:cs="仿宋"/>
          <w:color w:val="222222"/>
          <w:sz w:val="32"/>
          <w:szCs w:val="32"/>
        </w:rPr>
        <w:t>3、宣传国家的方针政策，加强和改进思想政治工作，对会员进行团结、帮助、引导、教育，提倡爱国、敬业、守法，提高会员素质，培养骨干队伍。</w:t>
      </w:r>
    </w:p>
    <w:p>
      <w:pPr>
        <w:snapToGrid w:val="0"/>
        <w:spacing w:line="560" w:lineRule="exact"/>
        <w:ind w:firstLine="640"/>
        <w:rPr>
          <w:rFonts w:ascii="仿宋" w:hAnsi="仿宋" w:eastAsia="仿宋" w:cs="仿宋"/>
          <w:color w:val="222222"/>
          <w:sz w:val="32"/>
          <w:szCs w:val="32"/>
        </w:rPr>
      </w:pPr>
      <w:r>
        <w:rPr>
          <w:rFonts w:hint="eastAsia" w:ascii="仿宋" w:hAnsi="仿宋" w:eastAsia="仿宋" w:cs="仿宋"/>
          <w:color w:val="222222"/>
          <w:sz w:val="32"/>
          <w:szCs w:val="32"/>
        </w:rPr>
        <w:t>4、依照法律和工商联章程，维护会员合法权益，反映会员的意见、要求和建议，在会员和政府之间发挥桥梁作用，当好政府管理非公有制经济的助手,加强与政府部门及有关经济组织的联系。</w:t>
      </w:r>
    </w:p>
    <w:p>
      <w:pPr>
        <w:snapToGrid w:val="0"/>
        <w:spacing w:line="560" w:lineRule="exact"/>
        <w:ind w:firstLine="640"/>
        <w:rPr>
          <w:rFonts w:ascii="仿宋" w:hAnsi="仿宋" w:eastAsia="仿宋" w:cs="仿宋"/>
          <w:color w:val="222222"/>
          <w:sz w:val="32"/>
          <w:szCs w:val="32"/>
        </w:rPr>
      </w:pPr>
      <w:r>
        <w:rPr>
          <w:rFonts w:hint="eastAsia" w:ascii="仿宋" w:hAnsi="仿宋" w:eastAsia="仿宋" w:cs="仿宋"/>
          <w:color w:val="222222"/>
          <w:sz w:val="32"/>
          <w:szCs w:val="32"/>
        </w:rPr>
        <w:t>5、发挥民间商会作用，为会员和社会提供市场、技术、商品等信息，为会员提供管理、法律、会计、审计、融资、咨询等服务，帮助解决生产经营中的实际问题。</w:t>
      </w:r>
    </w:p>
    <w:p>
      <w:pPr>
        <w:snapToGrid w:val="0"/>
        <w:spacing w:line="560" w:lineRule="exact"/>
        <w:ind w:firstLine="707" w:firstLineChars="221"/>
        <w:rPr>
          <w:rFonts w:ascii="仿宋" w:hAnsi="仿宋" w:eastAsia="仿宋" w:cs="仿宋"/>
          <w:color w:val="222222"/>
          <w:sz w:val="32"/>
          <w:szCs w:val="32"/>
        </w:rPr>
      </w:pPr>
      <w:r>
        <w:rPr>
          <w:rFonts w:hint="eastAsia" w:ascii="仿宋" w:hAnsi="仿宋" w:eastAsia="仿宋" w:cs="仿宋"/>
          <w:color w:val="222222"/>
          <w:sz w:val="32"/>
          <w:szCs w:val="32"/>
        </w:rPr>
        <w:t>6、对各基层商会工作进行指导.</w:t>
      </w:r>
    </w:p>
    <w:p>
      <w:pPr>
        <w:snapToGrid w:val="0"/>
        <w:spacing w:line="560" w:lineRule="exact"/>
        <w:ind w:firstLine="707" w:firstLineChars="221"/>
        <w:rPr>
          <w:rFonts w:ascii="仿宋" w:hAnsi="仿宋" w:eastAsia="仿宋" w:cs="仿宋"/>
          <w:color w:val="222222"/>
          <w:sz w:val="32"/>
          <w:szCs w:val="32"/>
        </w:rPr>
      </w:pPr>
      <w:r>
        <w:rPr>
          <w:rFonts w:hint="eastAsia" w:ascii="仿宋" w:hAnsi="仿宋" w:eastAsia="仿宋" w:cs="仿宋"/>
          <w:color w:val="222222"/>
          <w:sz w:val="32"/>
          <w:szCs w:val="32"/>
        </w:rPr>
        <w:t>7、加强与省、市及境外工商界人士的联系和友谊，促进经济、技术和贸易合作的发展，协助引进资金、技术、人才。帮助会员开拓国内、国际市场。</w:t>
      </w:r>
    </w:p>
    <w:p>
      <w:pPr>
        <w:shd w:val="clear" w:color="auto" w:fill="FFFFFF"/>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222222"/>
          <w:sz w:val="32"/>
          <w:szCs w:val="32"/>
        </w:rPr>
        <w:t>8、承办县委、县政府交办的其工作。</w:t>
      </w:r>
    </w:p>
    <w:p>
      <w:pPr>
        <w:shd w:val="clear" w:color="auto" w:fill="FFFFFF"/>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二、机构设置情况</w:t>
      </w:r>
    </w:p>
    <w:p>
      <w:pPr>
        <w:snapToGrid w:val="0"/>
        <w:spacing w:line="560" w:lineRule="exact"/>
        <w:ind w:firstLine="640" w:firstLineChars="200"/>
        <w:rPr>
          <w:rFonts w:ascii="仿宋" w:hAnsi="仿宋" w:eastAsia="仿宋" w:cs="仿宋"/>
          <w:color w:val="222222"/>
          <w:sz w:val="32"/>
          <w:szCs w:val="32"/>
        </w:rPr>
      </w:pPr>
      <w:r>
        <w:rPr>
          <w:rFonts w:hint="eastAsia" w:ascii="仿宋" w:hAnsi="仿宋" w:eastAsia="仿宋" w:cs="仿宋"/>
          <w:color w:val="222222"/>
          <w:sz w:val="32"/>
          <w:szCs w:val="32"/>
        </w:rPr>
        <w:t>根据《长子县机构编制委员会</w:t>
      </w:r>
      <w:r>
        <w:rPr>
          <w:rFonts w:hint="eastAsia" w:ascii="仿宋" w:hAnsi="仿宋" w:eastAsia="仿宋" w:cs="仿宋"/>
          <w:color w:val="222222"/>
          <w:sz w:val="32"/>
          <w:szCs w:val="32"/>
          <w:lang w:eastAsia="zh-CN"/>
        </w:rPr>
        <w:t>办公室</w:t>
      </w:r>
      <w:r>
        <w:rPr>
          <w:rFonts w:hint="eastAsia" w:ascii="仿宋" w:hAnsi="仿宋" w:eastAsia="仿宋" w:cs="仿宋"/>
          <w:color w:val="222222"/>
          <w:sz w:val="32"/>
          <w:szCs w:val="32"/>
        </w:rPr>
        <w:t>关于印发&lt;长子县工商业联合会主要职责内设机构和人员编制规定的通知&gt;》（长编办发[2011]63号），长子县工商业联合会是为正科级行政单位，内设一室二股。从部门预算构成看，长子县工商业联合会预算即工商联机关预算。</w:t>
      </w:r>
    </w:p>
    <w:p>
      <w:pPr>
        <w:numPr>
          <w:ilvl w:val="0"/>
          <w:numId w:val="1"/>
        </w:numPr>
        <w:jc w:val="center"/>
        <w:rPr>
          <w:rFonts w:ascii="方正小标宋简体" w:hAnsi="方正小标宋简体" w:eastAsia="方正小标宋简体" w:cs="方正小标宋简体"/>
          <w:spacing w:val="-34"/>
          <w:sz w:val="44"/>
          <w:szCs w:val="44"/>
        </w:rPr>
      </w:pPr>
      <w:r>
        <w:rPr>
          <w:rFonts w:hint="eastAsia" w:ascii="方正小标宋简体" w:hAnsi="方正小标宋简体" w:eastAsia="方正小标宋简体" w:cs="方正小标宋简体"/>
          <w:spacing w:val="-34"/>
          <w:sz w:val="44"/>
          <w:szCs w:val="44"/>
        </w:rPr>
        <w:t>2022年度部门预算报表</w:t>
      </w:r>
    </w:p>
    <w:p>
      <w:pPr>
        <w:snapToGrid w:val="0"/>
        <w:spacing w:line="560" w:lineRule="exact"/>
        <w:ind w:firstLine="684" w:firstLineChars="200"/>
        <w:rPr>
          <w:rFonts w:ascii="仿宋" w:hAnsi="仿宋" w:eastAsia="仿宋" w:cs="仿宋"/>
          <w:sz w:val="32"/>
          <w:szCs w:val="32"/>
        </w:rPr>
      </w:pPr>
      <w:r>
        <w:rPr>
          <w:rFonts w:hint="eastAsia" w:ascii="仿宋" w:hAnsi="仿宋" w:eastAsia="仿宋" w:cs="仿宋"/>
          <w:spacing w:val="11"/>
          <w:sz w:val="32"/>
          <w:szCs w:val="32"/>
        </w:rPr>
        <w:t>一、长子县工商业联合会2022年预算收支总表</w:t>
      </w:r>
    </w:p>
    <w:p>
      <w:pPr>
        <w:snapToGrid w:val="0"/>
        <w:spacing w:line="560" w:lineRule="exact"/>
        <w:ind w:firstLine="684" w:firstLineChars="200"/>
        <w:rPr>
          <w:rFonts w:ascii="仿宋" w:hAnsi="仿宋" w:eastAsia="仿宋" w:cs="仿宋"/>
          <w:sz w:val="32"/>
          <w:szCs w:val="32"/>
        </w:rPr>
      </w:pPr>
      <w:r>
        <w:rPr>
          <w:rFonts w:hint="eastAsia" w:ascii="仿宋" w:hAnsi="仿宋" w:eastAsia="仿宋" w:cs="仿宋"/>
          <w:spacing w:val="11"/>
          <w:sz w:val="32"/>
          <w:szCs w:val="32"/>
        </w:rPr>
        <w:t>二、长子县工商业联合会2022年预算收入总表</w:t>
      </w:r>
    </w:p>
    <w:p>
      <w:pPr>
        <w:snapToGrid w:val="0"/>
        <w:spacing w:line="560" w:lineRule="exact"/>
        <w:ind w:firstLine="684" w:firstLineChars="200"/>
        <w:rPr>
          <w:rFonts w:ascii="仿宋" w:hAnsi="仿宋" w:eastAsia="仿宋" w:cs="仿宋"/>
          <w:sz w:val="32"/>
          <w:szCs w:val="32"/>
        </w:rPr>
      </w:pPr>
      <w:r>
        <w:rPr>
          <w:rFonts w:hint="eastAsia" w:ascii="仿宋" w:hAnsi="仿宋" w:eastAsia="仿宋" w:cs="仿宋"/>
          <w:spacing w:val="11"/>
          <w:sz w:val="32"/>
          <w:szCs w:val="32"/>
        </w:rPr>
        <w:t>三、长子县工商业联合会2022年预算支出总表</w:t>
      </w:r>
    </w:p>
    <w:p>
      <w:pPr>
        <w:snapToGrid w:val="0"/>
        <w:spacing w:line="560" w:lineRule="exact"/>
        <w:ind w:firstLine="680" w:firstLineChars="200"/>
        <w:rPr>
          <w:rFonts w:ascii="仿宋" w:hAnsi="仿宋" w:eastAsia="仿宋" w:cs="仿宋"/>
          <w:sz w:val="32"/>
          <w:szCs w:val="32"/>
        </w:rPr>
      </w:pPr>
      <w:r>
        <w:rPr>
          <w:rFonts w:hint="eastAsia" w:ascii="仿宋" w:hAnsi="仿宋" w:eastAsia="仿宋" w:cs="仿宋"/>
          <w:spacing w:val="10"/>
          <w:sz w:val="32"/>
          <w:szCs w:val="32"/>
        </w:rPr>
        <w:t>四、</w:t>
      </w:r>
      <w:r>
        <w:rPr>
          <w:rFonts w:hint="eastAsia" w:ascii="仿宋" w:hAnsi="仿宋" w:eastAsia="仿宋" w:cs="仿宋"/>
          <w:spacing w:val="11"/>
          <w:sz w:val="32"/>
          <w:szCs w:val="32"/>
        </w:rPr>
        <w:t>长子县工商业联合会</w:t>
      </w:r>
      <w:r>
        <w:rPr>
          <w:rFonts w:hint="eastAsia" w:ascii="仿宋" w:hAnsi="仿宋" w:eastAsia="仿宋" w:cs="仿宋"/>
          <w:spacing w:val="10"/>
          <w:sz w:val="32"/>
          <w:szCs w:val="32"/>
        </w:rPr>
        <w:t>2022年财政拨款收支总表</w:t>
      </w:r>
    </w:p>
    <w:p>
      <w:pPr>
        <w:snapToGrid w:val="0"/>
        <w:spacing w:line="560" w:lineRule="exact"/>
        <w:ind w:firstLine="672" w:firstLineChars="200"/>
        <w:rPr>
          <w:rFonts w:ascii="仿宋" w:hAnsi="仿宋" w:eastAsia="仿宋" w:cs="仿宋"/>
          <w:sz w:val="32"/>
          <w:szCs w:val="32"/>
        </w:rPr>
      </w:pPr>
      <w:r>
        <w:rPr>
          <w:rFonts w:hint="eastAsia" w:ascii="仿宋" w:hAnsi="仿宋" w:eastAsia="仿宋" w:cs="仿宋"/>
          <w:spacing w:val="8"/>
          <w:sz w:val="32"/>
          <w:szCs w:val="32"/>
        </w:rPr>
        <w:t>五、</w:t>
      </w:r>
      <w:r>
        <w:rPr>
          <w:rFonts w:hint="eastAsia" w:ascii="仿宋" w:hAnsi="仿宋" w:eastAsia="仿宋" w:cs="仿宋"/>
          <w:spacing w:val="11"/>
          <w:sz w:val="32"/>
          <w:szCs w:val="32"/>
        </w:rPr>
        <w:t>长子县工商业联合会</w:t>
      </w:r>
      <w:r>
        <w:rPr>
          <w:rFonts w:hint="eastAsia" w:ascii="仿宋" w:hAnsi="仿宋" w:eastAsia="仿宋" w:cs="仿宋"/>
          <w:spacing w:val="8"/>
          <w:sz w:val="32"/>
          <w:szCs w:val="32"/>
        </w:rPr>
        <w:t>2022年一般公共预算支出预算表</w:t>
      </w:r>
    </w:p>
    <w:p>
      <w:pPr>
        <w:snapToGrid w:val="0"/>
        <w:spacing w:line="560" w:lineRule="exact"/>
        <w:ind w:right="153" w:firstLine="649"/>
        <w:rPr>
          <w:rFonts w:ascii="仿宋" w:hAnsi="仿宋" w:eastAsia="仿宋" w:cs="仿宋"/>
          <w:sz w:val="32"/>
          <w:szCs w:val="32"/>
        </w:rPr>
      </w:pPr>
      <w:r>
        <w:rPr>
          <w:rFonts w:hint="eastAsia" w:ascii="仿宋" w:hAnsi="仿宋" w:eastAsia="仿宋" w:cs="仿宋"/>
          <w:spacing w:val="9"/>
          <w:sz w:val="32"/>
          <w:szCs w:val="32"/>
        </w:rPr>
        <w:t>六、</w:t>
      </w:r>
      <w:r>
        <w:rPr>
          <w:rFonts w:hint="eastAsia" w:ascii="仿宋" w:hAnsi="仿宋" w:eastAsia="仿宋" w:cs="仿宋"/>
          <w:spacing w:val="11"/>
          <w:sz w:val="32"/>
          <w:szCs w:val="32"/>
        </w:rPr>
        <w:t>长子县工商业联合会</w:t>
      </w:r>
      <w:r>
        <w:rPr>
          <w:rFonts w:hint="eastAsia" w:ascii="仿宋" w:hAnsi="仿宋" w:eastAsia="仿宋" w:cs="仿宋"/>
          <w:spacing w:val="9"/>
          <w:sz w:val="32"/>
          <w:szCs w:val="32"/>
        </w:rPr>
        <w:t>2022年一般公共预算安排基本支出分经济</w:t>
      </w:r>
      <w:r>
        <w:rPr>
          <w:rFonts w:hint="eastAsia" w:ascii="仿宋" w:hAnsi="仿宋" w:eastAsia="仿宋" w:cs="仿宋"/>
          <w:spacing w:val="2"/>
          <w:sz w:val="32"/>
          <w:szCs w:val="32"/>
        </w:rPr>
        <w:t>科目表</w:t>
      </w:r>
    </w:p>
    <w:p>
      <w:pPr>
        <w:snapToGrid w:val="0"/>
        <w:spacing w:line="560" w:lineRule="exact"/>
        <w:ind w:firstLine="649"/>
        <w:rPr>
          <w:rFonts w:ascii="仿宋" w:hAnsi="仿宋" w:eastAsia="仿宋" w:cs="仿宋"/>
          <w:sz w:val="32"/>
          <w:szCs w:val="32"/>
        </w:rPr>
      </w:pPr>
      <w:r>
        <w:rPr>
          <w:rFonts w:hint="eastAsia" w:ascii="仿宋" w:hAnsi="仿宋" w:eastAsia="仿宋" w:cs="仿宋"/>
          <w:spacing w:val="8"/>
          <w:sz w:val="32"/>
          <w:szCs w:val="32"/>
        </w:rPr>
        <w:t>七、</w:t>
      </w:r>
      <w:r>
        <w:rPr>
          <w:rFonts w:hint="eastAsia" w:ascii="仿宋" w:hAnsi="仿宋" w:eastAsia="仿宋" w:cs="仿宋"/>
          <w:spacing w:val="11"/>
          <w:sz w:val="32"/>
          <w:szCs w:val="32"/>
        </w:rPr>
        <w:t>长子县工商业联合会</w:t>
      </w:r>
      <w:r>
        <w:rPr>
          <w:rFonts w:hint="eastAsia" w:ascii="仿宋" w:hAnsi="仿宋" w:eastAsia="仿宋" w:cs="仿宋"/>
          <w:spacing w:val="8"/>
          <w:sz w:val="32"/>
          <w:szCs w:val="32"/>
        </w:rPr>
        <w:t>2022年政府性基金预算收入预算表</w:t>
      </w:r>
    </w:p>
    <w:p>
      <w:pPr>
        <w:snapToGrid w:val="0"/>
        <w:spacing w:line="560" w:lineRule="exact"/>
        <w:ind w:firstLine="649"/>
        <w:rPr>
          <w:rFonts w:ascii="仿宋" w:hAnsi="仿宋" w:eastAsia="仿宋" w:cs="仿宋"/>
          <w:sz w:val="32"/>
          <w:szCs w:val="32"/>
        </w:rPr>
      </w:pPr>
      <w:r>
        <w:rPr>
          <w:rFonts w:hint="eastAsia" w:ascii="仿宋" w:hAnsi="仿宋" w:eastAsia="仿宋" w:cs="仿宋"/>
          <w:spacing w:val="8"/>
          <w:sz w:val="32"/>
          <w:szCs w:val="32"/>
        </w:rPr>
        <w:t>八、</w:t>
      </w:r>
      <w:r>
        <w:rPr>
          <w:rFonts w:hint="eastAsia" w:ascii="仿宋" w:hAnsi="仿宋" w:eastAsia="仿宋" w:cs="仿宋"/>
          <w:spacing w:val="11"/>
          <w:sz w:val="32"/>
          <w:szCs w:val="32"/>
        </w:rPr>
        <w:t>长子县工商业联合会</w:t>
      </w:r>
      <w:r>
        <w:rPr>
          <w:rFonts w:hint="eastAsia" w:ascii="仿宋" w:hAnsi="仿宋" w:eastAsia="仿宋" w:cs="仿宋"/>
          <w:spacing w:val="8"/>
          <w:sz w:val="32"/>
          <w:szCs w:val="32"/>
        </w:rPr>
        <w:t>2022年政府性基金预算支出预算表</w:t>
      </w:r>
    </w:p>
    <w:p>
      <w:pPr>
        <w:snapToGrid w:val="0"/>
        <w:spacing w:line="560" w:lineRule="exact"/>
        <w:ind w:firstLine="649"/>
        <w:rPr>
          <w:rFonts w:ascii="仿宋" w:hAnsi="仿宋" w:eastAsia="仿宋" w:cs="仿宋"/>
          <w:sz w:val="32"/>
          <w:szCs w:val="32"/>
        </w:rPr>
      </w:pPr>
      <w:r>
        <w:rPr>
          <w:rFonts w:hint="eastAsia" w:ascii="仿宋" w:hAnsi="仿宋" w:eastAsia="仿宋" w:cs="仿宋"/>
          <w:spacing w:val="7"/>
          <w:sz w:val="32"/>
          <w:szCs w:val="32"/>
        </w:rPr>
        <w:t>九、</w:t>
      </w:r>
      <w:r>
        <w:rPr>
          <w:rFonts w:hint="eastAsia" w:ascii="仿宋" w:hAnsi="仿宋" w:eastAsia="仿宋" w:cs="仿宋"/>
          <w:spacing w:val="11"/>
          <w:sz w:val="32"/>
          <w:szCs w:val="32"/>
        </w:rPr>
        <w:t>长子县工商业联合会</w:t>
      </w:r>
      <w:r>
        <w:rPr>
          <w:rFonts w:hint="eastAsia" w:ascii="仿宋" w:hAnsi="仿宋" w:eastAsia="仿宋" w:cs="仿宋"/>
          <w:spacing w:val="7"/>
          <w:sz w:val="32"/>
          <w:szCs w:val="32"/>
        </w:rPr>
        <w:t>2022年国有资本经营预算收支预算表</w:t>
      </w:r>
    </w:p>
    <w:p>
      <w:pPr>
        <w:snapToGrid w:val="0"/>
        <w:spacing w:line="360" w:lineRule="auto"/>
        <w:ind w:firstLine="649"/>
        <w:rPr>
          <w:rFonts w:ascii="仿宋" w:hAnsi="仿宋" w:eastAsia="仿宋" w:cs="仿宋"/>
          <w:spacing w:val="18"/>
          <w:w w:val="102"/>
          <w:sz w:val="32"/>
          <w:szCs w:val="32"/>
        </w:rPr>
      </w:pPr>
      <w:r>
        <w:rPr>
          <w:rFonts w:hint="eastAsia" w:ascii="仿宋" w:hAnsi="仿宋" w:eastAsia="仿宋" w:cs="仿宋"/>
          <w:spacing w:val="18"/>
          <w:w w:val="102"/>
          <w:sz w:val="32"/>
          <w:szCs w:val="32"/>
        </w:rPr>
        <w:t>十、</w:t>
      </w:r>
      <w:r>
        <w:rPr>
          <w:rFonts w:hint="eastAsia" w:ascii="仿宋" w:hAnsi="仿宋" w:eastAsia="仿宋" w:cs="仿宋"/>
          <w:spacing w:val="11"/>
          <w:sz w:val="32"/>
          <w:szCs w:val="32"/>
        </w:rPr>
        <w:t>长子县工商业联合会</w:t>
      </w:r>
      <w:r>
        <w:rPr>
          <w:rFonts w:hint="eastAsia" w:ascii="仿宋" w:hAnsi="仿宋" w:eastAsia="仿宋" w:cs="仿宋"/>
          <w:spacing w:val="18"/>
          <w:w w:val="102"/>
          <w:sz w:val="32"/>
          <w:szCs w:val="32"/>
        </w:rPr>
        <w:t>2022年"三公"经费支出预算表</w:t>
      </w:r>
    </w:p>
    <w:p>
      <w:pPr>
        <w:ind w:firstLine="676" w:firstLineChars="200"/>
        <w:rPr>
          <w:rFonts w:ascii="仿宋" w:hAnsi="仿宋" w:eastAsia="仿宋" w:cs="仿宋"/>
          <w:bCs/>
          <w:sz w:val="32"/>
          <w:szCs w:val="32"/>
        </w:rPr>
      </w:pPr>
      <w:r>
        <w:rPr>
          <w:rFonts w:hint="eastAsia" w:ascii="仿宋" w:hAnsi="仿宋" w:eastAsia="仿宋" w:cs="仿宋"/>
          <w:bCs/>
          <w:spacing w:val="9"/>
          <w:sz w:val="32"/>
          <w:szCs w:val="32"/>
        </w:rPr>
        <w:t>十一、</w:t>
      </w:r>
      <w:r>
        <w:rPr>
          <w:rFonts w:hint="eastAsia" w:ascii="仿宋" w:hAnsi="仿宋" w:eastAsia="仿宋" w:cs="仿宋"/>
          <w:bCs/>
          <w:spacing w:val="11"/>
          <w:sz w:val="32"/>
          <w:szCs w:val="32"/>
        </w:rPr>
        <w:t>长子县工商业联合会</w:t>
      </w:r>
      <w:r>
        <w:rPr>
          <w:rFonts w:hint="eastAsia" w:ascii="仿宋" w:hAnsi="仿宋" w:eastAsia="仿宋" w:cs="仿宋"/>
          <w:bCs/>
          <w:spacing w:val="9"/>
          <w:sz w:val="32"/>
          <w:szCs w:val="32"/>
        </w:rPr>
        <w:t>2022年机关运行经费预算财政拨款情况</w:t>
      </w:r>
      <w:r>
        <w:rPr>
          <w:rFonts w:hint="eastAsia" w:ascii="仿宋" w:hAnsi="仿宋" w:eastAsia="仿宋" w:cs="仿宋"/>
          <w:bCs/>
          <w:sz w:val="32"/>
          <w:szCs w:val="32"/>
        </w:rPr>
        <w:t>表</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第三部分  2022年度单位预算情况说明</w:t>
      </w:r>
    </w:p>
    <w:p>
      <w:pPr>
        <w:jc w:val="left"/>
        <w:rPr>
          <w:rFonts w:ascii="黑体" w:hAnsi="黑体" w:eastAsia="黑体" w:cs="黑体"/>
          <w:bCs/>
          <w:sz w:val="32"/>
          <w:szCs w:val="32"/>
        </w:rPr>
      </w:pPr>
      <w:r>
        <w:rPr>
          <w:rFonts w:hint="eastAsia" w:ascii="黑体" w:hAnsi="黑体" w:eastAsia="黑体" w:cs="黑体"/>
          <w:bCs/>
          <w:sz w:val="32"/>
          <w:szCs w:val="32"/>
        </w:rPr>
        <w:t>一、2022年度单位预算数据变动情况及原因</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度支出预算71.08万元，比2021年增加1.37万元，增加1.97%。其中：一般公共服务支出增加了1.55万元；卫生健康支出增加了0.04万元；住房保障支出增加了0.06万元；主要是人员增资及财政配套增加等原因。社会保障和就业支出减少了0.3万元主要是2022年单位退休人员2021年相比减少1人导致取暖补贴减少。</w:t>
      </w:r>
    </w:p>
    <w:p>
      <w:pPr>
        <w:jc w:val="left"/>
        <w:rPr>
          <w:rFonts w:ascii="黑体" w:hAnsi="黑体" w:eastAsia="黑体" w:cs="黑体"/>
          <w:bCs/>
          <w:sz w:val="32"/>
          <w:szCs w:val="32"/>
        </w:rPr>
      </w:pPr>
      <w:r>
        <w:rPr>
          <w:rFonts w:hint="eastAsia" w:ascii="黑体" w:hAnsi="黑体" w:eastAsia="黑体" w:cs="黑体"/>
          <w:bCs/>
          <w:sz w:val="32"/>
          <w:szCs w:val="32"/>
        </w:rPr>
        <w:t>二、“三公”经费增减变动原因说明</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长子县工商业联合会2022年 “三公”经费预算0万元（因公出国境费0万元，公务接待费0万元，公务用车购置费0万元，公务用车运行维护费0万元）与2021年持平。</w:t>
      </w:r>
    </w:p>
    <w:p>
      <w:pPr>
        <w:jc w:val="left"/>
        <w:rPr>
          <w:rFonts w:ascii="黑体" w:hAnsi="黑体" w:eastAsia="黑体" w:cs="黑体"/>
          <w:bCs/>
          <w:sz w:val="32"/>
          <w:szCs w:val="32"/>
        </w:rPr>
      </w:pPr>
      <w:r>
        <w:rPr>
          <w:rFonts w:hint="eastAsia" w:ascii="黑体" w:hAnsi="黑体" w:eastAsia="黑体" w:cs="黑体"/>
          <w:bCs/>
          <w:sz w:val="32"/>
          <w:szCs w:val="32"/>
        </w:rPr>
        <w:t>三、机关运行经费增减变动原因说明</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长子县工商业联合会2022年机关运行经费财政拨款预算12.16万元，比2021年增加0.02万元，是因工会经费增加。</w:t>
      </w:r>
    </w:p>
    <w:p>
      <w:pPr>
        <w:jc w:val="left"/>
        <w:rPr>
          <w:rFonts w:ascii="黑体" w:hAnsi="黑体" w:eastAsia="黑体" w:cs="黑体"/>
          <w:bCs/>
          <w:sz w:val="32"/>
          <w:szCs w:val="32"/>
        </w:rPr>
      </w:pPr>
      <w:r>
        <w:rPr>
          <w:rFonts w:hint="eastAsia" w:ascii="黑体" w:hAnsi="黑体" w:eastAsia="黑体" w:cs="黑体"/>
          <w:bCs/>
          <w:sz w:val="32"/>
          <w:szCs w:val="32"/>
        </w:rPr>
        <w:t>四、政府采购情况</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2022年长子县工商业联合会政府采购预算总额为2.06万元，其中政府采购货物预算为1.66万元;政府采购服务预算0.4万元。</w:t>
      </w:r>
    </w:p>
    <w:p>
      <w:pPr>
        <w:jc w:val="left"/>
        <w:rPr>
          <w:rFonts w:ascii="黑体" w:hAnsi="黑体" w:eastAsia="黑体" w:cs="黑体"/>
          <w:bCs/>
          <w:sz w:val="32"/>
          <w:szCs w:val="32"/>
        </w:rPr>
      </w:pPr>
      <w:r>
        <w:rPr>
          <w:rFonts w:hint="eastAsia" w:ascii="黑体" w:hAnsi="黑体" w:eastAsia="黑体" w:cs="黑体"/>
          <w:bCs/>
          <w:sz w:val="32"/>
          <w:szCs w:val="32"/>
        </w:rPr>
        <w:t>五、绩效管理情况</w:t>
      </w:r>
    </w:p>
    <w:p>
      <w:pPr>
        <w:ind w:firstLine="642"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1、绩效管理情况</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2022年长子县工商业联合会实行绩效目标管理项目1个：工商联专项工作经费，涉及一般公共预算当年拨款8万元。                       </w:t>
      </w:r>
    </w:p>
    <w:p>
      <w:pPr>
        <w:ind w:firstLine="642"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2、绩效目标情况：</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工商联专项工作经费项目：为充分发挥工商联在政府管理和服务非公有制经济中的作用，形成与新形势下工作要求相适应的工作机制，需要持续开展企业家培训、搭建服务非公企业平台，考察调研、教育培训提升服务全县非公有制经济和非公有制经济人士的能力和水平。</w:t>
      </w:r>
    </w:p>
    <w:p>
      <w:pPr>
        <w:jc w:val="left"/>
        <w:rPr>
          <w:rFonts w:ascii="黑体" w:hAnsi="黑体" w:eastAsia="黑体" w:cs="黑体"/>
          <w:bCs/>
          <w:sz w:val="32"/>
          <w:szCs w:val="32"/>
        </w:rPr>
      </w:pPr>
      <w:r>
        <w:rPr>
          <w:rFonts w:hint="eastAsia" w:ascii="黑体" w:hAnsi="黑体" w:eastAsia="黑体" w:cs="黑体"/>
          <w:bCs/>
          <w:sz w:val="32"/>
          <w:szCs w:val="32"/>
        </w:rPr>
        <w:t>六、国有资产占有使用情况</w:t>
      </w:r>
    </w:p>
    <w:p>
      <w:pPr>
        <w:ind w:firstLine="642"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1.车辆情况：</w:t>
      </w:r>
      <w:r>
        <w:rPr>
          <w:rFonts w:hint="eastAsia" w:ascii="仿宋_GB2312" w:hAnsi="仿宋_GB2312" w:eastAsia="仿宋_GB2312" w:cs="仿宋_GB2312"/>
          <w:bCs/>
          <w:sz w:val="32"/>
          <w:szCs w:val="32"/>
        </w:rPr>
        <w:t>长子县工商业联合会无公务用车。</w:t>
      </w:r>
    </w:p>
    <w:p>
      <w:pPr>
        <w:ind w:firstLine="642"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2.房屋情况：</w:t>
      </w:r>
      <w:r>
        <w:rPr>
          <w:rFonts w:hint="eastAsia" w:ascii="仿宋_GB2312" w:hAnsi="仿宋_GB2312" w:eastAsia="仿宋_GB2312" w:cs="仿宋_GB2312"/>
          <w:bCs/>
          <w:sz w:val="32"/>
          <w:szCs w:val="32"/>
        </w:rPr>
        <w:t>长子县工商业联合会办公用房面积合计45平方米。</w:t>
      </w:r>
    </w:p>
    <w:p>
      <w:pPr>
        <w:ind w:firstLine="642"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3.其他国有资产占有使用情况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截止2021年底，长子县工商联占有其他国有资产价值19.99万元。</w:t>
      </w:r>
    </w:p>
    <w:p>
      <w:pPr>
        <w:ind w:firstLine="640" w:firstLineChars="200"/>
        <w:jc w:val="left"/>
        <w:rPr>
          <w:rFonts w:ascii="黑体" w:hAnsi="黑体" w:eastAsia="黑体" w:cs="黑体"/>
          <w:bCs/>
          <w:sz w:val="32"/>
          <w:szCs w:val="32"/>
        </w:rPr>
      </w:pPr>
      <w:r>
        <w:rPr>
          <w:rFonts w:hint="eastAsia" w:ascii="黑体" w:hAnsi="黑体" w:eastAsia="黑体" w:cs="黑体"/>
          <w:bCs/>
          <w:sz w:val="32"/>
          <w:szCs w:val="32"/>
        </w:rPr>
        <w:t>七、其他说明</w:t>
      </w:r>
    </w:p>
    <w:p>
      <w:pPr>
        <w:ind w:firstLine="642"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（一）政府购买服务指导性目录   </w:t>
      </w:r>
    </w:p>
    <w:p>
      <w:pPr>
        <w:ind w:firstLine="642"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无</w:t>
      </w:r>
    </w:p>
    <w:p>
      <w:pPr>
        <w:ind w:firstLine="642"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（二）其他    </w:t>
      </w:r>
    </w:p>
    <w:p>
      <w:pPr>
        <w:ind w:firstLine="642"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无</w:t>
      </w:r>
    </w:p>
    <w:p>
      <w:pPr>
        <w:pStyle w:val="2"/>
        <w:spacing w:line="360" w:lineRule="auto"/>
      </w:pPr>
      <w:bookmarkStart w:id="0" w:name="_Toc22441"/>
      <w:r>
        <w:rPr>
          <w:rFonts w:hint="eastAsia"/>
        </w:rPr>
        <w:t>第四部分  名词解释</w:t>
      </w:r>
      <w:bookmarkEnd w:id="0"/>
    </w:p>
    <w:p>
      <w:pPr>
        <w:autoSpaceDE w:val="0"/>
        <w:autoSpaceDN w:val="0"/>
        <w:adjustRightInd w:val="0"/>
        <w:spacing w:line="360" w:lineRule="auto"/>
        <w:ind w:firstLine="642" w:firstLineChars="200"/>
        <w:rPr>
          <w:rFonts w:ascii="仿宋" w:hAnsi="仿宋" w:eastAsia="仿宋" w:cs="仿宋"/>
          <w:sz w:val="32"/>
          <w:szCs w:val="32"/>
        </w:rPr>
      </w:pPr>
      <w:r>
        <w:rPr>
          <w:rFonts w:hint="eastAsia" w:ascii="仿宋" w:hAnsi="仿宋" w:eastAsia="仿宋" w:cs="仿宋"/>
          <w:b/>
          <w:bCs/>
          <w:sz w:val="32"/>
          <w:szCs w:val="32"/>
        </w:rPr>
        <w:t>一、基本支出：</w:t>
      </w:r>
      <w:r>
        <w:rPr>
          <w:rFonts w:hint="eastAsia" w:ascii="仿宋" w:hAnsi="仿宋" w:eastAsia="仿宋" w:cs="仿宋"/>
          <w:sz w:val="32"/>
          <w:szCs w:val="32"/>
        </w:rPr>
        <w:t>指为保障机构正常运转、完成日常工作任务而发生的人员支出和公用支出。</w:t>
      </w:r>
    </w:p>
    <w:p>
      <w:pPr>
        <w:autoSpaceDE w:val="0"/>
        <w:autoSpaceDN w:val="0"/>
        <w:adjustRightInd w:val="0"/>
        <w:spacing w:line="600" w:lineRule="atLeast"/>
        <w:ind w:firstLine="642" w:firstLineChars="200"/>
        <w:rPr>
          <w:rFonts w:ascii="仿宋" w:hAnsi="仿宋" w:eastAsia="仿宋" w:cs="仿宋"/>
          <w:sz w:val="32"/>
          <w:szCs w:val="32"/>
        </w:rPr>
      </w:pPr>
      <w:r>
        <w:rPr>
          <w:rFonts w:hint="eastAsia" w:ascii="仿宋" w:hAnsi="仿宋" w:eastAsia="仿宋" w:cs="仿宋"/>
          <w:b/>
          <w:bCs/>
          <w:sz w:val="32"/>
          <w:szCs w:val="32"/>
        </w:rPr>
        <w:t>二、项目支出：</w:t>
      </w:r>
      <w:r>
        <w:rPr>
          <w:rFonts w:hint="eastAsia" w:ascii="仿宋" w:hAnsi="仿宋" w:eastAsia="仿宋" w:cs="仿宋"/>
          <w:sz w:val="32"/>
          <w:szCs w:val="32"/>
        </w:rPr>
        <w:t>指在基本支出之外为完成特定行政任务和事业发展目标所发生的支出。</w:t>
      </w:r>
    </w:p>
    <w:p>
      <w:pPr>
        <w:autoSpaceDE w:val="0"/>
        <w:autoSpaceDN w:val="0"/>
        <w:adjustRightInd w:val="0"/>
        <w:spacing w:line="600" w:lineRule="atLeast"/>
        <w:ind w:firstLine="642" w:firstLineChars="200"/>
        <w:rPr>
          <w:rFonts w:ascii="仿宋" w:hAnsi="仿宋" w:eastAsia="仿宋" w:cs="仿宋"/>
          <w:sz w:val="32"/>
          <w:szCs w:val="32"/>
        </w:rPr>
      </w:pPr>
      <w:r>
        <w:rPr>
          <w:rFonts w:hint="eastAsia" w:ascii="仿宋" w:hAnsi="仿宋" w:eastAsia="仿宋" w:cs="仿宋"/>
          <w:b/>
          <w:bCs/>
          <w:sz w:val="32"/>
          <w:szCs w:val="32"/>
        </w:rPr>
        <w:t>三、“三公”经费：</w:t>
      </w:r>
      <w:r>
        <w:rPr>
          <w:rFonts w:hint="eastAsia" w:ascii="仿宋" w:hAnsi="仿宋" w:eastAsia="仿宋" w:cs="仿宋"/>
          <w:sz w:val="32"/>
          <w:szCs w:val="32"/>
        </w:rPr>
        <w:t>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spacing w:line="600" w:lineRule="atLeast"/>
        <w:ind w:firstLine="642" w:firstLineChars="200"/>
        <w:rPr>
          <w:rFonts w:ascii="仿宋" w:hAnsi="仿宋" w:eastAsia="仿宋" w:cs="仿宋"/>
          <w:sz w:val="32"/>
          <w:szCs w:val="32"/>
        </w:rPr>
      </w:pPr>
      <w:r>
        <w:rPr>
          <w:rFonts w:hint="eastAsia" w:ascii="仿宋" w:hAnsi="仿宋" w:eastAsia="仿宋" w:cs="仿宋"/>
          <w:b/>
          <w:bCs/>
          <w:sz w:val="32"/>
          <w:szCs w:val="32"/>
        </w:rPr>
        <w:t>四、机关运行经费：</w:t>
      </w:r>
      <w:r>
        <w:rPr>
          <w:rFonts w:hint="eastAsia" w:ascii="仿宋" w:hAnsi="仿宋" w:eastAsia="仿宋" w:cs="仿宋"/>
          <w:sz w:val="32"/>
          <w:szCs w:val="32"/>
        </w:rPr>
        <w:t>指行政单位和参照公务员法管理的事业单位使用一般公共预算安排的基本支出中的日常公用经费支出。</w:t>
      </w:r>
    </w:p>
    <w:p>
      <w:pPr>
        <w:autoSpaceDE w:val="0"/>
        <w:autoSpaceDN w:val="0"/>
        <w:adjustRightInd w:val="0"/>
        <w:spacing w:line="600" w:lineRule="atLeast"/>
        <w:ind w:firstLine="642" w:firstLineChars="200"/>
        <w:rPr>
          <w:rFonts w:ascii="仿宋" w:hAnsi="仿宋" w:eastAsia="仿宋" w:cs="仿宋"/>
          <w:sz w:val="32"/>
          <w:szCs w:val="32"/>
        </w:rPr>
      </w:pPr>
      <w:r>
        <w:rPr>
          <w:rFonts w:hint="eastAsia" w:ascii="仿宋" w:hAnsi="仿宋" w:eastAsia="仿宋" w:cs="仿宋"/>
          <w:b/>
          <w:bCs/>
          <w:sz w:val="32"/>
          <w:szCs w:val="32"/>
        </w:rPr>
        <w:t>五、政府购买服务：</w:t>
      </w:r>
      <w:r>
        <w:rPr>
          <w:rFonts w:hint="eastAsia" w:ascii="仿宋" w:hAnsi="仿宋" w:eastAsia="仿宋" w:cs="仿宋"/>
          <w:sz w:val="32"/>
          <w:szCs w:val="32"/>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pPr>
        <w:autoSpaceDE w:val="0"/>
        <w:autoSpaceDN w:val="0"/>
        <w:adjustRightInd w:val="0"/>
        <w:spacing w:line="600" w:lineRule="atLeast"/>
        <w:ind w:firstLine="642" w:firstLineChars="200"/>
        <w:rPr>
          <w:rFonts w:ascii="仿宋" w:hAnsi="仿宋" w:eastAsia="仿宋" w:cs="仿宋"/>
          <w:sz w:val="32"/>
          <w:szCs w:val="32"/>
        </w:rPr>
      </w:pPr>
      <w:r>
        <w:rPr>
          <w:rFonts w:hint="eastAsia" w:ascii="仿宋" w:hAnsi="仿宋" w:eastAsia="仿宋" w:cs="仿宋"/>
          <w:b/>
          <w:bCs/>
          <w:sz w:val="32"/>
          <w:szCs w:val="32"/>
        </w:rPr>
        <w:t>六、一般公共预算：</w:t>
      </w:r>
      <w:r>
        <w:rPr>
          <w:rFonts w:hint="eastAsia" w:ascii="仿宋" w:hAnsi="仿宋" w:eastAsia="仿宋" w:cs="仿宋"/>
          <w:sz w:val="32"/>
          <w:szCs w:val="32"/>
        </w:rPr>
        <w:t>是指以税收为主体的财政收入，安排用于保障和改善民生、推动经济社会发展、维护国家安全、维持国家机构正常运转等方面的收支预算。</w:t>
      </w:r>
    </w:p>
    <w:p>
      <w:pPr>
        <w:autoSpaceDE w:val="0"/>
        <w:autoSpaceDN w:val="0"/>
        <w:adjustRightInd w:val="0"/>
        <w:spacing w:line="600" w:lineRule="atLeast"/>
        <w:ind w:firstLine="642" w:firstLineChars="200"/>
        <w:rPr>
          <w:rFonts w:ascii="仿宋" w:hAnsi="仿宋" w:eastAsia="仿宋" w:cs="仿宋"/>
          <w:sz w:val="32"/>
          <w:szCs w:val="32"/>
        </w:rPr>
      </w:pPr>
      <w:r>
        <w:rPr>
          <w:rFonts w:hint="eastAsia" w:ascii="仿宋" w:hAnsi="仿宋" w:eastAsia="仿宋" w:cs="仿宋"/>
          <w:b/>
          <w:bCs/>
          <w:sz w:val="32"/>
          <w:szCs w:val="32"/>
        </w:rPr>
        <w:t>七、政府性基金预算：</w:t>
      </w:r>
      <w:r>
        <w:rPr>
          <w:rFonts w:hint="eastAsia" w:ascii="仿宋" w:hAnsi="仿宋" w:eastAsia="仿宋" w:cs="仿宋"/>
          <w:sz w:val="32"/>
          <w:szCs w:val="32"/>
        </w:rPr>
        <w:t>是对依照法律、行政法规的规定在一定期限内向特定对象征收、收取或者以其他方式筹集的资金，专项用于特定公共事业发展的收支预算。</w:t>
      </w:r>
    </w:p>
    <w:p>
      <w:pPr>
        <w:autoSpaceDE w:val="0"/>
        <w:autoSpaceDN w:val="0"/>
        <w:adjustRightInd w:val="0"/>
        <w:spacing w:line="600" w:lineRule="atLeast"/>
        <w:ind w:firstLine="642" w:firstLineChars="200"/>
        <w:rPr>
          <w:rFonts w:ascii="仿宋" w:hAnsi="仿宋" w:eastAsia="仿宋" w:cs="仿宋"/>
          <w:sz w:val="32"/>
          <w:szCs w:val="32"/>
        </w:rPr>
      </w:pPr>
      <w:r>
        <w:rPr>
          <w:rFonts w:hint="eastAsia" w:ascii="仿宋" w:hAnsi="仿宋" w:eastAsia="仿宋" w:cs="仿宋"/>
          <w:b/>
          <w:bCs/>
          <w:sz w:val="32"/>
          <w:szCs w:val="32"/>
        </w:rPr>
        <w:t>八、国有资本经营预算：</w:t>
      </w:r>
      <w:r>
        <w:rPr>
          <w:rFonts w:hint="eastAsia" w:ascii="仿宋" w:hAnsi="仿宋" w:eastAsia="仿宋" w:cs="仿宋"/>
          <w:sz w:val="32"/>
          <w:szCs w:val="32"/>
        </w:rPr>
        <w:t>是对国有资本收益作出支出安排的收支预算。</w:t>
      </w:r>
    </w:p>
    <w:p>
      <w:pPr>
        <w:autoSpaceDE w:val="0"/>
        <w:autoSpaceDN w:val="0"/>
        <w:adjustRightInd w:val="0"/>
        <w:spacing w:line="600" w:lineRule="atLeast"/>
        <w:ind w:firstLine="642" w:firstLineChars="200"/>
        <w:rPr>
          <w:rFonts w:ascii="仿宋" w:hAnsi="仿宋" w:eastAsia="仿宋" w:cs="仿宋"/>
          <w:sz w:val="32"/>
          <w:szCs w:val="32"/>
        </w:rPr>
      </w:pPr>
      <w:r>
        <w:rPr>
          <w:rFonts w:hint="eastAsia" w:ascii="仿宋" w:hAnsi="仿宋" w:eastAsia="仿宋" w:cs="仿宋"/>
          <w:b/>
          <w:bCs/>
          <w:sz w:val="32"/>
          <w:szCs w:val="32"/>
        </w:rPr>
        <w:t>九、财政专户管理资金：</w:t>
      </w:r>
      <w:r>
        <w:rPr>
          <w:rFonts w:hint="eastAsia" w:ascii="仿宋" w:hAnsi="仿宋" w:eastAsia="仿宋" w:cs="仿宋"/>
          <w:sz w:val="32"/>
          <w:szCs w:val="32"/>
        </w:rPr>
        <w:t>专指教育收费，包括目前在财政专户管理的高中以上学费、住宿费，高校委托培养费，党校收费，教育考试考务费，函大，电大、夜大及短训班培训费等。</w:t>
      </w:r>
    </w:p>
    <w:p>
      <w:pPr>
        <w:autoSpaceDE w:val="0"/>
        <w:autoSpaceDN w:val="0"/>
        <w:adjustRightInd w:val="0"/>
        <w:spacing w:line="600" w:lineRule="atLeast"/>
        <w:ind w:firstLine="642" w:firstLineChars="200"/>
        <w:rPr>
          <w:rFonts w:ascii="仿宋" w:hAnsi="仿宋" w:eastAsia="仿宋" w:cs="仿宋"/>
          <w:sz w:val="32"/>
          <w:szCs w:val="32"/>
        </w:rPr>
      </w:pPr>
      <w:r>
        <w:rPr>
          <w:rFonts w:hint="eastAsia" w:ascii="仿宋" w:hAnsi="仿宋" w:eastAsia="仿宋" w:cs="仿宋"/>
          <w:b/>
          <w:bCs/>
          <w:sz w:val="32"/>
          <w:szCs w:val="32"/>
        </w:rPr>
        <w:t>十、单位资金：</w:t>
      </w:r>
      <w:r>
        <w:rPr>
          <w:rFonts w:hint="eastAsia" w:ascii="仿宋" w:hAnsi="仿宋" w:eastAsia="仿宋" w:cs="仿宋"/>
          <w:sz w:val="32"/>
          <w:szCs w:val="32"/>
        </w:rPr>
        <w:t>是指除政府预算资金和财政专户管理资金以外的资金、包括事业收入、事业单位经营收入、上级补助收入、附属单位上缴收入，其他收入。</w:t>
      </w:r>
    </w:p>
    <w:p>
      <w:pPr>
        <w:ind w:firstLine="642" w:firstLineChars="200"/>
        <w:jc w:val="left"/>
        <w:rPr>
          <w:rFonts w:ascii="宋体" w:hAnsi="宋体" w:eastAsia="宋体" w:cs="宋体"/>
          <w:b/>
          <w:sz w:val="44"/>
          <w:szCs w:val="44"/>
        </w:rPr>
      </w:pPr>
      <w:r>
        <w:rPr>
          <w:rFonts w:hint="eastAsia" w:ascii="仿宋" w:hAnsi="仿宋" w:eastAsia="仿宋" w:cs="仿宋"/>
          <w:b/>
          <w:bCs/>
          <w:sz w:val="32"/>
          <w:szCs w:val="32"/>
        </w:rPr>
        <w:t>十一、上年结转：</w:t>
      </w:r>
      <w:r>
        <w:rPr>
          <w:rFonts w:hint="eastAsia" w:ascii="仿宋" w:hAnsi="仿宋" w:eastAsia="仿宋" w:cs="仿宋"/>
          <w:sz w:val="32"/>
          <w:szCs w:val="32"/>
        </w:rPr>
        <w:t>指以前年度预算安排，结转到本年仍按原规定用途继续使用的资金。</w:t>
      </w:r>
    </w:p>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0000000000000000000"/>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E44B6"/>
    <w:multiLevelType w:val="singleLevel"/>
    <w:tmpl w:val="B6BE44B6"/>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ODk1M2U0ZWE1N2RkNmJjYzUxOWJkMjRmMDFjYmMifQ=="/>
  </w:docVars>
  <w:rsids>
    <w:rsidRoot w:val="00DB2F14"/>
    <w:rsid w:val="00DB2F14"/>
    <w:rsid w:val="00F05162"/>
    <w:rsid w:val="02A24C89"/>
    <w:rsid w:val="07693B60"/>
    <w:rsid w:val="1C6A356D"/>
    <w:rsid w:val="2C8C6FF2"/>
    <w:rsid w:val="2D730D48"/>
    <w:rsid w:val="36875770"/>
    <w:rsid w:val="3D4116D8"/>
    <w:rsid w:val="47AF65C1"/>
    <w:rsid w:val="51CE30BC"/>
    <w:rsid w:val="57470B8D"/>
    <w:rsid w:val="D7DF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keepNext/>
      <w:keepLines/>
      <w:spacing w:line="576" w:lineRule="auto"/>
      <w:jc w:val="center"/>
      <w:outlineLvl w:val="0"/>
    </w:pPr>
    <w:rPr>
      <w:rFonts w:ascii="Calibri" w:hAnsi="Calibri" w:eastAsia="宋体"/>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宋体"/>
      <w:b/>
      <w:sz w:val="32"/>
    </w:rPr>
  </w:style>
  <w:style w:type="paragraph" w:styleId="4">
    <w:name w:val="heading 3"/>
    <w:basedOn w:val="1"/>
    <w:next w:val="1"/>
    <w:unhideWhenUsed/>
    <w:qFormat/>
    <w:uiPriority w:val="0"/>
    <w:pPr>
      <w:keepNext/>
      <w:keepLines/>
      <w:spacing w:line="413" w:lineRule="auto"/>
      <w:outlineLvl w:val="2"/>
    </w:pPr>
    <w:rPr>
      <w:rFonts w:ascii="Calibri" w:hAnsi="Calibri" w:eastAsia="宋体"/>
      <w:b/>
      <w:sz w:val="3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customStyle="1" w:styleId="13">
    <w:name w:val="批注框文本 Char"/>
    <w:basedOn w:val="12"/>
    <w:link w:val="6"/>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2902</Words>
  <Characters>1166</Characters>
  <Lines>9</Lines>
  <Paragraphs>8</Paragraphs>
  <TotalTime>8</TotalTime>
  <ScaleCrop>false</ScaleCrop>
  <LinksUpToDate>false</LinksUpToDate>
  <CharactersWithSpaces>4060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2022-03-29T09:13:00Z</dcterms:created>
  <dc:creator>Administrator</dc:creator>
  <cp:lastModifiedBy>user</cp:lastModifiedBy>
  <dcterms:modified xsi:type="dcterms:W3CDTF">2024-12-12T18:06:47Z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0B0F86841F02402882166F4F15B0B568_13</vt:lpwstr>
  </property>
</Properties>
</file>