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64D" w:rsidRDefault="00CC5BFE">
      <w:pPr>
        <w:widowControl/>
        <w:spacing w:line="360" w:lineRule="auto"/>
        <w:jc w:val="center"/>
        <w:outlineLvl w:val="0"/>
        <w:rPr>
          <w:rFonts w:ascii="宋体" w:hAnsi="宋体" w:cs="宋体"/>
          <w:b/>
          <w:bCs/>
          <w:color w:val="000000"/>
          <w:kern w:val="36"/>
          <w:sz w:val="44"/>
          <w:szCs w:val="44"/>
        </w:rPr>
      </w:pPr>
      <w:r>
        <w:rPr>
          <w:rFonts w:ascii="宋体" w:hAnsi="宋体" w:cs="宋体" w:hint="eastAsia"/>
          <w:b/>
          <w:bCs/>
          <w:color w:val="000000"/>
          <w:kern w:val="36"/>
          <w:sz w:val="44"/>
          <w:szCs w:val="44"/>
        </w:rPr>
        <w:t>目  录</w:t>
      </w:r>
    </w:p>
    <w:p w:rsidR="00AF764D" w:rsidRDefault="00AF764D">
      <w:pPr>
        <w:widowControl/>
        <w:spacing w:line="360" w:lineRule="auto"/>
        <w:jc w:val="center"/>
        <w:outlineLvl w:val="0"/>
        <w:rPr>
          <w:rFonts w:ascii="宋体" w:hAnsi="宋体" w:cs="宋体"/>
          <w:b/>
          <w:bCs/>
          <w:color w:val="000000"/>
          <w:kern w:val="36"/>
          <w:sz w:val="44"/>
          <w:szCs w:val="44"/>
        </w:rPr>
      </w:pPr>
    </w:p>
    <w:p w:rsidR="00AF764D" w:rsidRDefault="00CC5BFE">
      <w:pPr>
        <w:widowControl/>
        <w:numPr>
          <w:ilvl w:val="0"/>
          <w:numId w:val="1"/>
        </w:numPr>
        <w:spacing w:line="360" w:lineRule="auto"/>
        <w:outlineLvl w:val="0"/>
        <w:rPr>
          <w:rFonts w:ascii="仿宋" w:eastAsia="仿宋" w:hAnsi="仿宋" w:cs="仿宋"/>
          <w:color w:val="000000"/>
          <w:kern w:val="36"/>
          <w:sz w:val="30"/>
          <w:szCs w:val="30"/>
        </w:rPr>
      </w:pPr>
      <w:r>
        <w:rPr>
          <w:rFonts w:ascii="仿宋" w:eastAsia="仿宋" w:hAnsi="仿宋" w:cs="仿宋" w:hint="eastAsia"/>
          <w:color w:val="000000"/>
          <w:kern w:val="36"/>
          <w:sz w:val="30"/>
          <w:szCs w:val="30"/>
        </w:rPr>
        <w:t xml:space="preserve">  概况····················1</w:t>
      </w:r>
    </w:p>
    <w:p w:rsidR="00AF764D" w:rsidRDefault="00CC5BFE">
      <w:pPr>
        <w:widowControl/>
        <w:spacing w:line="360" w:lineRule="auto"/>
        <w:ind w:firstLineChars="700" w:firstLine="2100"/>
        <w:outlineLvl w:val="0"/>
        <w:rPr>
          <w:rFonts w:ascii="仿宋" w:eastAsia="仿宋" w:hAnsi="仿宋" w:cs="仿宋"/>
          <w:color w:val="000000"/>
          <w:kern w:val="36"/>
          <w:sz w:val="30"/>
          <w:szCs w:val="30"/>
        </w:rPr>
      </w:pPr>
      <w:r>
        <w:rPr>
          <w:rFonts w:ascii="仿宋" w:eastAsia="仿宋" w:hAnsi="仿宋" w:cs="仿宋" w:hint="eastAsia"/>
          <w:color w:val="000000"/>
          <w:kern w:val="36"/>
          <w:sz w:val="30"/>
          <w:szCs w:val="30"/>
        </w:rPr>
        <w:t>本部门职责·············· ·1</w:t>
      </w:r>
    </w:p>
    <w:p w:rsidR="00AF764D" w:rsidRDefault="00CC5BFE">
      <w:pPr>
        <w:widowControl/>
        <w:spacing w:line="360" w:lineRule="auto"/>
        <w:ind w:firstLineChars="700" w:firstLine="2100"/>
        <w:outlineLvl w:val="0"/>
        <w:rPr>
          <w:rFonts w:ascii="仿宋" w:eastAsia="仿宋" w:hAnsi="仿宋" w:cs="仿宋"/>
          <w:color w:val="000000"/>
          <w:kern w:val="36"/>
          <w:sz w:val="30"/>
          <w:szCs w:val="30"/>
        </w:rPr>
      </w:pPr>
      <w:r>
        <w:rPr>
          <w:rFonts w:ascii="仿宋" w:eastAsia="仿宋" w:hAnsi="仿宋" w:cs="仿宋" w:hint="eastAsia"/>
          <w:color w:val="000000"/>
          <w:kern w:val="36"/>
          <w:sz w:val="30"/>
          <w:szCs w:val="30"/>
        </w:rPr>
        <w:t>机构设置情况············· ·1</w:t>
      </w:r>
    </w:p>
    <w:p w:rsidR="00AF764D" w:rsidRDefault="00CC5BFE">
      <w:pPr>
        <w:widowControl/>
        <w:numPr>
          <w:ilvl w:val="0"/>
          <w:numId w:val="1"/>
        </w:numPr>
        <w:spacing w:line="360" w:lineRule="auto"/>
        <w:outlineLvl w:val="0"/>
        <w:rPr>
          <w:rFonts w:ascii="仿宋" w:eastAsia="仿宋" w:hAnsi="仿宋" w:cs="仿宋"/>
          <w:color w:val="000000"/>
          <w:kern w:val="36"/>
          <w:sz w:val="30"/>
          <w:szCs w:val="30"/>
        </w:rPr>
      </w:pPr>
      <w:r>
        <w:rPr>
          <w:rFonts w:ascii="仿宋" w:eastAsia="仿宋" w:hAnsi="仿宋" w:cs="仿宋" w:hint="eastAsia"/>
          <w:color w:val="000000"/>
          <w:kern w:val="36"/>
          <w:sz w:val="30"/>
          <w:szCs w:val="30"/>
        </w:rPr>
        <w:t xml:space="preserve">  202</w:t>
      </w:r>
      <w:r w:rsidR="00B614A6">
        <w:rPr>
          <w:rFonts w:ascii="仿宋" w:eastAsia="仿宋" w:hAnsi="仿宋" w:cs="仿宋" w:hint="eastAsia"/>
          <w:color w:val="000000"/>
          <w:kern w:val="36"/>
          <w:sz w:val="30"/>
          <w:szCs w:val="30"/>
        </w:rPr>
        <w:t>1</w:t>
      </w:r>
      <w:r>
        <w:rPr>
          <w:rFonts w:ascii="仿宋" w:eastAsia="仿宋" w:hAnsi="仿宋" w:cs="仿宋" w:hint="eastAsia"/>
          <w:color w:val="000000"/>
          <w:kern w:val="36"/>
          <w:sz w:val="30"/>
          <w:szCs w:val="30"/>
        </w:rPr>
        <w:t>年度部门预算情况说明··········1</w:t>
      </w:r>
    </w:p>
    <w:p w:rsidR="00AF764D" w:rsidRDefault="00CC5BFE">
      <w:pPr>
        <w:ind w:firstLineChars="701" w:firstLine="2103"/>
        <w:rPr>
          <w:rFonts w:ascii="仿宋" w:eastAsia="仿宋" w:hAnsi="仿宋" w:cs="仿宋"/>
          <w:color w:val="000000"/>
          <w:kern w:val="36"/>
          <w:sz w:val="30"/>
          <w:szCs w:val="30"/>
        </w:rPr>
      </w:pPr>
      <w:r>
        <w:rPr>
          <w:rFonts w:ascii="仿宋" w:eastAsia="仿宋" w:hAnsi="仿宋" w:cs="仿宋" w:hint="eastAsia"/>
          <w:color w:val="000000"/>
          <w:kern w:val="36"/>
          <w:sz w:val="30"/>
          <w:szCs w:val="30"/>
        </w:rPr>
        <w:t>202</w:t>
      </w:r>
      <w:r w:rsidR="00B614A6">
        <w:rPr>
          <w:rFonts w:ascii="仿宋" w:eastAsia="仿宋" w:hAnsi="仿宋" w:cs="仿宋" w:hint="eastAsia"/>
          <w:color w:val="000000"/>
          <w:kern w:val="36"/>
          <w:sz w:val="30"/>
          <w:szCs w:val="30"/>
        </w:rPr>
        <w:t>1</w:t>
      </w:r>
      <w:r>
        <w:rPr>
          <w:rFonts w:ascii="仿宋" w:eastAsia="仿宋" w:hAnsi="仿宋" w:cs="仿宋" w:hint="eastAsia"/>
          <w:color w:val="000000"/>
          <w:kern w:val="36"/>
          <w:sz w:val="30"/>
          <w:szCs w:val="30"/>
        </w:rPr>
        <w:t>年度部门预算数据变动情况及原因····1</w:t>
      </w:r>
    </w:p>
    <w:p w:rsidR="00AF764D" w:rsidRDefault="00CC5BFE">
      <w:pPr>
        <w:widowControl/>
        <w:spacing w:line="360" w:lineRule="auto"/>
        <w:ind w:firstLineChars="700" w:firstLine="2100"/>
        <w:outlineLvl w:val="0"/>
        <w:rPr>
          <w:rFonts w:ascii="仿宋" w:eastAsia="仿宋" w:hAnsi="仿宋" w:cs="仿宋"/>
          <w:color w:val="000000"/>
          <w:kern w:val="36"/>
          <w:sz w:val="30"/>
          <w:szCs w:val="30"/>
        </w:rPr>
      </w:pPr>
      <w:r>
        <w:rPr>
          <w:rFonts w:ascii="仿宋" w:eastAsia="仿宋" w:hAnsi="仿宋" w:cs="仿宋" w:hint="eastAsia"/>
          <w:color w:val="000000"/>
          <w:kern w:val="36"/>
          <w:sz w:val="30"/>
          <w:szCs w:val="30"/>
        </w:rPr>
        <w:t>“三公”经费增减变动原因说明·······2</w:t>
      </w:r>
    </w:p>
    <w:p w:rsidR="00AF764D" w:rsidRDefault="00CC5BFE">
      <w:pPr>
        <w:widowControl/>
        <w:spacing w:line="360" w:lineRule="auto"/>
        <w:ind w:firstLineChars="700" w:firstLine="2100"/>
        <w:outlineLvl w:val="0"/>
        <w:rPr>
          <w:rFonts w:ascii="仿宋" w:eastAsia="仿宋" w:hAnsi="仿宋" w:cs="仿宋"/>
          <w:color w:val="000000"/>
          <w:kern w:val="36"/>
          <w:sz w:val="30"/>
          <w:szCs w:val="30"/>
        </w:rPr>
      </w:pPr>
      <w:r>
        <w:rPr>
          <w:rFonts w:ascii="仿宋" w:eastAsia="仿宋" w:hAnsi="仿宋" w:cs="仿宋" w:hint="eastAsia"/>
          <w:color w:val="000000"/>
          <w:kern w:val="36"/>
          <w:sz w:val="30"/>
          <w:szCs w:val="30"/>
        </w:rPr>
        <w:t>机关运行经费增减变动原因说明·······2</w:t>
      </w:r>
    </w:p>
    <w:p w:rsidR="00AF764D" w:rsidRDefault="00CC5BFE">
      <w:pPr>
        <w:widowControl/>
        <w:spacing w:line="360" w:lineRule="auto"/>
        <w:ind w:firstLineChars="700" w:firstLine="2100"/>
        <w:outlineLvl w:val="0"/>
        <w:rPr>
          <w:rFonts w:ascii="仿宋" w:eastAsia="仿宋" w:hAnsi="仿宋" w:cs="仿宋"/>
          <w:color w:val="000000"/>
          <w:kern w:val="36"/>
          <w:sz w:val="30"/>
          <w:szCs w:val="30"/>
        </w:rPr>
      </w:pPr>
      <w:r>
        <w:rPr>
          <w:rFonts w:ascii="仿宋" w:eastAsia="仿宋" w:hAnsi="仿宋" w:cs="仿宋" w:hint="eastAsia"/>
          <w:color w:val="000000"/>
          <w:kern w:val="36"/>
          <w:sz w:val="30"/>
          <w:szCs w:val="30"/>
        </w:rPr>
        <w:t>其他说明··················3</w:t>
      </w:r>
    </w:p>
    <w:p w:rsidR="00AF764D" w:rsidRDefault="00CC5BFE">
      <w:pPr>
        <w:widowControl/>
        <w:tabs>
          <w:tab w:val="right" w:pos="6492"/>
        </w:tabs>
        <w:spacing w:line="360" w:lineRule="auto"/>
        <w:ind w:firstLineChars="900" w:firstLine="2700"/>
        <w:outlineLvl w:val="0"/>
        <w:rPr>
          <w:rFonts w:ascii="仿宋" w:eastAsia="仿宋" w:hAnsi="仿宋" w:cs="仿宋"/>
          <w:color w:val="000000"/>
          <w:kern w:val="36"/>
          <w:sz w:val="30"/>
          <w:szCs w:val="30"/>
        </w:rPr>
      </w:pPr>
      <w:r>
        <w:rPr>
          <w:rFonts w:ascii="仿宋" w:eastAsia="仿宋" w:hAnsi="仿宋" w:cs="仿宋" w:hint="eastAsia"/>
          <w:color w:val="000000"/>
          <w:kern w:val="36"/>
          <w:sz w:val="30"/>
          <w:szCs w:val="30"/>
        </w:rPr>
        <w:t>政府采购情况··············3</w:t>
      </w:r>
    </w:p>
    <w:p w:rsidR="00AF764D" w:rsidRDefault="00CC5BFE">
      <w:pPr>
        <w:widowControl/>
        <w:tabs>
          <w:tab w:val="right" w:pos="6492"/>
        </w:tabs>
        <w:spacing w:line="360" w:lineRule="auto"/>
        <w:ind w:firstLineChars="900" w:firstLine="2700"/>
        <w:outlineLvl w:val="0"/>
        <w:rPr>
          <w:rFonts w:ascii="仿宋" w:eastAsia="仿宋" w:hAnsi="仿宋" w:cs="仿宋"/>
          <w:color w:val="000000"/>
          <w:kern w:val="36"/>
          <w:sz w:val="30"/>
          <w:szCs w:val="30"/>
        </w:rPr>
      </w:pPr>
      <w:r>
        <w:rPr>
          <w:rFonts w:ascii="仿宋" w:eastAsia="仿宋" w:hAnsi="仿宋" w:cs="仿宋" w:hint="eastAsia"/>
          <w:color w:val="000000"/>
          <w:kern w:val="36"/>
          <w:sz w:val="30"/>
          <w:szCs w:val="30"/>
        </w:rPr>
        <w:t>政府购买服务指导性目录·········3</w:t>
      </w:r>
    </w:p>
    <w:p w:rsidR="00AF764D" w:rsidRDefault="00CC5BFE">
      <w:pPr>
        <w:widowControl/>
        <w:spacing w:line="360" w:lineRule="auto"/>
        <w:ind w:firstLineChars="900" w:firstLine="2700"/>
        <w:outlineLvl w:val="0"/>
        <w:rPr>
          <w:rFonts w:ascii="仿宋" w:eastAsia="仿宋" w:hAnsi="仿宋" w:cs="仿宋"/>
          <w:color w:val="000000"/>
          <w:kern w:val="36"/>
          <w:sz w:val="30"/>
          <w:szCs w:val="30"/>
        </w:rPr>
      </w:pPr>
      <w:r>
        <w:rPr>
          <w:rFonts w:ascii="仿宋" w:eastAsia="仿宋" w:hAnsi="仿宋" w:cs="仿宋" w:hint="eastAsia"/>
          <w:color w:val="000000"/>
          <w:kern w:val="36"/>
          <w:sz w:val="30"/>
          <w:szCs w:val="30"/>
        </w:rPr>
        <w:t>国有资产占用情况············3</w:t>
      </w:r>
    </w:p>
    <w:p w:rsidR="00AF764D" w:rsidRDefault="00CC5BFE">
      <w:pPr>
        <w:widowControl/>
        <w:spacing w:line="360" w:lineRule="auto"/>
        <w:ind w:firstLineChars="900" w:firstLine="2700"/>
        <w:outlineLvl w:val="0"/>
        <w:rPr>
          <w:rFonts w:ascii="仿宋" w:eastAsia="仿宋" w:hAnsi="仿宋" w:cs="仿宋"/>
          <w:color w:val="000000"/>
          <w:kern w:val="36"/>
          <w:sz w:val="30"/>
          <w:szCs w:val="30"/>
        </w:rPr>
      </w:pPr>
      <w:r>
        <w:rPr>
          <w:rFonts w:ascii="仿宋" w:eastAsia="仿宋" w:hAnsi="仿宋" w:cs="仿宋" w:hint="eastAsia"/>
          <w:color w:val="000000"/>
          <w:kern w:val="36"/>
          <w:sz w:val="30"/>
          <w:szCs w:val="30"/>
        </w:rPr>
        <w:t>绩效管理情况··············3</w:t>
      </w:r>
    </w:p>
    <w:p w:rsidR="00AF764D" w:rsidRDefault="00CC5BFE">
      <w:pPr>
        <w:widowControl/>
        <w:spacing w:line="360" w:lineRule="auto"/>
        <w:ind w:firstLineChars="900" w:firstLine="2700"/>
        <w:outlineLvl w:val="0"/>
        <w:rPr>
          <w:rFonts w:ascii="仿宋" w:eastAsia="仿宋" w:hAnsi="仿宋" w:cs="仿宋"/>
          <w:color w:val="000000"/>
          <w:kern w:val="36"/>
          <w:sz w:val="30"/>
          <w:szCs w:val="30"/>
        </w:rPr>
      </w:pPr>
      <w:r>
        <w:rPr>
          <w:rFonts w:ascii="仿宋" w:eastAsia="仿宋" w:hAnsi="仿宋" w:cs="仿宋" w:hint="eastAsia"/>
          <w:color w:val="000000"/>
          <w:kern w:val="36"/>
          <w:sz w:val="30"/>
          <w:szCs w:val="30"/>
        </w:rPr>
        <w:t>非税收入和基金执收情况·········3</w:t>
      </w:r>
    </w:p>
    <w:p w:rsidR="00AF764D" w:rsidRDefault="00CC5BFE">
      <w:pPr>
        <w:widowControl/>
        <w:spacing w:line="360" w:lineRule="auto"/>
        <w:ind w:firstLineChars="900" w:firstLine="2700"/>
        <w:outlineLvl w:val="0"/>
        <w:rPr>
          <w:rFonts w:ascii="仿宋" w:eastAsia="仿宋" w:hAnsi="仿宋" w:cs="仿宋"/>
          <w:color w:val="000000"/>
          <w:kern w:val="36"/>
          <w:sz w:val="30"/>
          <w:szCs w:val="30"/>
        </w:rPr>
      </w:pPr>
      <w:r>
        <w:rPr>
          <w:rFonts w:ascii="仿宋" w:eastAsia="仿宋" w:hAnsi="仿宋" w:cs="仿宋" w:hint="eastAsia"/>
          <w:color w:val="000000"/>
          <w:kern w:val="36"/>
          <w:sz w:val="30"/>
          <w:szCs w:val="30"/>
        </w:rPr>
        <w:t>其他··················3</w:t>
      </w:r>
    </w:p>
    <w:p w:rsidR="00AF764D" w:rsidRDefault="00CC5BFE">
      <w:pPr>
        <w:widowControl/>
        <w:spacing w:line="360" w:lineRule="auto"/>
        <w:outlineLvl w:val="0"/>
        <w:rPr>
          <w:rFonts w:ascii="仿宋" w:eastAsia="仿宋" w:hAnsi="仿宋" w:cs="仿宋"/>
          <w:color w:val="000000"/>
          <w:kern w:val="36"/>
          <w:sz w:val="30"/>
          <w:szCs w:val="30"/>
        </w:rPr>
      </w:pPr>
      <w:r>
        <w:rPr>
          <w:rFonts w:ascii="仿宋" w:eastAsia="仿宋" w:hAnsi="仿宋" w:cs="仿宋" w:hint="eastAsia"/>
          <w:color w:val="000000"/>
          <w:kern w:val="36"/>
          <w:sz w:val="30"/>
          <w:szCs w:val="30"/>
        </w:rPr>
        <w:t>第三部分  名词解释··················3</w:t>
      </w:r>
    </w:p>
    <w:p w:rsidR="00AF764D" w:rsidRDefault="00AF764D">
      <w:pPr>
        <w:jc w:val="center"/>
        <w:rPr>
          <w:rFonts w:asciiTheme="majorEastAsia" w:eastAsiaTheme="majorEastAsia" w:hAnsiTheme="majorEastAsia"/>
          <w:sz w:val="44"/>
          <w:szCs w:val="44"/>
        </w:rPr>
        <w:sectPr w:rsidR="00AF764D">
          <w:footerReference w:type="even" r:id="rId8"/>
          <w:pgSz w:w="11906" w:h="16838"/>
          <w:pgMar w:top="1440" w:right="1800" w:bottom="1440" w:left="1800" w:header="851" w:footer="992" w:gutter="0"/>
          <w:cols w:space="720"/>
          <w:docGrid w:type="lines" w:linePitch="312"/>
        </w:sectPr>
      </w:pPr>
    </w:p>
    <w:p w:rsidR="00AF764D" w:rsidRDefault="00CC5BF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lastRenderedPageBreak/>
        <w:t>长治市仙翁山木化石研发管理处</w:t>
      </w:r>
    </w:p>
    <w:p w:rsidR="00AF764D" w:rsidRDefault="00CC5BFE">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sidR="00B614A6">
        <w:rPr>
          <w:rFonts w:ascii="方正小标宋简体" w:eastAsia="方正小标宋简体" w:hAnsi="方正小标宋简体" w:cs="方正小标宋简体" w:hint="eastAsia"/>
          <w:sz w:val="44"/>
          <w:szCs w:val="44"/>
        </w:rPr>
        <w:t>1</w:t>
      </w:r>
      <w:r>
        <w:rPr>
          <w:rFonts w:ascii="方正小标宋简体" w:eastAsia="方正小标宋简体" w:hAnsi="方正小标宋简体" w:cs="方正小标宋简体" w:hint="eastAsia"/>
          <w:sz w:val="44"/>
          <w:szCs w:val="44"/>
        </w:rPr>
        <w:t>年度部门预算相关说明</w:t>
      </w:r>
    </w:p>
    <w:p w:rsidR="00AF764D" w:rsidRDefault="00AF764D">
      <w:pPr>
        <w:jc w:val="center"/>
        <w:rPr>
          <w:rFonts w:ascii="方正小标宋简体" w:eastAsia="方正小标宋简体" w:hAnsi="方正小标宋简体" w:cs="方正小标宋简体"/>
          <w:sz w:val="32"/>
          <w:szCs w:val="32"/>
        </w:rPr>
      </w:pPr>
    </w:p>
    <w:p w:rsidR="00AF764D" w:rsidRDefault="00CC5BFE">
      <w:pPr>
        <w:rPr>
          <w:rFonts w:ascii="黑体" w:eastAsia="黑体" w:hAnsi="黑体"/>
          <w:sz w:val="32"/>
          <w:szCs w:val="32"/>
        </w:rPr>
      </w:pPr>
      <w:r>
        <w:rPr>
          <w:rFonts w:ascii="黑体" w:eastAsia="黑体" w:hAnsi="黑体" w:hint="eastAsia"/>
          <w:sz w:val="32"/>
          <w:szCs w:val="32"/>
        </w:rPr>
        <w:t>第一部分  概况</w:t>
      </w:r>
    </w:p>
    <w:p w:rsidR="00AF764D" w:rsidRDefault="00CC5BFE">
      <w:pPr>
        <w:ind w:firstLineChars="200" w:firstLine="640"/>
        <w:rPr>
          <w:rFonts w:ascii="楷体" w:eastAsia="楷体" w:hAnsi="楷体"/>
          <w:sz w:val="32"/>
          <w:szCs w:val="32"/>
        </w:rPr>
      </w:pPr>
      <w:r>
        <w:rPr>
          <w:rFonts w:ascii="楷体" w:eastAsia="楷体" w:hAnsi="楷体" w:hint="eastAsia"/>
          <w:sz w:val="32"/>
          <w:szCs w:val="32"/>
        </w:rPr>
        <w:t>一、本部门职责</w:t>
      </w:r>
    </w:p>
    <w:p w:rsidR="00AF764D" w:rsidRDefault="00CC5BFE">
      <w:pPr>
        <w:ind w:firstLineChars="200" w:firstLine="640"/>
        <w:rPr>
          <w:rFonts w:ascii="仿宋_GB2312" w:eastAsia="仿宋_GB2312"/>
          <w:sz w:val="32"/>
          <w:szCs w:val="32"/>
        </w:rPr>
      </w:pPr>
      <w:r>
        <w:rPr>
          <w:rFonts w:ascii="仿宋_GB2312" w:eastAsia="仿宋_GB2312" w:hint="eastAsia"/>
          <w:sz w:val="32"/>
          <w:szCs w:val="32"/>
        </w:rPr>
        <w:t>1．为古生物的保护提供保障。</w:t>
      </w:r>
      <w:r>
        <w:rPr>
          <w:rFonts w:ascii="仿宋_GB2312" w:eastAsia="仿宋_GB2312" w:hint="eastAsia"/>
          <w:sz w:val="32"/>
          <w:szCs w:val="32"/>
        </w:rPr>
        <w:t> </w:t>
      </w:r>
    </w:p>
    <w:p w:rsidR="00AF764D" w:rsidRDefault="00CC5BFE">
      <w:pPr>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  </w:t>
      </w:r>
      <w:r>
        <w:rPr>
          <w:rFonts w:ascii="仿宋_GB2312" w:eastAsia="仿宋_GB2312" w:hint="eastAsia"/>
          <w:sz w:val="32"/>
          <w:szCs w:val="32"/>
        </w:rPr>
        <w:t>加强对古生物遗迹及自然生态的保护</w:t>
      </w:r>
      <w:r>
        <w:rPr>
          <w:rFonts w:ascii="仿宋_GB2312" w:eastAsia="仿宋_GB2312" w:hint="eastAsia"/>
          <w:sz w:val="32"/>
          <w:szCs w:val="32"/>
        </w:rPr>
        <w:t> </w:t>
      </w:r>
    </w:p>
    <w:p w:rsidR="00AF764D" w:rsidRDefault="00CC5BFE">
      <w:pPr>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  </w:t>
      </w:r>
      <w:r>
        <w:rPr>
          <w:rFonts w:ascii="仿宋_GB2312" w:eastAsia="仿宋_GB2312" w:hint="eastAsia"/>
          <w:sz w:val="32"/>
          <w:szCs w:val="32"/>
        </w:rPr>
        <w:t>促进科学研究及科普教育工作</w:t>
      </w:r>
      <w:r>
        <w:rPr>
          <w:rFonts w:ascii="仿宋_GB2312" w:eastAsia="仿宋_GB2312" w:hint="eastAsia"/>
          <w:sz w:val="32"/>
          <w:szCs w:val="32"/>
        </w:rPr>
        <w:t> </w:t>
      </w:r>
    </w:p>
    <w:p w:rsidR="00AF764D" w:rsidRDefault="00CC5BFE">
      <w:pPr>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  </w:t>
      </w:r>
      <w:r>
        <w:rPr>
          <w:rFonts w:ascii="仿宋_GB2312" w:eastAsia="仿宋_GB2312" w:hint="eastAsia"/>
          <w:sz w:val="32"/>
          <w:szCs w:val="32"/>
        </w:rPr>
        <w:t>对保护区内的木化石标本和人文景观以及地质地貌遗产进行安全保护</w:t>
      </w:r>
    </w:p>
    <w:p w:rsidR="00AF764D" w:rsidRDefault="00CC5BFE">
      <w:pPr>
        <w:ind w:firstLineChars="200" w:firstLine="640"/>
        <w:rPr>
          <w:rFonts w:ascii="楷体" w:eastAsia="楷体" w:hAnsi="楷体"/>
          <w:sz w:val="32"/>
          <w:szCs w:val="32"/>
        </w:rPr>
      </w:pPr>
      <w:r>
        <w:rPr>
          <w:rFonts w:ascii="楷体" w:eastAsia="楷体" w:hAnsi="楷体" w:hint="eastAsia"/>
          <w:sz w:val="32"/>
          <w:szCs w:val="32"/>
        </w:rPr>
        <w:t>二、机构设置情况</w:t>
      </w:r>
    </w:p>
    <w:p w:rsidR="00AF764D" w:rsidRDefault="00CC5BFE">
      <w:pPr>
        <w:ind w:firstLineChars="200" w:firstLine="640"/>
        <w:rPr>
          <w:rFonts w:ascii="仿宋_GB2312" w:eastAsia="仿宋_GB2312"/>
          <w:sz w:val="32"/>
          <w:szCs w:val="32"/>
        </w:rPr>
      </w:pPr>
      <w:r>
        <w:rPr>
          <w:rFonts w:ascii="仿宋_GB2312" w:eastAsia="仿宋_GB2312" w:hint="eastAsia"/>
          <w:sz w:val="32"/>
          <w:szCs w:val="32"/>
        </w:rPr>
        <w:t>仙翁山木化石研发管理处，我处共有各类编制12人，事业编制12人，在职10人，退休1人， 内设四个科室，分为综合办公室、开发科、研发科、安保科、其中主任1人、副主任1</w:t>
      </w:r>
      <w:r w:rsidR="00B614A6">
        <w:rPr>
          <w:rFonts w:ascii="仿宋_GB2312" w:eastAsia="仿宋_GB2312" w:hint="eastAsia"/>
          <w:sz w:val="32"/>
          <w:szCs w:val="32"/>
        </w:rPr>
        <w:t>人、</w:t>
      </w:r>
      <w:r>
        <w:rPr>
          <w:rFonts w:ascii="仿宋_GB2312" w:eastAsia="仿宋_GB2312" w:hint="eastAsia"/>
          <w:sz w:val="32"/>
          <w:szCs w:val="32"/>
        </w:rPr>
        <w:t>副科</w:t>
      </w:r>
      <w:r w:rsidR="00B614A6">
        <w:rPr>
          <w:rFonts w:ascii="仿宋_GB2312" w:eastAsia="仿宋_GB2312" w:hint="eastAsia"/>
          <w:sz w:val="32"/>
          <w:szCs w:val="32"/>
        </w:rPr>
        <w:t>4</w:t>
      </w:r>
      <w:r>
        <w:rPr>
          <w:rFonts w:ascii="仿宋_GB2312" w:eastAsia="仿宋_GB2312" w:hint="eastAsia"/>
          <w:sz w:val="32"/>
          <w:szCs w:val="32"/>
        </w:rPr>
        <w:t>人、科员</w:t>
      </w:r>
      <w:r w:rsidR="00B614A6">
        <w:rPr>
          <w:rFonts w:ascii="仿宋_GB2312" w:eastAsia="仿宋_GB2312" w:hint="eastAsia"/>
          <w:sz w:val="32"/>
          <w:szCs w:val="32"/>
        </w:rPr>
        <w:t>3</w:t>
      </w:r>
      <w:r>
        <w:rPr>
          <w:rFonts w:ascii="仿宋_GB2312" w:eastAsia="仿宋_GB2312" w:hint="eastAsia"/>
          <w:sz w:val="32"/>
          <w:szCs w:val="32"/>
        </w:rPr>
        <w:t>人、统计师1人。</w:t>
      </w:r>
    </w:p>
    <w:p w:rsidR="00AF764D" w:rsidRDefault="00CC5BFE">
      <w:pPr>
        <w:rPr>
          <w:rFonts w:ascii="黑体" w:eastAsia="黑体" w:hAnsi="黑体"/>
          <w:sz w:val="32"/>
          <w:szCs w:val="32"/>
        </w:rPr>
      </w:pPr>
      <w:r>
        <w:rPr>
          <w:rFonts w:ascii="黑体" w:eastAsia="黑体" w:hAnsi="黑体" w:hint="eastAsia"/>
          <w:sz w:val="32"/>
          <w:szCs w:val="32"/>
        </w:rPr>
        <w:t>第二部分  202</w:t>
      </w:r>
      <w:r w:rsidR="00B614A6">
        <w:rPr>
          <w:rFonts w:ascii="黑体" w:eastAsia="黑体" w:hAnsi="黑体" w:hint="eastAsia"/>
          <w:sz w:val="32"/>
          <w:szCs w:val="32"/>
        </w:rPr>
        <w:t>1</w:t>
      </w:r>
      <w:r>
        <w:rPr>
          <w:rFonts w:ascii="黑体" w:eastAsia="黑体" w:hAnsi="黑体" w:hint="eastAsia"/>
          <w:sz w:val="32"/>
          <w:szCs w:val="32"/>
        </w:rPr>
        <w:t>年度部门预算情况说明</w:t>
      </w:r>
    </w:p>
    <w:p w:rsidR="00AF764D" w:rsidRDefault="00CC5BFE">
      <w:pPr>
        <w:ind w:firstLine="636"/>
        <w:rPr>
          <w:rFonts w:ascii="楷体" w:eastAsia="楷体" w:hAnsi="楷体"/>
          <w:sz w:val="32"/>
          <w:szCs w:val="32"/>
        </w:rPr>
      </w:pPr>
      <w:r>
        <w:rPr>
          <w:rFonts w:ascii="楷体" w:eastAsia="楷体" w:hAnsi="楷体" w:hint="eastAsia"/>
          <w:sz w:val="32"/>
          <w:szCs w:val="32"/>
        </w:rPr>
        <w:t>一、202</w:t>
      </w:r>
      <w:r w:rsidR="00B614A6">
        <w:rPr>
          <w:rFonts w:ascii="楷体" w:eastAsia="楷体" w:hAnsi="楷体" w:hint="eastAsia"/>
          <w:sz w:val="32"/>
          <w:szCs w:val="32"/>
        </w:rPr>
        <w:t>1</w:t>
      </w:r>
      <w:r>
        <w:rPr>
          <w:rFonts w:ascii="楷体" w:eastAsia="楷体" w:hAnsi="楷体" w:hint="eastAsia"/>
          <w:sz w:val="32"/>
          <w:szCs w:val="32"/>
        </w:rPr>
        <w:t>年度部门预算数据变动情况及原因</w:t>
      </w:r>
    </w:p>
    <w:p w:rsidR="00AF764D" w:rsidRDefault="00CC5BFE">
      <w:pPr>
        <w:widowControl/>
        <w:shd w:val="clear" w:color="auto" w:fill="FFFFFF"/>
        <w:spacing w:line="403" w:lineRule="atLeast"/>
        <w:ind w:firstLine="640"/>
        <w:rPr>
          <w:rFonts w:ascii="仿宋" w:eastAsia="仿宋" w:hAnsi="仿宋" w:cs="仿宋"/>
          <w:kern w:val="0"/>
          <w:sz w:val="32"/>
          <w:szCs w:val="32"/>
        </w:rPr>
      </w:pPr>
      <w:r>
        <w:rPr>
          <w:rFonts w:ascii="仿宋" w:eastAsia="仿宋" w:hAnsi="仿宋" w:cs="仿宋" w:hint="eastAsia"/>
          <w:kern w:val="0"/>
          <w:sz w:val="32"/>
          <w:szCs w:val="32"/>
        </w:rPr>
        <w:t>202</w:t>
      </w:r>
      <w:r w:rsidR="00B614A6">
        <w:rPr>
          <w:rFonts w:ascii="仿宋" w:eastAsia="仿宋" w:hAnsi="仿宋" w:cs="仿宋" w:hint="eastAsia"/>
          <w:kern w:val="0"/>
          <w:sz w:val="32"/>
          <w:szCs w:val="32"/>
        </w:rPr>
        <w:t>1</w:t>
      </w:r>
      <w:r>
        <w:rPr>
          <w:rFonts w:ascii="仿宋" w:eastAsia="仿宋" w:hAnsi="仿宋" w:cs="仿宋" w:hint="eastAsia"/>
          <w:kern w:val="0"/>
          <w:sz w:val="32"/>
          <w:szCs w:val="32"/>
        </w:rPr>
        <w:t>年度收入预算</w:t>
      </w:r>
      <w:r w:rsidR="00F756D6">
        <w:rPr>
          <w:rFonts w:ascii="仿宋" w:eastAsia="仿宋" w:hAnsi="仿宋" w:cs="仿宋" w:hint="eastAsia"/>
          <w:kern w:val="0"/>
          <w:sz w:val="32"/>
          <w:szCs w:val="32"/>
        </w:rPr>
        <w:t>166.41</w:t>
      </w:r>
      <w:r>
        <w:rPr>
          <w:rFonts w:ascii="仿宋" w:eastAsia="仿宋" w:hAnsi="仿宋" w:cs="仿宋" w:hint="eastAsia"/>
          <w:kern w:val="0"/>
          <w:sz w:val="32"/>
          <w:szCs w:val="32"/>
        </w:rPr>
        <w:t>万元，比20</w:t>
      </w:r>
      <w:r w:rsidR="00B614A6">
        <w:rPr>
          <w:rFonts w:ascii="仿宋" w:eastAsia="仿宋" w:hAnsi="仿宋" w:cs="仿宋" w:hint="eastAsia"/>
          <w:kern w:val="0"/>
          <w:sz w:val="32"/>
          <w:szCs w:val="32"/>
        </w:rPr>
        <w:t>20</w:t>
      </w:r>
      <w:r>
        <w:rPr>
          <w:rFonts w:ascii="仿宋" w:eastAsia="仿宋" w:hAnsi="仿宋" w:cs="仿宋" w:hint="eastAsia"/>
          <w:kern w:val="0"/>
          <w:sz w:val="32"/>
          <w:szCs w:val="32"/>
        </w:rPr>
        <w:t>年</w:t>
      </w:r>
      <w:r w:rsidR="00F756D6">
        <w:rPr>
          <w:rFonts w:ascii="仿宋" w:eastAsia="仿宋" w:hAnsi="仿宋" w:cs="仿宋" w:hint="eastAsia"/>
          <w:kern w:val="0"/>
          <w:sz w:val="32"/>
          <w:szCs w:val="32"/>
        </w:rPr>
        <w:t>增加</w:t>
      </w:r>
      <w:r w:rsidR="008B186E">
        <w:rPr>
          <w:rFonts w:ascii="仿宋" w:eastAsia="仿宋" w:hAnsi="仿宋" w:cs="仿宋" w:hint="eastAsia"/>
          <w:kern w:val="0"/>
          <w:sz w:val="32"/>
          <w:szCs w:val="32"/>
        </w:rPr>
        <w:t>29.48</w:t>
      </w:r>
      <w:r>
        <w:rPr>
          <w:rFonts w:ascii="仿宋" w:eastAsia="仿宋" w:hAnsi="仿宋" w:cs="仿宋" w:hint="eastAsia"/>
          <w:kern w:val="0"/>
          <w:sz w:val="32"/>
          <w:szCs w:val="32"/>
        </w:rPr>
        <w:t>万元;主要原因：</w:t>
      </w:r>
      <w:r w:rsidR="008B186E">
        <w:rPr>
          <w:rFonts w:ascii="仿宋" w:eastAsia="仿宋" w:hAnsi="仿宋" w:cs="仿宋" w:hint="eastAsia"/>
          <w:kern w:val="0"/>
          <w:sz w:val="32"/>
          <w:szCs w:val="32"/>
        </w:rPr>
        <w:t>金山银山节工程欠款</w:t>
      </w:r>
      <w:r>
        <w:rPr>
          <w:rFonts w:ascii="仿宋" w:eastAsia="仿宋" w:hAnsi="仿宋" w:cs="仿宋" w:hint="eastAsia"/>
          <w:kern w:val="0"/>
          <w:sz w:val="32"/>
          <w:szCs w:val="32"/>
        </w:rPr>
        <w:t>。</w:t>
      </w:r>
    </w:p>
    <w:p w:rsidR="00AF764D" w:rsidRDefault="00AF764D">
      <w:pPr>
        <w:widowControl/>
        <w:shd w:val="clear" w:color="auto" w:fill="FFFFFF"/>
        <w:spacing w:line="640" w:lineRule="exact"/>
        <w:ind w:firstLineChars="200" w:firstLine="640"/>
        <w:jc w:val="left"/>
        <w:rPr>
          <w:rFonts w:ascii="楷体_GB2312" w:eastAsia="楷体_GB2312" w:hAnsi="宋体" w:cs="宋体"/>
          <w:kern w:val="0"/>
          <w:sz w:val="32"/>
          <w:szCs w:val="32"/>
        </w:rPr>
      </w:pPr>
    </w:p>
    <w:p w:rsidR="00AF764D" w:rsidRDefault="00CC5BFE">
      <w:pPr>
        <w:pStyle w:val="a5"/>
        <w:widowControl/>
        <w:shd w:val="clear" w:color="auto" w:fill="FFFFFF"/>
        <w:spacing w:beforeAutospacing="0" w:afterAutospacing="0" w:line="403" w:lineRule="atLeast"/>
        <w:ind w:firstLineChars="200" w:firstLine="640"/>
        <w:jc w:val="both"/>
        <w:rPr>
          <w:rFonts w:ascii="仿宋" w:eastAsia="仿宋" w:hAnsi="仿宋" w:cs="仿宋"/>
          <w:sz w:val="32"/>
          <w:szCs w:val="32"/>
        </w:rPr>
      </w:pPr>
      <w:r>
        <w:rPr>
          <w:rFonts w:ascii="仿宋" w:eastAsia="仿宋" w:hAnsi="仿宋" w:cs="仿宋" w:hint="eastAsia"/>
          <w:sz w:val="32"/>
          <w:szCs w:val="32"/>
        </w:rPr>
        <w:lastRenderedPageBreak/>
        <w:t>1．202</w:t>
      </w:r>
      <w:r w:rsidR="00B614A6">
        <w:rPr>
          <w:rFonts w:ascii="仿宋" w:eastAsia="仿宋" w:hAnsi="仿宋" w:cs="仿宋" w:hint="eastAsia"/>
          <w:sz w:val="32"/>
          <w:szCs w:val="32"/>
        </w:rPr>
        <w:t>1</w:t>
      </w:r>
      <w:r>
        <w:rPr>
          <w:rFonts w:ascii="仿宋" w:eastAsia="仿宋" w:hAnsi="仿宋" w:cs="仿宋" w:hint="eastAsia"/>
          <w:sz w:val="32"/>
          <w:szCs w:val="32"/>
        </w:rPr>
        <w:t>年基本支出</w:t>
      </w:r>
      <w:r w:rsidR="00F26A30">
        <w:rPr>
          <w:rFonts w:ascii="仿宋" w:eastAsia="仿宋" w:hAnsi="仿宋" w:cs="仿宋" w:hint="eastAsia"/>
          <w:sz w:val="32"/>
          <w:szCs w:val="32"/>
        </w:rPr>
        <w:t>109.63</w:t>
      </w:r>
      <w:r>
        <w:rPr>
          <w:rFonts w:ascii="仿宋" w:eastAsia="仿宋" w:hAnsi="仿宋" w:cs="仿宋" w:hint="eastAsia"/>
          <w:sz w:val="32"/>
          <w:szCs w:val="32"/>
        </w:rPr>
        <w:t>万元，比20</w:t>
      </w:r>
      <w:r w:rsidR="00B614A6">
        <w:rPr>
          <w:rFonts w:ascii="仿宋" w:eastAsia="仿宋" w:hAnsi="仿宋" w:cs="仿宋" w:hint="eastAsia"/>
          <w:sz w:val="32"/>
          <w:szCs w:val="32"/>
        </w:rPr>
        <w:t>20</w:t>
      </w:r>
      <w:r>
        <w:rPr>
          <w:rFonts w:ascii="仿宋" w:eastAsia="仿宋" w:hAnsi="仿宋" w:cs="仿宋" w:hint="eastAsia"/>
          <w:sz w:val="32"/>
          <w:szCs w:val="32"/>
        </w:rPr>
        <w:t>年</w:t>
      </w:r>
      <w:r w:rsidR="00F26A30">
        <w:rPr>
          <w:rFonts w:ascii="仿宋" w:eastAsia="仿宋" w:hAnsi="仿宋" w:cs="仿宋" w:hint="eastAsia"/>
          <w:sz w:val="32"/>
          <w:szCs w:val="32"/>
        </w:rPr>
        <w:t>增加8.98</w:t>
      </w:r>
      <w:r>
        <w:rPr>
          <w:rFonts w:ascii="仿宋" w:eastAsia="仿宋" w:hAnsi="仿宋" w:cs="仿宋" w:hint="eastAsia"/>
          <w:sz w:val="32"/>
          <w:szCs w:val="32"/>
        </w:rPr>
        <w:t>万元，其中：人员经费</w:t>
      </w:r>
      <w:r w:rsidR="00F26A30">
        <w:rPr>
          <w:rFonts w:ascii="仿宋" w:eastAsia="仿宋" w:hAnsi="仿宋" w:cs="仿宋" w:hint="eastAsia"/>
          <w:sz w:val="32"/>
          <w:szCs w:val="32"/>
        </w:rPr>
        <w:t>98.75</w:t>
      </w:r>
      <w:r>
        <w:rPr>
          <w:rFonts w:ascii="仿宋" w:eastAsia="仿宋" w:hAnsi="仿宋" w:cs="仿宋" w:hint="eastAsia"/>
          <w:sz w:val="32"/>
          <w:szCs w:val="32"/>
        </w:rPr>
        <w:t>万元，主要包括基本工资、津贴补贴、奖金、社保缴费、绩效工资、职业年金缴费、生活补助、医疗费、奖励金、采暖补贴；公用经费</w:t>
      </w:r>
      <w:r w:rsidR="00F26A30">
        <w:rPr>
          <w:rFonts w:ascii="仿宋" w:eastAsia="仿宋" w:hAnsi="仿宋" w:cs="仿宋" w:hint="eastAsia"/>
          <w:sz w:val="32"/>
          <w:szCs w:val="32"/>
        </w:rPr>
        <w:t>10.88</w:t>
      </w:r>
      <w:r>
        <w:rPr>
          <w:rFonts w:ascii="仿宋" w:eastAsia="仿宋" w:hAnsi="仿宋" w:cs="仿宋" w:hint="eastAsia"/>
          <w:sz w:val="32"/>
          <w:szCs w:val="32"/>
        </w:rPr>
        <w:t>万元，主要包括办公费、印刷费、手续费、水费、电费、邮电费、取暖费、差旅费、维修（护）费、会议费、培训费、公务接待费、劳务费、工会经费、福利费、公务用车运行维护费、其他交通费用、其他商品和服务支出等。</w:t>
      </w:r>
    </w:p>
    <w:p w:rsidR="00AF764D" w:rsidRDefault="00CC5BFE">
      <w:pPr>
        <w:pStyle w:val="a5"/>
        <w:widowControl/>
        <w:shd w:val="clear" w:color="auto" w:fill="FFFFFF"/>
        <w:spacing w:beforeAutospacing="0" w:afterAutospacing="0" w:line="403" w:lineRule="atLeast"/>
        <w:ind w:firstLineChars="200" w:firstLine="640"/>
        <w:jc w:val="both"/>
        <w:rPr>
          <w:rFonts w:ascii="楷体_GB2312" w:eastAsia="楷体_GB2312" w:hAnsi="宋体" w:cs="宋体"/>
          <w:sz w:val="32"/>
          <w:szCs w:val="32"/>
        </w:rPr>
      </w:pPr>
      <w:r>
        <w:rPr>
          <w:rFonts w:ascii="仿宋" w:eastAsia="仿宋" w:hAnsi="仿宋" w:cs="仿宋" w:hint="eastAsia"/>
          <w:sz w:val="32"/>
          <w:szCs w:val="32"/>
        </w:rPr>
        <w:t>2．202</w:t>
      </w:r>
      <w:r w:rsidR="008B186E">
        <w:rPr>
          <w:rFonts w:ascii="仿宋" w:eastAsia="仿宋" w:hAnsi="仿宋" w:cs="仿宋" w:hint="eastAsia"/>
          <w:sz w:val="32"/>
          <w:szCs w:val="32"/>
        </w:rPr>
        <w:t>1</w:t>
      </w:r>
      <w:r>
        <w:rPr>
          <w:rFonts w:ascii="仿宋" w:eastAsia="仿宋" w:hAnsi="仿宋" w:cs="仿宋" w:hint="eastAsia"/>
          <w:sz w:val="32"/>
          <w:szCs w:val="32"/>
        </w:rPr>
        <w:t>年项目支出</w:t>
      </w:r>
      <w:r w:rsidR="00F26A30">
        <w:rPr>
          <w:rFonts w:ascii="仿宋" w:eastAsia="仿宋" w:hAnsi="仿宋" w:cs="仿宋" w:hint="eastAsia"/>
          <w:sz w:val="32"/>
          <w:szCs w:val="32"/>
        </w:rPr>
        <w:t>33</w:t>
      </w:r>
      <w:r>
        <w:rPr>
          <w:rFonts w:ascii="仿宋" w:eastAsia="仿宋" w:hAnsi="仿宋" w:cs="仿宋" w:hint="eastAsia"/>
          <w:sz w:val="32"/>
          <w:szCs w:val="32"/>
        </w:rPr>
        <w:t>.3万元，项目支出主要用于木化石景区看护人员工资、电费、维修费、景区用地补偿款等。</w:t>
      </w:r>
    </w:p>
    <w:p w:rsidR="00AF764D" w:rsidRDefault="00CC5BFE">
      <w:pPr>
        <w:ind w:firstLine="636"/>
        <w:rPr>
          <w:rFonts w:ascii="楷体" w:eastAsia="楷体" w:hAnsi="楷体"/>
          <w:sz w:val="32"/>
          <w:szCs w:val="32"/>
        </w:rPr>
      </w:pPr>
      <w:r>
        <w:rPr>
          <w:rFonts w:ascii="楷体" w:eastAsia="楷体" w:hAnsi="楷体" w:hint="eastAsia"/>
          <w:sz w:val="32"/>
          <w:szCs w:val="32"/>
        </w:rPr>
        <w:t>二、“三公”经费增减变动原因说明</w:t>
      </w:r>
    </w:p>
    <w:p w:rsidR="00AF764D" w:rsidRDefault="00CC5BFE" w:rsidP="00B614A6">
      <w:pPr>
        <w:spacing w:line="640" w:lineRule="exact"/>
        <w:ind w:firstLineChars="203" w:firstLine="650"/>
        <w:rPr>
          <w:rFonts w:ascii="仿宋" w:eastAsia="仿宋" w:hAnsi="仿宋" w:cs="仿宋"/>
          <w:kern w:val="0"/>
          <w:sz w:val="32"/>
          <w:szCs w:val="32"/>
        </w:rPr>
      </w:pPr>
      <w:r>
        <w:rPr>
          <w:rFonts w:ascii="仿宋" w:eastAsia="仿宋" w:hAnsi="仿宋" w:cs="仿宋" w:hint="eastAsia"/>
          <w:sz w:val="32"/>
          <w:szCs w:val="32"/>
        </w:rPr>
        <w:t>“</w:t>
      </w:r>
      <w:r>
        <w:rPr>
          <w:rFonts w:ascii="仿宋" w:eastAsia="仿宋" w:hAnsi="仿宋" w:cs="仿宋" w:hint="eastAsia"/>
          <w:kern w:val="0"/>
          <w:sz w:val="32"/>
          <w:szCs w:val="32"/>
        </w:rPr>
        <w:t>三公”经费支出将按照厉行结余的原则，统筹兼顾，合理安排，严格执行标准制度，提高经费的使用效益。202</w:t>
      </w:r>
      <w:r w:rsidR="00F26A30">
        <w:rPr>
          <w:rFonts w:ascii="仿宋" w:eastAsia="仿宋" w:hAnsi="仿宋" w:cs="仿宋" w:hint="eastAsia"/>
          <w:kern w:val="0"/>
          <w:sz w:val="32"/>
          <w:szCs w:val="32"/>
        </w:rPr>
        <w:t>1</w:t>
      </w:r>
      <w:r>
        <w:rPr>
          <w:rFonts w:ascii="仿宋" w:eastAsia="仿宋" w:hAnsi="仿宋" w:cs="仿宋" w:hint="eastAsia"/>
          <w:kern w:val="0"/>
          <w:sz w:val="32"/>
          <w:szCs w:val="32"/>
        </w:rPr>
        <w:t>年“三公”经费预算收入共计0万元，减少0万元。其中公务接待费0万元，比20</w:t>
      </w:r>
      <w:r w:rsidR="00F26A30">
        <w:rPr>
          <w:rFonts w:ascii="仿宋" w:eastAsia="仿宋" w:hAnsi="仿宋" w:cs="仿宋" w:hint="eastAsia"/>
          <w:kern w:val="0"/>
          <w:sz w:val="32"/>
          <w:szCs w:val="32"/>
        </w:rPr>
        <w:t>20</w:t>
      </w:r>
      <w:r>
        <w:rPr>
          <w:rFonts w:ascii="仿宋" w:eastAsia="仿宋" w:hAnsi="仿宋" w:cs="仿宋" w:hint="eastAsia"/>
          <w:kern w:val="0"/>
          <w:sz w:val="32"/>
          <w:szCs w:val="32"/>
        </w:rPr>
        <w:t>年减少0万元，减少0%。公务用车运行维护费0万元，比20</w:t>
      </w:r>
      <w:r w:rsidR="00F26A30">
        <w:rPr>
          <w:rFonts w:ascii="仿宋" w:eastAsia="仿宋" w:hAnsi="仿宋" w:cs="仿宋" w:hint="eastAsia"/>
          <w:kern w:val="0"/>
          <w:sz w:val="32"/>
          <w:szCs w:val="32"/>
        </w:rPr>
        <w:t>20</w:t>
      </w:r>
      <w:r>
        <w:rPr>
          <w:rFonts w:ascii="仿宋" w:eastAsia="仿宋" w:hAnsi="仿宋" w:cs="仿宋" w:hint="eastAsia"/>
          <w:kern w:val="0"/>
          <w:sz w:val="32"/>
          <w:szCs w:val="32"/>
        </w:rPr>
        <w:t>年减少0万元，减少0%，主要原因是认真贯彻落实中央八项规定精神和厉行节约要求，进一步从严控制“三公”经费开支。</w:t>
      </w:r>
    </w:p>
    <w:p w:rsidR="00AF764D" w:rsidRDefault="00CC5BFE">
      <w:pPr>
        <w:ind w:firstLine="636"/>
        <w:rPr>
          <w:rFonts w:ascii="楷体" w:eastAsia="楷体" w:hAnsi="楷体"/>
          <w:sz w:val="32"/>
          <w:szCs w:val="32"/>
        </w:rPr>
      </w:pPr>
      <w:r>
        <w:rPr>
          <w:rFonts w:ascii="楷体" w:eastAsia="楷体" w:hAnsi="楷体" w:hint="eastAsia"/>
          <w:sz w:val="32"/>
          <w:szCs w:val="32"/>
        </w:rPr>
        <w:t>三、机关运行经费增减变动原因说明</w:t>
      </w:r>
    </w:p>
    <w:p w:rsidR="00AF764D" w:rsidRDefault="00CC5BFE">
      <w:pPr>
        <w:widowControl/>
        <w:shd w:val="clear" w:color="auto" w:fill="FFFFFF"/>
        <w:spacing w:line="6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长治市仙翁山木化石研发管理处机关运行经费财政拨款预算</w:t>
      </w:r>
      <w:r w:rsidR="003E1F71">
        <w:rPr>
          <w:rFonts w:ascii="仿宋" w:eastAsia="仿宋" w:hAnsi="仿宋" w:cs="仿宋" w:hint="eastAsia"/>
          <w:color w:val="222222"/>
          <w:kern w:val="0"/>
          <w:sz w:val="32"/>
          <w:szCs w:val="32"/>
          <w:shd w:val="clear" w:color="auto" w:fill="FFFFFF"/>
        </w:rPr>
        <w:t>8.55</w:t>
      </w:r>
      <w:r>
        <w:rPr>
          <w:rFonts w:ascii="仿宋" w:eastAsia="仿宋" w:hAnsi="仿宋" w:cs="仿宋" w:hint="eastAsia"/>
          <w:kern w:val="0"/>
          <w:sz w:val="32"/>
          <w:szCs w:val="32"/>
        </w:rPr>
        <w:t>万元，比20</w:t>
      </w:r>
      <w:r w:rsidR="00B614A6">
        <w:rPr>
          <w:rFonts w:ascii="仿宋" w:eastAsia="仿宋" w:hAnsi="仿宋" w:cs="仿宋" w:hint="eastAsia"/>
          <w:kern w:val="0"/>
          <w:sz w:val="32"/>
          <w:szCs w:val="32"/>
        </w:rPr>
        <w:t>20</w:t>
      </w:r>
      <w:r>
        <w:rPr>
          <w:rFonts w:ascii="仿宋" w:eastAsia="仿宋" w:hAnsi="仿宋" w:cs="仿宋" w:hint="eastAsia"/>
          <w:kern w:val="0"/>
          <w:sz w:val="32"/>
          <w:szCs w:val="32"/>
        </w:rPr>
        <w:t>年预算</w:t>
      </w:r>
      <w:r w:rsidR="003E1F71">
        <w:rPr>
          <w:rFonts w:ascii="仿宋" w:eastAsia="仿宋" w:hAnsi="仿宋" w:cs="仿宋" w:hint="eastAsia"/>
          <w:kern w:val="0"/>
          <w:sz w:val="32"/>
          <w:szCs w:val="32"/>
        </w:rPr>
        <w:t>增加0.27</w:t>
      </w:r>
      <w:r>
        <w:rPr>
          <w:rFonts w:ascii="仿宋" w:eastAsia="仿宋" w:hAnsi="仿宋" w:cs="仿宋" w:hint="eastAsia"/>
          <w:kern w:val="0"/>
          <w:sz w:val="32"/>
          <w:szCs w:val="32"/>
        </w:rPr>
        <w:t>万元，</w:t>
      </w:r>
      <w:r w:rsidR="003E1F71">
        <w:rPr>
          <w:rFonts w:ascii="仿宋" w:eastAsia="仿宋" w:hAnsi="仿宋" w:cs="仿宋" w:hint="eastAsia"/>
          <w:kern w:val="0"/>
          <w:sz w:val="32"/>
          <w:szCs w:val="32"/>
        </w:rPr>
        <w:t>增加0.97</w:t>
      </w:r>
      <w:r>
        <w:rPr>
          <w:rFonts w:ascii="仿宋" w:eastAsia="仿宋" w:hAnsi="仿宋" w:cs="仿宋" w:hint="eastAsia"/>
          <w:kern w:val="0"/>
          <w:sz w:val="32"/>
          <w:szCs w:val="32"/>
        </w:rPr>
        <w:t>%，主要是</w:t>
      </w:r>
      <w:r w:rsidR="003E1F71">
        <w:rPr>
          <w:rFonts w:ascii="仿宋" w:eastAsia="仿宋" w:hAnsi="仿宋" w:cs="仿宋" w:hint="eastAsia"/>
          <w:kern w:val="0"/>
          <w:sz w:val="32"/>
          <w:szCs w:val="32"/>
        </w:rPr>
        <w:t>工作调动调入2</w:t>
      </w:r>
      <w:r>
        <w:rPr>
          <w:rFonts w:ascii="仿宋" w:eastAsia="仿宋" w:hAnsi="仿宋" w:cs="仿宋" w:hint="eastAsia"/>
          <w:kern w:val="0"/>
          <w:sz w:val="32"/>
          <w:szCs w:val="32"/>
        </w:rPr>
        <w:t>人，经费</w:t>
      </w:r>
      <w:r w:rsidR="003E1F71">
        <w:rPr>
          <w:rFonts w:ascii="仿宋" w:eastAsia="仿宋" w:hAnsi="仿宋" w:cs="仿宋" w:hint="eastAsia"/>
          <w:kern w:val="0"/>
          <w:sz w:val="32"/>
          <w:szCs w:val="32"/>
        </w:rPr>
        <w:t>增加</w:t>
      </w:r>
      <w:r>
        <w:rPr>
          <w:rFonts w:ascii="仿宋" w:eastAsia="仿宋" w:hAnsi="仿宋" w:cs="仿宋" w:hint="eastAsia"/>
          <w:kern w:val="0"/>
          <w:sz w:val="32"/>
          <w:szCs w:val="32"/>
        </w:rPr>
        <w:t>。</w:t>
      </w:r>
    </w:p>
    <w:p w:rsidR="00AF764D" w:rsidRDefault="00CC5BFE">
      <w:pPr>
        <w:ind w:firstLine="636"/>
        <w:rPr>
          <w:rFonts w:ascii="楷体" w:eastAsia="楷体" w:hAnsi="楷体"/>
          <w:sz w:val="32"/>
          <w:szCs w:val="32"/>
        </w:rPr>
      </w:pPr>
      <w:r>
        <w:rPr>
          <w:rFonts w:ascii="楷体" w:eastAsia="楷体" w:hAnsi="楷体" w:hint="eastAsia"/>
          <w:sz w:val="32"/>
          <w:szCs w:val="32"/>
        </w:rPr>
        <w:lastRenderedPageBreak/>
        <w:t>四、其他说明</w:t>
      </w:r>
    </w:p>
    <w:p w:rsidR="00AF764D" w:rsidRDefault="00CC5BFE">
      <w:pPr>
        <w:ind w:firstLine="636"/>
        <w:rPr>
          <w:rFonts w:ascii="仿宋" w:eastAsia="仿宋" w:hAnsi="仿宋" w:cs="仿宋"/>
          <w:sz w:val="32"/>
          <w:szCs w:val="32"/>
        </w:rPr>
      </w:pPr>
      <w:r>
        <w:rPr>
          <w:rFonts w:ascii="仿宋" w:eastAsia="仿宋" w:hAnsi="仿宋" w:cs="仿宋" w:hint="eastAsia"/>
          <w:sz w:val="32"/>
          <w:szCs w:val="32"/>
        </w:rPr>
        <w:t>（一）政府采购情况</w:t>
      </w:r>
    </w:p>
    <w:p w:rsidR="00AF764D" w:rsidRDefault="00CC5BFE">
      <w:pPr>
        <w:widowControl/>
        <w:shd w:val="clear" w:color="auto" w:fill="FFFFFF"/>
        <w:spacing w:line="6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202</w:t>
      </w:r>
      <w:r w:rsidR="00B614A6">
        <w:rPr>
          <w:rFonts w:ascii="仿宋" w:eastAsia="仿宋" w:hAnsi="仿宋" w:cs="仿宋" w:hint="eastAsia"/>
          <w:kern w:val="0"/>
          <w:sz w:val="32"/>
          <w:szCs w:val="32"/>
        </w:rPr>
        <w:t>1</w:t>
      </w:r>
      <w:r>
        <w:rPr>
          <w:rFonts w:ascii="仿宋" w:eastAsia="仿宋" w:hAnsi="仿宋" w:cs="仿宋" w:hint="eastAsia"/>
          <w:kern w:val="0"/>
          <w:sz w:val="32"/>
          <w:szCs w:val="32"/>
        </w:rPr>
        <w:t>年长治市仙翁山木化石研发管理处政府采购预算总额</w:t>
      </w:r>
      <w:r w:rsidR="003E1F71">
        <w:rPr>
          <w:rFonts w:ascii="仿宋" w:eastAsia="仿宋" w:hAnsi="仿宋" w:cs="仿宋" w:hint="eastAsia"/>
          <w:kern w:val="0"/>
          <w:sz w:val="32"/>
          <w:szCs w:val="32"/>
        </w:rPr>
        <w:t>1</w:t>
      </w:r>
      <w:r>
        <w:rPr>
          <w:rFonts w:ascii="仿宋" w:eastAsia="仿宋" w:hAnsi="仿宋" w:cs="仿宋" w:hint="eastAsia"/>
          <w:kern w:val="0"/>
          <w:sz w:val="32"/>
          <w:szCs w:val="32"/>
        </w:rPr>
        <w:t>万元，其中：政府采购货物预算</w:t>
      </w:r>
      <w:r w:rsidR="003E1F71">
        <w:rPr>
          <w:rFonts w:ascii="仿宋" w:eastAsia="仿宋" w:hAnsi="仿宋" w:cs="仿宋" w:hint="eastAsia"/>
          <w:kern w:val="0"/>
          <w:sz w:val="32"/>
          <w:szCs w:val="32"/>
        </w:rPr>
        <w:t>1</w:t>
      </w:r>
      <w:r>
        <w:rPr>
          <w:rFonts w:ascii="仿宋" w:eastAsia="仿宋" w:hAnsi="仿宋" w:cs="仿宋" w:hint="eastAsia"/>
          <w:kern w:val="0"/>
          <w:sz w:val="32"/>
          <w:szCs w:val="32"/>
        </w:rPr>
        <w:t>万元、政府采购服务预算0万元。</w:t>
      </w:r>
    </w:p>
    <w:p w:rsidR="00AF764D" w:rsidRDefault="00CC5BFE">
      <w:pPr>
        <w:numPr>
          <w:ilvl w:val="0"/>
          <w:numId w:val="2"/>
        </w:numPr>
        <w:ind w:firstLine="636"/>
        <w:rPr>
          <w:rFonts w:ascii="仿宋" w:eastAsia="仿宋" w:hAnsi="仿宋" w:cs="仿宋"/>
          <w:sz w:val="32"/>
          <w:szCs w:val="32"/>
        </w:rPr>
      </w:pPr>
      <w:r>
        <w:rPr>
          <w:rFonts w:ascii="仿宋" w:eastAsia="仿宋" w:hAnsi="仿宋" w:cs="仿宋" w:hint="eastAsia"/>
          <w:sz w:val="32"/>
          <w:szCs w:val="32"/>
        </w:rPr>
        <w:t>政府购买服务指导性目录</w:t>
      </w:r>
    </w:p>
    <w:p w:rsidR="00AF764D" w:rsidRDefault="00CC5BFE">
      <w:pPr>
        <w:ind w:firstLineChars="200" w:firstLine="640"/>
        <w:rPr>
          <w:rFonts w:ascii="仿宋" w:eastAsia="仿宋" w:hAnsi="仿宋" w:cs="仿宋"/>
          <w:sz w:val="32"/>
          <w:szCs w:val="32"/>
        </w:rPr>
      </w:pPr>
      <w:bookmarkStart w:id="0" w:name="_GoBack"/>
      <w:bookmarkEnd w:id="0"/>
      <w:r>
        <w:rPr>
          <w:rFonts w:ascii="仿宋" w:eastAsia="仿宋" w:hAnsi="仿宋" w:cs="仿宋" w:hint="eastAsia"/>
          <w:sz w:val="32"/>
          <w:szCs w:val="32"/>
        </w:rPr>
        <w:t>我单位不涉及此项业务。</w:t>
      </w:r>
    </w:p>
    <w:p w:rsidR="00AF764D" w:rsidRDefault="00CC5BFE">
      <w:pPr>
        <w:ind w:firstLine="636"/>
        <w:rPr>
          <w:rFonts w:ascii="仿宋" w:eastAsia="仿宋" w:hAnsi="仿宋" w:cs="仿宋"/>
          <w:sz w:val="32"/>
          <w:szCs w:val="32"/>
        </w:rPr>
      </w:pPr>
      <w:r>
        <w:rPr>
          <w:rFonts w:ascii="仿宋" w:eastAsia="仿宋" w:hAnsi="仿宋" w:cs="仿宋" w:hint="eastAsia"/>
          <w:sz w:val="32"/>
          <w:szCs w:val="32"/>
        </w:rPr>
        <w:t>（三）国有资产占有使用情况</w:t>
      </w:r>
    </w:p>
    <w:p w:rsidR="00AF764D" w:rsidRDefault="00CC5BFE">
      <w:pPr>
        <w:widowControl/>
        <w:shd w:val="clear" w:color="auto" w:fill="FFFFFF"/>
        <w:spacing w:line="6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1.车辆情况：截止20</w:t>
      </w:r>
      <w:r w:rsidR="00B614A6">
        <w:rPr>
          <w:rFonts w:ascii="仿宋" w:eastAsia="仿宋" w:hAnsi="仿宋" w:cs="仿宋" w:hint="eastAsia"/>
          <w:kern w:val="0"/>
          <w:sz w:val="32"/>
          <w:szCs w:val="32"/>
        </w:rPr>
        <w:t>20</w:t>
      </w:r>
      <w:r>
        <w:rPr>
          <w:rFonts w:ascii="仿宋" w:eastAsia="仿宋" w:hAnsi="仿宋" w:cs="仿宋" w:hint="eastAsia"/>
          <w:kern w:val="0"/>
          <w:sz w:val="32"/>
          <w:szCs w:val="32"/>
        </w:rPr>
        <w:t>年12月，共0辆公务用车。</w:t>
      </w:r>
    </w:p>
    <w:p w:rsidR="00AF764D" w:rsidRDefault="00CC5BFE">
      <w:pPr>
        <w:widowControl/>
        <w:shd w:val="clear" w:color="auto" w:fill="FFFFFF"/>
        <w:spacing w:line="6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2.房屋情况：办公用房106平方米，担负供暖面积106平方米。</w:t>
      </w:r>
    </w:p>
    <w:p w:rsidR="00AF764D" w:rsidRDefault="00CC5BFE">
      <w:pPr>
        <w:ind w:firstLine="636"/>
        <w:rPr>
          <w:rFonts w:ascii="仿宋" w:eastAsia="仿宋" w:hAnsi="仿宋" w:cs="仿宋"/>
          <w:sz w:val="32"/>
          <w:szCs w:val="32"/>
        </w:rPr>
      </w:pPr>
      <w:r>
        <w:rPr>
          <w:rFonts w:ascii="仿宋" w:eastAsia="仿宋" w:hAnsi="仿宋" w:cs="仿宋" w:hint="eastAsia"/>
          <w:sz w:val="32"/>
          <w:szCs w:val="32"/>
        </w:rPr>
        <w:t>（四）绩效管理情况</w:t>
      </w:r>
    </w:p>
    <w:p w:rsidR="00AF764D" w:rsidRDefault="00CC5BFE">
      <w:pPr>
        <w:ind w:firstLine="636"/>
        <w:rPr>
          <w:rFonts w:ascii="仿宋" w:eastAsia="仿宋" w:hAnsi="仿宋" w:cs="仿宋"/>
          <w:sz w:val="32"/>
          <w:szCs w:val="32"/>
        </w:rPr>
      </w:pPr>
      <w:r>
        <w:rPr>
          <w:rFonts w:ascii="仿宋" w:eastAsia="仿宋" w:hAnsi="仿宋" w:cs="仿宋" w:hint="eastAsia"/>
          <w:sz w:val="32"/>
          <w:szCs w:val="32"/>
        </w:rPr>
        <w:t>202</w:t>
      </w:r>
      <w:r w:rsidR="00B614A6">
        <w:rPr>
          <w:rFonts w:ascii="仿宋" w:eastAsia="仿宋" w:hAnsi="仿宋" w:cs="仿宋" w:hint="eastAsia"/>
          <w:sz w:val="32"/>
          <w:szCs w:val="32"/>
        </w:rPr>
        <w:t>1</w:t>
      </w:r>
      <w:r>
        <w:rPr>
          <w:rFonts w:ascii="仿宋" w:eastAsia="仿宋" w:hAnsi="仿宋" w:cs="仿宋" w:hint="eastAsia"/>
          <w:sz w:val="32"/>
          <w:szCs w:val="32"/>
        </w:rPr>
        <w:t>年</w:t>
      </w:r>
      <w:r>
        <w:rPr>
          <w:rFonts w:ascii="仿宋" w:eastAsia="仿宋" w:hAnsi="仿宋" w:cs="仿宋" w:hint="eastAsia"/>
          <w:kern w:val="0"/>
          <w:sz w:val="32"/>
          <w:szCs w:val="32"/>
        </w:rPr>
        <w:t>长治市仙翁山木化石研发管理处</w:t>
      </w:r>
      <w:r>
        <w:rPr>
          <w:rFonts w:ascii="仿宋" w:eastAsia="仿宋" w:hAnsi="仿宋" w:cs="仿宋" w:hint="eastAsia"/>
          <w:sz w:val="32"/>
          <w:szCs w:val="32"/>
        </w:rPr>
        <w:t>绩效目标管理公开项目0个，涉及一般公共预算当年拨款0万元。</w:t>
      </w:r>
    </w:p>
    <w:p w:rsidR="00AF764D" w:rsidRDefault="00CC5BFE">
      <w:pPr>
        <w:numPr>
          <w:ilvl w:val="0"/>
          <w:numId w:val="3"/>
        </w:numPr>
        <w:ind w:firstLine="636"/>
        <w:rPr>
          <w:rFonts w:ascii="仿宋" w:eastAsia="仿宋" w:hAnsi="仿宋" w:cs="仿宋"/>
          <w:sz w:val="32"/>
          <w:szCs w:val="32"/>
        </w:rPr>
      </w:pPr>
      <w:r>
        <w:rPr>
          <w:rFonts w:ascii="仿宋" w:eastAsia="仿宋" w:hAnsi="仿宋" w:cs="仿宋" w:hint="eastAsia"/>
          <w:sz w:val="32"/>
          <w:szCs w:val="32"/>
        </w:rPr>
        <w:t>非税收入和基金执收情况</w:t>
      </w:r>
    </w:p>
    <w:p w:rsidR="00AF764D" w:rsidRDefault="00CC5BFE">
      <w:pPr>
        <w:widowControl/>
        <w:shd w:val="clear" w:color="auto" w:fill="FFFFFF"/>
        <w:spacing w:line="64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202</w:t>
      </w:r>
      <w:r w:rsidR="00B614A6">
        <w:rPr>
          <w:rFonts w:ascii="仿宋" w:eastAsia="仿宋" w:hAnsi="仿宋" w:cs="仿宋" w:hint="eastAsia"/>
          <w:kern w:val="0"/>
          <w:sz w:val="32"/>
          <w:szCs w:val="32"/>
        </w:rPr>
        <w:t>1</w:t>
      </w:r>
      <w:r>
        <w:rPr>
          <w:rFonts w:ascii="仿宋" w:eastAsia="仿宋" w:hAnsi="仿宋" w:cs="仿宋" w:hint="eastAsia"/>
          <w:kern w:val="0"/>
          <w:sz w:val="32"/>
          <w:szCs w:val="32"/>
        </w:rPr>
        <w:t>年长治市仙翁山木化石研发管理处非税收入共计0万元。</w:t>
      </w:r>
    </w:p>
    <w:p w:rsidR="00AF764D" w:rsidRDefault="00CC5BFE">
      <w:pPr>
        <w:ind w:firstLineChars="200" w:firstLine="640"/>
        <w:rPr>
          <w:rFonts w:ascii="仿宋" w:eastAsia="仿宋" w:hAnsi="仿宋" w:cs="仿宋"/>
          <w:sz w:val="32"/>
          <w:szCs w:val="32"/>
        </w:rPr>
      </w:pPr>
      <w:r>
        <w:rPr>
          <w:rFonts w:ascii="仿宋" w:eastAsia="仿宋" w:hAnsi="仿宋" w:cs="仿宋" w:hint="eastAsia"/>
          <w:sz w:val="32"/>
          <w:szCs w:val="32"/>
        </w:rPr>
        <w:t>（六）其他</w:t>
      </w:r>
    </w:p>
    <w:p w:rsidR="00AF764D" w:rsidRDefault="00CC5BFE">
      <w:pPr>
        <w:rPr>
          <w:rFonts w:ascii="黑体" w:eastAsia="黑体" w:hAnsi="黑体"/>
          <w:sz w:val="32"/>
          <w:szCs w:val="32"/>
        </w:rPr>
      </w:pPr>
      <w:r>
        <w:rPr>
          <w:rFonts w:ascii="黑体" w:eastAsia="黑体" w:hAnsi="黑体" w:hint="eastAsia"/>
          <w:sz w:val="32"/>
          <w:szCs w:val="32"/>
        </w:rPr>
        <w:t>第三部分  名词解释</w:t>
      </w:r>
    </w:p>
    <w:p w:rsidR="00AF764D" w:rsidRDefault="00CC5BFE">
      <w:pPr>
        <w:autoSpaceDE w:val="0"/>
        <w:autoSpaceDN w:val="0"/>
        <w:adjustRightInd w:val="0"/>
        <w:ind w:firstLineChars="200" w:firstLine="640"/>
        <w:rPr>
          <w:rFonts w:ascii="仿宋" w:eastAsia="仿宋" w:hAnsi="仿宋" w:cs="仿宋"/>
          <w:sz w:val="32"/>
          <w:szCs w:val="32"/>
        </w:rPr>
      </w:pPr>
      <w:r>
        <w:rPr>
          <w:rFonts w:ascii="仿宋" w:eastAsia="仿宋" w:hAnsi="仿宋" w:cs="仿宋" w:hint="eastAsia"/>
          <w:sz w:val="32"/>
          <w:szCs w:val="32"/>
        </w:rPr>
        <w:t>（一）基本支出：指为保障机构正常运转、完成日常</w:t>
      </w:r>
    </w:p>
    <w:p w:rsidR="00AF764D" w:rsidRDefault="00CC5BFE">
      <w:pPr>
        <w:autoSpaceDE w:val="0"/>
        <w:autoSpaceDN w:val="0"/>
        <w:adjustRightInd w:val="0"/>
        <w:rPr>
          <w:rFonts w:ascii="仿宋" w:eastAsia="仿宋" w:hAnsi="仿宋" w:cs="仿宋"/>
          <w:sz w:val="32"/>
          <w:szCs w:val="32"/>
        </w:rPr>
      </w:pPr>
      <w:r>
        <w:rPr>
          <w:rFonts w:ascii="仿宋" w:eastAsia="仿宋" w:hAnsi="仿宋" w:cs="仿宋" w:hint="eastAsia"/>
          <w:sz w:val="32"/>
          <w:szCs w:val="32"/>
        </w:rPr>
        <w:t>工作任务而发生的人员支出和公用支出。</w:t>
      </w:r>
    </w:p>
    <w:p w:rsidR="00AF764D" w:rsidRDefault="00CC5BFE">
      <w:pPr>
        <w:autoSpaceDE w:val="0"/>
        <w:autoSpaceDN w:val="0"/>
        <w:adjustRightInd w:val="0"/>
        <w:ind w:firstLineChars="200" w:firstLine="640"/>
        <w:rPr>
          <w:rFonts w:ascii="仿宋" w:eastAsia="仿宋" w:hAnsi="仿宋" w:cs="仿宋"/>
          <w:sz w:val="32"/>
          <w:szCs w:val="32"/>
        </w:rPr>
      </w:pPr>
      <w:r>
        <w:rPr>
          <w:rFonts w:ascii="仿宋" w:eastAsia="仿宋" w:hAnsi="仿宋" w:cs="仿宋" w:hint="eastAsia"/>
          <w:sz w:val="32"/>
          <w:szCs w:val="32"/>
        </w:rPr>
        <w:t>（二）项目支出：指在基本支出之外为完成特定行政任</w:t>
      </w:r>
    </w:p>
    <w:p w:rsidR="00AF764D" w:rsidRDefault="00CC5BFE">
      <w:pPr>
        <w:rPr>
          <w:rFonts w:ascii="仿宋" w:eastAsia="仿宋" w:hAnsi="仿宋" w:cs="仿宋"/>
          <w:sz w:val="32"/>
          <w:szCs w:val="32"/>
        </w:rPr>
      </w:pPr>
      <w:r>
        <w:rPr>
          <w:rFonts w:ascii="仿宋" w:eastAsia="仿宋" w:hAnsi="仿宋" w:cs="仿宋" w:hint="eastAsia"/>
          <w:sz w:val="32"/>
          <w:szCs w:val="32"/>
        </w:rPr>
        <w:lastRenderedPageBreak/>
        <w:t>务和事业发展目标所发生的支出。</w:t>
      </w:r>
    </w:p>
    <w:p w:rsidR="00AF764D" w:rsidRDefault="00CC5BFE">
      <w:pPr>
        <w:autoSpaceDE w:val="0"/>
        <w:autoSpaceDN w:val="0"/>
        <w:adjustRightInd w:val="0"/>
        <w:ind w:firstLineChars="200" w:firstLine="640"/>
        <w:rPr>
          <w:rFonts w:ascii="仿宋" w:eastAsia="仿宋" w:hAnsi="仿宋" w:cs="仿宋"/>
          <w:sz w:val="32"/>
          <w:szCs w:val="32"/>
        </w:rPr>
      </w:pPr>
      <w:r>
        <w:rPr>
          <w:rFonts w:ascii="仿宋" w:eastAsia="仿宋" w:hAnsi="仿宋" w:cs="仿宋" w:hint="eastAsia"/>
          <w:sz w:val="32"/>
          <w:szCs w:val="32"/>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rsidR="00AF764D" w:rsidRDefault="00CC5BFE">
      <w:pPr>
        <w:autoSpaceDE w:val="0"/>
        <w:autoSpaceDN w:val="0"/>
        <w:adjustRightInd w:val="0"/>
        <w:ind w:firstLineChars="200" w:firstLine="640"/>
        <w:rPr>
          <w:rFonts w:ascii="仿宋" w:eastAsia="仿宋" w:hAnsi="仿宋" w:cs="仿宋"/>
          <w:sz w:val="32"/>
          <w:szCs w:val="32"/>
        </w:rPr>
      </w:pPr>
      <w:r>
        <w:rPr>
          <w:rFonts w:ascii="仿宋" w:eastAsia="仿宋" w:hAnsi="仿宋" w:cs="仿宋" w:hint="eastAsia"/>
          <w:sz w:val="32"/>
          <w:szCs w:val="32"/>
        </w:rPr>
        <w:t>（四）机关运行经费：指行政单位和参照公务员法管理的事业单位使用一般公共预算安排的基本支出中的日常公用经费支出。</w:t>
      </w:r>
    </w:p>
    <w:p w:rsidR="00AF764D" w:rsidRDefault="00AF764D">
      <w:pPr>
        <w:rPr>
          <w:rFonts w:ascii="仿宋" w:eastAsia="仿宋" w:hAnsi="仿宋" w:cs="仿宋"/>
          <w:sz w:val="32"/>
          <w:szCs w:val="32"/>
        </w:rPr>
      </w:pPr>
    </w:p>
    <w:p w:rsidR="00AF764D" w:rsidRDefault="00AF764D">
      <w:pPr>
        <w:rPr>
          <w:rFonts w:ascii="仿宋" w:eastAsia="仿宋" w:hAnsi="仿宋" w:cs="仿宋"/>
        </w:rPr>
      </w:pPr>
    </w:p>
    <w:p w:rsidR="00AF764D" w:rsidRDefault="00AF764D">
      <w:pPr>
        <w:rPr>
          <w:rFonts w:ascii="仿宋" w:eastAsia="仿宋" w:hAnsi="仿宋" w:cs="仿宋"/>
        </w:rPr>
      </w:pPr>
    </w:p>
    <w:sectPr w:rsidR="00AF764D" w:rsidSect="00AF764D">
      <w:footerReference w:type="even" r:id="rId9"/>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06C" w:rsidRDefault="00B0506C" w:rsidP="00AF764D">
      <w:r>
        <w:separator/>
      </w:r>
    </w:p>
  </w:endnote>
  <w:endnote w:type="continuationSeparator" w:id="1">
    <w:p w:rsidR="00B0506C" w:rsidRDefault="00B0506C" w:rsidP="00AF7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4D" w:rsidRDefault="008B4118">
    <w:pPr>
      <w:pStyle w:val="a3"/>
      <w:framePr w:wrap="around" w:vAnchor="text" w:hAnchor="margin" w:xAlign="center" w:y="1"/>
      <w:rPr>
        <w:rStyle w:val="a6"/>
      </w:rPr>
    </w:pPr>
    <w:r>
      <w:fldChar w:fldCharType="begin"/>
    </w:r>
    <w:r w:rsidR="00CC5BFE">
      <w:rPr>
        <w:rStyle w:val="a6"/>
      </w:rPr>
      <w:instrText xml:space="preserve">PAGE  </w:instrText>
    </w:r>
    <w:r>
      <w:fldChar w:fldCharType="end"/>
    </w:r>
  </w:p>
  <w:p w:rsidR="00AF764D" w:rsidRDefault="00AF764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4D" w:rsidRDefault="008B4118">
    <w:pPr>
      <w:pStyle w:val="a3"/>
      <w:framePr w:wrap="around" w:vAnchor="text" w:hAnchor="margin" w:xAlign="center" w:y="1"/>
      <w:rPr>
        <w:rStyle w:val="a6"/>
      </w:rPr>
    </w:pPr>
    <w:r>
      <w:fldChar w:fldCharType="begin"/>
    </w:r>
    <w:r w:rsidR="00CC5BFE">
      <w:rPr>
        <w:rStyle w:val="a6"/>
      </w:rPr>
      <w:instrText xml:space="preserve">PAGE  </w:instrText>
    </w:r>
    <w:r>
      <w:fldChar w:fldCharType="end"/>
    </w:r>
  </w:p>
  <w:p w:rsidR="00AF764D" w:rsidRDefault="00AF764D">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4D" w:rsidRDefault="008B411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filled="f" stroked="f">
          <v:textbox style="mso-fit-shape-to-text:t" inset="0,0,0,0">
            <w:txbxContent>
              <w:p w:rsidR="00AF764D" w:rsidRDefault="008B4118">
                <w:pPr>
                  <w:pStyle w:val="a3"/>
                  <w:rPr>
                    <w:rStyle w:val="a6"/>
                  </w:rPr>
                </w:pPr>
                <w:r>
                  <w:fldChar w:fldCharType="begin"/>
                </w:r>
                <w:r w:rsidR="00CC5BFE">
                  <w:rPr>
                    <w:rStyle w:val="a6"/>
                  </w:rPr>
                  <w:instrText xml:space="preserve">PAGE  </w:instrText>
                </w:r>
                <w:r>
                  <w:fldChar w:fldCharType="separate"/>
                </w:r>
                <w:r w:rsidR="003E1F71">
                  <w:rPr>
                    <w:rStyle w:val="a6"/>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06C" w:rsidRDefault="00B0506C" w:rsidP="00AF764D">
      <w:r>
        <w:separator/>
      </w:r>
    </w:p>
  </w:footnote>
  <w:footnote w:type="continuationSeparator" w:id="1">
    <w:p w:rsidR="00B0506C" w:rsidRDefault="00B0506C" w:rsidP="00AF76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740C09"/>
    <w:multiLevelType w:val="singleLevel"/>
    <w:tmpl w:val="D7740C09"/>
    <w:lvl w:ilvl="0">
      <w:start w:val="2"/>
      <w:numFmt w:val="chineseCounting"/>
      <w:suff w:val="nothing"/>
      <w:lvlText w:val="（%1）"/>
      <w:lvlJc w:val="left"/>
      <w:rPr>
        <w:rFonts w:hint="eastAsia"/>
      </w:rPr>
    </w:lvl>
  </w:abstractNum>
  <w:abstractNum w:abstractNumId="1">
    <w:nsid w:val="34E272F0"/>
    <w:multiLevelType w:val="singleLevel"/>
    <w:tmpl w:val="34E272F0"/>
    <w:lvl w:ilvl="0">
      <w:start w:val="1"/>
      <w:numFmt w:val="chineseCounting"/>
      <w:suff w:val="space"/>
      <w:lvlText w:val="第%1部分"/>
      <w:lvlJc w:val="left"/>
      <w:rPr>
        <w:rFonts w:hint="eastAsia"/>
      </w:rPr>
    </w:lvl>
  </w:abstractNum>
  <w:abstractNum w:abstractNumId="2">
    <w:nsid w:val="58D476BD"/>
    <w:multiLevelType w:val="singleLevel"/>
    <w:tmpl w:val="58D476BD"/>
    <w:lvl w:ilvl="0">
      <w:start w:val="5"/>
      <w:numFmt w:val="chineseCounting"/>
      <w:suff w:val="space"/>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EF9444B"/>
    <w:rsid w:val="00044492"/>
    <w:rsid w:val="002509CD"/>
    <w:rsid w:val="00375700"/>
    <w:rsid w:val="003E1F71"/>
    <w:rsid w:val="004B2375"/>
    <w:rsid w:val="008B186E"/>
    <w:rsid w:val="008B4118"/>
    <w:rsid w:val="009007F4"/>
    <w:rsid w:val="00AF764D"/>
    <w:rsid w:val="00B0506C"/>
    <w:rsid w:val="00B614A6"/>
    <w:rsid w:val="00C522B8"/>
    <w:rsid w:val="00CC5BFE"/>
    <w:rsid w:val="00F26A30"/>
    <w:rsid w:val="00F534E7"/>
    <w:rsid w:val="00F756D6"/>
    <w:rsid w:val="00FD2B1D"/>
    <w:rsid w:val="15FC7DE3"/>
    <w:rsid w:val="1BBF5380"/>
    <w:rsid w:val="23EA4285"/>
    <w:rsid w:val="2EF9444B"/>
    <w:rsid w:val="7F6C6E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76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nhideWhenUsed/>
    <w:qFormat/>
    <w:rsid w:val="00AF764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
    <w:rsid w:val="00AF764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AF764D"/>
    <w:pPr>
      <w:spacing w:beforeAutospacing="1" w:afterAutospacing="1"/>
      <w:jc w:val="left"/>
    </w:pPr>
    <w:rPr>
      <w:kern w:val="0"/>
      <w:sz w:val="24"/>
    </w:rPr>
  </w:style>
  <w:style w:type="character" w:styleId="a6">
    <w:name w:val="page number"/>
    <w:basedOn w:val="a0"/>
    <w:qFormat/>
    <w:rsid w:val="00AF764D"/>
  </w:style>
  <w:style w:type="character" w:customStyle="1" w:styleId="Char">
    <w:name w:val="页眉 Char"/>
    <w:basedOn w:val="a0"/>
    <w:link w:val="a4"/>
    <w:rsid w:val="00AF764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285</Words>
  <Characters>1629</Characters>
  <Application>Microsoft Office Word</Application>
  <DocSecurity>0</DocSecurity>
  <Lines>13</Lines>
  <Paragraphs>3</Paragraphs>
  <ScaleCrop>false</ScaleCrop>
  <Company>Microsoft</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2021-05-22T16:37:00Z</dcterms:created>
  <dcterms:modified xsi:type="dcterms:W3CDTF">2021-09-25T07:54:00Z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