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44"/>
          <w:szCs w:val="44"/>
        </w:rPr>
      </w:pPr>
      <w:r>
        <w:rPr>
          <w:rFonts w:hint="eastAsia" w:ascii="宋体" w:hAnsi="宋体" w:cs="宋体"/>
          <w:b/>
          <w:bCs/>
          <w:kern w:val="36"/>
          <w:sz w:val="44"/>
          <w:szCs w:val="44"/>
        </w:rPr>
        <w:t>长子县政协2021年</w:t>
      </w:r>
      <w:r>
        <w:rPr>
          <w:rFonts w:hint="eastAsia" w:ascii="华文中宋" w:hAnsi="华文中宋" w:eastAsia="华文中宋"/>
          <w:sz w:val="44"/>
          <w:szCs w:val="44"/>
        </w:rPr>
        <w:t>决算公开报告</w:t>
      </w:r>
    </w:p>
    <w:p>
      <w:pPr>
        <w:pStyle w:val="13"/>
        <w:tabs>
          <w:tab w:val="right" w:leader="dot" w:pos="8307"/>
        </w:tabs>
        <w:jc w:val="center"/>
        <w:rPr>
          <w:rFonts w:ascii="华文中宋" w:hAnsi="华文中宋" w:eastAsia="华文中宋" w:cs="宋体"/>
          <w:color w:val="000000" w:themeColor="text1"/>
          <w:sz w:val="32"/>
          <w:szCs w:val="32"/>
        </w:rPr>
      </w:pPr>
      <w:r>
        <w:rPr>
          <w:rFonts w:hint="eastAsia" w:ascii="仿宋" w:hAnsi="仿宋" w:eastAsia="仿宋" w:cs="宋体"/>
          <w:color w:val="000000" w:themeColor="text1"/>
          <w:sz w:val="32"/>
          <w:szCs w:val="32"/>
          <w:shd w:val="pct10" w:color="auto" w:fill="FFFFFF"/>
        </w:rPr>
        <w:fldChar w:fldCharType="begin"/>
      </w:r>
      <w:r>
        <w:rPr>
          <w:rFonts w:hint="eastAsia" w:ascii="仿宋" w:hAnsi="仿宋" w:eastAsia="仿宋" w:cs="宋体"/>
          <w:color w:val="000000" w:themeColor="text1"/>
          <w:sz w:val="32"/>
          <w:szCs w:val="32"/>
          <w:shd w:val="pct10" w:color="auto" w:fill="FFFFFF"/>
        </w:rPr>
        <w:instrText xml:space="preserve">TOC \o "1-2" \h \u </w:instrText>
      </w:r>
      <w:r>
        <w:rPr>
          <w:rFonts w:hint="eastAsia" w:ascii="仿宋" w:hAnsi="仿宋" w:eastAsia="仿宋" w:cs="宋体"/>
          <w:color w:val="000000" w:themeColor="text1"/>
          <w:sz w:val="32"/>
          <w:szCs w:val="32"/>
          <w:shd w:val="pct10" w:color="auto" w:fill="FFFFFF"/>
        </w:rPr>
        <w:fldChar w:fldCharType="separate"/>
      </w:r>
      <w:r>
        <w:fldChar w:fldCharType="begin"/>
      </w:r>
      <w:r>
        <w:instrText xml:space="preserve"> HYPERLINK \l "_Toc30197" </w:instrText>
      </w:r>
      <w:r>
        <w:fldChar w:fldCharType="separate"/>
      </w:r>
      <w:r>
        <w:rPr>
          <w:rFonts w:hint="eastAsia" w:ascii="华文中宋" w:hAnsi="华文中宋" w:eastAsia="华文中宋" w:cs="宋体"/>
          <w:color w:val="000000" w:themeColor="text1"/>
          <w:sz w:val="32"/>
          <w:szCs w:val="32"/>
        </w:rPr>
        <w:t>第一部分  概况</w:t>
      </w:r>
      <w:r>
        <w:rPr>
          <w:rFonts w:hint="eastAsia" w:ascii="华文中宋" w:hAnsi="华文中宋" w:eastAsia="华文中宋" w:cs="宋体"/>
          <w:color w:val="000000" w:themeColor="text1"/>
          <w:sz w:val="32"/>
          <w:szCs w:val="32"/>
        </w:rPr>
        <w:fldChar w:fldCharType="end"/>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一、部门职责</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二、部门机构设置</w:t>
      </w:r>
    </w:p>
    <w:p>
      <w:pPr>
        <w:pStyle w:val="13"/>
        <w:tabs>
          <w:tab w:val="right" w:leader="dot" w:pos="8307"/>
        </w:tabs>
        <w:jc w:val="center"/>
        <w:rPr>
          <w:rFonts w:ascii="华文中宋" w:hAnsi="华文中宋" w:eastAsia="华文中宋" w:cs="宋体"/>
          <w:color w:val="000000" w:themeColor="text1"/>
          <w:sz w:val="32"/>
          <w:szCs w:val="32"/>
        </w:rPr>
      </w:pPr>
      <w:r>
        <w:fldChar w:fldCharType="begin"/>
      </w:r>
      <w:r>
        <w:instrText xml:space="preserve"> HYPERLINK \l "_Toc16415" </w:instrText>
      </w:r>
      <w:r>
        <w:fldChar w:fldCharType="separate"/>
      </w:r>
      <w:r>
        <w:rPr>
          <w:rFonts w:hint="eastAsia" w:ascii="华文中宋" w:hAnsi="华文中宋" w:eastAsia="华文中宋" w:cs="宋体"/>
          <w:color w:val="000000" w:themeColor="text1"/>
          <w:sz w:val="32"/>
          <w:szCs w:val="32"/>
        </w:rPr>
        <w:t>第二部分  2021年度部门决算情况说明</w:t>
      </w:r>
      <w:r>
        <w:rPr>
          <w:rFonts w:hint="eastAsia" w:ascii="华文中宋" w:hAnsi="华文中宋" w:eastAsia="华文中宋" w:cs="宋体"/>
          <w:color w:val="000000" w:themeColor="text1"/>
          <w:sz w:val="32"/>
          <w:szCs w:val="32"/>
        </w:rPr>
        <w:fldChar w:fldCharType="end"/>
      </w:r>
    </w:p>
    <w:p>
      <w:pPr>
        <w:pStyle w:val="13"/>
        <w:tabs>
          <w:tab w:val="right" w:leader="dot" w:pos="8307"/>
        </w:tabs>
        <w:rPr>
          <w:rFonts w:ascii="仿宋" w:hAnsi="仿宋" w:eastAsia="仿宋" w:cs="宋体"/>
          <w:color w:val="000000" w:themeColor="text1"/>
          <w:sz w:val="32"/>
          <w:szCs w:val="32"/>
        </w:rPr>
      </w:pPr>
      <w:r>
        <w:fldChar w:fldCharType="begin"/>
      </w:r>
      <w:r>
        <w:instrText xml:space="preserve"> HYPERLINK \l "_Toc22078" </w:instrText>
      </w:r>
      <w:r>
        <w:fldChar w:fldCharType="separate"/>
      </w:r>
      <w:r>
        <w:rPr>
          <w:rFonts w:hint="eastAsia" w:ascii="仿宋" w:hAnsi="仿宋" w:eastAsia="仿宋" w:cs="宋体"/>
          <w:color w:val="000000" w:themeColor="text1"/>
          <w:sz w:val="32"/>
          <w:szCs w:val="32"/>
        </w:rPr>
        <w:t>一、收入情况</w:t>
      </w:r>
      <w:r>
        <w:rPr>
          <w:rFonts w:hint="eastAsia" w:ascii="仿宋" w:hAnsi="仿宋" w:eastAsia="仿宋" w:cs="宋体"/>
          <w:color w:val="000000" w:themeColor="text1"/>
          <w:sz w:val="32"/>
          <w:szCs w:val="32"/>
        </w:rPr>
        <w:fldChar w:fldCharType="end"/>
      </w:r>
    </w:p>
    <w:p>
      <w:pPr>
        <w:pStyle w:val="13"/>
        <w:tabs>
          <w:tab w:val="right" w:leader="dot" w:pos="8307"/>
        </w:tabs>
        <w:rPr>
          <w:rFonts w:ascii="仿宋" w:hAnsi="仿宋" w:eastAsia="仿宋" w:cs="宋体"/>
          <w:color w:val="000000" w:themeColor="text1"/>
          <w:sz w:val="32"/>
          <w:szCs w:val="32"/>
        </w:rPr>
      </w:pPr>
      <w:r>
        <w:fldChar w:fldCharType="begin"/>
      </w:r>
      <w:r>
        <w:instrText xml:space="preserve"> HYPERLINK \l "_Toc27132" </w:instrText>
      </w:r>
      <w:r>
        <w:fldChar w:fldCharType="separate"/>
      </w:r>
      <w:r>
        <w:rPr>
          <w:rFonts w:hint="eastAsia" w:ascii="仿宋" w:hAnsi="仿宋" w:eastAsia="仿宋" w:cs="宋体"/>
          <w:color w:val="000000" w:themeColor="text1"/>
          <w:sz w:val="32"/>
          <w:szCs w:val="32"/>
        </w:rPr>
        <w:t>二、支出情况</w:t>
      </w:r>
      <w:r>
        <w:rPr>
          <w:rFonts w:hint="eastAsia" w:ascii="仿宋" w:hAnsi="仿宋" w:eastAsia="仿宋" w:cs="宋体"/>
          <w:color w:val="000000" w:themeColor="text1"/>
          <w:sz w:val="32"/>
          <w:szCs w:val="32"/>
        </w:rPr>
        <w:fldChar w:fldCharType="end"/>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三、“三公”经费情况</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四、机关运行经费情况</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五、政府采购情况</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六、国有资产占用情况</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七、重点绩效评价情况</w:t>
      </w:r>
    </w:p>
    <w:p>
      <w:pPr>
        <w:pStyle w:val="13"/>
        <w:tabs>
          <w:tab w:val="right" w:leader="dot" w:pos="8307"/>
        </w:tabs>
        <w:jc w:val="center"/>
        <w:rPr>
          <w:rFonts w:ascii="华文中宋" w:hAnsi="华文中宋" w:eastAsia="华文中宋" w:cs="宋体"/>
          <w:color w:val="000000" w:themeColor="text1"/>
          <w:sz w:val="32"/>
          <w:szCs w:val="32"/>
        </w:rPr>
      </w:pPr>
      <w:r>
        <w:rPr>
          <w:rFonts w:hint="eastAsia" w:ascii="华文中宋" w:hAnsi="华文中宋" w:eastAsia="华文中宋" w:cs="宋体"/>
          <w:color w:val="000000" w:themeColor="text1"/>
          <w:sz w:val="32"/>
          <w:szCs w:val="32"/>
        </w:rPr>
        <w:t>第三部分  名词解释</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 xml:space="preserve">一、财政拨款收入 </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二、事业收入</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三、其他收入</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四、年初结转和结余</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五、支出</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六、年末结转和结余</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七、基本支出</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八、项目支出</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九、“三公”经费</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十、机关运行经费</w:t>
      </w:r>
    </w:p>
    <w:p>
      <w:pPr>
        <w:pStyle w:val="13"/>
        <w:tabs>
          <w:tab w:val="right" w:leader="dot" w:pos="8307"/>
        </w:tabs>
        <w:jc w:val="center"/>
        <w:rPr>
          <w:rFonts w:ascii="华文中宋" w:hAnsi="华文中宋" w:eastAsia="华文中宋" w:cs="宋体"/>
          <w:color w:val="000000" w:themeColor="text1"/>
          <w:sz w:val="32"/>
          <w:szCs w:val="32"/>
        </w:rPr>
      </w:pPr>
      <w:r>
        <w:rPr>
          <w:rFonts w:hint="eastAsia" w:ascii="华文中宋" w:hAnsi="华文中宋" w:eastAsia="华文中宋" w:cs="宋体"/>
          <w:color w:val="000000" w:themeColor="text1"/>
          <w:sz w:val="32"/>
          <w:szCs w:val="32"/>
        </w:rPr>
        <w:t>第四部分  2021年度部门决算表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1、收入支出决算总表(公开01表)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2、收入决算表(公开02表)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3、支出决算表(公开03表)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4、财政拨款收入支出决算总表(公开04表)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5、一般公共预算财政拨款支出决算表（一）(公开05表)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6、一般公共预算财政拨款支出决算表（二）(公开06表)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7、一般公共预算财政拨款“三公”经费支出决算表(公开07表)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8、政府性基金预算财政拨款收入支出决算表(公开08表)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9、国有资本经营预算财政拨款支出决算表(公开09表)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10、部门决算公开相关信息统计表(公开10表)</w:t>
      </w:r>
    </w:p>
    <w:p>
      <w:pPr>
        <w:pStyle w:val="13"/>
        <w:tabs>
          <w:tab w:val="right" w:leader="dot" w:pos="8307"/>
        </w:tabs>
        <w:rPr>
          <w:rFonts w:ascii="仿宋" w:hAnsi="仿宋" w:eastAsia="仿宋" w:cs="宋体"/>
          <w:color w:val="000000" w:themeColor="text1"/>
          <w:sz w:val="32"/>
          <w:szCs w:val="32"/>
          <w:shd w:val="pct10" w:color="auto" w:fill="FFFFFF"/>
        </w:rPr>
      </w:pPr>
    </w:p>
    <w:p>
      <w:pPr>
        <w:pStyle w:val="13"/>
        <w:tabs>
          <w:tab w:val="right" w:leader="dot" w:pos="8307"/>
        </w:tabs>
        <w:rPr>
          <w:rFonts w:hAnsi="宋体" w:cs="宋体"/>
          <w:sz w:val="32"/>
          <w:szCs w:val="32"/>
        </w:rPr>
      </w:pPr>
      <w:r>
        <w:rPr>
          <w:rFonts w:hint="eastAsia" w:ascii="仿宋" w:hAnsi="仿宋" w:eastAsia="仿宋" w:cs="宋体"/>
          <w:color w:val="000000" w:themeColor="text1"/>
          <w:sz w:val="32"/>
          <w:szCs w:val="32"/>
          <w:shd w:val="pct10" w:color="auto" w:fill="FFFFFF"/>
        </w:rPr>
        <w:fldChar w:fldCharType="end"/>
      </w: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wordWrap w:val="0"/>
        <w:spacing w:line="400" w:lineRule="atLeast"/>
        <w:jc w:val="center"/>
        <w:rPr>
          <w:rFonts w:ascii="宋体 !important" w:eastAsia="宋体 !important"/>
          <w:b/>
          <w:bCs/>
          <w:sz w:val="36"/>
          <w:szCs w:val="36"/>
        </w:rPr>
      </w:pPr>
    </w:p>
    <w:p>
      <w:pPr>
        <w:jc w:val="center"/>
        <w:rPr>
          <w:rFonts w:ascii="华文中宋" w:hAnsi="华文中宋" w:eastAsia="华文中宋"/>
          <w:sz w:val="44"/>
          <w:szCs w:val="44"/>
        </w:rPr>
      </w:pPr>
      <w:r>
        <w:rPr>
          <w:rFonts w:hint="eastAsia" w:ascii="宋体" w:hAnsi="宋体" w:cs="宋体"/>
          <w:b/>
          <w:bCs/>
          <w:kern w:val="36"/>
          <w:sz w:val="44"/>
          <w:szCs w:val="44"/>
        </w:rPr>
        <w:t>长子县政协2021年</w:t>
      </w:r>
      <w:r>
        <w:rPr>
          <w:rFonts w:hint="eastAsia" w:ascii="华文中宋" w:hAnsi="华文中宋" w:eastAsia="华文中宋"/>
          <w:sz w:val="44"/>
          <w:szCs w:val="44"/>
        </w:rPr>
        <w:t>决算公开报告</w:t>
      </w:r>
    </w:p>
    <w:p>
      <w:pPr>
        <w:wordWrap w:val="0"/>
        <w:spacing w:line="503" w:lineRule="atLeast"/>
        <w:jc w:val="center"/>
        <w:rPr>
          <w:rFonts w:ascii="宋体 !important" w:eastAsia="宋体 !important"/>
          <w:color w:val="222222"/>
        </w:rPr>
      </w:pPr>
      <w:r>
        <w:rPr>
          <w:rFonts w:hint="eastAsia"/>
          <w:b/>
          <w:bCs/>
          <w:color w:val="333333"/>
          <w:sz w:val="44"/>
          <w:szCs w:val="44"/>
        </w:rPr>
        <w:t> </w:t>
      </w:r>
    </w:p>
    <w:p>
      <w:pPr>
        <w:pStyle w:val="13"/>
        <w:tabs>
          <w:tab w:val="right" w:leader="dot" w:pos="8307"/>
        </w:tabs>
        <w:jc w:val="center"/>
        <w:rPr>
          <w:rFonts w:ascii="华文中宋" w:hAnsi="华文中宋" w:eastAsia="华文中宋" w:cs="宋体"/>
          <w:color w:val="000000" w:themeColor="text1"/>
          <w:sz w:val="32"/>
          <w:szCs w:val="32"/>
        </w:rPr>
      </w:pPr>
      <w:r>
        <w:fldChar w:fldCharType="begin"/>
      </w:r>
      <w:r>
        <w:instrText xml:space="preserve"> HYPERLINK \l "_Toc30197" </w:instrText>
      </w:r>
      <w:r>
        <w:fldChar w:fldCharType="separate"/>
      </w:r>
      <w:r>
        <w:rPr>
          <w:rFonts w:hint="eastAsia" w:ascii="华文中宋" w:hAnsi="华文中宋" w:eastAsia="华文中宋" w:cs="宋体"/>
          <w:color w:val="000000" w:themeColor="text1"/>
          <w:sz w:val="32"/>
          <w:szCs w:val="32"/>
        </w:rPr>
        <w:t>第一部分  概况</w:t>
      </w:r>
      <w:r>
        <w:rPr>
          <w:rFonts w:hint="eastAsia" w:ascii="华文中宋" w:hAnsi="华文中宋" w:eastAsia="华文中宋" w:cs="宋体"/>
          <w:color w:val="000000" w:themeColor="text1"/>
          <w:sz w:val="32"/>
          <w:szCs w:val="32"/>
        </w:rPr>
        <w:fldChar w:fldCharType="end"/>
      </w:r>
    </w:p>
    <w:p>
      <w:pPr>
        <w:pStyle w:val="13"/>
        <w:numPr>
          <w:ilvl w:val="0"/>
          <w:numId w:val="1"/>
        </w:numPr>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t>部门职责</w:t>
      </w:r>
    </w:p>
    <w:p>
      <w:pPr>
        <w:pStyle w:val="7"/>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按照《中国人民政治协商会议章程》规定，全国政协和地方委员会的主要职能是政治协商、民主监督、参政议政。</w:t>
      </w:r>
    </w:p>
    <w:p>
      <w:pPr>
        <w:pStyle w:val="7"/>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政治协商是对国家和地方的大政方针以及政治、经济、文化和社会生活中的重要问题在决策之前进行协商和就决策执行过程中的重要问题进行协商。政治协商的主要形式有：政协的全体会议，常务委员会会议，主席会议，常务委员专题座谈会，政协党组受党委委托召开的座谈会，秘书长会议，各专门委员会会议，根据需要召开由政协各组成单位和各界代表人士参加的内部协商会议。</w:t>
      </w:r>
    </w:p>
    <w:p>
      <w:pPr>
        <w:pStyle w:val="7"/>
        <w:spacing w:before="0" w:beforeAutospacing="0" w:after="0" w:afterAutospacing="0" w:line="600" w:lineRule="exact"/>
        <w:ind w:firstLine="640" w:firstLineChars="200"/>
        <w:jc w:val="both"/>
        <w:rPr>
          <w:rFonts w:ascii="仿宋_GB2312" w:eastAsia="仿宋_GB2312"/>
          <w:sz w:val="32"/>
          <w:szCs w:val="32"/>
        </w:rPr>
      </w:pPr>
      <w:r>
        <w:rPr>
          <w:rFonts w:hint="eastAsia" w:ascii="仿宋_GB2312" w:eastAsia="仿宋_GB2312"/>
          <w:sz w:val="32"/>
          <w:szCs w:val="32"/>
        </w:rPr>
        <w:t>民主监督是对国家宪法、法律和法规的实施，重大方针政策的贯彻执行、国家机关及其工作人员的工作，通过建议和批评进行监督。民主监督的主要形式有：政协的全体会议、常务委员会会议、主席会议向党委和政府提出建议案；各专门委员会提出建议或有关报告；委员视察、委员提案、委员举报、大会发言、反映社情民意或以其他形式提出批评和建议；参加党委和政府有关部门组织的调查和检查活动；政协委员应邀担任司法机关和政府部门特约监督人员等。</w:t>
      </w:r>
    </w:p>
    <w:p>
      <w:pPr>
        <w:pStyle w:val="13"/>
        <w:tabs>
          <w:tab w:val="right" w:leader="dot" w:pos="8307"/>
        </w:tabs>
        <w:rPr>
          <w:rFonts w:ascii="黑体" w:hAnsi="黑体" w:eastAsia="黑体" w:cs="宋体"/>
          <w:color w:val="000000" w:themeColor="text1"/>
          <w:sz w:val="32"/>
          <w:szCs w:val="32"/>
        </w:rPr>
      </w:pPr>
      <w:r>
        <w:rPr>
          <w:rFonts w:hint="eastAsia" w:ascii="仿宋_GB2312" w:eastAsia="仿宋_GB2312"/>
          <w:sz w:val="32"/>
          <w:szCs w:val="32"/>
        </w:rPr>
        <w:t>参政议政是对政治、经济、文化和社会生活中的重要问题以及人民群众普遍关心的问题，开展调查研究，反映社情民意，进行协商讨论。通过调研报告、提案、建议或其他形式，向中国共产党和国家机关提出意见和建议。</w:t>
      </w:r>
    </w:p>
    <w:p>
      <w:pPr>
        <w:pStyle w:val="13"/>
        <w:numPr>
          <w:ilvl w:val="0"/>
          <w:numId w:val="1"/>
        </w:numPr>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t>部门机构设置</w:t>
      </w:r>
    </w:p>
    <w:p>
      <w:pPr>
        <w:spacing w:line="600" w:lineRule="exact"/>
        <w:ind w:firstLine="640" w:firstLineChars="200"/>
        <w:jc w:val="left"/>
        <w:rPr>
          <w:rFonts w:ascii="宋体" w:hAnsi="宋体" w:eastAsia="黑体" w:cs="宋体"/>
          <w:kern w:val="0"/>
          <w:sz w:val="32"/>
          <w:szCs w:val="32"/>
        </w:rPr>
      </w:pPr>
      <w:r>
        <w:rPr>
          <w:rFonts w:hint="eastAsia" w:ascii="仿宋_GB2312" w:hAnsi="宋体" w:eastAsia="仿宋_GB2312" w:cs="宋体"/>
          <w:kern w:val="0"/>
          <w:sz w:val="32"/>
          <w:szCs w:val="32"/>
        </w:rPr>
        <w:t>长子县政协下设六个委室一个中心，分别是：文史委、提案委、经环委、学法委、外事委、科教委和信息中心。</w:t>
      </w:r>
    </w:p>
    <w:p>
      <w:pPr>
        <w:pStyle w:val="13"/>
        <w:tabs>
          <w:tab w:val="right" w:leader="dot" w:pos="8307"/>
        </w:tabs>
        <w:rPr>
          <w:rFonts w:ascii="黑体" w:hAnsi="黑体" w:eastAsia="黑体" w:cs="宋体"/>
          <w:color w:val="000000" w:themeColor="text1"/>
          <w:sz w:val="32"/>
          <w:szCs w:val="32"/>
        </w:rPr>
      </w:pPr>
    </w:p>
    <w:p>
      <w:pPr>
        <w:pStyle w:val="13"/>
        <w:tabs>
          <w:tab w:val="right" w:leader="dot" w:pos="8307"/>
        </w:tabs>
        <w:jc w:val="center"/>
        <w:rPr>
          <w:rFonts w:ascii="华文中宋" w:hAnsi="华文中宋" w:eastAsia="华文中宋" w:cs="宋体"/>
          <w:color w:val="000000" w:themeColor="text1"/>
          <w:sz w:val="32"/>
          <w:szCs w:val="32"/>
        </w:rPr>
      </w:pPr>
      <w:bookmarkStart w:id="0" w:name="_Toc22078"/>
      <w:r>
        <w:rPr>
          <w:rFonts w:hint="eastAsia" w:ascii="华文中宋" w:hAnsi="华文中宋" w:eastAsia="华文中宋" w:cs="宋体"/>
          <w:color w:val="000000" w:themeColor="text1"/>
          <w:sz w:val="32"/>
          <w:szCs w:val="32"/>
        </w:rPr>
        <w:fldChar w:fldCharType="begin"/>
      </w:r>
      <w:r>
        <w:rPr>
          <w:rFonts w:hint="eastAsia" w:ascii="华文中宋" w:hAnsi="华文中宋" w:eastAsia="华文中宋" w:cs="宋体"/>
          <w:color w:val="000000" w:themeColor="text1"/>
          <w:sz w:val="32"/>
          <w:szCs w:val="32"/>
        </w:rPr>
        <w:instrText xml:space="preserve"> HYPERLINK \l "_Toc16415"</w:instrText>
      </w:r>
      <w:r>
        <w:rPr>
          <w:rFonts w:hint="eastAsia" w:ascii="华文中宋" w:hAnsi="华文中宋" w:eastAsia="华文中宋" w:cs="宋体"/>
          <w:color w:val="000000" w:themeColor="text1"/>
          <w:sz w:val="32"/>
          <w:szCs w:val="32"/>
        </w:rPr>
        <w:fldChar w:fldCharType="separate"/>
      </w:r>
      <w:r>
        <w:rPr>
          <w:rFonts w:hint="eastAsia" w:ascii="华文中宋" w:hAnsi="华文中宋" w:eastAsia="华文中宋" w:cs="宋体"/>
          <w:color w:val="000000" w:themeColor="text1"/>
          <w:sz w:val="32"/>
          <w:szCs w:val="32"/>
        </w:rPr>
        <w:t>第二部分  2021年度部门决算情况说明</w:t>
      </w:r>
      <w:r>
        <w:rPr>
          <w:rFonts w:hint="eastAsia" w:ascii="华文中宋" w:hAnsi="华文中宋" w:eastAsia="华文中宋" w:cs="宋体"/>
          <w:color w:val="000000" w:themeColor="text1"/>
          <w:sz w:val="32"/>
          <w:szCs w:val="32"/>
        </w:rPr>
        <w:fldChar w:fldCharType="end"/>
      </w:r>
    </w:p>
    <w:bookmarkEnd w:id="0"/>
    <w:p>
      <w:pPr>
        <w:pStyle w:val="13"/>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fldChar w:fldCharType="begin"/>
      </w:r>
      <w:r>
        <w:rPr>
          <w:rFonts w:hint="eastAsia" w:ascii="黑体" w:hAnsi="黑体" w:eastAsia="黑体" w:cs="宋体"/>
          <w:color w:val="000000" w:themeColor="text1"/>
          <w:sz w:val="32"/>
          <w:szCs w:val="32"/>
        </w:rPr>
        <w:instrText xml:space="preserve"> HYPERLINK \l "_Toc22078"</w:instrText>
      </w:r>
      <w:r>
        <w:rPr>
          <w:rFonts w:hint="eastAsia" w:ascii="黑体" w:hAnsi="黑体" w:eastAsia="黑体" w:cs="宋体"/>
          <w:color w:val="000000" w:themeColor="text1"/>
          <w:sz w:val="32"/>
          <w:szCs w:val="32"/>
        </w:rPr>
        <w:fldChar w:fldCharType="separate"/>
      </w:r>
      <w:r>
        <w:rPr>
          <w:rFonts w:hint="eastAsia" w:ascii="黑体" w:hAnsi="黑体" w:eastAsia="黑体" w:cs="宋体"/>
          <w:color w:val="000000" w:themeColor="text1"/>
          <w:sz w:val="32"/>
          <w:szCs w:val="32"/>
        </w:rPr>
        <w:t>一、收入情况</w:t>
      </w:r>
      <w:r>
        <w:rPr>
          <w:rFonts w:hint="eastAsia" w:ascii="黑体" w:hAnsi="黑体" w:eastAsia="黑体" w:cs="宋体"/>
          <w:color w:val="000000" w:themeColor="text1"/>
          <w:sz w:val="32"/>
          <w:szCs w:val="32"/>
        </w:rPr>
        <w:fldChar w:fldCharType="end"/>
      </w:r>
    </w:p>
    <w:p>
      <w:pPr>
        <w:pStyle w:val="13"/>
        <w:tabs>
          <w:tab w:val="right" w:leader="dot" w:pos="8307"/>
        </w:tabs>
        <w:ind w:firstLine="640" w:firstLineChars="20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长子县政协2021年收入524.17万元。其中：财政拨款资金收入524.17万元，占全部收入的100%。较2020年度增加86.42万元，增幅为19.47%。增加的原因为：人员增加及人员工资调整。</w:t>
      </w:r>
    </w:p>
    <w:p>
      <w:pPr>
        <w:pStyle w:val="13"/>
        <w:tabs>
          <w:tab w:val="right" w:leader="dot" w:pos="8307"/>
        </w:tabs>
        <w:ind w:firstLine="640" w:firstLineChars="200"/>
        <w:rPr>
          <w:rFonts w:ascii="黑体" w:hAnsi="黑体" w:eastAsia="黑体" w:cs="宋体"/>
          <w:color w:val="000000" w:themeColor="text1"/>
          <w:sz w:val="32"/>
          <w:szCs w:val="32"/>
        </w:rPr>
      </w:pPr>
      <w:bookmarkStart w:id="1" w:name="_Toc27132"/>
      <w:r>
        <w:rPr>
          <w:rFonts w:hint="eastAsia" w:ascii="黑体" w:hAnsi="黑体" w:eastAsia="黑体" w:cs="宋体"/>
          <w:color w:val="000000" w:themeColor="text1"/>
          <w:sz w:val="32"/>
          <w:szCs w:val="32"/>
        </w:rPr>
        <w:t>二、支出情况</w:t>
      </w:r>
      <w:bookmarkEnd w:id="1"/>
    </w:p>
    <w:p>
      <w:pPr>
        <w:pStyle w:val="13"/>
        <w:tabs>
          <w:tab w:val="right" w:leader="dot" w:pos="8307"/>
        </w:tabs>
        <w:ind w:firstLine="640" w:firstLineChars="20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长子县政协2021年支出524.17万元。其中：基本支出 361.13万元，占支出的68.9%；项目支出163.04万元，占支出的31.1%。较2020年度比较增加85.17万元，增幅为16.25%。增加的原因为：办公费用和</w:t>
      </w:r>
      <w:r>
        <w:rPr>
          <w:rFonts w:hint="eastAsia" w:ascii="仿宋_GB2312" w:hAnsi="宋体" w:eastAsia="仿宋_GB2312" w:cs="宋体"/>
          <w:sz w:val="32"/>
          <w:szCs w:val="32"/>
        </w:rPr>
        <w:t>书刊、会议材料的印刷</w:t>
      </w:r>
      <w:r>
        <w:rPr>
          <w:rFonts w:hint="eastAsia" w:ascii="仿宋" w:hAnsi="仿宋" w:eastAsia="仿宋" w:cs="宋体"/>
          <w:color w:val="000000" w:themeColor="text1"/>
          <w:sz w:val="32"/>
          <w:szCs w:val="32"/>
        </w:rPr>
        <w:t>增加</w:t>
      </w:r>
      <w:r>
        <w:rPr>
          <w:rFonts w:hint="eastAsia" w:ascii="仿宋_GB2312" w:hAnsi="宋体" w:eastAsia="仿宋_GB2312" w:cs="宋体"/>
          <w:sz w:val="32"/>
          <w:szCs w:val="32"/>
        </w:rPr>
        <w:t>及</w:t>
      </w:r>
      <w:r>
        <w:rPr>
          <w:rFonts w:hint="eastAsia" w:ascii="仿宋" w:hAnsi="仿宋" w:eastAsia="仿宋" w:cs="宋体"/>
          <w:color w:val="000000" w:themeColor="text1"/>
          <w:sz w:val="32"/>
          <w:szCs w:val="32"/>
        </w:rPr>
        <w:t>养老、医疗、工伤、公积金基数调整。</w:t>
      </w:r>
    </w:p>
    <w:p>
      <w:pPr>
        <w:wordWrap w:val="0"/>
        <w:spacing w:line="240" w:lineRule="atLeast"/>
        <w:ind w:firstLine="561"/>
        <w:rPr>
          <w:rFonts w:ascii="仿宋" w:hAnsi="仿宋" w:eastAsia="仿宋" w:cs="仿宋"/>
          <w:color w:val="222222"/>
          <w:sz w:val="32"/>
          <w:szCs w:val="32"/>
        </w:rPr>
      </w:pPr>
      <w:r>
        <w:rPr>
          <w:rFonts w:hint="eastAsia" w:ascii="仿宋" w:hAnsi="仿宋" w:eastAsia="仿宋" w:cs="仿宋"/>
          <w:color w:val="333333"/>
          <w:sz w:val="32"/>
          <w:szCs w:val="32"/>
        </w:rPr>
        <w:t>1.基本支出361.13万元。其中：人员经费322.92万元，主要包括统发工资、津贴补贴等；公用经费38.21万元，主要包括：办公费、印刷费、水费、电费、邮电费、差旅费、办公设备购置、其他商品和服务支出等。</w:t>
      </w:r>
    </w:p>
    <w:p>
      <w:pPr>
        <w:wordWrap w:val="0"/>
        <w:spacing w:line="240" w:lineRule="atLeast"/>
        <w:ind w:firstLine="560"/>
        <w:rPr>
          <w:rFonts w:ascii="仿宋" w:hAnsi="仿宋" w:eastAsia="仿宋" w:cs="仿宋"/>
          <w:color w:val="333333"/>
          <w:sz w:val="32"/>
          <w:szCs w:val="32"/>
        </w:rPr>
      </w:pPr>
      <w:r>
        <w:rPr>
          <w:rFonts w:hint="eastAsia" w:ascii="仿宋" w:hAnsi="仿宋" w:eastAsia="仿宋" w:cs="仿宋"/>
          <w:color w:val="333333"/>
          <w:sz w:val="32"/>
          <w:szCs w:val="32"/>
        </w:rPr>
        <w:t>2.项目支出163.04万元。</w:t>
      </w:r>
    </w:p>
    <w:p>
      <w:pPr>
        <w:wordWrap w:val="0"/>
        <w:spacing w:line="240" w:lineRule="atLeast"/>
        <w:ind w:firstLine="561"/>
        <w:rPr>
          <w:rFonts w:ascii="仿宋" w:hAnsi="仿宋" w:eastAsia="仿宋" w:cs="仿宋"/>
          <w:color w:val="333333"/>
          <w:sz w:val="32"/>
          <w:szCs w:val="32"/>
        </w:rPr>
      </w:pPr>
      <w:r>
        <w:rPr>
          <w:rFonts w:hint="eastAsia" w:ascii="仿宋" w:hAnsi="仿宋" w:eastAsia="仿宋" w:cs="仿宋"/>
          <w:color w:val="333333"/>
          <w:sz w:val="32"/>
          <w:szCs w:val="32"/>
        </w:rPr>
        <w:t>其中：一般行政管理事务项目支出57.39万元，主要用于政协工作，元宵节宣传活动等经费；政协会议项目支出67.49万元，主要用于政协十届一、二次会议费用及</w:t>
      </w:r>
      <w:bookmarkStart w:id="4" w:name="_GoBack"/>
      <w:r>
        <w:rPr>
          <w:rFonts w:hint="eastAsia" w:ascii="仿宋_GB2312" w:eastAsia="仿宋_GB2312"/>
          <w:sz w:val="32"/>
        </w:rPr>
        <w:t>常委</w:t>
      </w:r>
      <w:bookmarkEnd w:id="4"/>
      <w:r>
        <w:rPr>
          <w:rFonts w:hint="eastAsia" w:ascii="仿宋_GB2312" w:eastAsia="仿宋_GB2312"/>
          <w:sz w:val="32"/>
          <w:lang w:val="en-US" w:eastAsia="zh-CN"/>
        </w:rPr>
        <w:t>会</w:t>
      </w:r>
      <w:r>
        <w:rPr>
          <w:rFonts w:hint="eastAsia" w:ascii="仿宋_GB2312" w:eastAsia="仿宋_GB2312"/>
          <w:sz w:val="32"/>
        </w:rPr>
        <w:t>会议费用</w:t>
      </w:r>
      <w:r>
        <w:rPr>
          <w:rFonts w:hint="eastAsia" w:ascii="仿宋" w:hAnsi="仿宋" w:eastAsia="仿宋" w:cs="仿宋"/>
          <w:color w:val="333333"/>
          <w:sz w:val="32"/>
          <w:szCs w:val="32"/>
        </w:rPr>
        <w:t>；委员视察项目支出38.16万元，主要用于委员视察、培训及七大口及乡镇政协委员活动经费费用。</w:t>
      </w:r>
    </w:p>
    <w:p>
      <w:pPr>
        <w:pStyle w:val="13"/>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t>三、“三公”经费情况</w:t>
      </w:r>
    </w:p>
    <w:p>
      <w:pPr>
        <w:shd w:val="clear" w:color="auto" w:fill="FFFFFF"/>
        <w:wordWrap w:val="0"/>
        <w:spacing w:line="240" w:lineRule="atLeast"/>
        <w:ind w:firstLine="560"/>
        <w:rPr>
          <w:rFonts w:ascii="仿宋" w:hAnsi="仿宋" w:eastAsia="仿宋" w:cs="宋体"/>
          <w:kern w:val="0"/>
          <w:sz w:val="32"/>
          <w:szCs w:val="32"/>
        </w:rPr>
      </w:pPr>
      <w:r>
        <w:rPr>
          <w:rFonts w:hint="eastAsia" w:ascii="仿宋" w:hAnsi="仿宋" w:eastAsia="仿宋" w:cs="宋体"/>
          <w:color w:val="000000" w:themeColor="text1"/>
          <w:kern w:val="0"/>
          <w:sz w:val="32"/>
          <w:szCs w:val="32"/>
        </w:rPr>
        <w:t>长子县政协2021年 一般公共预算“三公”经费支出0  万元。其中：因公出国（境）费0万元，公务接待费0万元，公务用车购</w:t>
      </w:r>
      <w:r>
        <w:rPr>
          <w:rFonts w:hint="eastAsia" w:ascii="仿宋" w:hAnsi="仿宋" w:eastAsia="仿宋" w:cs="宋体"/>
          <w:kern w:val="0"/>
          <w:sz w:val="32"/>
          <w:szCs w:val="32"/>
        </w:rPr>
        <w:t>置及运行维护费0万元。与本年预算相比，“三公”经费比预算</w:t>
      </w:r>
      <w:r>
        <w:rPr>
          <w:rFonts w:hint="eastAsia" w:ascii="仿宋" w:hAnsi="仿宋" w:eastAsia="仿宋" w:cs="宋体"/>
          <w:sz w:val="32"/>
          <w:szCs w:val="32"/>
        </w:rPr>
        <w:t>增加0</w:t>
      </w:r>
      <w:r>
        <w:rPr>
          <w:rFonts w:hint="eastAsia" w:ascii="仿宋" w:hAnsi="仿宋" w:eastAsia="仿宋" w:cs="宋体"/>
          <w:kern w:val="0"/>
          <w:sz w:val="32"/>
          <w:szCs w:val="32"/>
        </w:rPr>
        <w:t>万元，其中：因公出国（境）费</w:t>
      </w:r>
      <w:r>
        <w:rPr>
          <w:rFonts w:hint="eastAsia" w:ascii="仿宋" w:hAnsi="仿宋" w:eastAsia="仿宋" w:cs="宋体"/>
          <w:sz w:val="32"/>
          <w:szCs w:val="32"/>
        </w:rPr>
        <w:t>增加</w:t>
      </w:r>
      <w:r>
        <w:rPr>
          <w:rFonts w:hint="eastAsia" w:ascii="仿宋" w:hAnsi="仿宋" w:eastAsia="仿宋" w:cs="宋体"/>
          <w:kern w:val="0"/>
          <w:sz w:val="32"/>
          <w:szCs w:val="32"/>
        </w:rPr>
        <w:t>0万元，公务接待费</w:t>
      </w:r>
      <w:r>
        <w:rPr>
          <w:rFonts w:hint="eastAsia" w:ascii="仿宋" w:hAnsi="仿宋" w:eastAsia="仿宋" w:cs="宋体"/>
          <w:sz w:val="32"/>
          <w:szCs w:val="32"/>
        </w:rPr>
        <w:t>增加</w:t>
      </w:r>
      <w:r>
        <w:rPr>
          <w:rFonts w:hint="eastAsia" w:ascii="仿宋" w:hAnsi="仿宋" w:eastAsia="仿宋" w:cs="宋体"/>
          <w:kern w:val="0"/>
          <w:sz w:val="32"/>
          <w:szCs w:val="32"/>
        </w:rPr>
        <w:t>0万元，公务用车购置及运行维护费</w:t>
      </w:r>
      <w:r>
        <w:rPr>
          <w:rFonts w:hint="eastAsia" w:ascii="仿宋" w:hAnsi="仿宋" w:eastAsia="仿宋" w:cs="宋体"/>
          <w:sz w:val="32"/>
          <w:szCs w:val="32"/>
        </w:rPr>
        <w:t>增加</w:t>
      </w:r>
      <w:r>
        <w:rPr>
          <w:rFonts w:hint="eastAsia" w:ascii="仿宋" w:hAnsi="仿宋" w:eastAsia="仿宋" w:cs="宋体"/>
          <w:kern w:val="0"/>
          <w:sz w:val="32"/>
          <w:szCs w:val="32"/>
        </w:rPr>
        <w:t>0万元。</w:t>
      </w:r>
    </w:p>
    <w:p>
      <w:pPr>
        <w:shd w:val="clear" w:color="auto" w:fill="FFFFFF"/>
        <w:wordWrap w:val="0"/>
        <w:spacing w:line="240" w:lineRule="atLeast"/>
        <w:ind w:firstLine="56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2021年因公出国（境）人数0人，公务接待0批次，0人，公务用车购置0辆，保有0辆。</w:t>
      </w:r>
    </w:p>
    <w:p>
      <w:pPr>
        <w:pStyle w:val="13"/>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t>四、机关运行经费情况</w:t>
      </w:r>
    </w:p>
    <w:p>
      <w:pPr>
        <w:shd w:val="clear" w:color="auto" w:fill="FFFFFF"/>
        <w:wordWrap w:val="0"/>
        <w:spacing w:line="240" w:lineRule="atLeast"/>
        <w:ind w:firstLine="56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2021年机关运行经费支出38.21万元，主要为保障单位运行和购买货物和服务的各项资金，包括办公费、水电费、邮电费、差旅费、日常维修（护）费及其他费用。</w:t>
      </w:r>
    </w:p>
    <w:p>
      <w:pPr>
        <w:pStyle w:val="13"/>
        <w:tabs>
          <w:tab w:val="right" w:leader="dot" w:pos="8307"/>
        </w:tabs>
        <w:ind w:firstLine="640" w:firstLineChars="200"/>
        <w:rPr>
          <w:rFonts w:ascii="黑体" w:hAnsi="黑体" w:eastAsia="黑体" w:cs="宋体"/>
          <w:color w:val="000000" w:themeColor="text1"/>
          <w:sz w:val="32"/>
          <w:szCs w:val="32"/>
        </w:rPr>
      </w:pPr>
      <w:bookmarkStart w:id="2" w:name="_Toc22795"/>
      <w:r>
        <w:rPr>
          <w:rFonts w:hint="eastAsia" w:ascii="黑体" w:hAnsi="黑体" w:eastAsia="黑体" w:cs="宋体"/>
          <w:color w:val="000000" w:themeColor="text1"/>
          <w:sz w:val="32"/>
          <w:szCs w:val="32"/>
        </w:rPr>
        <w:t>五、政府采购情况</w:t>
      </w:r>
      <w:bookmarkEnd w:id="2"/>
    </w:p>
    <w:p>
      <w:pPr>
        <w:shd w:val="clear" w:color="auto" w:fill="FFFFFF"/>
        <w:wordWrap w:val="0"/>
        <w:spacing w:line="240" w:lineRule="atLeast"/>
        <w:ind w:firstLine="56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2021年采购支出总额41.36万元，其中：政府采购货物支出1.23万元,占采购支出总额的2.98%;政府采购工程支出0万元，占采购支出总额的0%；政府服务支出40.13万元，占采购支出总额的97.02%。</w:t>
      </w:r>
    </w:p>
    <w:p>
      <w:pPr>
        <w:pStyle w:val="13"/>
        <w:tabs>
          <w:tab w:val="right" w:leader="dot" w:pos="8307"/>
        </w:tabs>
        <w:ind w:firstLine="640" w:firstLineChars="200"/>
        <w:rPr>
          <w:rFonts w:ascii="黑体" w:hAnsi="黑体" w:eastAsia="黑体" w:cs="宋体"/>
          <w:color w:val="000000" w:themeColor="text1"/>
          <w:sz w:val="32"/>
          <w:szCs w:val="32"/>
        </w:rPr>
      </w:pPr>
      <w:bookmarkStart w:id="3" w:name="_Toc26587"/>
      <w:r>
        <w:rPr>
          <w:rFonts w:hint="eastAsia" w:ascii="黑体" w:hAnsi="黑体" w:eastAsia="黑体" w:cs="宋体"/>
          <w:color w:val="000000" w:themeColor="text1"/>
          <w:sz w:val="32"/>
          <w:szCs w:val="32"/>
        </w:rPr>
        <w:t>六、国有资产占用情况</w:t>
      </w:r>
      <w:bookmarkEnd w:id="3"/>
    </w:p>
    <w:p>
      <w:pPr>
        <w:shd w:val="clear" w:color="auto" w:fill="FFFFFF"/>
        <w:wordWrap w:val="0"/>
        <w:spacing w:line="240" w:lineRule="atLeast"/>
        <w:ind w:firstLine="56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截至2021年12月31日，国有资产现值47.81万元。办公用房面积1400㎡，公务用车0辆，业务用车0辆。</w:t>
      </w:r>
    </w:p>
    <w:p>
      <w:pPr>
        <w:pStyle w:val="13"/>
        <w:tabs>
          <w:tab w:val="right" w:leader="dot" w:pos="8307"/>
        </w:tabs>
        <w:ind w:firstLine="640" w:firstLineChars="200"/>
        <w:rPr>
          <w:rFonts w:ascii="黑体" w:hAnsi="黑体" w:eastAsia="黑体" w:cs="宋体"/>
          <w:color w:val="000000" w:themeColor="text1"/>
          <w:sz w:val="32"/>
          <w:szCs w:val="32"/>
        </w:rPr>
      </w:pPr>
      <w:r>
        <w:rPr>
          <w:rFonts w:hint="eastAsia" w:ascii="黑体" w:hAnsi="黑体" w:eastAsia="黑体" w:cs="宋体"/>
          <w:color w:val="000000" w:themeColor="text1"/>
          <w:sz w:val="32"/>
          <w:szCs w:val="32"/>
        </w:rPr>
        <w:t>七、重点绩效评价情况</w:t>
      </w:r>
    </w:p>
    <w:p>
      <w:pPr>
        <w:shd w:val="clear" w:color="auto" w:fill="FFFFFF"/>
        <w:wordWrap w:val="0"/>
        <w:spacing w:line="240" w:lineRule="atLeast"/>
        <w:ind w:firstLine="560"/>
        <w:rPr>
          <w:rFonts w:ascii="仿宋" w:hAnsi="仿宋" w:eastAsia="仿宋" w:cs="宋体"/>
          <w:color w:val="000000" w:themeColor="text1"/>
          <w:kern w:val="0"/>
          <w:sz w:val="32"/>
          <w:szCs w:val="32"/>
        </w:rPr>
      </w:pPr>
      <w:r>
        <w:rPr>
          <w:rFonts w:hint="eastAsia" w:ascii="仿宋" w:hAnsi="仿宋" w:eastAsia="仿宋" w:cs="宋体"/>
          <w:color w:val="000000" w:themeColor="text1"/>
          <w:kern w:val="0"/>
          <w:sz w:val="32"/>
          <w:szCs w:val="32"/>
        </w:rPr>
        <w:t>2021年共开展重点绩效评价项目9个，评价结果为：政协会议费项目评价结果为优秀；政协会议专项经费项目评价结果为优秀；政协工作经费项目评价结果为优秀；政协常委培训费项目评价为优秀；元宵节灯展项目评价结果为优秀；乡镇政协委员活动经费项目评价为优秀；委员视察经费项目 评价为优秀；七大口政协工作联络经费项目评价为优秀；党群口元宵节宣传费用项目评价为优秀。</w:t>
      </w:r>
    </w:p>
    <w:p>
      <w:pPr>
        <w:pStyle w:val="13"/>
        <w:tabs>
          <w:tab w:val="right" w:leader="dot" w:pos="8307"/>
        </w:tabs>
        <w:jc w:val="center"/>
        <w:rPr>
          <w:rFonts w:ascii="华文中宋" w:hAnsi="华文中宋" w:eastAsia="华文中宋" w:cs="宋体"/>
          <w:color w:val="000000" w:themeColor="text1"/>
          <w:sz w:val="32"/>
          <w:szCs w:val="32"/>
        </w:rPr>
      </w:pPr>
      <w:r>
        <w:rPr>
          <w:rFonts w:hint="eastAsia" w:ascii="华文中宋" w:hAnsi="华文中宋" w:eastAsia="华文中宋" w:cs="宋体"/>
          <w:color w:val="000000" w:themeColor="text1"/>
          <w:sz w:val="32"/>
          <w:szCs w:val="32"/>
        </w:rPr>
        <w:t>第三部分  名词解释</w:t>
      </w:r>
    </w:p>
    <w:p>
      <w:pPr>
        <w:shd w:val="clear" w:color="auto" w:fill="FFFFFF"/>
        <w:spacing w:line="240" w:lineRule="atLeast"/>
        <w:ind w:firstLine="640" w:firstLineChars="200"/>
        <w:rPr>
          <w:rFonts w:ascii="仿宋" w:hAnsi="仿宋" w:eastAsia="仿宋" w:cs="仿宋"/>
          <w:color w:val="222222"/>
          <w:sz w:val="32"/>
          <w:szCs w:val="32"/>
        </w:rPr>
      </w:pPr>
      <w:r>
        <w:rPr>
          <w:rFonts w:hint="eastAsia" w:ascii="仿宋" w:hAnsi="仿宋" w:eastAsia="仿宋" w:cs="宋体"/>
          <w:color w:val="000000" w:themeColor="text1"/>
          <w:sz w:val="32"/>
          <w:szCs w:val="32"/>
        </w:rPr>
        <w:t>一、财政拨款收入：</w:t>
      </w:r>
      <w:r>
        <w:rPr>
          <w:rFonts w:hint="eastAsia" w:ascii="仿宋" w:hAnsi="仿宋" w:eastAsia="仿宋" w:cs="仿宋"/>
          <w:color w:val="333333"/>
          <w:sz w:val="32"/>
          <w:szCs w:val="32"/>
        </w:rPr>
        <w:t>指县级财政当年拨付的资金。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二、事业收入：</w:t>
      </w:r>
      <w:r>
        <w:rPr>
          <w:rFonts w:hint="eastAsia" w:ascii="仿宋" w:hAnsi="仿宋" w:eastAsia="仿宋" w:cs="仿宋"/>
          <w:color w:val="333333"/>
          <w:sz w:val="32"/>
          <w:szCs w:val="32"/>
        </w:rPr>
        <w:t>事业单位开展专业业务活动及辅助活动所取得的收入。</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三、其他收入：</w:t>
      </w:r>
      <w:r>
        <w:rPr>
          <w:rFonts w:hint="eastAsia" w:ascii="仿宋" w:hAnsi="仿宋" w:eastAsia="仿宋" w:cs="仿宋"/>
          <w:color w:val="333333"/>
          <w:sz w:val="32"/>
          <w:szCs w:val="32"/>
        </w:rPr>
        <w:t>指除上述“财政拨款收入”、“事业收入”等以外的收入，主要是存款利息收入等。</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四、年初结转和结余：</w:t>
      </w:r>
      <w:r>
        <w:rPr>
          <w:rFonts w:hint="eastAsia" w:ascii="仿宋" w:hAnsi="仿宋" w:eastAsia="仿宋" w:cs="仿宋"/>
          <w:color w:val="333333"/>
          <w:sz w:val="32"/>
          <w:szCs w:val="32"/>
        </w:rPr>
        <w:t>指以前年度工作目标尚未完成，结转到本年按有关规定继续使用的资金；或以前年度工作目标已完成，剩余的滚存资金。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五、支出：</w:t>
      </w:r>
      <w:r>
        <w:rPr>
          <w:rFonts w:hint="eastAsia" w:ascii="仿宋" w:hAnsi="仿宋" w:eastAsia="仿宋" w:cs="仿宋"/>
          <w:color w:val="333333"/>
          <w:sz w:val="32"/>
          <w:szCs w:val="32"/>
        </w:rPr>
        <w:t>指行政事业单位自身开展业务活动及其辅助活动使用各项资金发生的基本支出和项目支出。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六、年末结转和结余：</w:t>
      </w:r>
      <w:r>
        <w:rPr>
          <w:rFonts w:hint="eastAsia" w:ascii="仿宋" w:hAnsi="仿宋" w:eastAsia="仿宋" w:cs="仿宋"/>
          <w:color w:val="333333"/>
          <w:sz w:val="32"/>
          <w:szCs w:val="32"/>
        </w:rPr>
        <w:t>指本年和以前年度工作目标尚未完成，结转到以后年度按有关规定继续使用的资金；或本年和以前年度工作目标已完成，剩余的滚存资金。</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七、基本支出：</w:t>
      </w:r>
      <w:r>
        <w:rPr>
          <w:rFonts w:hint="eastAsia" w:ascii="仿宋" w:hAnsi="仿宋" w:eastAsia="仿宋" w:cs="仿宋"/>
          <w:color w:val="333333"/>
          <w:sz w:val="32"/>
          <w:szCs w:val="32"/>
        </w:rPr>
        <w:t>指为保障机构正常运转、完成日常工作任务而发生的人员支出和公用支出。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八、项目支出：</w:t>
      </w:r>
      <w:r>
        <w:rPr>
          <w:rFonts w:hint="eastAsia" w:ascii="仿宋" w:hAnsi="仿宋" w:eastAsia="仿宋" w:cs="仿宋"/>
          <w:color w:val="333333"/>
          <w:sz w:val="32"/>
          <w:szCs w:val="32"/>
        </w:rPr>
        <w:t>指在基本支出之外为完成特定行政任务和事业发展目标所发生的支出。</w:t>
      </w:r>
    </w:p>
    <w:p>
      <w:pPr>
        <w:shd w:val="clear" w:color="auto" w:fill="FFFFFF"/>
        <w:wordWrap w:val="0"/>
        <w:spacing w:line="240" w:lineRule="atLeast"/>
        <w:ind w:firstLine="560"/>
        <w:rPr>
          <w:rFonts w:ascii="仿宋" w:hAnsi="仿宋" w:eastAsia="仿宋" w:cs="仿宋"/>
          <w:color w:val="222222"/>
          <w:sz w:val="32"/>
          <w:szCs w:val="32"/>
        </w:rPr>
      </w:pPr>
      <w:r>
        <w:rPr>
          <w:rFonts w:hint="eastAsia" w:ascii="仿宋" w:hAnsi="仿宋" w:eastAsia="仿宋" w:cs="宋体"/>
          <w:color w:val="000000" w:themeColor="text1"/>
          <w:sz w:val="32"/>
          <w:szCs w:val="32"/>
        </w:rPr>
        <w:t>九、“三公”经费：</w:t>
      </w:r>
      <w:r>
        <w:rPr>
          <w:rFonts w:hint="eastAsia" w:ascii="仿宋" w:hAnsi="仿宋" w:eastAsia="仿宋" w:cs="仿宋"/>
          <w:color w:val="333333"/>
          <w:sz w:val="32"/>
          <w:szCs w:val="32"/>
        </w:rPr>
        <w:t>纳入县级财政预决算管理的“三公”经费，是指县级部门用财政拨款安排的因公出国（境）费、公务用车购置及运行费和公务接待费。</w:t>
      </w:r>
    </w:p>
    <w:p>
      <w:pPr>
        <w:pStyle w:val="13"/>
        <w:tabs>
          <w:tab w:val="right" w:leader="dot" w:pos="8307"/>
        </w:tabs>
        <w:ind w:firstLine="640" w:firstLineChars="200"/>
        <w:jc w:val="both"/>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十、机关运行经费：</w:t>
      </w:r>
      <w:r>
        <w:rPr>
          <w:rFonts w:hint="eastAsia" w:ascii="仿宋" w:hAnsi="仿宋" w:eastAsia="仿宋" w:cs="仿宋"/>
          <w:color w:val="333333"/>
          <w:sz w:val="32"/>
          <w:szCs w:val="32"/>
        </w:rPr>
        <w:t>指行政单位和参照公务员法管理的事业单位使用一般公共预算安排的基本支出中的日常公用经费支出。</w:t>
      </w:r>
    </w:p>
    <w:p>
      <w:pPr>
        <w:pStyle w:val="13"/>
        <w:tabs>
          <w:tab w:val="right" w:leader="dot" w:pos="8307"/>
        </w:tabs>
        <w:jc w:val="center"/>
        <w:rPr>
          <w:rFonts w:ascii="华文中宋" w:hAnsi="华文中宋" w:eastAsia="华文中宋" w:cs="宋体"/>
          <w:color w:val="000000" w:themeColor="text1"/>
          <w:sz w:val="32"/>
          <w:szCs w:val="32"/>
        </w:rPr>
      </w:pPr>
      <w:r>
        <w:rPr>
          <w:rFonts w:hint="eastAsia" w:ascii="华文中宋" w:hAnsi="华文中宋" w:eastAsia="华文中宋" w:cs="宋体"/>
          <w:color w:val="000000" w:themeColor="text1"/>
          <w:sz w:val="32"/>
          <w:szCs w:val="32"/>
        </w:rPr>
        <w:t>第四部分  2021年度部门决算表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1、收入支出决算总表(公开01表)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2、收入决算表(公开02表)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3、支出决算表(公开03表)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4、财政拨款收入支出决算总表(公开04表)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5、一般公共预算财政拨款支出决算表（一）(公开05表)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6、一般公共预算财政拨款支出决算表（二）(公开06表)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7、一般公共预算财政拨款“三公”经费支出决算表(公开07表)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8、政府性基金预算财政拨款收入支出决算表(公开08表)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9、国有资本经营预算财政拨款支出决算表(公开09表)</w:t>
      </w:r>
    </w:p>
    <w:p>
      <w:pPr>
        <w:pStyle w:val="13"/>
        <w:tabs>
          <w:tab w:val="right" w:leader="dot" w:pos="8307"/>
        </w:tabs>
        <w:rPr>
          <w:rFonts w:ascii="仿宋" w:hAnsi="仿宋" w:eastAsia="仿宋" w:cs="宋体"/>
          <w:color w:val="000000" w:themeColor="text1"/>
          <w:sz w:val="32"/>
          <w:szCs w:val="32"/>
        </w:rPr>
      </w:pPr>
      <w:r>
        <w:rPr>
          <w:rFonts w:hint="eastAsia" w:ascii="仿宋" w:hAnsi="仿宋" w:eastAsia="仿宋" w:cs="宋体"/>
          <w:color w:val="000000" w:themeColor="text1"/>
          <w:sz w:val="32"/>
          <w:szCs w:val="32"/>
        </w:rPr>
        <w:t>10、部门决算公开相关信息统计表(公开10表)</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宋体 !important">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8D246F"/>
    <w:multiLevelType w:val="singleLevel"/>
    <w:tmpl w:val="0E8D24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00DD0E0B"/>
    <w:rsid w:val="001949BF"/>
    <w:rsid w:val="00346B7B"/>
    <w:rsid w:val="00393E10"/>
    <w:rsid w:val="003E5A4C"/>
    <w:rsid w:val="007E5BF2"/>
    <w:rsid w:val="009A7CFB"/>
    <w:rsid w:val="009B56C9"/>
    <w:rsid w:val="00A06228"/>
    <w:rsid w:val="00A92864"/>
    <w:rsid w:val="00B45D96"/>
    <w:rsid w:val="00B47629"/>
    <w:rsid w:val="00B71256"/>
    <w:rsid w:val="00CD5794"/>
    <w:rsid w:val="00D9088A"/>
    <w:rsid w:val="00DD0E0B"/>
    <w:rsid w:val="00E2336F"/>
    <w:rsid w:val="00E523AD"/>
    <w:rsid w:val="00EE7D1D"/>
    <w:rsid w:val="00F70AE8"/>
    <w:rsid w:val="00FD4170"/>
    <w:rsid w:val="064047AA"/>
    <w:rsid w:val="0CE63968"/>
    <w:rsid w:val="12B74F93"/>
    <w:rsid w:val="1E8D1C15"/>
    <w:rsid w:val="23542FB4"/>
    <w:rsid w:val="37A14F8E"/>
    <w:rsid w:val="451C2AF9"/>
    <w:rsid w:val="533B33F8"/>
    <w:rsid w:val="53600F5C"/>
    <w:rsid w:val="5EAE4AA8"/>
    <w:rsid w:val="63182C81"/>
    <w:rsid w:val="6C9B36DD"/>
    <w:rsid w:val="765566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5"/>
    <w:autoRedefine/>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2"/>
    <w:autoRedefine/>
    <w:qFormat/>
    <w:uiPriority w:val="0"/>
    <w:pPr>
      <w:tabs>
        <w:tab w:val="center" w:pos="4153"/>
        <w:tab w:val="right" w:pos="8306"/>
      </w:tabs>
      <w:snapToGrid w:val="0"/>
      <w:jc w:val="left"/>
    </w:pPr>
    <w:rPr>
      <w:sz w:val="18"/>
      <w:szCs w:val="18"/>
    </w:rPr>
  </w:style>
  <w:style w:type="paragraph" w:styleId="4">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autoRedefine/>
    <w:qFormat/>
    <w:uiPriority w:val="39"/>
  </w:style>
  <w:style w:type="paragraph" w:styleId="6">
    <w:name w:val="toc 2"/>
    <w:basedOn w:val="1"/>
    <w:next w:val="1"/>
    <w:autoRedefine/>
    <w:qFormat/>
    <w:uiPriority w:val="39"/>
    <w:pPr>
      <w:ind w:left="420" w:leftChars="200"/>
    </w:pPr>
  </w:style>
  <w:style w:type="paragraph" w:styleId="7">
    <w:name w:val="Normal (Web)"/>
    <w:basedOn w:val="1"/>
    <w:qFormat/>
    <w:uiPriority w:val="99"/>
    <w:pPr>
      <w:spacing w:before="100" w:beforeAutospacing="1" w:after="100" w:afterAutospacing="1"/>
      <w:jc w:val="left"/>
    </w:pPr>
    <w:rPr>
      <w:rFonts w:cs="Times New Roman"/>
      <w:kern w:val="0"/>
      <w:sz w:val="24"/>
    </w:rPr>
  </w:style>
  <w:style w:type="character" w:styleId="10">
    <w:name w:val="Hyperlink"/>
    <w:autoRedefine/>
    <w:qFormat/>
    <w:uiPriority w:val="99"/>
    <w:rPr>
      <w:color w:val="0000FF"/>
      <w:u w:val="single"/>
    </w:rPr>
  </w:style>
  <w:style w:type="character" w:customStyle="1" w:styleId="11">
    <w:name w:val="页眉 Char"/>
    <w:basedOn w:val="9"/>
    <w:link w:val="4"/>
    <w:qFormat/>
    <w:uiPriority w:val="0"/>
    <w:rPr>
      <w:kern w:val="2"/>
      <w:sz w:val="18"/>
      <w:szCs w:val="18"/>
    </w:rPr>
  </w:style>
  <w:style w:type="character" w:customStyle="1" w:styleId="12">
    <w:name w:val="页脚 Char"/>
    <w:basedOn w:val="9"/>
    <w:link w:val="3"/>
    <w:autoRedefine/>
    <w:qFormat/>
    <w:uiPriority w:val="0"/>
    <w:rPr>
      <w:kern w:val="2"/>
      <w:sz w:val="18"/>
      <w:szCs w:val="18"/>
    </w:rPr>
  </w:style>
  <w:style w:type="paragraph" w:customStyle="1" w:styleId="13">
    <w:name w:val="WPSOffice手动目录 1"/>
    <w:autoRedefine/>
    <w:qFormat/>
    <w:uiPriority w:val="0"/>
    <w:rPr>
      <w:rFonts w:ascii="Times New Roman" w:hAnsi="Times New Roman" w:eastAsia="宋体" w:cs="Times New Roman"/>
      <w:lang w:val="en-US" w:eastAsia="zh-CN" w:bidi="ar-SA"/>
    </w:rPr>
  </w:style>
  <w:style w:type="paragraph" w:customStyle="1" w:styleId="14">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15">
    <w:name w:val="标题 1 Char"/>
    <w:basedOn w:val="9"/>
    <w:link w:val="2"/>
    <w:autoRedefine/>
    <w:qFormat/>
    <w:uiPriority w:val="0"/>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6622-83AA-468D-96E0-BB2BED11C22C}">
  <ds:schemaRefs/>
</ds:datastoreItem>
</file>

<file path=docProps/app.xml><?xml version="1.0" encoding="utf-8"?>
<Properties xmlns="http://schemas.openxmlformats.org/officeDocument/2006/extended-properties" xmlns:vt="http://schemas.openxmlformats.org/officeDocument/2006/docPropsVTypes">
  <Template>Normal</Template>
  <Pages>8</Pages>
  <Words>2719</Words>
  <Characters>526</Characters>
  <Lines>4</Lines>
  <Paragraphs>6</Paragraphs>
  <TotalTime>13</TotalTime>
  <ScaleCrop>false</ScaleCrop>
  <LinksUpToDate>false</LinksUpToDate>
  <CharactersWithSpaces>3239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2022-09-09T07:11:00Z</dcterms:created>
  <dc:creator>ZN</dc:creator>
  <cp:lastModifiedBy>彤彤彤</cp:lastModifiedBy>
  <cp:lastPrinted>2022-11-07T05:39:00Z</cp:lastPrinted>
  <dcterms:modified xsi:type="dcterms:W3CDTF">2024-04-16T10:28:56Z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1B14998B02B84A28BF473DAFE5DBA880_13</vt:lpwstr>
  </property>
</Properties>
</file>