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北高庙生态园绿化租地款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北高庙生态园绿化占用河东、同新、同福、同贺、坝里、背山6村农户土地939.6亩产生租地款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130.98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资金拨付合规率（%）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资金支付及时性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占用土地面积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产生租金总数（万）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根据到位资金，做到重点、公平公正、资金分配与资金管理办法相符。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科学预算，统筹安排，合理安排财政预算，为项目顺利实施提供保障。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项目负责人推进，各项工作责任到人、逐级审批、层层分管、环环相扣、各部门联动的管理机制，全力推进，全力推进项目。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