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大京水源一级保护区租地资金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大京水源一级保护区租地资金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在执行过程需中加强沟通，推动项目顺利进行。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9.78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96.47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依照相关规定建立健全规章制度，明确管理程序和岗位职责,细化工作,落实到人，认真做好项目建设相关工作，仔细规划项目各个阶段时间和相关内容，方便项目后续工作的展开。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占用租地亩数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租金支付合规率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租赁费支付及时性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土地补偿费亩均补偿标准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94.74%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5.26%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根据立项依据，做到立项依据充分，资金管理办法且符合规范等。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加强预算管理，完善预算测算体系，提高预算精准度。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尽量提高资金使用效率，体现出资金的使用价值。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提高执行效率，为项目的顺利实施提供动力。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