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下霍清风园文昌阁建设资金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文昌阁于2014年开工建设，总投资55万元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13546511766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在执行过程需中加强沟通，推动项目顺利进行。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25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规范日常管理，建立完善的后期管理制度，明确岗位职责，服务内容、服务标准等，规范服务行为，加强对建设工作的检查和管理，每年开展对项目内容的建设运行情况，进行检查评估，确保项目落实。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居民满意度（%）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债务偿还率（%）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人力成本占总成本比率（%）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建设工程合格率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科学预算，统筹安排，合理安排财政预算，为项目顺利实施提供保障。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尽量提高资金使用效率，体现出资金的使用价值。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强化施工管理和工程质量监督，派驻专业技术人员进行现场全方位管理，工程质量安全主管部门对工程质量安全进行监督检查。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