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行政赔偿资金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丹朱镇南鲍村村民罗仁胜起诉长子县政府强制拆除自己房屋一案，山西省高级人民法院审理终结，对罗仁胜做出行政赔偿。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5.57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赔偿金额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案件结案率（%）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支付准确率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依法行政能力提升认可度（%）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行政执法有责投诉数（次）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根据立项依据，做到立项依据充分，资金管理办法且符合规范等。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做好资料保存归档工作，建立健全档案管理。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