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园林绿化租地款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为打造美丽长子，园林局对环城林带以及城内和周边重点景点、重点路段进行绿化租用农户土地产生的租金，涉及我镇15村，总计租用土地3376.243亩，租地均价1391.38元/亩，合计总租金4697623.3元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刘林军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刘林军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13333554170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无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469.76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97.71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严格按照相关预算规定来完成本单位及项目的整体预算，尽量降低预算偏差。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租用土地亩数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租金支付合规率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工作开展及时度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租地均价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相关人员满意度（%）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94.74%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5.26%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农村环境生态环境改善情况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10%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项目负责人推进，各项工作责任到人、逐级审批、层层分管、环环相扣、各部门联动的管理机制，全力推进项目。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科学预算，统筹安排。合理安排财政预算，为项目顺利实施提供保障。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严格按照有关财经制度加强资金管理，做到正确合理使用各项资金。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密切关注目标任务开展情况，确保实际工作切合绩效目标，使绩效目标得到全面贯彻执行。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