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下霍村更换街巷路灯资金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村内路灯120盏全部更换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崔铁山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崔铁山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13546511766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无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5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96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保障核查工作顺利推进，完成良好。为今后项目储备、运转工作打下坚实基础。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路灯更换数量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数量落实率（%）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项目预算控制数（万）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工程完工及时度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村民满意度（%）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农村环境生态环境改善情况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项目负责人推进，各项工作责任到人、逐级审批、层层分管、环环相扣、各部门联动的管理机制，全力推进项目。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进一步强化预算管理意识，预算编制前多与有关各方面做好衔接沟通，提高预算编制的科学性、合理性、准确性。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严格按照有关财经制度加强资金管理，做到正确合理使用各项资金。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依照相关规定建立健全规章制度，明确管理程序和岗位职责,细化工作,落实到人，认真做好项目建设相关工作，做好资料保存归档工作，建立健全档案管理，档案归档管理有助于项目延续性发展。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