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下霍村白云山旅游区绿化租地资金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下霍村白云山旅游区绿化租地资金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预算执行进度和效率有待加强，经费支出的滞后延缓了预算执行进度。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11.7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80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良好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根据立项依据，做到立项依据充分，资金管理办法且符合规范等。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租赁费支付准确率（%）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租赁费支付及时性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租地面积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土地补偿费亩均补偿标准（元/亩）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提高项目决策的及时性，确保资金的时效性。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加强预算管理，完善预算测算体系，提高预算精准度。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依照相关规定建立健全规章制度，明确管理程序和岗位职责,细化工作,落实到人。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