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林业局绿化租地款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林业局组织实施的通道及景点绿化占用乡镇各村土地产生的租地款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王建军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18635502662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项目面积确认不及时，面积不够明确。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196.36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0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不合格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尽快解决项目面积问题，从新进行面积审核。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租赁费支付准确率（%）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土地补偿费亩均补偿标准（元/亩）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占用土地面积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租赁费支付及时性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区域绿化覆盖率（%）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提前进行土地面积的测量以及土地面积的核实，进行好资金规划。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严格按照相关预算规定来完成本单位及项目的整体预算，尽量降低预算偏差，坚持“量入为出，统筹兼顾，保证重点，收支平衡”的原则，科学合理编制单位预算。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严格按照相关办法及规定执行：资金实行专人管理、专户储存、专账核算、专项使用。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切实有效推进项目实施，确保按质量、按工期、按要求全面完成工程建设任务。合理安排，统筹兼顾，尽量缩短工程项目的实施周期。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