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文化广场租地款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在县城东租用同富村土地修建文化广场产生的租金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70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96.47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依照相关规定建立健全规章制度，明确管理程序和岗位职责,细化工作,落实到人，认真做好项目建设相关工作，仔细规划项目各个阶段时间和相关内容，方便项目后续工作的展开。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租用土地亩数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考核质量达标率（%）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每年支付租金额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租金支付及时度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94.74%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5.26%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运用绩效评价结果，改进管理、合理预算安排、根据评价结果落实修正绩效目标。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