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河东村水上公园租地补偿资金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河东村水上公园租地补偿资金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还需进一步提高项目管理制度执行的有效性，完善长效管理制度建设。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1.42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提前谋划，专人负责，健全项目进度管理制度，保证各项工作更好开展。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租赁费支付准确率（%）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土地补偿费亩均补偿标准（元/亩）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运用绩效评价结果，改进管理、合理预算安排、根据评价结果落实修正绩效目标。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保障核查工作顺利推进，完成良好，保障日常工作及时完成。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