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下霍村浊漳河河道治理工程租地款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河道治理占用6户村民19亩承包地，产生租金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崔铁山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崔铁山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13546511766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15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保障核查工作顺利推进，完成良好。为今后项目储备、运转工作打下坚实基础。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经费开支标准、定额制定的合理度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土地租赁面积（亩）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项目资金到位及时度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科学地编制项目预算，设定绩效指标目标，规范信息化管理。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加强指导的力度，加强对各部门申报项目的指导，制定实施方案，建立长效机制。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切实做好资金保障，重视对财政资金的管理，提高资金使用效益。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密切关注目标任务开展情况，确保实际工作切合绩效目标，使绩效目标得到全面贯彻执行。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