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同昱集贸市场建设资金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根据创建全国文明城市需要，同昱村修建集贸市场一处，对零散游商小贩规范化管理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李智秀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李智秀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15296654416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无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40.41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98.75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严格按照相关预算规定来完成本单位及项目的整体预算，尽量降低预算偏差，坚持“量入为出，统筹兼顾，保证重点，收支平衡”的原则，科学合理编制单位预算。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同昱集贸市场建筑面积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创建全国文明城市验收合格率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成功全国文明城市创建周期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本年度项目总投入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全面提升群众文明素质和社会文明程度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可持续普及推广文明新风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群众满意度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87.50%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12.5%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项目负责人推进，各项工作责任到人、逐级审批、层层分管、环环相扣、各部门联动的管理机制，全力推进项目。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进一步强化预算管理意识，预算编制前多与有关各方面做好衔接沟通，提高预算编制的科学性、合理性、准确性。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严格按照有关财经制度加强资金管理，做到正确合理使用各项资金。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密切关注目标任务开展情况，确保实际工作切合绩效目标，使绩效目标得到全面贯彻执行。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