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大李美丽乡村建设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大李村硬化主巷道500米，新挖排水渠6000平方米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李建彪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李建彪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15135520730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7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严格按照相关预算规定来完成本单位及项目的整体预算，尽量降低预算偏差，坚持“量入为出，统筹兼顾，保证重点，收支平衡”的原则，科学合理编制单位预算。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新挖排水渠面积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建设工程合格率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工程完工及时度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人力成本占总成本比率（%）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居民满意度（%）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项目负责人推进，各项工作责任到人、逐级审批、层层分管、环环相扣、各部门联动的管理机制，全力推进项目。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加强指导的力度，加强对各部门申报项目的指导，制定实施方案，建立长效机制。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密切关注目标任务开展情况，确保实际工作切合绩效目标，使绩效目标得到全面贯彻执行。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