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泊里、南刘两村环会堂道路改造租地补偿资金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泊里、南刘两村环会堂道路改造租地补偿资金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16.58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96.47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保障核查工作顺利推进，完成良好。为今后项目储备、运转工作打下坚实基础。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租金支付准确率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租赁费支付及时性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租地面积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土地补偿费亩均补偿标准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94.74%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5.26%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进一步强化预算管理意识，预算编制前多与有关各方面做好衔接沟通，提高预算编制的科学性、合理性、准确性。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密切关注目标任务开展情况，确保实际工作切合绩效目标，使绩效目标得到全面贯彻执行。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