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乡镇困难补助经费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乡镇支出严重不足，部分乡镇不仅办公简陋，甚至购买笔墨纸经费没有。大幅度提高管理经费标准，不仅可以缓解经费不足，干部待遇有望提高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李会斌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13834292655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乡镇支出严重不足，部分乡镇不仅办公简陋，甚至购买笔墨纸经费没有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保障乡镇工作的正常运转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覆盖乡村数量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农村日常工作完成率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工作内容与计划符合度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提升村干部工作积极性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提高农村工作服务水平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日常工作完成及时性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村干部满意度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乡镇工作经费成本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大幅度提高管理经费标准，不仅可以缓解经费不足，干部待遇有望提高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目标制定明确，政策和需求依据充分，资金按照次序支出严格按用途使用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按照财务管理规定支出，资金到位及时，对资金监管有力有效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报账手续，所有支出项目按照相关规定具备支出依据文件、有效凭证，符合报账程序和要求强化监督和财务公开管理，严格按照相关规定和工作量，经费年底同其他开支一起在政务公开栏公示，接受干部职工和群众监督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