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color w:val="000000" w:themeColor="text1"/>
          <w:sz w:val="44"/>
          <w:szCs w:val="44"/>
          <w14:textFill>
            <w14:solidFill>
              <w14:schemeClr w14:val="tx1"/>
            </w14:solidFill>
          </w14:textFill>
        </w:rPr>
      </w:pPr>
      <w:r>
        <w:rPr>
          <w:rFonts w:ascii="华文中宋" w:hAnsi="华文中宋" w:eastAsia="华文中宋"/>
          <w:color w:val="000000" w:themeColor="text1"/>
          <w:sz w:val="44"/>
          <w:szCs w:val="44"/>
          <w14:textFill>
            <w14:solidFill>
              <w14:schemeClr w14:val="tx1"/>
            </w14:solidFill>
          </w14:textFill>
        </w:rPr>
        <w:t>长子县</w:t>
      </w:r>
      <w:r>
        <w:rPr>
          <w:rFonts w:hint="eastAsia" w:ascii="华文中宋" w:hAnsi="华文中宋" w:eastAsia="华文中宋"/>
          <w:color w:val="000000" w:themeColor="text1"/>
          <w:sz w:val="44"/>
          <w:szCs w:val="44"/>
          <w:lang w:eastAsia="zh-CN"/>
          <w14:textFill>
            <w14:solidFill>
              <w14:schemeClr w14:val="tx1"/>
            </w14:solidFill>
          </w14:textFill>
        </w:rPr>
        <w:t>乡村振兴发展</w:t>
      </w:r>
      <w:r>
        <w:rPr>
          <w:rFonts w:ascii="华文中宋" w:hAnsi="华文中宋" w:eastAsia="华文中宋"/>
          <w:color w:val="000000" w:themeColor="text1"/>
          <w:sz w:val="44"/>
          <w:szCs w:val="44"/>
          <w14:textFill>
            <w14:solidFill>
              <w14:schemeClr w14:val="tx1"/>
            </w14:solidFill>
          </w14:textFill>
        </w:rPr>
        <w:t>中心</w:t>
      </w:r>
      <w:r>
        <w:rPr>
          <w:rFonts w:hint="eastAsia" w:ascii="华文中宋" w:hAnsi="华文中宋" w:eastAsia="华文中宋"/>
          <w:color w:val="000000" w:themeColor="text1"/>
          <w:sz w:val="44"/>
          <w:szCs w:val="44"/>
          <w14:textFill>
            <w14:solidFill>
              <w14:schemeClr w14:val="tx1"/>
            </w14:solidFill>
          </w14:textFill>
        </w:rPr>
        <w:t>决算公开报告</w:t>
      </w:r>
    </w:p>
    <w:p>
      <w:pPr>
        <w:pStyle w:val="12"/>
        <w:tabs>
          <w:tab w:val="right" w:leader="dot" w:pos="8307"/>
        </w:tabs>
        <w:jc w:val="center"/>
        <w:rPr>
          <w:rFonts w:ascii="华文中宋" w:hAnsi="华文中宋" w:eastAsia="华文中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shd w:val="pct10" w:color="auto" w:fill="FFFFFF"/>
          <w14:textFill>
            <w14:solidFill>
              <w14:schemeClr w14:val="tx1"/>
            </w14:solidFill>
          </w14:textFill>
        </w:rPr>
        <w:fldChar w:fldCharType="begin"/>
      </w:r>
      <w:r>
        <w:rPr>
          <w:rFonts w:hint="eastAsia" w:ascii="仿宋" w:hAnsi="仿宋" w:eastAsia="仿宋" w:cs="宋体"/>
          <w:color w:val="000000" w:themeColor="text1"/>
          <w:sz w:val="32"/>
          <w:szCs w:val="32"/>
          <w:shd w:val="pct10" w:color="auto" w:fill="FFFFFF"/>
          <w14:textFill>
            <w14:solidFill>
              <w14:schemeClr w14:val="tx1"/>
            </w14:solidFill>
          </w14:textFill>
        </w:rPr>
        <w:instrText xml:space="preserve">TOC \o "1-2" \h \u </w:instrText>
      </w:r>
      <w:r>
        <w:rPr>
          <w:rFonts w:hint="eastAsia" w:ascii="仿宋" w:hAnsi="仿宋" w:eastAsia="仿宋" w:cs="宋体"/>
          <w:color w:val="000000" w:themeColor="text1"/>
          <w:sz w:val="32"/>
          <w:szCs w:val="32"/>
          <w:shd w:val="pct10" w:color="auto" w:fill="FFFFFF"/>
          <w14:textFill>
            <w14:solidFill>
              <w14:schemeClr w14:val="tx1"/>
            </w14:solidFill>
          </w14:textFill>
        </w:rPr>
        <w:fldChar w:fldCharType="separate"/>
      </w:r>
      <w:r>
        <w:fldChar w:fldCharType="begin"/>
      </w:r>
      <w:r>
        <w:instrText xml:space="preserve"> HYPERLINK \l "_Toc30197" </w:instrText>
      </w:r>
      <w:r>
        <w:fldChar w:fldCharType="separate"/>
      </w:r>
      <w:r>
        <w:rPr>
          <w:rFonts w:hint="eastAsia" w:ascii="华文中宋" w:hAnsi="华文中宋" w:eastAsia="华文中宋" w:cs="宋体"/>
          <w:color w:val="000000" w:themeColor="text1"/>
          <w:sz w:val="32"/>
          <w:szCs w:val="32"/>
          <w14:textFill>
            <w14:solidFill>
              <w14:schemeClr w14:val="tx1"/>
            </w14:solidFill>
          </w14:textFill>
        </w:rPr>
        <w:t>第一部分  概况</w:t>
      </w:r>
      <w:r>
        <w:rPr>
          <w:rFonts w:hint="eastAsia" w:ascii="华文中宋" w:hAnsi="华文中宋" w:eastAsia="华文中宋" w:cs="宋体"/>
          <w:color w:val="000000" w:themeColor="text1"/>
          <w:sz w:val="32"/>
          <w:szCs w:val="32"/>
          <w14:textFill>
            <w14:solidFill>
              <w14:schemeClr w14:val="tx1"/>
            </w14:solidFill>
          </w14:textFill>
        </w:rPr>
        <w:fldChar w:fldCharType="end"/>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一、单位职责</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二、单位机构设置</w:t>
      </w:r>
    </w:p>
    <w:p>
      <w:pPr>
        <w:pStyle w:val="12"/>
        <w:tabs>
          <w:tab w:val="right" w:leader="dot" w:pos="8307"/>
        </w:tabs>
        <w:jc w:val="center"/>
        <w:rPr>
          <w:rFonts w:ascii="华文中宋" w:hAnsi="华文中宋" w:eastAsia="华文中宋" w:cs="宋体"/>
          <w:color w:val="000000" w:themeColor="text1"/>
          <w:sz w:val="32"/>
          <w:szCs w:val="32"/>
          <w14:textFill>
            <w14:solidFill>
              <w14:schemeClr w14:val="tx1"/>
            </w14:solidFill>
          </w14:textFill>
        </w:rPr>
      </w:pPr>
      <w:r>
        <w:fldChar w:fldCharType="begin"/>
      </w:r>
      <w:r>
        <w:instrText xml:space="preserve"> HYPERLINK \l "_Toc16415" </w:instrText>
      </w:r>
      <w:r>
        <w:fldChar w:fldCharType="separate"/>
      </w:r>
      <w:r>
        <w:rPr>
          <w:rFonts w:hint="eastAsia" w:ascii="华文中宋" w:hAnsi="华文中宋" w:eastAsia="华文中宋" w:cs="宋体"/>
          <w:color w:val="000000" w:themeColor="text1"/>
          <w:sz w:val="32"/>
          <w:szCs w:val="32"/>
          <w14:textFill>
            <w14:solidFill>
              <w14:schemeClr w14:val="tx1"/>
            </w14:solidFill>
          </w14:textFill>
        </w:rPr>
        <w:t>第二部分  2021年度单位决算情况说明</w:t>
      </w:r>
      <w:r>
        <w:rPr>
          <w:rFonts w:hint="eastAsia" w:ascii="华文中宋" w:hAnsi="华文中宋" w:eastAsia="华文中宋" w:cs="宋体"/>
          <w:color w:val="000000" w:themeColor="text1"/>
          <w:sz w:val="32"/>
          <w:szCs w:val="32"/>
          <w14:textFill>
            <w14:solidFill>
              <w14:schemeClr w14:val="tx1"/>
            </w14:solidFill>
          </w14:textFill>
        </w:rPr>
        <w:fldChar w:fldCharType="end"/>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fldChar w:fldCharType="begin"/>
      </w:r>
      <w:r>
        <w:instrText xml:space="preserve"> HYPERLINK \l "_Toc22078" </w:instrText>
      </w:r>
      <w:r>
        <w:fldChar w:fldCharType="separate"/>
      </w:r>
      <w:r>
        <w:rPr>
          <w:rFonts w:hint="eastAsia" w:ascii="仿宋" w:hAnsi="仿宋" w:eastAsia="仿宋" w:cs="宋体"/>
          <w:color w:val="000000" w:themeColor="text1"/>
          <w:sz w:val="32"/>
          <w:szCs w:val="32"/>
          <w14:textFill>
            <w14:solidFill>
              <w14:schemeClr w14:val="tx1"/>
            </w14:solidFill>
          </w14:textFill>
        </w:rPr>
        <w:t>一、收入情况</w:t>
      </w:r>
      <w:r>
        <w:rPr>
          <w:rFonts w:hint="eastAsia" w:ascii="仿宋" w:hAnsi="仿宋" w:eastAsia="仿宋" w:cs="宋体"/>
          <w:color w:val="000000" w:themeColor="text1"/>
          <w:sz w:val="32"/>
          <w:szCs w:val="32"/>
          <w14:textFill>
            <w14:solidFill>
              <w14:schemeClr w14:val="tx1"/>
            </w14:solidFill>
          </w14:textFill>
        </w:rPr>
        <w:fldChar w:fldCharType="end"/>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fldChar w:fldCharType="begin"/>
      </w:r>
      <w:r>
        <w:instrText xml:space="preserve"> HYPERLINK \l "_Toc27132" </w:instrText>
      </w:r>
      <w:r>
        <w:fldChar w:fldCharType="separate"/>
      </w:r>
      <w:r>
        <w:rPr>
          <w:rFonts w:hint="eastAsia" w:ascii="仿宋" w:hAnsi="仿宋" w:eastAsia="仿宋" w:cs="宋体"/>
          <w:color w:val="000000" w:themeColor="text1"/>
          <w:sz w:val="32"/>
          <w:szCs w:val="32"/>
          <w14:textFill>
            <w14:solidFill>
              <w14:schemeClr w14:val="tx1"/>
            </w14:solidFill>
          </w14:textFill>
        </w:rPr>
        <w:t>二、支出情况</w:t>
      </w:r>
      <w:r>
        <w:rPr>
          <w:rFonts w:hint="eastAsia" w:ascii="仿宋" w:hAnsi="仿宋" w:eastAsia="仿宋" w:cs="宋体"/>
          <w:color w:val="000000" w:themeColor="text1"/>
          <w:sz w:val="32"/>
          <w:szCs w:val="32"/>
          <w14:textFill>
            <w14:solidFill>
              <w14:schemeClr w14:val="tx1"/>
            </w14:solidFill>
          </w14:textFill>
        </w:rPr>
        <w:fldChar w:fldCharType="end"/>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三、“三公”经费情况</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四、机关运行经费情况</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五、政府采购情况</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六、国有资产占用情况</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七、重点绩效评价情况</w:t>
      </w:r>
    </w:p>
    <w:p>
      <w:pPr>
        <w:pStyle w:val="12"/>
        <w:tabs>
          <w:tab w:val="right" w:leader="dot" w:pos="8307"/>
        </w:tabs>
        <w:jc w:val="center"/>
        <w:rPr>
          <w:rFonts w:ascii="华文中宋" w:hAnsi="华文中宋" w:eastAsia="华文中宋" w:cs="宋体"/>
          <w:color w:val="000000" w:themeColor="text1"/>
          <w:sz w:val="32"/>
          <w:szCs w:val="32"/>
          <w14:textFill>
            <w14:solidFill>
              <w14:schemeClr w14:val="tx1"/>
            </w14:solidFill>
          </w14:textFill>
        </w:rPr>
      </w:pPr>
      <w:r>
        <w:rPr>
          <w:rFonts w:hint="eastAsia" w:ascii="华文中宋" w:hAnsi="华文中宋" w:eastAsia="华文中宋" w:cs="宋体"/>
          <w:color w:val="000000" w:themeColor="text1"/>
          <w:sz w:val="32"/>
          <w:szCs w:val="32"/>
          <w14:textFill>
            <w14:solidFill>
              <w14:schemeClr w14:val="tx1"/>
            </w14:solidFill>
          </w14:textFill>
        </w:rPr>
        <w:t>第三部分  名词解释</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 xml:space="preserve">一、财政拨款收入 </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二、事业收入</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三、其他收入</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四、年初结转和结余</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五、支出</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六、年末结转和结余</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七、基本支出</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八、项目支出</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九、“三公”经费</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十、机关运行经费</w:t>
      </w:r>
    </w:p>
    <w:p>
      <w:pPr>
        <w:pStyle w:val="12"/>
        <w:tabs>
          <w:tab w:val="right" w:leader="dot" w:pos="8307"/>
        </w:tabs>
        <w:jc w:val="center"/>
        <w:rPr>
          <w:rFonts w:ascii="华文中宋" w:hAnsi="华文中宋" w:eastAsia="华文中宋" w:cs="宋体"/>
          <w:color w:val="000000" w:themeColor="text1"/>
          <w:sz w:val="32"/>
          <w:szCs w:val="32"/>
          <w14:textFill>
            <w14:solidFill>
              <w14:schemeClr w14:val="tx1"/>
            </w14:solidFill>
          </w14:textFill>
        </w:rPr>
      </w:pPr>
      <w:r>
        <w:rPr>
          <w:rFonts w:hint="eastAsia" w:ascii="华文中宋" w:hAnsi="华文中宋" w:eastAsia="华文中宋" w:cs="宋体"/>
          <w:color w:val="000000" w:themeColor="text1"/>
          <w:sz w:val="32"/>
          <w:szCs w:val="32"/>
          <w14:textFill>
            <w14:solidFill>
              <w14:schemeClr w14:val="tx1"/>
            </w14:solidFill>
          </w14:textFill>
        </w:rPr>
        <w:t>第四部分  2021年度单位决算表</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1、收入支出决算总表(公开01表)</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2、收入决算表(公开02表)</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3、支出决算表(公开03表)</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4、财政拨款收入支出决算总表(公开04表)</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5、一般公共预算财政拨款支出决算表（一）(公开05表)</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6、一般公共预算财政拨款支出决算表（二）(公开06表)</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7、一般公共预算财政拨款“三公”经费支出决算表(公开07表)</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8、政府性基金预算财政拨款收入支出决算表(公开08表)</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9、国有资本经营预算财政拨款支出决算表(公开09表)</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10、单位决算公开相关信息统计表(公开10表)</w:t>
      </w:r>
    </w:p>
    <w:p>
      <w:pPr>
        <w:pStyle w:val="12"/>
        <w:tabs>
          <w:tab w:val="right" w:leader="dot" w:pos="8307"/>
        </w:tabs>
        <w:rPr>
          <w:rFonts w:ascii="仿宋" w:hAnsi="仿宋" w:eastAsia="仿宋" w:cs="宋体"/>
          <w:color w:val="000000" w:themeColor="text1"/>
          <w:sz w:val="32"/>
          <w:szCs w:val="32"/>
          <w:shd w:val="pct10" w:color="auto" w:fill="FFFFFF"/>
          <w14:textFill>
            <w14:solidFill>
              <w14:schemeClr w14:val="tx1"/>
            </w14:solidFill>
          </w14:textFill>
        </w:rPr>
      </w:pPr>
    </w:p>
    <w:p>
      <w:pPr>
        <w:pStyle w:val="12"/>
        <w:tabs>
          <w:tab w:val="right" w:leader="dot" w:pos="8307"/>
        </w:tabs>
        <w:rPr>
          <w:rFonts w:hAnsi="宋体"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shd w:val="pct10" w:color="auto" w:fill="FFFFFF"/>
          <w14:textFill>
            <w14:solidFill>
              <w14:schemeClr w14:val="tx1"/>
            </w14:solidFill>
          </w14:textFill>
        </w:rPr>
        <w:fldChar w:fldCharType="end"/>
      </w:r>
    </w:p>
    <w:p>
      <w:pPr>
        <w:wordWrap w:val="0"/>
        <w:spacing w:line="400" w:lineRule="atLeast"/>
        <w:jc w:val="center"/>
        <w:rPr>
          <w:rFonts w:ascii="宋体 !important" w:eastAsia="宋体 !important"/>
          <w:b/>
          <w:bCs/>
          <w:color w:val="000000" w:themeColor="text1"/>
          <w:sz w:val="36"/>
          <w:szCs w:val="36"/>
          <w14:textFill>
            <w14:solidFill>
              <w14:schemeClr w14:val="tx1"/>
            </w14:solidFill>
          </w14:textFill>
        </w:rPr>
      </w:pPr>
    </w:p>
    <w:p>
      <w:pPr>
        <w:wordWrap w:val="0"/>
        <w:spacing w:line="400" w:lineRule="atLeast"/>
        <w:jc w:val="center"/>
        <w:rPr>
          <w:rFonts w:ascii="宋体 !important" w:eastAsia="宋体 !important"/>
          <w:b/>
          <w:bCs/>
          <w:color w:val="000000" w:themeColor="text1"/>
          <w:sz w:val="36"/>
          <w:szCs w:val="36"/>
          <w14:textFill>
            <w14:solidFill>
              <w14:schemeClr w14:val="tx1"/>
            </w14:solidFill>
          </w14:textFill>
        </w:rPr>
      </w:pPr>
    </w:p>
    <w:p>
      <w:pPr>
        <w:wordWrap w:val="0"/>
        <w:spacing w:line="400" w:lineRule="atLeast"/>
        <w:jc w:val="center"/>
        <w:rPr>
          <w:rFonts w:ascii="宋体 !important" w:eastAsia="宋体 !important"/>
          <w:b/>
          <w:bCs/>
          <w:color w:val="000000" w:themeColor="text1"/>
          <w:sz w:val="36"/>
          <w:szCs w:val="36"/>
          <w14:textFill>
            <w14:solidFill>
              <w14:schemeClr w14:val="tx1"/>
            </w14:solidFill>
          </w14:textFill>
        </w:rPr>
      </w:pPr>
    </w:p>
    <w:p>
      <w:pPr>
        <w:wordWrap w:val="0"/>
        <w:spacing w:line="400" w:lineRule="atLeast"/>
        <w:jc w:val="center"/>
        <w:rPr>
          <w:rFonts w:ascii="宋体 !important" w:eastAsia="宋体 !important"/>
          <w:b/>
          <w:bCs/>
          <w:color w:val="000000" w:themeColor="text1"/>
          <w:sz w:val="36"/>
          <w:szCs w:val="36"/>
          <w14:textFill>
            <w14:solidFill>
              <w14:schemeClr w14:val="tx1"/>
            </w14:solidFill>
          </w14:textFill>
        </w:rPr>
      </w:pPr>
    </w:p>
    <w:p>
      <w:pPr>
        <w:wordWrap w:val="0"/>
        <w:spacing w:line="400" w:lineRule="atLeast"/>
        <w:jc w:val="center"/>
        <w:rPr>
          <w:rFonts w:ascii="宋体 !important" w:eastAsia="宋体 !important"/>
          <w:b/>
          <w:bCs/>
          <w:color w:val="000000" w:themeColor="text1"/>
          <w:sz w:val="36"/>
          <w:szCs w:val="36"/>
          <w14:textFill>
            <w14:solidFill>
              <w14:schemeClr w14:val="tx1"/>
            </w14:solidFill>
          </w14:textFill>
        </w:rPr>
      </w:pPr>
    </w:p>
    <w:p>
      <w:pPr>
        <w:wordWrap w:val="0"/>
        <w:spacing w:line="400" w:lineRule="atLeast"/>
        <w:jc w:val="center"/>
        <w:rPr>
          <w:rFonts w:ascii="宋体 !important" w:eastAsia="宋体 !important"/>
          <w:b/>
          <w:bCs/>
          <w:color w:val="000000" w:themeColor="text1"/>
          <w:sz w:val="36"/>
          <w:szCs w:val="36"/>
          <w14:textFill>
            <w14:solidFill>
              <w14:schemeClr w14:val="tx1"/>
            </w14:solidFill>
          </w14:textFill>
        </w:rPr>
      </w:pPr>
    </w:p>
    <w:p>
      <w:pPr>
        <w:wordWrap w:val="0"/>
        <w:spacing w:line="400" w:lineRule="atLeast"/>
        <w:jc w:val="center"/>
        <w:rPr>
          <w:rFonts w:ascii="宋体 !important" w:eastAsia="宋体 !important"/>
          <w:b/>
          <w:bCs/>
          <w:color w:val="000000" w:themeColor="text1"/>
          <w:sz w:val="36"/>
          <w:szCs w:val="36"/>
          <w14:textFill>
            <w14:solidFill>
              <w14:schemeClr w14:val="tx1"/>
            </w14:solidFill>
          </w14:textFill>
        </w:rPr>
      </w:pPr>
    </w:p>
    <w:p>
      <w:pPr>
        <w:jc w:val="center"/>
        <w:rPr>
          <w:rFonts w:ascii="华文中宋" w:hAnsi="华文中宋" w:eastAsia="华文中宋"/>
          <w:color w:val="000000" w:themeColor="text1"/>
          <w:sz w:val="44"/>
          <w:szCs w:val="44"/>
          <w14:textFill>
            <w14:solidFill>
              <w14:schemeClr w14:val="tx1"/>
            </w14:solidFill>
          </w14:textFill>
        </w:rPr>
      </w:pPr>
      <w:r>
        <w:rPr>
          <w:rFonts w:ascii="华文中宋" w:hAnsi="华文中宋" w:eastAsia="华文中宋"/>
          <w:color w:val="000000" w:themeColor="text1"/>
          <w:sz w:val="44"/>
          <w:szCs w:val="44"/>
          <w14:textFill>
            <w14:solidFill>
              <w14:schemeClr w14:val="tx1"/>
            </w14:solidFill>
          </w14:textFill>
        </w:rPr>
        <w:t>长子县</w:t>
      </w:r>
      <w:r>
        <w:rPr>
          <w:rFonts w:hint="eastAsia" w:ascii="华文中宋" w:hAnsi="华文中宋" w:eastAsia="华文中宋"/>
          <w:color w:val="000000" w:themeColor="text1"/>
          <w:sz w:val="44"/>
          <w:szCs w:val="44"/>
          <w:lang w:eastAsia="zh-CN"/>
          <w14:textFill>
            <w14:solidFill>
              <w14:schemeClr w14:val="tx1"/>
            </w14:solidFill>
          </w14:textFill>
        </w:rPr>
        <w:t>乡村振兴发展</w:t>
      </w:r>
      <w:r>
        <w:rPr>
          <w:rFonts w:ascii="华文中宋" w:hAnsi="华文中宋" w:eastAsia="华文中宋"/>
          <w:color w:val="000000" w:themeColor="text1"/>
          <w:sz w:val="44"/>
          <w:szCs w:val="44"/>
          <w14:textFill>
            <w14:solidFill>
              <w14:schemeClr w14:val="tx1"/>
            </w14:solidFill>
          </w14:textFill>
        </w:rPr>
        <w:t>中心</w:t>
      </w:r>
      <w:r>
        <w:rPr>
          <w:rFonts w:hint="eastAsia" w:ascii="华文中宋" w:hAnsi="华文中宋" w:eastAsia="华文中宋"/>
          <w:color w:val="000000" w:themeColor="text1"/>
          <w:sz w:val="44"/>
          <w:szCs w:val="44"/>
          <w14:textFill>
            <w14:solidFill>
              <w14:schemeClr w14:val="tx1"/>
            </w14:solidFill>
          </w14:textFill>
        </w:rPr>
        <w:t>决算公开报告</w:t>
      </w:r>
    </w:p>
    <w:p>
      <w:pPr>
        <w:wordWrap w:val="0"/>
        <w:spacing w:line="503" w:lineRule="atLeast"/>
        <w:jc w:val="center"/>
        <w:rPr>
          <w:rFonts w:ascii="宋体 !important" w:eastAsia="宋体 !important"/>
          <w:color w:val="000000" w:themeColor="text1"/>
          <w14:textFill>
            <w14:solidFill>
              <w14:schemeClr w14:val="tx1"/>
            </w14:solidFill>
          </w14:textFill>
        </w:rPr>
      </w:pPr>
      <w:r>
        <w:rPr>
          <w:rFonts w:hint="eastAsia"/>
          <w:b/>
          <w:bCs/>
          <w:color w:val="000000" w:themeColor="text1"/>
          <w:sz w:val="44"/>
          <w:szCs w:val="44"/>
          <w14:textFill>
            <w14:solidFill>
              <w14:schemeClr w14:val="tx1"/>
            </w14:solidFill>
          </w14:textFill>
        </w:rPr>
        <w:t> </w:t>
      </w:r>
    </w:p>
    <w:p>
      <w:pPr>
        <w:pStyle w:val="12"/>
        <w:tabs>
          <w:tab w:val="right" w:leader="dot" w:pos="8307"/>
        </w:tabs>
        <w:jc w:val="center"/>
        <w:rPr>
          <w:rFonts w:ascii="华文中宋" w:hAnsi="华文中宋" w:eastAsia="华文中宋" w:cs="宋体"/>
          <w:color w:val="000000" w:themeColor="text1"/>
          <w:sz w:val="32"/>
          <w:szCs w:val="32"/>
          <w14:textFill>
            <w14:solidFill>
              <w14:schemeClr w14:val="tx1"/>
            </w14:solidFill>
          </w14:textFill>
        </w:rPr>
      </w:pPr>
      <w:r>
        <w:fldChar w:fldCharType="begin"/>
      </w:r>
      <w:r>
        <w:instrText xml:space="preserve"> HYPERLINK \l "_Toc30197" </w:instrText>
      </w:r>
      <w:r>
        <w:fldChar w:fldCharType="separate"/>
      </w:r>
      <w:r>
        <w:rPr>
          <w:rFonts w:hint="eastAsia" w:ascii="华文中宋" w:hAnsi="华文中宋" w:eastAsia="华文中宋" w:cs="宋体"/>
          <w:color w:val="000000" w:themeColor="text1"/>
          <w:sz w:val="32"/>
          <w:szCs w:val="32"/>
          <w14:textFill>
            <w14:solidFill>
              <w14:schemeClr w14:val="tx1"/>
            </w14:solidFill>
          </w14:textFill>
        </w:rPr>
        <w:t>第一部分  概况</w:t>
      </w:r>
      <w:r>
        <w:rPr>
          <w:rFonts w:hint="eastAsia" w:ascii="华文中宋" w:hAnsi="华文中宋" w:eastAsia="华文中宋" w:cs="宋体"/>
          <w:color w:val="000000" w:themeColor="text1"/>
          <w:sz w:val="32"/>
          <w:szCs w:val="32"/>
          <w14:textFill>
            <w14:solidFill>
              <w14:schemeClr w14:val="tx1"/>
            </w14:solidFill>
          </w14:textFill>
        </w:rPr>
        <w:fldChar w:fldCharType="end"/>
      </w:r>
    </w:p>
    <w:p>
      <w:pPr>
        <w:pStyle w:val="12"/>
        <w:numPr>
          <w:ilvl w:val="0"/>
          <w:numId w:val="0"/>
        </w:numPr>
        <w:tabs>
          <w:tab w:val="right" w:leader="dot" w:pos="8307"/>
        </w:tabs>
        <w:ind w:leftChars="0" w:firstLine="640" w:firstLineChars="200"/>
        <w:rPr>
          <w:rFonts w:ascii="黑体" w:hAnsi="黑体" w:eastAsia="黑体" w:cs="宋体"/>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lang w:eastAsia="zh-CN"/>
          <w14:textFill>
            <w14:solidFill>
              <w14:schemeClr w14:val="tx1"/>
            </w14:solidFill>
          </w14:textFill>
        </w:rPr>
        <w:t>一、</w:t>
      </w:r>
      <w:r>
        <w:rPr>
          <w:rFonts w:hint="eastAsia" w:ascii="黑体" w:hAnsi="黑体" w:eastAsia="黑体" w:cs="宋体"/>
          <w:color w:val="000000" w:themeColor="text1"/>
          <w:sz w:val="32"/>
          <w:szCs w:val="32"/>
          <w14:textFill>
            <w14:solidFill>
              <w14:schemeClr w14:val="tx1"/>
            </w14:solidFill>
          </w14:textFill>
        </w:rPr>
        <w:t>单位职责</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1.为全县扶贫开发工作提供有关服务。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2.研究拟定全县开发工作计划和农村贫困人口各类实用技术的培训。</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3.承担扶贫开发项目实施管理。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4.指导检查和监督扶贫资金使用。</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5.对扶贫开发情况进行统计和动态监测。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6.指导全县扶贫信息统计工作。</w:t>
      </w:r>
    </w:p>
    <w:p>
      <w:pPr>
        <w:pStyle w:val="12"/>
        <w:tabs>
          <w:tab w:val="right" w:leader="dot" w:pos="8307"/>
        </w:tabs>
        <w:ind w:firstLine="640" w:firstLineChars="200"/>
        <w:rPr>
          <w:rFonts w:ascii="仿宋" w:hAnsi="仿宋" w:eastAsia="仿宋" w:cs="宋体"/>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二、单位机构设置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rPr>
      </w:pPr>
      <w:bookmarkStart w:id="0" w:name="_Toc22078"/>
      <w:r>
        <w:rPr>
          <w:rFonts w:hint="eastAsia" w:ascii="仿宋_GB2312" w:hAnsi="仿宋_GB2312" w:eastAsia="仿宋_GB2312" w:cs="仿宋_GB2312"/>
          <w:sz w:val="28"/>
          <w:szCs w:val="28"/>
        </w:rPr>
        <w:t>县</w:t>
      </w:r>
      <w:r>
        <w:rPr>
          <w:rFonts w:hint="eastAsia" w:ascii="仿宋_GB2312" w:hAnsi="仿宋_GB2312" w:eastAsia="仿宋_GB2312" w:cs="仿宋_GB2312"/>
          <w:sz w:val="28"/>
          <w:szCs w:val="28"/>
          <w:lang w:eastAsia="zh-CN"/>
        </w:rPr>
        <w:t>乡村振兴发展中心</w:t>
      </w:r>
      <w:r>
        <w:rPr>
          <w:rFonts w:hint="eastAsia" w:ascii="仿宋_GB2312" w:hAnsi="仿宋_GB2312" w:eastAsia="仿宋_GB2312" w:cs="仿宋_GB2312"/>
          <w:sz w:val="28"/>
          <w:szCs w:val="28"/>
        </w:rPr>
        <w:t>办公室编制8名。设主任1名，副主任1名；科员职数6名，分别为办公室、综合科、财务科、产业科、监测科、科教科。</w:t>
      </w:r>
    </w:p>
    <w:p>
      <w:pPr>
        <w:pStyle w:val="12"/>
        <w:tabs>
          <w:tab w:val="right" w:leader="dot" w:pos="8307"/>
        </w:tabs>
        <w:jc w:val="center"/>
        <w:rPr>
          <w:rFonts w:ascii="华文中宋" w:hAnsi="华文中宋" w:eastAsia="华文中宋" w:cs="宋体"/>
          <w:color w:val="000000" w:themeColor="text1"/>
          <w:sz w:val="32"/>
          <w:szCs w:val="32"/>
          <w14:textFill>
            <w14:solidFill>
              <w14:schemeClr w14:val="tx1"/>
            </w14:solidFill>
          </w14:textFill>
        </w:rPr>
      </w:pPr>
      <w:r>
        <w:rPr>
          <w:rFonts w:hint="eastAsia" w:ascii="华文中宋" w:hAnsi="华文中宋" w:eastAsia="华文中宋" w:cs="宋体"/>
          <w:color w:val="000000" w:themeColor="text1"/>
          <w:sz w:val="32"/>
          <w:szCs w:val="32"/>
          <w14:textFill>
            <w14:solidFill>
              <w14:schemeClr w14:val="tx1"/>
            </w14:solidFill>
          </w14:textFill>
        </w:rPr>
        <w:fldChar w:fldCharType="begin"/>
      </w:r>
      <w:r>
        <w:rPr>
          <w:rFonts w:hint="eastAsia" w:ascii="华文中宋" w:hAnsi="华文中宋" w:eastAsia="华文中宋" w:cs="宋体"/>
          <w:color w:val="000000" w:themeColor="text1"/>
          <w:sz w:val="32"/>
          <w:szCs w:val="32"/>
          <w14:textFill>
            <w14:solidFill>
              <w14:schemeClr w14:val="tx1"/>
            </w14:solidFill>
          </w14:textFill>
        </w:rPr>
        <w:instrText xml:space="preserve"> HYPERLINK \l "_Toc16415"</w:instrText>
      </w:r>
      <w:r>
        <w:rPr>
          <w:rFonts w:hint="eastAsia" w:ascii="华文中宋" w:hAnsi="华文中宋" w:eastAsia="华文中宋" w:cs="宋体"/>
          <w:color w:val="000000" w:themeColor="text1"/>
          <w:sz w:val="32"/>
          <w:szCs w:val="32"/>
          <w14:textFill>
            <w14:solidFill>
              <w14:schemeClr w14:val="tx1"/>
            </w14:solidFill>
          </w14:textFill>
        </w:rPr>
        <w:fldChar w:fldCharType="separate"/>
      </w:r>
      <w:r>
        <w:rPr>
          <w:rFonts w:hint="eastAsia" w:ascii="华文中宋" w:hAnsi="华文中宋" w:eastAsia="华文中宋" w:cs="宋体"/>
          <w:color w:val="000000" w:themeColor="text1"/>
          <w:sz w:val="32"/>
          <w:szCs w:val="32"/>
          <w14:textFill>
            <w14:solidFill>
              <w14:schemeClr w14:val="tx1"/>
            </w14:solidFill>
          </w14:textFill>
        </w:rPr>
        <w:t>第二部分  2021年度单位决算情况说明</w:t>
      </w:r>
      <w:r>
        <w:rPr>
          <w:rFonts w:hint="eastAsia" w:ascii="华文中宋" w:hAnsi="华文中宋" w:eastAsia="华文中宋" w:cs="宋体"/>
          <w:color w:val="000000" w:themeColor="text1"/>
          <w:sz w:val="32"/>
          <w:szCs w:val="32"/>
          <w14:textFill>
            <w14:solidFill>
              <w14:schemeClr w14:val="tx1"/>
            </w14:solidFill>
          </w14:textFill>
        </w:rPr>
        <w:fldChar w:fldCharType="end"/>
      </w:r>
    </w:p>
    <w:bookmarkEnd w:id="0"/>
    <w:p>
      <w:pPr>
        <w:pStyle w:val="12"/>
        <w:tabs>
          <w:tab w:val="right" w:leader="dot" w:pos="8307"/>
        </w:tabs>
        <w:ind w:firstLine="640" w:firstLineChars="200"/>
        <w:rPr>
          <w:rFonts w:ascii="黑体" w:hAnsi="黑体" w:eastAsia="黑体" w:cs="宋体"/>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fldChar w:fldCharType="begin"/>
      </w:r>
      <w:r>
        <w:rPr>
          <w:rFonts w:hint="eastAsia" w:ascii="黑体" w:hAnsi="黑体" w:eastAsia="黑体" w:cs="宋体"/>
          <w:color w:val="000000" w:themeColor="text1"/>
          <w:sz w:val="32"/>
          <w:szCs w:val="32"/>
          <w14:textFill>
            <w14:solidFill>
              <w14:schemeClr w14:val="tx1"/>
            </w14:solidFill>
          </w14:textFill>
        </w:rPr>
        <w:instrText xml:space="preserve"> HYPERLINK \l "_Toc22078"</w:instrText>
      </w:r>
      <w:r>
        <w:rPr>
          <w:rFonts w:hint="eastAsia" w:ascii="黑体" w:hAnsi="黑体" w:eastAsia="黑体" w:cs="宋体"/>
          <w:color w:val="000000" w:themeColor="text1"/>
          <w:sz w:val="32"/>
          <w:szCs w:val="32"/>
          <w14:textFill>
            <w14:solidFill>
              <w14:schemeClr w14:val="tx1"/>
            </w14:solidFill>
          </w14:textFill>
        </w:rPr>
        <w:fldChar w:fldCharType="separate"/>
      </w:r>
      <w:r>
        <w:rPr>
          <w:rFonts w:hint="eastAsia" w:ascii="黑体" w:hAnsi="黑体" w:eastAsia="黑体" w:cs="宋体"/>
          <w:color w:val="000000" w:themeColor="text1"/>
          <w:sz w:val="32"/>
          <w:szCs w:val="32"/>
          <w14:textFill>
            <w14:solidFill>
              <w14:schemeClr w14:val="tx1"/>
            </w14:solidFill>
          </w14:textFill>
        </w:rPr>
        <w:t>一、收入情况</w:t>
      </w:r>
      <w:r>
        <w:rPr>
          <w:rFonts w:hint="eastAsia" w:ascii="黑体" w:hAnsi="黑体" w:eastAsia="黑体" w:cs="宋体"/>
          <w:color w:val="000000" w:themeColor="text1"/>
          <w:sz w:val="32"/>
          <w:szCs w:val="32"/>
          <w14:textFill>
            <w14:solidFill>
              <w14:schemeClr w14:val="tx1"/>
            </w14:solidFill>
          </w14:textFill>
        </w:rPr>
        <w:fldChar w:fldCharType="end"/>
      </w:r>
    </w:p>
    <w:p>
      <w:pPr>
        <w:pStyle w:val="12"/>
        <w:tabs>
          <w:tab w:val="right" w:leader="dot" w:pos="8307"/>
        </w:tabs>
        <w:ind w:firstLine="640" w:firstLineChars="200"/>
        <w:jc w:val="both"/>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长子县</w:t>
      </w:r>
      <w:r>
        <w:rPr>
          <w:rFonts w:hint="eastAsia" w:ascii="仿宋_GB2312" w:hAnsi="仿宋_GB2312" w:eastAsia="仿宋_GB2312" w:cs="仿宋_GB2312"/>
          <w:sz w:val="28"/>
          <w:szCs w:val="28"/>
          <w:lang w:eastAsia="zh-CN"/>
        </w:rPr>
        <w:t>乡村振兴发展</w:t>
      </w:r>
      <w:r>
        <w:rPr>
          <w:rFonts w:hint="eastAsia" w:ascii="仿宋" w:hAnsi="仿宋" w:eastAsia="仿宋" w:cs="宋体"/>
          <w:color w:val="000000" w:themeColor="text1"/>
          <w:sz w:val="32"/>
          <w:szCs w:val="32"/>
          <w14:textFill>
            <w14:solidFill>
              <w14:schemeClr w14:val="tx1"/>
            </w14:solidFill>
          </w14:textFill>
        </w:rPr>
        <w:t>中心2021年收入2513</w:t>
      </w:r>
      <w:r>
        <w:rPr>
          <w:rFonts w:hint="eastAsia" w:ascii="仿宋" w:hAnsi="仿宋" w:eastAsia="仿宋" w:cs="宋体"/>
          <w:color w:val="000000" w:themeColor="text1"/>
          <w:sz w:val="32"/>
          <w:szCs w:val="32"/>
          <w:lang w:val="en-US" w:eastAsia="zh-CN"/>
          <w14:textFill>
            <w14:solidFill>
              <w14:schemeClr w14:val="tx1"/>
            </w14:solidFill>
          </w14:textFill>
        </w:rPr>
        <w:t>.</w:t>
      </w:r>
      <w:r>
        <w:rPr>
          <w:rFonts w:hint="eastAsia" w:ascii="仿宋" w:hAnsi="仿宋" w:eastAsia="仿宋" w:cs="宋体"/>
          <w:color w:val="000000" w:themeColor="text1"/>
          <w:sz w:val="32"/>
          <w:szCs w:val="32"/>
          <w14:textFill>
            <w14:solidFill>
              <w14:schemeClr w14:val="tx1"/>
            </w14:solidFill>
          </w14:textFill>
        </w:rPr>
        <w:t>43万元。其中：财政拨款资金收入</w:t>
      </w:r>
      <w:r>
        <w:rPr>
          <w:rFonts w:hint="eastAsia" w:ascii="仿宋" w:hAnsi="仿宋" w:eastAsia="仿宋" w:cs="宋体"/>
          <w:color w:val="000000" w:themeColor="text1"/>
          <w:sz w:val="32"/>
          <w:szCs w:val="32"/>
          <w:lang w:val="en-US" w:eastAsia="zh-CN"/>
          <w14:textFill>
            <w14:solidFill>
              <w14:schemeClr w14:val="tx1"/>
            </w14:solidFill>
          </w14:textFill>
        </w:rPr>
        <w:t>2513.43</w:t>
      </w:r>
      <w:r>
        <w:rPr>
          <w:rFonts w:hint="eastAsia" w:ascii="仿宋" w:hAnsi="仿宋" w:eastAsia="仿宋" w:cs="宋体"/>
          <w:color w:val="000000" w:themeColor="text1"/>
          <w:sz w:val="32"/>
          <w:szCs w:val="32"/>
          <w14:textFill>
            <w14:solidFill>
              <w14:schemeClr w14:val="tx1"/>
            </w14:solidFill>
          </w14:textFill>
        </w:rPr>
        <w:t>万元，占全部收入的100%。较2020年度</w:t>
      </w:r>
      <w:r>
        <w:rPr>
          <w:rFonts w:hint="eastAsia" w:ascii="仿宋" w:hAnsi="仿宋" w:eastAsia="仿宋" w:cs="宋体"/>
          <w:color w:val="000000" w:themeColor="text1"/>
          <w:sz w:val="32"/>
          <w:szCs w:val="32"/>
          <w:lang w:eastAsia="zh-CN"/>
          <w14:textFill>
            <w14:solidFill>
              <w14:schemeClr w14:val="tx1"/>
            </w14:solidFill>
          </w14:textFill>
        </w:rPr>
        <w:t>减少</w:t>
      </w:r>
      <w:r>
        <w:rPr>
          <w:rFonts w:hint="eastAsia" w:ascii="仿宋" w:hAnsi="仿宋" w:eastAsia="仿宋" w:cs="宋体"/>
          <w:color w:val="000000" w:themeColor="text1"/>
          <w:sz w:val="32"/>
          <w:szCs w:val="32"/>
          <w:lang w:val="en-US" w:eastAsia="zh-CN"/>
          <w14:textFill>
            <w14:solidFill>
              <w14:schemeClr w14:val="tx1"/>
            </w14:solidFill>
          </w14:textFill>
        </w:rPr>
        <w:t>1383.81</w:t>
      </w:r>
      <w:r>
        <w:rPr>
          <w:rFonts w:hint="eastAsia" w:ascii="仿宋" w:hAnsi="仿宋" w:eastAsia="仿宋" w:cs="宋体"/>
          <w:color w:val="000000" w:themeColor="text1"/>
          <w:sz w:val="32"/>
          <w:szCs w:val="32"/>
          <w14:textFill>
            <w14:solidFill>
              <w14:schemeClr w14:val="tx1"/>
            </w14:solidFill>
          </w14:textFill>
        </w:rPr>
        <w:t xml:space="preserve">  万元，</w:t>
      </w:r>
      <w:r>
        <w:rPr>
          <w:rFonts w:hint="eastAsia" w:ascii="仿宋" w:hAnsi="仿宋" w:eastAsia="仿宋" w:cs="宋体"/>
          <w:color w:val="000000" w:themeColor="text1"/>
          <w:sz w:val="32"/>
          <w:szCs w:val="32"/>
          <w:lang w:eastAsia="zh-CN"/>
          <w14:textFill>
            <w14:solidFill>
              <w14:schemeClr w14:val="tx1"/>
            </w14:solidFill>
          </w14:textFill>
        </w:rPr>
        <w:t>减少</w:t>
      </w:r>
      <w:r>
        <w:rPr>
          <w:rFonts w:hint="eastAsia" w:ascii="仿宋" w:hAnsi="仿宋" w:eastAsia="仿宋" w:cs="宋体"/>
          <w:color w:val="000000" w:themeColor="text1"/>
          <w:sz w:val="32"/>
          <w:szCs w:val="32"/>
          <w14:textFill>
            <w14:solidFill>
              <w14:schemeClr w14:val="tx1"/>
            </w14:solidFill>
          </w14:textFill>
        </w:rPr>
        <w:t>为</w:t>
      </w:r>
      <w:r>
        <w:rPr>
          <w:rFonts w:hint="eastAsia" w:ascii="仿宋" w:hAnsi="仿宋" w:eastAsia="仿宋" w:cs="宋体"/>
          <w:color w:val="000000" w:themeColor="text1"/>
          <w:sz w:val="32"/>
          <w:szCs w:val="32"/>
          <w:lang w:val="en-US" w:eastAsia="zh-CN"/>
          <w14:textFill>
            <w14:solidFill>
              <w14:schemeClr w14:val="tx1"/>
            </w14:solidFill>
          </w14:textFill>
        </w:rPr>
        <w:t>35</w:t>
      </w:r>
      <w:r>
        <w:rPr>
          <w:rFonts w:hint="eastAsia" w:ascii="仿宋" w:hAnsi="仿宋" w:eastAsia="仿宋" w:cs="宋体"/>
          <w:color w:val="000000" w:themeColor="text1"/>
          <w:sz w:val="32"/>
          <w:szCs w:val="32"/>
          <w14:textFill>
            <w14:solidFill>
              <w14:schemeClr w14:val="tx1"/>
            </w14:solidFill>
          </w14:textFill>
        </w:rPr>
        <w:t xml:space="preserve"> %。</w:t>
      </w:r>
      <w:r>
        <w:rPr>
          <w:rFonts w:hint="eastAsia" w:ascii="仿宋" w:hAnsi="仿宋" w:eastAsia="仿宋" w:cs="宋体"/>
          <w:color w:val="000000" w:themeColor="text1"/>
          <w:sz w:val="32"/>
          <w:szCs w:val="32"/>
          <w:lang w:eastAsia="zh-CN"/>
          <w14:textFill>
            <w14:solidFill>
              <w14:schemeClr w14:val="tx1"/>
            </w14:solidFill>
          </w14:textFill>
        </w:rPr>
        <w:t>减少</w:t>
      </w:r>
      <w:r>
        <w:rPr>
          <w:rFonts w:hint="eastAsia" w:ascii="仿宋" w:hAnsi="仿宋" w:eastAsia="仿宋" w:cs="宋体"/>
          <w:color w:val="000000" w:themeColor="text1"/>
          <w:sz w:val="32"/>
          <w:szCs w:val="32"/>
          <w14:textFill>
            <w14:solidFill>
              <w14:schemeClr w14:val="tx1"/>
            </w14:solidFill>
          </w14:textFill>
        </w:rPr>
        <w:t>的原因为：</w:t>
      </w:r>
      <w:r>
        <w:rPr>
          <w:rFonts w:hint="eastAsia" w:ascii="仿宋" w:hAnsi="仿宋" w:eastAsia="仿宋" w:cs="宋体"/>
          <w:color w:val="000000" w:themeColor="text1"/>
          <w:sz w:val="32"/>
          <w:szCs w:val="32"/>
          <w:lang w:val="en-US" w:eastAsia="zh-CN"/>
          <w14:textFill>
            <w14:solidFill>
              <w14:schemeClr w14:val="tx1"/>
            </w14:solidFill>
          </w14:textFill>
        </w:rPr>
        <w:t>2021年衔接推进乡村振兴资金专项资金列入其他单位预算</w:t>
      </w:r>
      <w:r>
        <w:rPr>
          <w:rFonts w:hint="eastAsia" w:ascii="仿宋" w:hAnsi="仿宋" w:eastAsia="仿宋" w:cs="宋体"/>
          <w:color w:val="000000" w:themeColor="text1"/>
          <w:sz w:val="32"/>
          <w:szCs w:val="32"/>
          <w14:textFill>
            <w14:solidFill>
              <w14:schemeClr w14:val="tx1"/>
            </w14:solidFill>
          </w14:textFill>
        </w:rPr>
        <w:t>。</w:t>
      </w:r>
      <w:r>
        <w:rPr>
          <w:rFonts w:ascii="仿宋" w:hAnsi="仿宋" w:eastAsia="仿宋" w:cs="宋体"/>
          <w:color w:val="000000" w:themeColor="text1"/>
          <w:sz w:val="32"/>
          <w:szCs w:val="32"/>
          <w14:textFill>
            <w14:solidFill>
              <w14:schemeClr w14:val="tx1"/>
            </w14:solidFill>
          </w14:textFill>
        </w:rPr>
        <w:t xml:space="preserve"> </w:t>
      </w:r>
    </w:p>
    <w:p>
      <w:pPr>
        <w:pStyle w:val="12"/>
        <w:tabs>
          <w:tab w:val="right" w:leader="dot" w:pos="8307"/>
        </w:tabs>
        <w:ind w:firstLine="640" w:firstLineChars="200"/>
        <w:rPr>
          <w:rFonts w:ascii="黑体" w:hAnsi="黑体" w:eastAsia="黑体" w:cs="宋体"/>
          <w:color w:val="000000" w:themeColor="text1"/>
          <w:sz w:val="32"/>
          <w:szCs w:val="32"/>
          <w14:textFill>
            <w14:solidFill>
              <w14:schemeClr w14:val="tx1"/>
            </w14:solidFill>
          </w14:textFill>
        </w:rPr>
      </w:pPr>
      <w:bookmarkStart w:id="1" w:name="_Toc27132"/>
      <w:r>
        <w:rPr>
          <w:rFonts w:hint="eastAsia" w:ascii="黑体" w:hAnsi="黑体" w:eastAsia="黑体" w:cs="宋体"/>
          <w:color w:val="000000" w:themeColor="text1"/>
          <w:sz w:val="32"/>
          <w:szCs w:val="32"/>
          <w14:textFill>
            <w14:solidFill>
              <w14:schemeClr w14:val="tx1"/>
            </w14:solidFill>
          </w14:textFill>
        </w:rPr>
        <w:t>二、支出情况</w:t>
      </w:r>
      <w:bookmarkEnd w:id="1"/>
    </w:p>
    <w:p>
      <w:pPr>
        <w:pStyle w:val="12"/>
        <w:tabs>
          <w:tab w:val="right" w:leader="dot" w:pos="8307"/>
        </w:tabs>
        <w:ind w:firstLine="640" w:firstLineChars="200"/>
        <w:jc w:val="both"/>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长子县</w:t>
      </w:r>
      <w:r>
        <w:rPr>
          <w:rFonts w:hint="eastAsia" w:ascii="仿宋_GB2312" w:hAnsi="仿宋_GB2312" w:eastAsia="仿宋_GB2312" w:cs="仿宋_GB2312"/>
          <w:sz w:val="28"/>
          <w:szCs w:val="28"/>
          <w:lang w:eastAsia="zh-CN"/>
        </w:rPr>
        <w:t>乡村振兴发展</w:t>
      </w:r>
      <w:r>
        <w:rPr>
          <w:rFonts w:hint="eastAsia" w:ascii="仿宋" w:hAnsi="仿宋" w:eastAsia="仿宋" w:cs="宋体"/>
          <w:color w:val="000000" w:themeColor="text1"/>
          <w:sz w:val="32"/>
          <w:szCs w:val="32"/>
          <w14:textFill>
            <w14:solidFill>
              <w14:schemeClr w14:val="tx1"/>
            </w14:solidFill>
          </w14:textFill>
        </w:rPr>
        <w:t>中心2021年支出</w:t>
      </w:r>
      <w:r>
        <w:rPr>
          <w:rFonts w:hint="eastAsia" w:ascii="仿宋" w:hAnsi="仿宋" w:eastAsia="仿宋" w:cs="宋体"/>
          <w:color w:val="000000" w:themeColor="text1"/>
          <w:sz w:val="32"/>
          <w:szCs w:val="32"/>
          <w:lang w:val="en-US" w:eastAsia="zh-CN"/>
          <w14:textFill>
            <w14:solidFill>
              <w14:schemeClr w14:val="tx1"/>
            </w14:solidFill>
          </w14:textFill>
        </w:rPr>
        <w:t>2586.4</w:t>
      </w:r>
      <w:r>
        <w:rPr>
          <w:rFonts w:hint="eastAsia" w:ascii="仿宋" w:hAnsi="仿宋" w:eastAsia="仿宋" w:cs="宋体"/>
          <w:color w:val="000000" w:themeColor="text1"/>
          <w:sz w:val="32"/>
          <w:szCs w:val="32"/>
          <w14:textFill>
            <w14:solidFill>
              <w14:schemeClr w14:val="tx1"/>
            </w14:solidFill>
          </w14:textFill>
        </w:rPr>
        <w:t>万元。其中：基本支出</w:t>
      </w:r>
      <w:r>
        <w:rPr>
          <w:rFonts w:hint="eastAsia" w:ascii="仿宋" w:hAnsi="仿宋" w:eastAsia="仿宋" w:cs="宋体"/>
          <w:color w:val="000000" w:themeColor="text1"/>
          <w:sz w:val="32"/>
          <w:szCs w:val="32"/>
          <w:lang w:val="en-US" w:eastAsia="zh-CN"/>
          <w14:textFill>
            <w14:solidFill>
              <w14:schemeClr w14:val="tx1"/>
            </w14:solidFill>
          </w14:textFill>
        </w:rPr>
        <w:t>68.6</w:t>
      </w:r>
      <w:r>
        <w:rPr>
          <w:rFonts w:hint="eastAsia" w:ascii="仿宋" w:hAnsi="仿宋" w:eastAsia="仿宋" w:cs="宋体"/>
          <w:color w:val="000000" w:themeColor="text1"/>
          <w:sz w:val="32"/>
          <w:szCs w:val="32"/>
          <w14:textFill>
            <w14:solidFill>
              <w14:schemeClr w14:val="tx1"/>
            </w14:solidFill>
          </w14:textFill>
        </w:rPr>
        <w:t>万元，占支出的</w:t>
      </w:r>
      <w:r>
        <w:rPr>
          <w:rFonts w:hint="eastAsia" w:ascii="仿宋" w:hAnsi="仿宋" w:eastAsia="仿宋" w:cs="宋体"/>
          <w:color w:val="000000" w:themeColor="text1"/>
          <w:sz w:val="32"/>
          <w:szCs w:val="32"/>
          <w:lang w:val="en-US" w:eastAsia="zh-CN"/>
          <w14:textFill>
            <w14:solidFill>
              <w14:schemeClr w14:val="tx1"/>
            </w14:solidFill>
          </w14:textFill>
        </w:rPr>
        <w:t>3</w:t>
      </w:r>
      <w:r>
        <w:rPr>
          <w:rFonts w:hint="eastAsia" w:ascii="仿宋" w:hAnsi="仿宋" w:eastAsia="仿宋" w:cs="宋体"/>
          <w:color w:val="000000" w:themeColor="text1"/>
          <w:sz w:val="32"/>
          <w:szCs w:val="32"/>
          <w14:textFill>
            <w14:solidFill>
              <w14:schemeClr w14:val="tx1"/>
            </w14:solidFill>
          </w14:textFill>
        </w:rPr>
        <w:t>%；项目支出</w:t>
      </w:r>
      <w:r>
        <w:rPr>
          <w:rFonts w:hint="eastAsia" w:ascii="仿宋" w:hAnsi="仿宋" w:eastAsia="仿宋" w:cs="宋体"/>
          <w:color w:val="000000" w:themeColor="text1"/>
          <w:sz w:val="32"/>
          <w:szCs w:val="32"/>
          <w:lang w:val="en-US" w:eastAsia="zh-CN"/>
          <w14:textFill>
            <w14:solidFill>
              <w14:schemeClr w14:val="tx1"/>
            </w14:solidFill>
          </w14:textFill>
        </w:rPr>
        <w:t>2517.8</w:t>
      </w:r>
      <w:r>
        <w:rPr>
          <w:rFonts w:hint="eastAsia" w:ascii="仿宋" w:hAnsi="仿宋" w:eastAsia="仿宋" w:cs="宋体"/>
          <w:color w:val="000000" w:themeColor="text1"/>
          <w:sz w:val="32"/>
          <w:szCs w:val="32"/>
          <w14:textFill>
            <w14:solidFill>
              <w14:schemeClr w14:val="tx1"/>
            </w14:solidFill>
          </w14:textFill>
        </w:rPr>
        <w:t>万元，占支出的</w:t>
      </w:r>
      <w:r>
        <w:rPr>
          <w:rFonts w:hint="eastAsia" w:ascii="仿宋" w:hAnsi="仿宋" w:eastAsia="仿宋" w:cs="宋体"/>
          <w:color w:val="000000" w:themeColor="text1"/>
          <w:sz w:val="32"/>
          <w:szCs w:val="32"/>
          <w:lang w:val="en-US" w:eastAsia="zh-CN"/>
          <w14:textFill>
            <w14:solidFill>
              <w14:schemeClr w14:val="tx1"/>
            </w14:solidFill>
          </w14:textFill>
        </w:rPr>
        <w:t>97</w:t>
      </w:r>
      <w:r>
        <w:rPr>
          <w:rFonts w:hint="eastAsia" w:ascii="仿宋" w:hAnsi="仿宋" w:eastAsia="仿宋" w:cs="宋体"/>
          <w:color w:val="000000" w:themeColor="text1"/>
          <w:sz w:val="32"/>
          <w:szCs w:val="32"/>
          <w14:textFill>
            <w14:solidFill>
              <w14:schemeClr w14:val="tx1"/>
            </w14:solidFill>
          </w14:textFill>
        </w:rPr>
        <w:t>%。较2020年度比较</w:t>
      </w:r>
      <w:r>
        <w:rPr>
          <w:rFonts w:hint="eastAsia" w:ascii="仿宋" w:hAnsi="仿宋" w:eastAsia="仿宋" w:cs="宋体"/>
          <w:color w:val="000000" w:themeColor="text1"/>
          <w:sz w:val="32"/>
          <w:szCs w:val="32"/>
          <w:lang w:eastAsia="zh-CN"/>
          <w14:textFill>
            <w14:solidFill>
              <w14:schemeClr w14:val="tx1"/>
            </w14:solidFill>
          </w14:textFill>
        </w:rPr>
        <w:t>减少</w:t>
      </w:r>
      <w:r>
        <w:rPr>
          <w:rFonts w:hint="eastAsia" w:ascii="仿宋" w:hAnsi="仿宋" w:eastAsia="仿宋" w:cs="宋体"/>
          <w:color w:val="000000" w:themeColor="text1"/>
          <w:sz w:val="32"/>
          <w:szCs w:val="32"/>
          <w:lang w:val="en-US" w:eastAsia="zh-CN"/>
          <w14:textFill>
            <w14:solidFill>
              <w14:schemeClr w14:val="tx1"/>
            </w14:solidFill>
          </w14:textFill>
        </w:rPr>
        <w:t>1321.52</w:t>
      </w:r>
      <w:r>
        <w:rPr>
          <w:rFonts w:hint="eastAsia" w:ascii="仿宋" w:hAnsi="仿宋" w:eastAsia="仿宋" w:cs="宋体"/>
          <w:color w:val="000000" w:themeColor="text1"/>
          <w:sz w:val="32"/>
          <w:szCs w:val="32"/>
          <w14:textFill>
            <w14:solidFill>
              <w14:schemeClr w14:val="tx1"/>
            </w14:solidFill>
          </w14:textFill>
        </w:rPr>
        <w:t>万元，</w:t>
      </w:r>
      <w:r>
        <w:rPr>
          <w:rFonts w:hint="eastAsia" w:ascii="仿宋" w:hAnsi="仿宋" w:eastAsia="仿宋" w:cs="宋体"/>
          <w:color w:val="000000" w:themeColor="text1"/>
          <w:sz w:val="32"/>
          <w:szCs w:val="32"/>
          <w:lang w:eastAsia="zh-CN"/>
          <w14:textFill>
            <w14:solidFill>
              <w14:schemeClr w14:val="tx1"/>
            </w14:solidFill>
          </w14:textFill>
        </w:rPr>
        <w:t>降</w:t>
      </w:r>
      <w:r>
        <w:rPr>
          <w:rFonts w:hint="eastAsia" w:ascii="仿宋" w:hAnsi="仿宋" w:eastAsia="仿宋" w:cs="宋体"/>
          <w:color w:val="000000" w:themeColor="text1"/>
          <w:sz w:val="32"/>
          <w:szCs w:val="32"/>
          <w14:textFill>
            <w14:solidFill>
              <w14:schemeClr w14:val="tx1"/>
            </w14:solidFill>
          </w14:textFill>
        </w:rPr>
        <w:t>幅为</w:t>
      </w:r>
      <w:r>
        <w:rPr>
          <w:rFonts w:hint="eastAsia" w:ascii="仿宋" w:hAnsi="仿宋" w:eastAsia="仿宋" w:cs="宋体"/>
          <w:color w:val="000000" w:themeColor="text1"/>
          <w:sz w:val="32"/>
          <w:szCs w:val="32"/>
          <w:lang w:val="en-US" w:eastAsia="zh-CN"/>
          <w14:textFill>
            <w14:solidFill>
              <w14:schemeClr w14:val="tx1"/>
            </w14:solidFill>
          </w14:textFill>
        </w:rPr>
        <w:t>34</w:t>
      </w:r>
      <w:r>
        <w:rPr>
          <w:rFonts w:hint="eastAsia" w:ascii="仿宋" w:hAnsi="仿宋" w:eastAsia="仿宋" w:cs="宋体"/>
          <w:color w:val="000000" w:themeColor="text1"/>
          <w:sz w:val="32"/>
          <w:szCs w:val="32"/>
          <w14:textFill>
            <w14:solidFill>
              <w14:schemeClr w14:val="tx1"/>
            </w14:solidFill>
          </w14:textFill>
        </w:rPr>
        <w:t>%。</w:t>
      </w:r>
      <w:r>
        <w:rPr>
          <w:rFonts w:hint="eastAsia" w:ascii="仿宋" w:hAnsi="仿宋" w:eastAsia="仿宋" w:cs="宋体"/>
          <w:color w:val="000000" w:themeColor="text1"/>
          <w:sz w:val="32"/>
          <w:szCs w:val="32"/>
          <w:lang w:eastAsia="zh-CN"/>
          <w14:textFill>
            <w14:solidFill>
              <w14:schemeClr w14:val="tx1"/>
            </w14:solidFill>
          </w14:textFill>
        </w:rPr>
        <w:t>减少</w:t>
      </w:r>
      <w:r>
        <w:rPr>
          <w:rFonts w:hint="eastAsia" w:ascii="仿宋" w:hAnsi="仿宋" w:eastAsia="仿宋" w:cs="宋体"/>
          <w:color w:val="000000" w:themeColor="text1"/>
          <w:sz w:val="32"/>
          <w:szCs w:val="32"/>
          <w14:textFill>
            <w14:solidFill>
              <w14:schemeClr w14:val="tx1"/>
            </w14:solidFill>
          </w14:textFill>
        </w:rPr>
        <w:t>的原因为：</w:t>
      </w:r>
      <w:r>
        <w:rPr>
          <w:rFonts w:hint="eastAsia" w:ascii="仿宋" w:hAnsi="仿宋" w:eastAsia="仿宋" w:cs="宋体"/>
          <w:color w:val="000000" w:themeColor="text1"/>
          <w:sz w:val="32"/>
          <w:szCs w:val="32"/>
          <w:lang w:val="en-US" w:eastAsia="zh-CN"/>
          <w14:textFill>
            <w14:solidFill>
              <w14:schemeClr w14:val="tx1"/>
            </w14:solidFill>
          </w14:textFill>
        </w:rPr>
        <w:t>2021年衔接推进乡村振兴资金专项资金列入其他单位预算,故相应支出减少。</w:t>
      </w:r>
      <w:r>
        <w:rPr>
          <w:rFonts w:ascii="仿宋" w:hAnsi="仿宋" w:eastAsia="仿宋" w:cs="宋体"/>
          <w:color w:val="000000" w:themeColor="text1"/>
          <w:sz w:val="32"/>
          <w:szCs w:val="32"/>
          <w14:textFill>
            <w14:solidFill>
              <w14:schemeClr w14:val="tx1"/>
            </w14:solidFill>
          </w14:textFill>
        </w:rPr>
        <w:t xml:space="preserve"> </w:t>
      </w:r>
    </w:p>
    <w:p>
      <w:pPr>
        <w:wordWrap w:val="0"/>
        <w:spacing w:line="240" w:lineRule="atLeast"/>
        <w:ind w:firstLine="561"/>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1.基本支出</w:t>
      </w:r>
      <w:r>
        <w:rPr>
          <w:rFonts w:hint="eastAsia" w:ascii="仿宋" w:hAnsi="仿宋" w:eastAsia="仿宋" w:cs="仿宋"/>
          <w:color w:val="000000" w:themeColor="text1"/>
          <w:sz w:val="32"/>
          <w:szCs w:val="32"/>
          <w:lang w:val="en-US" w:eastAsia="zh-CN"/>
          <w14:textFill>
            <w14:solidFill>
              <w14:schemeClr w14:val="tx1"/>
            </w14:solidFill>
          </w14:textFill>
        </w:rPr>
        <w:t>68.6</w:t>
      </w:r>
      <w:r>
        <w:rPr>
          <w:rFonts w:hint="eastAsia" w:ascii="仿宋" w:hAnsi="仿宋" w:eastAsia="仿宋" w:cs="仿宋"/>
          <w:color w:val="000000" w:themeColor="text1"/>
          <w:sz w:val="32"/>
          <w:szCs w:val="32"/>
          <w14:textFill>
            <w14:solidFill>
              <w14:schemeClr w14:val="tx1"/>
            </w14:solidFill>
          </w14:textFill>
        </w:rPr>
        <w:t>万元。其中：人员经费</w:t>
      </w:r>
      <w:r>
        <w:rPr>
          <w:rFonts w:hint="eastAsia" w:ascii="仿宋" w:hAnsi="仿宋" w:eastAsia="仿宋" w:cs="仿宋"/>
          <w:color w:val="000000" w:themeColor="text1"/>
          <w:sz w:val="32"/>
          <w:szCs w:val="32"/>
          <w:lang w:val="en-US" w:eastAsia="zh-CN"/>
          <w14:textFill>
            <w14:solidFill>
              <w14:schemeClr w14:val="tx1"/>
            </w14:solidFill>
          </w14:textFill>
        </w:rPr>
        <w:t>59.93</w:t>
      </w:r>
      <w:r>
        <w:rPr>
          <w:rFonts w:hint="eastAsia" w:ascii="仿宋" w:hAnsi="仿宋" w:eastAsia="仿宋" w:cs="仿宋"/>
          <w:color w:val="000000" w:themeColor="text1"/>
          <w:sz w:val="32"/>
          <w:szCs w:val="32"/>
          <w14:textFill>
            <w14:solidFill>
              <w14:schemeClr w14:val="tx1"/>
            </w14:solidFill>
          </w14:textFill>
        </w:rPr>
        <w:t>万元，主要包括统发工资、津贴补贴等；公用经费</w:t>
      </w:r>
      <w:r>
        <w:rPr>
          <w:rFonts w:hint="eastAsia" w:ascii="仿宋" w:hAnsi="仿宋" w:eastAsia="仿宋" w:cs="仿宋"/>
          <w:color w:val="000000" w:themeColor="text1"/>
          <w:sz w:val="32"/>
          <w:szCs w:val="32"/>
          <w:lang w:val="en-US" w:eastAsia="zh-CN"/>
          <w14:textFill>
            <w14:solidFill>
              <w14:schemeClr w14:val="tx1"/>
            </w14:solidFill>
          </w14:textFill>
        </w:rPr>
        <w:t>8.67</w:t>
      </w:r>
      <w:r>
        <w:rPr>
          <w:rFonts w:hint="eastAsia" w:ascii="仿宋" w:hAnsi="仿宋" w:eastAsia="仿宋" w:cs="仿宋"/>
          <w:color w:val="000000" w:themeColor="text1"/>
          <w:sz w:val="32"/>
          <w:szCs w:val="32"/>
          <w14:textFill>
            <w14:solidFill>
              <w14:schemeClr w14:val="tx1"/>
            </w14:solidFill>
          </w14:textFill>
        </w:rPr>
        <w:t>万元，主要包括：办公费、印刷费、水费、电费、邮电费、差旅费、办公设备购置、其他商品和服务支出等。</w:t>
      </w:r>
    </w:p>
    <w:p>
      <w:pPr>
        <w:wordWrap w:val="0"/>
        <w:spacing w:line="240" w:lineRule="atLeast"/>
        <w:ind w:firstLine="56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2.项目支出</w:t>
      </w:r>
      <w:r>
        <w:rPr>
          <w:rFonts w:hint="eastAsia" w:ascii="仿宋" w:hAnsi="仿宋" w:eastAsia="仿宋" w:cs="仿宋"/>
          <w:color w:val="000000" w:themeColor="text1"/>
          <w:sz w:val="32"/>
          <w:szCs w:val="32"/>
          <w:lang w:val="en-US" w:eastAsia="zh-CN"/>
          <w14:textFill>
            <w14:solidFill>
              <w14:schemeClr w14:val="tx1"/>
            </w14:solidFill>
          </w14:textFill>
        </w:rPr>
        <w:t>2517.8</w:t>
      </w:r>
      <w:r>
        <w:rPr>
          <w:rFonts w:hint="eastAsia" w:ascii="仿宋" w:hAnsi="仿宋" w:eastAsia="仿宋" w:cs="仿宋"/>
          <w:color w:val="000000" w:themeColor="text1"/>
          <w:sz w:val="32"/>
          <w:szCs w:val="32"/>
          <w14:textFill>
            <w14:solidFill>
              <w14:schemeClr w14:val="tx1"/>
            </w14:solidFill>
          </w14:textFill>
        </w:rPr>
        <w:t>万元。</w:t>
      </w:r>
    </w:p>
    <w:p>
      <w:pPr>
        <w:wordWrap w:val="0"/>
        <w:spacing w:line="240" w:lineRule="atLeast"/>
        <w:ind w:firstLine="561"/>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其中：项目支出</w:t>
      </w:r>
      <w:r>
        <w:rPr>
          <w:rFonts w:hint="eastAsia" w:ascii="仿宋" w:hAnsi="仿宋" w:eastAsia="仿宋" w:cs="仿宋"/>
          <w:color w:val="000000" w:themeColor="text1"/>
          <w:sz w:val="32"/>
          <w:szCs w:val="32"/>
          <w:lang w:val="en-US" w:eastAsia="zh-CN"/>
          <w14:textFill>
            <w14:solidFill>
              <w14:schemeClr w14:val="tx1"/>
            </w14:solidFill>
          </w14:textFill>
        </w:rPr>
        <w:t>2517.8</w:t>
      </w:r>
      <w:r>
        <w:rPr>
          <w:rFonts w:hint="eastAsia" w:ascii="仿宋" w:hAnsi="仿宋" w:eastAsia="仿宋" w:cs="仿宋"/>
          <w:color w:val="000000" w:themeColor="text1"/>
          <w:sz w:val="32"/>
          <w:szCs w:val="32"/>
          <w14:textFill>
            <w14:solidFill>
              <w14:schemeClr w14:val="tx1"/>
            </w14:solidFill>
          </w14:textFill>
        </w:rPr>
        <w:t>万元，主要用于</w:t>
      </w:r>
      <w:r>
        <w:rPr>
          <w:rFonts w:hint="eastAsia" w:ascii="仿宋" w:hAnsi="仿宋" w:eastAsia="仿宋" w:cs="仿宋"/>
          <w:color w:val="000000" w:themeColor="text1"/>
          <w:sz w:val="32"/>
          <w:szCs w:val="32"/>
          <w:lang w:eastAsia="zh-CN"/>
          <w14:textFill>
            <w14:solidFill>
              <w14:schemeClr w14:val="tx1"/>
            </w14:solidFill>
          </w14:textFill>
        </w:rPr>
        <w:t>农业生产发展</w:t>
      </w:r>
      <w:r>
        <w:rPr>
          <w:rFonts w:hint="eastAsia" w:ascii="仿宋" w:hAnsi="仿宋" w:eastAsia="仿宋" w:cs="仿宋"/>
          <w:color w:val="000000" w:themeColor="text1"/>
          <w:sz w:val="32"/>
          <w:szCs w:val="32"/>
          <w:lang w:val="en-US" w:eastAsia="zh-CN"/>
          <w14:textFill>
            <w14:solidFill>
              <w14:schemeClr w14:val="tx1"/>
            </w14:solidFill>
          </w14:textFill>
        </w:rPr>
        <w:t>150万元</w:t>
      </w:r>
      <w:r>
        <w:rPr>
          <w:rFonts w:hint="eastAsia" w:ascii="仿宋" w:hAnsi="仿宋" w:eastAsia="仿宋" w:cs="仿宋"/>
          <w:color w:val="000000" w:themeColor="text1"/>
          <w:sz w:val="32"/>
          <w:szCs w:val="32"/>
          <w:lang w:eastAsia="zh-CN"/>
          <w14:textFill>
            <w14:solidFill>
              <w14:schemeClr w14:val="tx1"/>
            </w14:solidFill>
          </w14:textFill>
        </w:rPr>
        <w:t>、农村社会事业</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、农村村组道路建设</w:t>
      </w:r>
      <w:r>
        <w:rPr>
          <w:rFonts w:hint="eastAsia" w:ascii="仿宋" w:hAnsi="仿宋" w:eastAsia="仿宋" w:cs="仿宋"/>
          <w:color w:val="000000" w:themeColor="text1"/>
          <w:sz w:val="32"/>
          <w:szCs w:val="32"/>
          <w:lang w:val="en-US" w:eastAsia="zh-CN"/>
          <w14:textFill>
            <w14:solidFill>
              <w14:schemeClr w14:val="tx1"/>
            </w14:solidFill>
          </w14:textFill>
        </w:rPr>
        <w:t>70.3万元、</w:t>
      </w:r>
      <w:r>
        <w:rPr>
          <w:rFonts w:hint="eastAsia" w:ascii="仿宋" w:hAnsi="仿宋" w:eastAsia="仿宋" w:cs="仿宋"/>
          <w:color w:val="000000" w:themeColor="text1"/>
          <w:sz w:val="32"/>
          <w:szCs w:val="32"/>
          <w:lang w:eastAsia="zh-CN"/>
          <w14:textFill>
            <w14:solidFill>
              <w14:schemeClr w14:val="tx1"/>
            </w14:solidFill>
          </w14:textFill>
        </w:rPr>
        <w:t>其他农村农业支出</w:t>
      </w:r>
      <w:r>
        <w:rPr>
          <w:rFonts w:hint="eastAsia" w:ascii="仿宋" w:hAnsi="仿宋" w:eastAsia="仿宋" w:cs="仿宋"/>
          <w:color w:val="000000" w:themeColor="text1"/>
          <w:sz w:val="32"/>
          <w:szCs w:val="32"/>
          <w:lang w:val="en-US" w:eastAsia="zh-CN"/>
          <w14:textFill>
            <w14:solidFill>
              <w14:schemeClr w14:val="tx1"/>
            </w14:solidFill>
          </w14:textFill>
        </w:rPr>
        <w:t>55.5</w:t>
      </w:r>
      <w:r>
        <w:rPr>
          <w:rFonts w:hint="eastAsia" w:ascii="仿宋" w:hAnsi="仿宋" w:eastAsia="仿宋" w:cs="仿宋"/>
          <w:color w:val="000000" w:themeColor="text1"/>
          <w:sz w:val="32"/>
          <w:szCs w:val="32"/>
          <w14:textFill>
            <w14:solidFill>
              <w14:schemeClr w14:val="tx1"/>
            </w14:solidFill>
          </w14:textFill>
        </w:rPr>
        <w:t>万元</w:t>
      </w:r>
      <w:r>
        <w:rPr>
          <w:rFonts w:hint="eastAsia" w:ascii="仿宋" w:hAnsi="仿宋" w:eastAsia="仿宋" w:cs="仿宋"/>
          <w:color w:val="000000" w:themeColor="text1"/>
          <w:sz w:val="32"/>
          <w:szCs w:val="32"/>
          <w:lang w:eastAsia="zh-CN"/>
          <w14:textFill>
            <w14:solidFill>
              <w14:schemeClr w14:val="tx1"/>
            </w14:solidFill>
          </w14:textFill>
        </w:rPr>
        <w:t>、扶贫贷款贴息</w:t>
      </w:r>
      <w:r>
        <w:rPr>
          <w:rFonts w:hint="eastAsia" w:ascii="仿宋" w:hAnsi="仿宋" w:eastAsia="仿宋" w:cs="仿宋"/>
          <w:color w:val="000000" w:themeColor="text1"/>
          <w:sz w:val="32"/>
          <w:szCs w:val="32"/>
          <w:lang w:val="en-US" w:eastAsia="zh-CN"/>
          <w14:textFill>
            <w14:solidFill>
              <w14:schemeClr w14:val="tx1"/>
            </w14:solidFill>
          </w14:textFill>
        </w:rPr>
        <w:t>57.53万元、一般行政管理事务40.79万元、扶贫事业机构401.36万元、其他扶贫支出1642.31万元</w:t>
      </w:r>
      <w:r>
        <w:rPr>
          <w:rFonts w:hint="eastAsia" w:ascii="仿宋" w:hAnsi="仿宋" w:eastAsia="仿宋" w:cs="仿宋"/>
          <w:color w:val="000000" w:themeColor="text1"/>
          <w:sz w:val="32"/>
          <w:szCs w:val="32"/>
          <w14:textFill>
            <w14:solidFill>
              <w14:schemeClr w14:val="tx1"/>
            </w14:solidFill>
          </w14:textFill>
        </w:rPr>
        <w:t>。</w:t>
      </w:r>
    </w:p>
    <w:p>
      <w:pPr>
        <w:pStyle w:val="12"/>
        <w:tabs>
          <w:tab w:val="right" w:leader="dot" w:pos="8307"/>
        </w:tabs>
        <w:ind w:firstLine="640" w:firstLineChars="200"/>
        <w:rPr>
          <w:rFonts w:ascii="黑体" w:hAnsi="黑体" w:eastAsia="黑体" w:cs="宋体"/>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三、“三公”经费情况</w:t>
      </w:r>
    </w:p>
    <w:p>
      <w:pPr>
        <w:shd w:val="clear" w:color="auto" w:fill="FFFFFF"/>
        <w:wordWrap w:val="0"/>
        <w:spacing w:line="240" w:lineRule="atLeast"/>
        <w:ind w:firstLine="56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长子县</w:t>
      </w:r>
      <w:r>
        <w:rPr>
          <w:rFonts w:hint="eastAsia" w:ascii="仿宋_GB2312" w:hAnsi="仿宋_GB2312" w:eastAsia="仿宋_GB2312" w:cs="仿宋_GB2312"/>
          <w:sz w:val="28"/>
          <w:szCs w:val="28"/>
          <w:lang w:eastAsia="zh-CN"/>
        </w:rPr>
        <w:t>乡村振兴发展</w:t>
      </w:r>
      <w:r>
        <w:rPr>
          <w:rFonts w:hint="eastAsia" w:ascii="仿宋" w:hAnsi="仿宋" w:eastAsia="仿宋" w:cs="宋体"/>
          <w:color w:val="000000" w:themeColor="text1"/>
          <w:kern w:val="0"/>
          <w:sz w:val="32"/>
          <w:szCs w:val="32"/>
          <w14:textFill>
            <w14:solidFill>
              <w14:schemeClr w14:val="tx1"/>
            </w14:solidFill>
          </w14:textFill>
        </w:rPr>
        <w:t>中心2021年 一般公共预算“三公”经费支出 0万元。其中：因公出国（境）费0万元，公务接待费0万元，公务用车购置及运行维护费0万元。与本年预算相比，“三公”经费比预算</w:t>
      </w:r>
      <w:r>
        <w:rPr>
          <w:rFonts w:hint="eastAsia" w:ascii="仿宋" w:hAnsi="仿宋" w:eastAsia="仿宋" w:cs="宋体"/>
          <w:color w:val="000000" w:themeColor="text1"/>
          <w:sz w:val="32"/>
          <w:szCs w:val="32"/>
          <w14:textFill>
            <w14:solidFill>
              <w14:schemeClr w14:val="tx1"/>
            </w14:solidFill>
          </w14:textFill>
        </w:rPr>
        <w:t>减少</w:t>
      </w:r>
      <w:r>
        <w:rPr>
          <w:rFonts w:hint="eastAsia" w:ascii="仿宋" w:hAnsi="仿宋" w:eastAsia="仿宋" w:cs="宋体"/>
          <w:color w:val="000000" w:themeColor="text1"/>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万元，其中：因公出国（境）费</w:t>
      </w:r>
      <w:r>
        <w:rPr>
          <w:rFonts w:hint="eastAsia" w:ascii="仿宋" w:hAnsi="仿宋" w:eastAsia="仿宋" w:cs="宋体"/>
          <w:color w:val="000000" w:themeColor="text1"/>
          <w:sz w:val="32"/>
          <w:szCs w:val="32"/>
          <w14:textFill>
            <w14:solidFill>
              <w14:schemeClr w14:val="tx1"/>
            </w14:solidFill>
          </w14:textFill>
        </w:rPr>
        <w:t>减少0</w:t>
      </w:r>
      <w:r>
        <w:rPr>
          <w:rFonts w:hint="eastAsia" w:ascii="仿宋" w:hAnsi="仿宋" w:eastAsia="仿宋" w:cs="宋体"/>
          <w:color w:val="000000" w:themeColor="text1"/>
          <w:kern w:val="0"/>
          <w:sz w:val="32"/>
          <w:szCs w:val="32"/>
          <w14:textFill>
            <w14:solidFill>
              <w14:schemeClr w14:val="tx1"/>
            </w14:solidFill>
          </w14:textFill>
        </w:rPr>
        <w:t xml:space="preserve"> 万元，公务接待费</w:t>
      </w:r>
      <w:r>
        <w:rPr>
          <w:rFonts w:hint="eastAsia" w:ascii="仿宋" w:hAnsi="仿宋" w:eastAsia="仿宋" w:cs="宋体"/>
          <w:color w:val="000000" w:themeColor="text1"/>
          <w:sz w:val="32"/>
          <w:szCs w:val="32"/>
          <w14:textFill>
            <w14:solidFill>
              <w14:schemeClr w14:val="tx1"/>
            </w14:solidFill>
          </w14:textFill>
        </w:rPr>
        <w:t>减少</w:t>
      </w:r>
      <w:r>
        <w:rPr>
          <w:rFonts w:hint="eastAsia" w:ascii="仿宋" w:hAnsi="仿宋" w:eastAsia="仿宋" w:cs="宋体"/>
          <w:color w:val="000000" w:themeColor="text1"/>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万元，公务用车购置及运行维护费</w:t>
      </w:r>
      <w:r>
        <w:rPr>
          <w:rFonts w:hint="eastAsia" w:ascii="仿宋" w:hAnsi="仿宋" w:eastAsia="仿宋" w:cs="宋体"/>
          <w:color w:val="000000" w:themeColor="text1"/>
          <w:sz w:val="32"/>
          <w:szCs w:val="32"/>
          <w14:textFill>
            <w14:solidFill>
              <w14:schemeClr w14:val="tx1"/>
            </w14:solidFill>
          </w14:textFill>
        </w:rPr>
        <w:t>减少0</w:t>
      </w:r>
      <w:r>
        <w:rPr>
          <w:rFonts w:hint="eastAsia" w:ascii="仿宋" w:hAnsi="仿宋" w:eastAsia="仿宋" w:cs="宋体"/>
          <w:color w:val="000000" w:themeColor="text1"/>
          <w:kern w:val="0"/>
          <w:sz w:val="32"/>
          <w:szCs w:val="32"/>
          <w14:textFill>
            <w14:solidFill>
              <w14:schemeClr w14:val="tx1"/>
            </w14:solidFill>
          </w14:textFill>
        </w:rPr>
        <w:t xml:space="preserve"> 万元。</w:t>
      </w:r>
    </w:p>
    <w:p>
      <w:pPr>
        <w:shd w:val="clear" w:color="auto" w:fill="FFFFFF"/>
        <w:wordWrap w:val="0"/>
        <w:spacing w:line="240" w:lineRule="atLeast"/>
        <w:ind w:firstLine="56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2021年因公出国（境）人数 0人，公务接待0批次，0人，公务用车购置 0辆，保有0辆。</w:t>
      </w:r>
    </w:p>
    <w:p>
      <w:pPr>
        <w:pStyle w:val="12"/>
        <w:tabs>
          <w:tab w:val="right" w:leader="dot" w:pos="8307"/>
        </w:tabs>
        <w:ind w:firstLine="640" w:firstLineChars="200"/>
        <w:rPr>
          <w:rFonts w:ascii="黑体" w:hAnsi="黑体" w:eastAsia="黑体" w:cs="宋体"/>
          <w:color w:val="000000" w:themeColor="text1"/>
          <w:sz w:val="32"/>
          <w:szCs w:val="32"/>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四、机关运行经费情况</w:t>
      </w:r>
    </w:p>
    <w:p>
      <w:pPr>
        <w:shd w:val="clear" w:color="auto" w:fill="FFFFFF"/>
        <w:wordWrap w:val="0"/>
        <w:spacing w:line="240" w:lineRule="atLeast"/>
        <w:ind w:firstLine="56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2021年机关运行经费支出0万元，主要为保障单位运行和购买货物和服务的各项资金，包括办公费、水电费、邮电费、差旅费、日常维修（护）费及其他费用。</w:t>
      </w:r>
    </w:p>
    <w:p>
      <w:pPr>
        <w:pStyle w:val="12"/>
        <w:tabs>
          <w:tab w:val="right" w:leader="dot" w:pos="8307"/>
        </w:tabs>
        <w:ind w:firstLine="640" w:firstLineChars="200"/>
        <w:rPr>
          <w:rFonts w:ascii="黑体" w:hAnsi="黑体" w:eastAsia="黑体" w:cs="宋体"/>
          <w:color w:val="000000" w:themeColor="text1"/>
          <w:sz w:val="32"/>
          <w:szCs w:val="32"/>
          <w14:textFill>
            <w14:solidFill>
              <w14:schemeClr w14:val="tx1"/>
            </w14:solidFill>
          </w14:textFill>
        </w:rPr>
      </w:pPr>
      <w:bookmarkStart w:id="2" w:name="_Toc22795"/>
      <w:r>
        <w:rPr>
          <w:rFonts w:hint="eastAsia" w:ascii="黑体" w:hAnsi="黑体" w:eastAsia="黑体" w:cs="宋体"/>
          <w:color w:val="000000" w:themeColor="text1"/>
          <w:sz w:val="32"/>
          <w:szCs w:val="32"/>
          <w14:textFill>
            <w14:solidFill>
              <w14:schemeClr w14:val="tx1"/>
            </w14:solidFill>
          </w14:textFill>
        </w:rPr>
        <w:t>五、政府采购情况</w:t>
      </w:r>
      <w:bookmarkEnd w:id="2"/>
    </w:p>
    <w:p>
      <w:pPr>
        <w:shd w:val="clear" w:color="auto" w:fill="FFFFFF"/>
        <w:wordWrap w:val="0"/>
        <w:spacing w:line="240" w:lineRule="atLeast"/>
        <w:ind w:firstLine="56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2021年采购支出总额</w:t>
      </w:r>
      <w:r>
        <w:rPr>
          <w:rFonts w:hint="eastAsia" w:ascii="仿宋" w:hAnsi="仿宋" w:eastAsia="仿宋" w:cs="宋体"/>
          <w:color w:val="000000" w:themeColor="text1"/>
          <w:kern w:val="0"/>
          <w:sz w:val="32"/>
          <w:szCs w:val="32"/>
          <w:lang w:val="en-US" w:eastAsia="zh-CN"/>
          <w14:textFill>
            <w14:solidFill>
              <w14:schemeClr w14:val="tx1"/>
            </w14:solidFill>
          </w14:textFill>
        </w:rPr>
        <w:t>256.47</w:t>
      </w:r>
      <w:r>
        <w:rPr>
          <w:rFonts w:hint="eastAsia" w:ascii="仿宋" w:hAnsi="仿宋" w:eastAsia="仿宋" w:cs="宋体"/>
          <w:color w:val="000000" w:themeColor="text1"/>
          <w:kern w:val="0"/>
          <w:sz w:val="32"/>
          <w:szCs w:val="32"/>
          <w14:textFill>
            <w14:solidFill>
              <w14:schemeClr w14:val="tx1"/>
            </w14:solidFill>
          </w14:textFill>
        </w:rPr>
        <w:t>万元，其中：政府采购货物支出</w:t>
      </w:r>
      <w:r>
        <w:rPr>
          <w:rFonts w:hint="eastAsia" w:ascii="仿宋" w:hAnsi="仿宋" w:eastAsia="仿宋" w:cs="宋体"/>
          <w:color w:val="000000" w:themeColor="text1"/>
          <w:kern w:val="0"/>
          <w:sz w:val="32"/>
          <w:szCs w:val="32"/>
          <w:lang w:val="en-US" w:eastAsia="zh-CN"/>
          <w14:textFill>
            <w14:solidFill>
              <w14:schemeClr w14:val="tx1"/>
            </w14:solidFill>
          </w14:textFill>
        </w:rPr>
        <w:t>0.77</w:t>
      </w:r>
      <w:r>
        <w:rPr>
          <w:rFonts w:hint="eastAsia" w:ascii="仿宋" w:hAnsi="仿宋" w:eastAsia="仿宋" w:cs="宋体"/>
          <w:color w:val="000000" w:themeColor="text1"/>
          <w:kern w:val="0"/>
          <w:sz w:val="32"/>
          <w:szCs w:val="32"/>
          <w14:textFill>
            <w14:solidFill>
              <w14:schemeClr w14:val="tx1"/>
            </w14:solidFill>
          </w14:textFill>
        </w:rPr>
        <w:t>万元,占采购支出总额的0%;政府采购工程支出</w:t>
      </w:r>
      <w:r>
        <w:rPr>
          <w:rFonts w:hint="eastAsia" w:ascii="仿宋" w:hAnsi="仿宋" w:eastAsia="仿宋" w:cs="宋体"/>
          <w:color w:val="000000" w:themeColor="text1"/>
          <w:kern w:val="0"/>
          <w:sz w:val="32"/>
          <w:szCs w:val="32"/>
          <w:lang w:val="en-US" w:eastAsia="zh-CN"/>
          <w14:textFill>
            <w14:solidFill>
              <w14:schemeClr w14:val="tx1"/>
            </w14:solidFill>
          </w14:textFill>
        </w:rPr>
        <w:t>192.9</w:t>
      </w:r>
      <w:r>
        <w:rPr>
          <w:rFonts w:hint="eastAsia" w:ascii="仿宋" w:hAnsi="仿宋" w:eastAsia="仿宋" w:cs="宋体"/>
          <w:color w:val="000000" w:themeColor="text1"/>
          <w:kern w:val="0"/>
          <w:sz w:val="32"/>
          <w:szCs w:val="32"/>
          <w14:textFill>
            <w14:solidFill>
              <w14:schemeClr w14:val="tx1"/>
            </w14:solidFill>
          </w14:textFill>
        </w:rPr>
        <w:t>万元，占采购支出总额的0 %，政府服务支出</w:t>
      </w:r>
      <w:r>
        <w:rPr>
          <w:rFonts w:hint="eastAsia" w:ascii="仿宋" w:hAnsi="仿宋" w:eastAsia="仿宋" w:cs="宋体"/>
          <w:color w:val="000000" w:themeColor="text1"/>
          <w:kern w:val="0"/>
          <w:sz w:val="32"/>
          <w:szCs w:val="32"/>
          <w:lang w:val="en-US" w:eastAsia="zh-CN"/>
          <w14:textFill>
            <w14:solidFill>
              <w14:schemeClr w14:val="tx1"/>
            </w14:solidFill>
          </w14:textFill>
        </w:rPr>
        <w:t>62.8</w:t>
      </w:r>
      <w:r>
        <w:rPr>
          <w:rFonts w:hint="eastAsia" w:ascii="仿宋" w:hAnsi="仿宋" w:eastAsia="仿宋" w:cs="宋体"/>
          <w:color w:val="000000" w:themeColor="text1"/>
          <w:kern w:val="0"/>
          <w:sz w:val="32"/>
          <w:szCs w:val="32"/>
          <w14:textFill>
            <w14:solidFill>
              <w14:schemeClr w14:val="tx1"/>
            </w14:solidFill>
          </w14:textFill>
        </w:rPr>
        <w:t>万元，占采购支出总额的0%。</w:t>
      </w:r>
    </w:p>
    <w:p>
      <w:pPr>
        <w:pStyle w:val="12"/>
        <w:tabs>
          <w:tab w:val="right" w:leader="dot" w:pos="8307"/>
        </w:tabs>
        <w:ind w:firstLine="640" w:firstLineChars="200"/>
        <w:rPr>
          <w:rFonts w:ascii="黑体" w:hAnsi="黑体" w:eastAsia="黑体" w:cs="宋体"/>
          <w:color w:val="000000" w:themeColor="text1"/>
          <w:sz w:val="32"/>
          <w:szCs w:val="32"/>
          <w14:textFill>
            <w14:solidFill>
              <w14:schemeClr w14:val="tx1"/>
            </w14:solidFill>
          </w14:textFill>
        </w:rPr>
      </w:pPr>
      <w:bookmarkStart w:id="3" w:name="_Toc26587"/>
      <w:r>
        <w:rPr>
          <w:rFonts w:hint="eastAsia" w:ascii="黑体" w:hAnsi="黑体" w:eastAsia="黑体" w:cs="宋体"/>
          <w:color w:val="000000" w:themeColor="text1"/>
          <w:sz w:val="32"/>
          <w:szCs w:val="32"/>
          <w14:textFill>
            <w14:solidFill>
              <w14:schemeClr w14:val="tx1"/>
            </w14:solidFill>
          </w14:textFill>
        </w:rPr>
        <w:t>六、国有资产占用情况</w:t>
      </w:r>
      <w:bookmarkEnd w:id="3"/>
    </w:p>
    <w:p>
      <w:pPr>
        <w:shd w:val="clear" w:color="auto" w:fill="FFFFFF"/>
        <w:wordWrap w:val="0"/>
        <w:spacing w:line="240" w:lineRule="atLeast"/>
        <w:ind w:firstLine="560"/>
        <w:rPr>
          <w:rFonts w:ascii="仿宋" w:hAnsi="仿宋" w:eastAsia="仿宋" w:cs="宋体"/>
          <w:color w:val="000000" w:themeColor="text1"/>
          <w:kern w:val="0"/>
          <w:sz w:val="32"/>
          <w:szCs w:val="32"/>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截至2021年12月31日，</w:t>
      </w:r>
      <w:r>
        <w:rPr>
          <w:rFonts w:ascii="仿宋" w:hAnsi="仿宋" w:eastAsia="仿宋" w:cs="宋体"/>
          <w:color w:val="000000" w:themeColor="text1"/>
          <w:kern w:val="0"/>
          <w:sz w:val="32"/>
          <w:szCs w:val="32"/>
          <w14:textFill>
            <w14:solidFill>
              <w14:schemeClr w14:val="tx1"/>
            </w14:solidFill>
          </w14:textFill>
        </w:rPr>
        <w:t xml:space="preserve"> </w:t>
      </w:r>
      <w:r>
        <w:rPr>
          <w:rFonts w:hint="eastAsia" w:ascii="仿宋" w:hAnsi="仿宋" w:eastAsia="仿宋" w:cs="宋体"/>
          <w:color w:val="000000" w:themeColor="text1"/>
          <w:kern w:val="0"/>
          <w:sz w:val="32"/>
          <w:szCs w:val="32"/>
          <w14:textFill>
            <w14:solidFill>
              <w14:schemeClr w14:val="tx1"/>
            </w14:solidFill>
          </w14:textFill>
        </w:rPr>
        <w:t>国有资产现值</w:t>
      </w:r>
      <w:r>
        <w:rPr>
          <w:rFonts w:hint="eastAsia" w:ascii="仿宋" w:hAnsi="仿宋" w:eastAsia="仿宋" w:cs="宋体"/>
          <w:color w:val="000000" w:themeColor="text1"/>
          <w:kern w:val="0"/>
          <w:sz w:val="32"/>
          <w:szCs w:val="32"/>
          <w:highlight w:val="none"/>
          <w:lang w:val="en-US" w:eastAsia="zh-CN"/>
          <w14:textFill>
            <w14:solidFill>
              <w14:schemeClr w14:val="tx1"/>
            </w14:solidFill>
          </w14:textFill>
        </w:rPr>
        <w:t>17.53</w:t>
      </w:r>
      <w:r>
        <w:rPr>
          <w:rFonts w:hint="eastAsia" w:ascii="仿宋" w:hAnsi="仿宋" w:eastAsia="仿宋" w:cs="宋体"/>
          <w:color w:val="000000" w:themeColor="text1"/>
          <w:kern w:val="0"/>
          <w:sz w:val="32"/>
          <w:szCs w:val="32"/>
          <w14:textFill>
            <w14:solidFill>
              <w14:schemeClr w14:val="tx1"/>
            </w14:solidFill>
          </w14:textFill>
        </w:rPr>
        <w:t>万元。办公用房面积0㎡，公务用车0辆，业务用车</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辆。</w:t>
      </w:r>
    </w:p>
    <w:p>
      <w:pPr>
        <w:pStyle w:val="12"/>
        <w:tabs>
          <w:tab w:val="right" w:leader="dot" w:pos="8307"/>
        </w:tabs>
        <w:ind w:firstLine="640" w:firstLineChars="200"/>
        <w:rPr>
          <w:rFonts w:hint="default" w:ascii="黑体" w:hAnsi="黑体" w:eastAsia="黑体" w:cs="宋体"/>
          <w:color w:val="000000" w:themeColor="text1"/>
          <w:sz w:val="32"/>
          <w:szCs w:val="32"/>
          <w:lang w:val="en-US" w:eastAsia="zh-CN"/>
          <w14:textFill>
            <w14:solidFill>
              <w14:schemeClr w14:val="tx1"/>
            </w14:solidFill>
          </w14:textFill>
        </w:rPr>
      </w:pPr>
      <w:r>
        <w:rPr>
          <w:rFonts w:hint="eastAsia" w:ascii="黑体" w:hAnsi="黑体" w:eastAsia="黑体" w:cs="宋体"/>
          <w:color w:val="000000" w:themeColor="text1"/>
          <w:sz w:val="32"/>
          <w:szCs w:val="32"/>
          <w14:textFill>
            <w14:solidFill>
              <w14:schemeClr w14:val="tx1"/>
            </w14:solidFill>
          </w14:textFill>
        </w:rPr>
        <w:t>七、重点绩效评价情况</w:t>
      </w:r>
    </w:p>
    <w:p>
      <w:pPr>
        <w:shd w:val="clear" w:color="auto" w:fill="FFFFFF"/>
        <w:wordWrap w:val="0"/>
        <w:spacing w:line="240" w:lineRule="atLeast"/>
        <w:ind w:firstLine="56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2021年共开展重点绩效评价项目</w:t>
      </w:r>
      <w:r>
        <w:rPr>
          <w:rFonts w:hint="eastAsia" w:ascii="仿宋" w:hAnsi="仿宋" w:eastAsia="仿宋" w:cs="宋体"/>
          <w:color w:val="000000" w:themeColor="text1"/>
          <w:kern w:val="0"/>
          <w:sz w:val="32"/>
          <w:szCs w:val="32"/>
          <w:lang w:val="en-US" w:eastAsia="zh-CN"/>
          <w14:textFill>
            <w14:solidFill>
              <w14:schemeClr w14:val="tx1"/>
            </w14:solidFill>
          </w14:textFill>
        </w:rPr>
        <w:t>10</w:t>
      </w:r>
      <w:r>
        <w:rPr>
          <w:rFonts w:hint="eastAsia" w:ascii="仿宋" w:hAnsi="仿宋" w:eastAsia="仿宋" w:cs="宋体"/>
          <w:color w:val="000000" w:themeColor="text1"/>
          <w:kern w:val="0"/>
          <w:sz w:val="32"/>
          <w:szCs w:val="32"/>
          <w14:textFill>
            <w14:solidFill>
              <w14:schemeClr w14:val="tx1"/>
            </w14:solidFill>
          </w14:textFill>
        </w:rPr>
        <w:t>个，</w:t>
      </w:r>
      <w:r>
        <w:rPr>
          <w:rFonts w:hint="eastAsia" w:ascii="仿宋" w:hAnsi="仿宋" w:eastAsia="仿宋" w:cs="宋体"/>
          <w:color w:val="000000" w:themeColor="text1"/>
          <w:kern w:val="0"/>
          <w:sz w:val="32"/>
          <w:szCs w:val="32"/>
          <w:lang w:eastAsia="zh-CN"/>
          <w14:textFill>
            <w14:solidFill>
              <w14:schemeClr w14:val="tx1"/>
            </w14:solidFill>
          </w14:textFill>
        </w:rPr>
        <w:t>分别为：（</w:t>
      </w:r>
      <w:r>
        <w:rPr>
          <w:rFonts w:hint="eastAsia" w:ascii="仿宋" w:hAnsi="仿宋" w:eastAsia="仿宋" w:cs="宋体"/>
          <w:color w:val="000000" w:themeColor="text1"/>
          <w:kern w:val="0"/>
          <w:sz w:val="32"/>
          <w:szCs w:val="32"/>
          <w:lang w:val="en-US" w:eastAsia="zh-CN"/>
          <w14:textFill>
            <w14:solidFill>
              <w14:schemeClr w14:val="tx1"/>
            </w14:solidFill>
          </w14:textFill>
        </w:rPr>
        <w:t>1</w:t>
      </w:r>
      <w:r>
        <w:rPr>
          <w:rFonts w:hint="eastAsia" w:ascii="仿宋" w:hAnsi="仿宋" w:eastAsia="仿宋" w:cs="宋体"/>
          <w:color w:val="000000" w:themeColor="text1"/>
          <w:kern w:val="0"/>
          <w:sz w:val="32"/>
          <w:szCs w:val="32"/>
          <w:lang w:eastAsia="zh-CN"/>
          <w14:textFill>
            <w14:solidFill>
              <w14:schemeClr w14:val="tx1"/>
            </w14:solidFill>
          </w14:textFill>
        </w:rPr>
        <w:t>）2021年市级第一批衔接推进乡村振兴资金，</w:t>
      </w:r>
      <w:r>
        <w:rPr>
          <w:rFonts w:hint="eastAsia" w:ascii="仿宋" w:hAnsi="仿宋" w:eastAsia="仿宋" w:cs="宋体"/>
          <w:color w:val="000000" w:themeColor="text1"/>
          <w:kern w:val="0"/>
          <w:sz w:val="32"/>
          <w:szCs w:val="32"/>
          <w14:textFill>
            <w14:solidFill>
              <w14:schemeClr w14:val="tx1"/>
            </w14:solidFill>
          </w14:textFill>
        </w:rPr>
        <w:t>评价结果为</w:t>
      </w:r>
      <w:bookmarkStart w:id="4" w:name="_GoBack"/>
      <w:bookmarkEnd w:id="4"/>
      <w:r>
        <w:rPr>
          <w:rFonts w:hint="eastAsia"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lang w:eastAsia="zh-CN"/>
          <w14:textFill>
            <w14:solidFill>
              <w14:schemeClr w14:val="tx1"/>
            </w14:solidFill>
          </w14:textFill>
        </w:rPr>
        <w:t>优；（</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eastAsia="仿宋" w:cs="宋体"/>
          <w:color w:val="000000" w:themeColor="text1"/>
          <w:kern w:val="0"/>
          <w:sz w:val="32"/>
          <w:szCs w:val="32"/>
          <w:lang w:eastAsia="zh-CN"/>
          <w14:textFill>
            <w14:solidFill>
              <w14:schemeClr w14:val="tx1"/>
            </w14:solidFill>
          </w14:textFill>
        </w:rPr>
        <w:t>）扶贫产业发展项目，</w:t>
      </w:r>
      <w:r>
        <w:rPr>
          <w:rFonts w:hint="eastAsia" w:ascii="仿宋" w:hAnsi="仿宋" w:eastAsia="仿宋" w:cs="宋体"/>
          <w:color w:val="000000" w:themeColor="text1"/>
          <w:kern w:val="0"/>
          <w:sz w:val="32"/>
          <w:szCs w:val="32"/>
          <w14:textFill>
            <w14:solidFill>
              <w14:schemeClr w14:val="tx1"/>
            </w14:solidFill>
          </w14:textFill>
        </w:rPr>
        <w:t>评价结果为：</w:t>
      </w:r>
      <w:r>
        <w:rPr>
          <w:rFonts w:hint="eastAsia" w:ascii="仿宋" w:hAnsi="仿宋" w:eastAsia="仿宋" w:cs="宋体"/>
          <w:color w:val="000000" w:themeColor="text1"/>
          <w:kern w:val="0"/>
          <w:sz w:val="32"/>
          <w:szCs w:val="32"/>
          <w:lang w:eastAsia="zh-CN"/>
          <w14:textFill>
            <w14:solidFill>
              <w14:schemeClr w14:val="tx1"/>
            </w14:solidFill>
          </w14:textFill>
        </w:rPr>
        <w:t>优；（</w:t>
      </w:r>
      <w:r>
        <w:rPr>
          <w:rFonts w:hint="eastAsia" w:ascii="仿宋" w:hAnsi="仿宋" w:eastAsia="仿宋" w:cs="宋体"/>
          <w:color w:val="000000" w:themeColor="text1"/>
          <w:kern w:val="0"/>
          <w:sz w:val="32"/>
          <w:szCs w:val="32"/>
          <w:lang w:val="en-US" w:eastAsia="zh-CN"/>
          <w14:textFill>
            <w14:solidFill>
              <w14:schemeClr w14:val="tx1"/>
            </w14:solidFill>
          </w14:textFill>
        </w:rPr>
        <w:t>3</w:t>
      </w:r>
      <w:r>
        <w:rPr>
          <w:rFonts w:hint="eastAsia" w:ascii="仿宋" w:hAnsi="仿宋" w:eastAsia="仿宋" w:cs="宋体"/>
          <w:color w:val="000000" w:themeColor="text1"/>
          <w:kern w:val="0"/>
          <w:sz w:val="32"/>
          <w:szCs w:val="32"/>
          <w:lang w:eastAsia="zh-CN"/>
          <w14:textFill>
            <w14:solidFill>
              <w14:schemeClr w14:val="tx1"/>
            </w14:solidFill>
          </w14:textFill>
        </w:rPr>
        <w:t>）扶贫档案资料，</w:t>
      </w:r>
      <w:r>
        <w:rPr>
          <w:rFonts w:hint="eastAsia" w:ascii="仿宋" w:hAnsi="仿宋" w:eastAsia="仿宋" w:cs="宋体"/>
          <w:color w:val="000000" w:themeColor="text1"/>
          <w:kern w:val="0"/>
          <w:sz w:val="32"/>
          <w:szCs w:val="32"/>
          <w14:textFill>
            <w14:solidFill>
              <w14:schemeClr w14:val="tx1"/>
            </w14:solidFill>
          </w14:textFill>
        </w:rPr>
        <w:t>评价结果为：</w:t>
      </w:r>
      <w:r>
        <w:rPr>
          <w:rFonts w:hint="eastAsia" w:ascii="仿宋" w:hAnsi="仿宋" w:eastAsia="仿宋" w:cs="宋体"/>
          <w:color w:val="000000" w:themeColor="text1"/>
          <w:kern w:val="0"/>
          <w:sz w:val="32"/>
          <w:szCs w:val="32"/>
          <w:lang w:eastAsia="zh-CN"/>
          <w14:textFill>
            <w14:solidFill>
              <w14:schemeClr w14:val="tx1"/>
            </w14:solidFill>
          </w14:textFill>
        </w:rPr>
        <w:t>良；（</w:t>
      </w:r>
      <w:r>
        <w:rPr>
          <w:rFonts w:hint="eastAsia" w:ascii="仿宋" w:hAnsi="仿宋" w:eastAsia="仿宋" w:cs="宋体"/>
          <w:color w:val="000000" w:themeColor="text1"/>
          <w:kern w:val="0"/>
          <w:sz w:val="32"/>
          <w:szCs w:val="32"/>
          <w:lang w:val="en-US" w:eastAsia="zh-CN"/>
          <w14:textFill>
            <w14:solidFill>
              <w14:schemeClr w14:val="tx1"/>
            </w14:solidFill>
          </w14:textFill>
        </w:rPr>
        <w:t>4</w:t>
      </w:r>
      <w:r>
        <w:rPr>
          <w:rFonts w:hint="eastAsia" w:ascii="仿宋" w:hAnsi="仿宋" w:eastAsia="仿宋" w:cs="宋体"/>
          <w:color w:val="000000" w:themeColor="text1"/>
          <w:kern w:val="0"/>
          <w:sz w:val="32"/>
          <w:szCs w:val="32"/>
          <w:lang w:eastAsia="zh-CN"/>
          <w14:textFill>
            <w14:solidFill>
              <w14:schemeClr w14:val="tx1"/>
            </w14:solidFill>
          </w14:textFill>
        </w:rPr>
        <w:t>）扶贫小额信贷贴息：评价结果为：优；（</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lang w:eastAsia="zh-CN"/>
          <w14:textFill>
            <w14:solidFill>
              <w14:schemeClr w14:val="tx1"/>
            </w14:solidFill>
          </w14:textFill>
        </w:rPr>
        <w:t>）扶贫宣传费项目，</w:t>
      </w:r>
      <w:r>
        <w:rPr>
          <w:rFonts w:hint="eastAsia" w:ascii="仿宋" w:hAnsi="仿宋" w:eastAsia="仿宋" w:cs="宋体"/>
          <w:color w:val="000000" w:themeColor="text1"/>
          <w:kern w:val="0"/>
          <w:sz w:val="32"/>
          <w:szCs w:val="32"/>
          <w14:textFill>
            <w14:solidFill>
              <w14:schemeClr w14:val="tx1"/>
            </w14:solidFill>
          </w14:textFill>
        </w:rPr>
        <w:t>评价结果为：</w:t>
      </w:r>
      <w:r>
        <w:rPr>
          <w:rFonts w:hint="eastAsia" w:ascii="仿宋" w:hAnsi="仿宋" w:eastAsia="仿宋" w:cs="宋体"/>
          <w:color w:val="000000" w:themeColor="text1"/>
          <w:kern w:val="0"/>
          <w:sz w:val="32"/>
          <w:szCs w:val="32"/>
          <w:lang w:eastAsia="zh-CN"/>
          <w14:textFill>
            <w14:solidFill>
              <w14:schemeClr w14:val="tx1"/>
            </w14:solidFill>
          </w14:textFill>
        </w:rPr>
        <w:t>优；（</w:t>
      </w:r>
      <w:r>
        <w:rPr>
          <w:rFonts w:hint="eastAsia" w:ascii="仿宋" w:hAnsi="仿宋" w:eastAsia="仿宋" w:cs="宋体"/>
          <w:color w:val="000000" w:themeColor="text1"/>
          <w:kern w:val="0"/>
          <w:sz w:val="32"/>
          <w:szCs w:val="32"/>
          <w:lang w:val="en-US" w:eastAsia="zh-CN"/>
          <w14:textFill>
            <w14:solidFill>
              <w14:schemeClr w14:val="tx1"/>
            </w14:solidFill>
          </w14:textFill>
        </w:rPr>
        <w:t>6</w:t>
      </w:r>
      <w:r>
        <w:rPr>
          <w:rFonts w:hint="eastAsia" w:ascii="仿宋" w:hAnsi="仿宋" w:eastAsia="仿宋" w:cs="宋体"/>
          <w:color w:val="000000" w:themeColor="text1"/>
          <w:kern w:val="0"/>
          <w:sz w:val="32"/>
          <w:szCs w:val="32"/>
          <w:lang w:eastAsia="zh-CN"/>
          <w14:textFill>
            <w14:solidFill>
              <w14:schemeClr w14:val="tx1"/>
            </w14:solidFill>
          </w14:textFill>
        </w:rPr>
        <w:t>）关于解决全县脱贫工作成效调查经费项目，</w:t>
      </w:r>
      <w:r>
        <w:rPr>
          <w:rFonts w:hint="eastAsia" w:ascii="仿宋" w:hAnsi="仿宋" w:eastAsia="仿宋" w:cs="宋体"/>
          <w:color w:val="000000" w:themeColor="text1"/>
          <w:kern w:val="0"/>
          <w:sz w:val="32"/>
          <w:szCs w:val="32"/>
          <w14:textFill>
            <w14:solidFill>
              <w14:schemeClr w14:val="tx1"/>
            </w14:solidFill>
          </w14:textFill>
        </w:rPr>
        <w:t>评价结果为：</w:t>
      </w:r>
      <w:r>
        <w:rPr>
          <w:rFonts w:hint="eastAsia" w:ascii="仿宋" w:hAnsi="仿宋" w:eastAsia="仿宋" w:cs="宋体"/>
          <w:color w:val="000000" w:themeColor="text1"/>
          <w:kern w:val="0"/>
          <w:sz w:val="32"/>
          <w:szCs w:val="32"/>
          <w:lang w:eastAsia="zh-CN"/>
          <w14:textFill>
            <w14:solidFill>
              <w14:schemeClr w14:val="tx1"/>
            </w14:solidFill>
          </w14:textFill>
        </w:rPr>
        <w:t>优；（</w:t>
      </w:r>
      <w:r>
        <w:rPr>
          <w:rFonts w:hint="eastAsia" w:ascii="仿宋" w:hAnsi="仿宋" w:eastAsia="仿宋" w:cs="宋体"/>
          <w:color w:val="000000" w:themeColor="text1"/>
          <w:kern w:val="0"/>
          <w:sz w:val="32"/>
          <w:szCs w:val="32"/>
          <w:lang w:val="en-US" w:eastAsia="zh-CN"/>
          <w14:textFill>
            <w14:solidFill>
              <w14:schemeClr w14:val="tx1"/>
            </w14:solidFill>
          </w14:textFill>
        </w:rPr>
        <w:t>7</w:t>
      </w:r>
      <w:r>
        <w:rPr>
          <w:rFonts w:hint="eastAsia" w:ascii="仿宋" w:hAnsi="仿宋" w:eastAsia="仿宋" w:cs="宋体"/>
          <w:color w:val="000000" w:themeColor="text1"/>
          <w:kern w:val="0"/>
          <w:sz w:val="32"/>
          <w:szCs w:val="32"/>
          <w:lang w:eastAsia="zh-CN"/>
          <w14:textFill>
            <w14:solidFill>
              <w14:schemeClr w14:val="tx1"/>
            </w14:solidFill>
          </w14:textFill>
        </w:rPr>
        <w:t>）贫困户保险项目，评价结果为：优；（</w:t>
      </w:r>
      <w:r>
        <w:rPr>
          <w:rFonts w:hint="eastAsia" w:ascii="仿宋" w:hAnsi="仿宋" w:eastAsia="仿宋" w:cs="宋体"/>
          <w:color w:val="000000" w:themeColor="text1"/>
          <w:kern w:val="0"/>
          <w:sz w:val="32"/>
          <w:szCs w:val="32"/>
          <w:lang w:val="en-US" w:eastAsia="zh-CN"/>
          <w14:textFill>
            <w14:solidFill>
              <w14:schemeClr w14:val="tx1"/>
            </w14:solidFill>
          </w14:textFill>
        </w:rPr>
        <w:t>8</w:t>
      </w:r>
      <w:r>
        <w:rPr>
          <w:rFonts w:hint="eastAsia" w:ascii="仿宋" w:hAnsi="仿宋" w:eastAsia="仿宋" w:cs="宋体"/>
          <w:color w:val="000000" w:themeColor="text1"/>
          <w:kern w:val="0"/>
          <w:sz w:val="32"/>
          <w:szCs w:val="32"/>
          <w:lang w:eastAsia="zh-CN"/>
          <w14:textFill>
            <w14:solidFill>
              <w14:schemeClr w14:val="tx1"/>
            </w14:solidFill>
          </w14:textFill>
        </w:rPr>
        <w:t>）贫困户意外伤保险项目，评价结果为：优；（</w:t>
      </w:r>
      <w:r>
        <w:rPr>
          <w:rFonts w:hint="eastAsia" w:ascii="仿宋" w:hAnsi="仿宋" w:eastAsia="仿宋" w:cs="宋体"/>
          <w:color w:val="000000" w:themeColor="text1"/>
          <w:kern w:val="0"/>
          <w:sz w:val="32"/>
          <w:szCs w:val="32"/>
          <w:lang w:val="en-US" w:eastAsia="zh-CN"/>
          <w14:textFill>
            <w14:solidFill>
              <w14:schemeClr w14:val="tx1"/>
            </w14:solidFill>
          </w14:textFill>
        </w:rPr>
        <w:t>9</w:t>
      </w:r>
      <w:r>
        <w:rPr>
          <w:rFonts w:hint="eastAsia" w:ascii="仿宋" w:hAnsi="仿宋" w:eastAsia="仿宋" w:cs="宋体"/>
          <w:color w:val="000000" w:themeColor="text1"/>
          <w:kern w:val="0"/>
          <w:sz w:val="32"/>
          <w:szCs w:val="32"/>
          <w:lang w:eastAsia="zh-CN"/>
          <w14:textFill>
            <w14:solidFill>
              <w14:schemeClr w14:val="tx1"/>
            </w14:solidFill>
          </w14:textFill>
        </w:rPr>
        <w:t>）贫困家庭人员政府购买岗工资项目，评价结果为：优；（</w:t>
      </w:r>
      <w:r>
        <w:rPr>
          <w:rFonts w:hint="eastAsia" w:ascii="仿宋" w:hAnsi="仿宋" w:eastAsia="仿宋" w:cs="宋体"/>
          <w:color w:val="000000" w:themeColor="text1"/>
          <w:kern w:val="0"/>
          <w:sz w:val="32"/>
          <w:szCs w:val="32"/>
          <w:lang w:val="en-US" w:eastAsia="zh-CN"/>
          <w14:textFill>
            <w14:solidFill>
              <w14:schemeClr w14:val="tx1"/>
            </w14:solidFill>
          </w14:textFill>
        </w:rPr>
        <w:t>10</w:t>
      </w:r>
      <w:r>
        <w:rPr>
          <w:rFonts w:hint="eastAsia" w:ascii="仿宋" w:hAnsi="仿宋" w:eastAsia="仿宋" w:cs="宋体"/>
          <w:color w:val="000000" w:themeColor="text1"/>
          <w:kern w:val="0"/>
          <w:sz w:val="32"/>
          <w:szCs w:val="32"/>
          <w:lang w:eastAsia="zh-CN"/>
          <w14:textFill>
            <w14:solidFill>
              <w14:schemeClr w14:val="tx1"/>
            </w14:solidFill>
          </w14:textFill>
        </w:rPr>
        <w:t>）其他扶贫项目，评价结果为：优。</w:t>
      </w:r>
    </w:p>
    <w:p>
      <w:pPr>
        <w:pStyle w:val="12"/>
        <w:tabs>
          <w:tab w:val="right" w:leader="dot" w:pos="8307"/>
        </w:tabs>
        <w:jc w:val="center"/>
        <w:rPr>
          <w:rFonts w:ascii="华文中宋" w:hAnsi="华文中宋" w:eastAsia="华文中宋" w:cs="宋体"/>
          <w:color w:val="000000" w:themeColor="text1"/>
          <w:sz w:val="32"/>
          <w:szCs w:val="32"/>
          <w14:textFill>
            <w14:solidFill>
              <w14:schemeClr w14:val="tx1"/>
            </w14:solidFill>
          </w14:textFill>
        </w:rPr>
      </w:pPr>
      <w:r>
        <w:rPr>
          <w:rFonts w:hint="eastAsia" w:ascii="华文中宋" w:hAnsi="华文中宋" w:eastAsia="华文中宋" w:cs="宋体"/>
          <w:color w:val="000000" w:themeColor="text1"/>
          <w:sz w:val="32"/>
          <w:szCs w:val="32"/>
          <w14:textFill>
            <w14:solidFill>
              <w14:schemeClr w14:val="tx1"/>
            </w14:solidFill>
          </w14:textFill>
        </w:rPr>
        <w:t>第三部分  名词解释</w:t>
      </w:r>
    </w:p>
    <w:p>
      <w:pPr>
        <w:shd w:val="clear" w:color="auto" w:fill="FFFFFF"/>
        <w:spacing w:line="240" w:lineRule="atLeast"/>
        <w:ind w:firstLine="640" w:firstLineChars="20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一、财政拨款收入：</w:t>
      </w:r>
      <w:r>
        <w:rPr>
          <w:rFonts w:hint="eastAsia" w:ascii="仿宋" w:hAnsi="仿宋" w:eastAsia="仿宋" w:cs="仿宋"/>
          <w:color w:val="000000" w:themeColor="text1"/>
          <w:sz w:val="32"/>
          <w:szCs w:val="32"/>
          <w14:textFill>
            <w14:solidFill>
              <w14:schemeClr w14:val="tx1"/>
            </w14:solidFill>
          </w14:textFill>
        </w:rPr>
        <w:t>指县级财政当年拨付的资金。</w:t>
      </w:r>
    </w:p>
    <w:p>
      <w:pPr>
        <w:shd w:val="clear" w:color="auto" w:fill="FFFFFF"/>
        <w:wordWrap w:val="0"/>
        <w:spacing w:line="240" w:lineRule="atLeast"/>
        <w:ind w:firstLine="56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二、事业收入：</w:t>
      </w:r>
      <w:r>
        <w:rPr>
          <w:rFonts w:hint="eastAsia" w:ascii="仿宋" w:hAnsi="仿宋" w:eastAsia="仿宋" w:cs="仿宋"/>
          <w:color w:val="000000" w:themeColor="text1"/>
          <w:sz w:val="32"/>
          <w:szCs w:val="32"/>
          <w14:textFill>
            <w14:solidFill>
              <w14:schemeClr w14:val="tx1"/>
            </w14:solidFill>
          </w14:textFill>
        </w:rPr>
        <w:t>事业单位开展专业业务活动及辅助活动所取得的收入。</w:t>
      </w:r>
    </w:p>
    <w:p>
      <w:pPr>
        <w:shd w:val="clear" w:color="auto" w:fill="FFFFFF"/>
        <w:wordWrap w:val="0"/>
        <w:spacing w:line="240" w:lineRule="atLeast"/>
        <w:ind w:firstLine="56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三、其他收入：</w:t>
      </w:r>
      <w:r>
        <w:rPr>
          <w:rFonts w:hint="eastAsia" w:ascii="仿宋" w:hAnsi="仿宋" w:eastAsia="仿宋" w:cs="仿宋"/>
          <w:color w:val="000000" w:themeColor="text1"/>
          <w:sz w:val="32"/>
          <w:szCs w:val="32"/>
          <w14:textFill>
            <w14:solidFill>
              <w14:schemeClr w14:val="tx1"/>
            </w14:solidFill>
          </w14:textFill>
        </w:rPr>
        <w:t>指除上述“财政拨款收入”、“事业收入”等以外的收入，主要是存款利息收入等。</w:t>
      </w:r>
    </w:p>
    <w:p>
      <w:pPr>
        <w:shd w:val="clear" w:color="auto" w:fill="FFFFFF"/>
        <w:wordWrap w:val="0"/>
        <w:spacing w:line="240" w:lineRule="atLeast"/>
        <w:ind w:firstLine="56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四、年初结转和结余：</w:t>
      </w:r>
      <w:r>
        <w:rPr>
          <w:rFonts w:hint="eastAsia" w:ascii="仿宋" w:hAnsi="仿宋" w:eastAsia="仿宋" w:cs="仿宋"/>
          <w:color w:val="000000" w:themeColor="text1"/>
          <w:sz w:val="32"/>
          <w:szCs w:val="32"/>
          <w14:textFill>
            <w14:solidFill>
              <w14:schemeClr w14:val="tx1"/>
            </w14:solidFill>
          </w14:textFill>
        </w:rPr>
        <w:t>指以前年度工作目标尚未完成，结转到本年按有关规定继续使用的资金；或以前年度工作目标已完成，剩余的滚存资金。</w:t>
      </w:r>
    </w:p>
    <w:p>
      <w:pPr>
        <w:shd w:val="clear" w:color="auto" w:fill="FFFFFF"/>
        <w:wordWrap w:val="0"/>
        <w:spacing w:line="240" w:lineRule="atLeast"/>
        <w:ind w:firstLine="56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五、支出：</w:t>
      </w:r>
      <w:r>
        <w:rPr>
          <w:rFonts w:hint="eastAsia" w:ascii="仿宋" w:hAnsi="仿宋" w:eastAsia="仿宋" w:cs="仿宋"/>
          <w:color w:val="000000" w:themeColor="text1"/>
          <w:sz w:val="32"/>
          <w:szCs w:val="32"/>
          <w14:textFill>
            <w14:solidFill>
              <w14:schemeClr w14:val="tx1"/>
            </w14:solidFill>
          </w14:textFill>
        </w:rPr>
        <w:t>指行政事业单位自身开展业务活动及其辅助活动使用各项资金发生的基本支出和项目支出。</w:t>
      </w:r>
    </w:p>
    <w:p>
      <w:pPr>
        <w:shd w:val="clear" w:color="auto" w:fill="FFFFFF"/>
        <w:wordWrap w:val="0"/>
        <w:spacing w:line="240" w:lineRule="atLeast"/>
        <w:ind w:firstLine="56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六、年末结转和结余：</w:t>
      </w:r>
      <w:r>
        <w:rPr>
          <w:rFonts w:hint="eastAsia" w:ascii="仿宋" w:hAnsi="仿宋" w:eastAsia="仿宋" w:cs="仿宋"/>
          <w:color w:val="000000" w:themeColor="text1"/>
          <w:sz w:val="32"/>
          <w:szCs w:val="32"/>
          <w14:textFill>
            <w14:solidFill>
              <w14:schemeClr w14:val="tx1"/>
            </w14:solidFill>
          </w14:textFill>
        </w:rPr>
        <w:t>指本年和以前年度工作目标尚未完成，结转到以后年度按有关规定继续使用的资金；或本年和以前年度工作目标已完成，剩余的滚存资金。</w:t>
      </w:r>
    </w:p>
    <w:p>
      <w:pPr>
        <w:shd w:val="clear" w:color="auto" w:fill="FFFFFF"/>
        <w:wordWrap w:val="0"/>
        <w:spacing w:line="240" w:lineRule="atLeast"/>
        <w:ind w:firstLine="56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七、基本支出：</w:t>
      </w:r>
      <w:r>
        <w:rPr>
          <w:rFonts w:hint="eastAsia" w:ascii="仿宋" w:hAnsi="仿宋" w:eastAsia="仿宋" w:cs="仿宋"/>
          <w:color w:val="000000" w:themeColor="text1"/>
          <w:sz w:val="32"/>
          <w:szCs w:val="32"/>
          <w14:textFill>
            <w14:solidFill>
              <w14:schemeClr w14:val="tx1"/>
            </w14:solidFill>
          </w14:textFill>
        </w:rPr>
        <w:t>指为保障机构正常运转、完成日常工作任务而发生的人员支出和公用支出。</w:t>
      </w:r>
    </w:p>
    <w:p>
      <w:pPr>
        <w:shd w:val="clear" w:color="auto" w:fill="FFFFFF"/>
        <w:wordWrap w:val="0"/>
        <w:spacing w:line="240" w:lineRule="atLeast"/>
        <w:ind w:firstLine="560"/>
        <w:rPr>
          <w:rFonts w:ascii="仿宋" w:hAnsi="仿宋" w:eastAsia="仿宋" w:cs="仿宋"/>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八、项目支出：</w:t>
      </w:r>
      <w:r>
        <w:rPr>
          <w:rFonts w:hint="eastAsia" w:ascii="仿宋" w:hAnsi="仿宋" w:eastAsia="仿宋" w:cs="仿宋"/>
          <w:color w:val="000000" w:themeColor="text1"/>
          <w:sz w:val="32"/>
          <w:szCs w:val="32"/>
          <w14:textFill>
            <w14:solidFill>
              <w14:schemeClr w14:val="tx1"/>
            </w14:solidFill>
          </w14:textFill>
        </w:rPr>
        <w:t>指在基本支出之外为完成特定行政任务和事业发展目标所发生的支出。</w:t>
      </w:r>
    </w:p>
    <w:p>
      <w:pPr>
        <w:shd w:val="clear" w:color="auto" w:fill="FFFFFF"/>
        <w:wordWrap w:val="0"/>
        <w:spacing w:line="240" w:lineRule="atLeast"/>
        <w:ind w:firstLine="560"/>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九、“三公”经费：</w:t>
      </w:r>
      <w:r>
        <w:rPr>
          <w:rFonts w:hint="eastAsia" w:ascii="仿宋" w:hAnsi="仿宋" w:eastAsia="仿宋" w:cs="仿宋"/>
          <w:color w:val="000000" w:themeColor="text1"/>
          <w:sz w:val="32"/>
          <w:szCs w:val="32"/>
          <w14:textFill>
            <w14:solidFill>
              <w14:schemeClr w14:val="tx1"/>
            </w14:solidFill>
          </w14:textFill>
        </w:rPr>
        <w:t>纳入县级财政预决算管理的“三公”经费，是指县级单位用财政拨款安排的因公出国（境）费、公务用车购置及运行费和公务接待费。</w:t>
      </w:r>
    </w:p>
    <w:p>
      <w:pPr>
        <w:pStyle w:val="12"/>
        <w:tabs>
          <w:tab w:val="right" w:leader="dot" w:pos="8307"/>
        </w:tabs>
        <w:ind w:firstLine="640" w:firstLineChars="200"/>
        <w:jc w:val="both"/>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十、机关运行经费：</w:t>
      </w:r>
      <w:r>
        <w:rPr>
          <w:rFonts w:hint="eastAsia" w:ascii="仿宋" w:hAnsi="仿宋" w:eastAsia="仿宋" w:cs="仿宋"/>
          <w:color w:val="000000" w:themeColor="text1"/>
          <w:sz w:val="32"/>
          <w:szCs w:val="32"/>
          <w14:textFill>
            <w14:solidFill>
              <w14:schemeClr w14:val="tx1"/>
            </w14:solidFill>
          </w14:textFill>
        </w:rPr>
        <w:t>指行政单位和参照公务员法管理的事业单位使用一般公共预算安排的基本支出中的日常公用经费支出。</w:t>
      </w:r>
    </w:p>
    <w:p>
      <w:pPr>
        <w:pStyle w:val="12"/>
        <w:tabs>
          <w:tab w:val="right" w:leader="dot" w:pos="8307"/>
        </w:tabs>
        <w:jc w:val="center"/>
        <w:rPr>
          <w:rFonts w:ascii="华文中宋" w:hAnsi="华文中宋" w:eastAsia="华文中宋" w:cs="宋体"/>
          <w:color w:val="000000" w:themeColor="text1"/>
          <w:sz w:val="32"/>
          <w:szCs w:val="32"/>
          <w14:textFill>
            <w14:solidFill>
              <w14:schemeClr w14:val="tx1"/>
            </w14:solidFill>
          </w14:textFill>
        </w:rPr>
      </w:pPr>
      <w:r>
        <w:rPr>
          <w:rFonts w:hint="eastAsia" w:ascii="华文中宋" w:hAnsi="华文中宋" w:eastAsia="华文中宋" w:cs="宋体"/>
          <w:color w:val="000000" w:themeColor="text1"/>
          <w:sz w:val="32"/>
          <w:szCs w:val="32"/>
          <w14:textFill>
            <w14:solidFill>
              <w14:schemeClr w14:val="tx1"/>
            </w14:solidFill>
          </w14:textFill>
        </w:rPr>
        <w:t>第四部分  2021年度单位决算表</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1、收入支出决算总表(公开01表)</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2、收入决算表(公开02表)</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3、支出决算表(公开03表)</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4、财政拨款收入支出决算总表(公开04表)</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5、一般公共预算财政拨款支出决算表（一）(公开05表)</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6、一般公共预算财政拨款支出决算表（二）(公开06表)</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7、一般公共预算财政拨款“三公”经费支出决算表(公开07表)</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8、政府性基金预算财政拨款收入支出决算表(公开08表)</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9、国有资本经营预算财政拨款支出决算表(公开09表)</w:t>
      </w:r>
    </w:p>
    <w:p>
      <w:pPr>
        <w:pStyle w:val="12"/>
        <w:tabs>
          <w:tab w:val="right" w:leader="dot" w:pos="8307"/>
        </w:tabs>
        <w:rPr>
          <w:rFonts w:ascii="仿宋" w:hAnsi="仿宋" w:eastAsia="仿宋" w:cs="宋体"/>
          <w:color w:val="000000" w:themeColor="text1"/>
          <w:sz w:val="32"/>
          <w:szCs w:val="32"/>
          <w14:textFill>
            <w14:solidFill>
              <w14:schemeClr w14:val="tx1"/>
            </w14:solidFill>
          </w14:textFill>
        </w:rPr>
      </w:pPr>
      <w:r>
        <w:rPr>
          <w:rFonts w:hint="eastAsia" w:ascii="仿宋" w:hAnsi="仿宋" w:eastAsia="仿宋" w:cs="宋体"/>
          <w:color w:val="000000" w:themeColor="text1"/>
          <w:sz w:val="32"/>
          <w:szCs w:val="32"/>
          <w14:textFill>
            <w14:solidFill>
              <w14:schemeClr w14:val="tx1"/>
            </w14:solidFill>
          </w14:textFill>
        </w:rPr>
        <w:t>10、单位决算公开相关信息统计表(公开10表)</w:t>
      </w: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宋体 !important">
    <w:altName w:val="宋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yOTlkZjFkN2VlYzI0OGVlYzliNTYyOGVlMTUzMzMifQ=="/>
  </w:docVars>
  <w:rsids>
    <w:rsidRoot w:val="00DD0E0B"/>
    <w:rsid w:val="000B6091"/>
    <w:rsid w:val="00290CDF"/>
    <w:rsid w:val="002F3A26"/>
    <w:rsid w:val="00346B7B"/>
    <w:rsid w:val="00393E10"/>
    <w:rsid w:val="003B0EDE"/>
    <w:rsid w:val="003E5A4C"/>
    <w:rsid w:val="003E7713"/>
    <w:rsid w:val="0043526A"/>
    <w:rsid w:val="00482499"/>
    <w:rsid w:val="005352EA"/>
    <w:rsid w:val="006213AD"/>
    <w:rsid w:val="0065490B"/>
    <w:rsid w:val="007E5BF2"/>
    <w:rsid w:val="00842E07"/>
    <w:rsid w:val="00880C8A"/>
    <w:rsid w:val="008C4F4F"/>
    <w:rsid w:val="009A7CFB"/>
    <w:rsid w:val="009B5243"/>
    <w:rsid w:val="009B56C9"/>
    <w:rsid w:val="00A06228"/>
    <w:rsid w:val="00A14588"/>
    <w:rsid w:val="00A92864"/>
    <w:rsid w:val="00B45D96"/>
    <w:rsid w:val="00B47629"/>
    <w:rsid w:val="00C06E64"/>
    <w:rsid w:val="00C21570"/>
    <w:rsid w:val="00C87579"/>
    <w:rsid w:val="00CD5794"/>
    <w:rsid w:val="00D76CDE"/>
    <w:rsid w:val="00D9088A"/>
    <w:rsid w:val="00DD0E0B"/>
    <w:rsid w:val="00E2336F"/>
    <w:rsid w:val="00E523AD"/>
    <w:rsid w:val="00EE7D1D"/>
    <w:rsid w:val="00F70AE8"/>
    <w:rsid w:val="00FD4170"/>
    <w:rsid w:val="0B672A9C"/>
    <w:rsid w:val="0B9E10CF"/>
    <w:rsid w:val="28E12060"/>
    <w:rsid w:val="2C245E51"/>
    <w:rsid w:val="2D707E98"/>
    <w:rsid w:val="38DB01DF"/>
    <w:rsid w:val="3E3D6249"/>
    <w:rsid w:val="42E47CAD"/>
    <w:rsid w:val="42E82378"/>
    <w:rsid w:val="545310A8"/>
    <w:rsid w:val="60B852B3"/>
    <w:rsid w:val="6DC20A4A"/>
    <w:rsid w:val="72471F73"/>
    <w:rsid w:val="756C4C4A"/>
    <w:rsid w:val="76556651"/>
    <w:rsid w:val="7A465A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1"/>
    <w:qFormat/>
    <w:uiPriority w:val="0"/>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toc 1"/>
    <w:basedOn w:val="1"/>
    <w:next w:val="1"/>
    <w:qFormat/>
    <w:uiPriority w:val="39"/>
  </w:style>
  <w:style w:type="paragraph" w:styleId="6">
    <w:name w:val="toc 2"/>
    <w:basedOn w:val="1"/>
    <w:next w:val="1"/>
    <w:qFormat/>
    <w:uiPriority w:val="39"/>
    <w:pPr>
      <w:ind w:left="420" w:leftChars="200"/>
    </w:pPr>
  </w:style>
  <w:style w:type="character" w:styleId="9">
    <w:name w:val="Hyperlink"/>
    <w:qFormat/>
    <w:uiPriority w:val="99"/>
    <w:rPr>
      <w:color w:val="0000FF"/>
      <w:u w:val="single"/>
    </w:rPr>
  </w:style>
  <w:style w:type="character" w:customStyle="1" w:styleId="10">
    <w:name w:val="页眉 Char"/>
    <w:basedOn w:val="8"/>
    <w:link w:val="4"/>
    <w:qFormat/>
    <w:uiPriority w:val="0"/>
    <w:rPr>
      <w:kern w:val="2"/>
      <w:sz w:val="18"/>
      <w:szCs w:val="18"/>
    </w:rPr>
  </w:style>
  <w:style w:type="character" w:customStyle="1" w:styleId="11">
    <w:name w:val="页脚 Char"/>
    <w:basedOn w:val="8"/>
    <w:link w:val="3"/>
    <w:qFormat/>
    <w:uiPriority w:val="0"/>
    <w:rPr>
      <w:kern w:val="2"/>
      <w:sz w:val="18"/>
      <w:szCs w:val="18"/>
    </w:rPr>
  </w:style>
  <w:style w:type="paragraph" w:customStyle="1" w:styleId="12">
    <w:name w:val="WPSOffice手动目录 1"/>
    <w:qFormat/>
    <w:uiPriority w:val="0"/>
    <w:rPr>
      <w:rFonts w:ascii="Times New Roman" w:hAnsi="Times New Roman" w:eastAsia="宋体" w:cs="Times New Roman"/>
      <w:lang w:val="en-US" w:eastAsia="zh-CN" w:bidi="ar-SA"/>
    </w:rPr>
  </w:style>
  <w:style w:type="paragraph" w:customStyle="1" w:styleId="13">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4">
    <w:name w:val="标题 1 Char"/>
    <w:basedOn w:val="8"/>
    <w:link w:val="2"/>
    <w:qFormat/>
    <w:uiPriority w:val="0"/>
    <w:rPr>
      <w:b/>
      <w:bCs/>
      <w:kern w:val="44"/>
      <w:sz w:val="44"/>
      <w:szCs w:val="44"/>
    </w:rPr>
  </w:style>
  <w:style w:type="paragraph"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61285-91EC-406D-B153-04BE18DB4027}">
  <ds:schemaRefs/>
</ds:datastoreItem>
</file>

<file path=docProps/app.xml><?xml version="1.0" encoding="utf-8"?>
<Properties xmlns="http://schemas.openxmlformats.org/officeDocument/2006/extended-properties" xmlns:vt="http://schemas.openxmlformats.org/officeDocument/2006/docPropsVTypes">
  <Template>Normal.dotm</Template>
  <Pages>7</Pages>
  <Words>2417</Words>
  <Characters>2618</Characters>
  <Lines>19</Lines>
  <Paragraphs>5</Paragraphs>
  <TotalTime>29</TotalTime>
  <ScaleCrop>false</ScaleCrop>
  <LinksUpToDate>false</LinksUpToDate>
  <CharactersWithSpaces>2649</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2022-09-09T07:11:00Z</dcterms:created>
  <dc:creator>ZN</dc:creator>
  <cp:lastModifiedBy>路路</cp:lastModifiedBy>
  <dcterms:modified xsi:type="dcterms:W3CDTF">2022-11-07T02:15:58Z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D282CCFA9C0142BFB67BC3BF12EC6A77</vt:lpwstr>
  </property>
</Properties>
</file>