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44"/>
          <w:szCs w:val="44"/>
        </w:rPr>
      </w:pPr>
      <w:r>
        <w:rPr>
          <w:rFonts w:hint="eastAsia" w:ascii="华文中宋" w:hAnsi="华文中宋" w:eastAsia="华文中宋"/>
          <w:sz w:val="44"/>
          <w:szCs w:val="44"/>
        </w:rPr>
        <w:t>长子县畜牧兽医中心单位决算公开报告</w:t>
      </w:r>
    </w:p>
    <w:p>
      <w:pPr>
        <w:pStyle w:val="12"/>
        <w:tabs>
          <w:tab w:val="right" w:leader="dot" w:pos="8307"/>
        </w:tabs>
        <w:jc w:val="center"/>
        <w:rPr>
          <w:rFonts w:ascii="华文中宋" w:hAnsi="华文中宋" w:eastAsia="华文中宋" w:cs="宋体"/>
          <w:color w:val="000000" w:themeColor="text1"/>
          <w:sz w:val="32"/>
          <w:szCs w:val="32"/>
        </w:rPr>
      </w:pPr>
      <w:r>
        <w:rPr>
          <w:rFonts w:hint="eastAsia" w:ascii="仿宋" w:hAnsi="仿宋" w:eastAsia="仿宋" w:cs="宋体"/>
          <w:color w:val="000000" w:themeColor="text1"/>
          <w:sz w:val="32"/>
          <w:szCs w:val="32"/>
          <w:shd w:val="pct10" w:color="auto" w:fill="FFFFFF"/>
        </w:rPr>
        <w:fldChar w:fldCharType="begin"/>
      </w:r>
      <w:r>
        <w:rPr>
          <w:rFonts w:hint="eastAsia" w:ascii="仿宋" w:hAnsi="仿宋" w:eastAsia="仿宋" w:cs="宋体"/>
          <w:color w:val="000000" w:themeColor="text1"/>
          <w:sz w:val="32"/>
          <w:szCs w:val="32"/>
          <w:shd w:val="pct10" w:color="auto" w:fill="FFFFFF"/>
        </w:rPr>
        <w:instrText xml:space="preserve">TOC \o "1-2" \h \u </w:instrText>
      </w:r>
      <w:r>
        <w:rPr>
          <w:rFonts w:hint="eastAsia" w:ascii="仿宋" w:hAnsi="仿宋" w:eastAsia="仿宋" w:cs="宋体"/>
          <w:color w:val="000000" w:themeColor="text1"/>
          <w:sz w:val="32"/>
          <w:szCs w:val="32"/>
          <w:shd w:val="pct10" w:color="auto" w:fill="FFFFFF"/>
        </w:rPr>
        <w:fldChar w:fldCharType="separate"/>
      </w:r>
      <w:r>
        <w:fldChar w:fldCharType="begin"/>
      </w:r>
      <w:r>
        <w:instrText xml:space="preserve"> HYPERLINK \l "_Toc30197" </w:instrText>
      </w:r>
      <w:r>
        <w:fldChar w:fldCharType="separate"/>
      </w:r>
      <w:r>
        <w:rPr>
          <w:rFonts w:hint="eastAsia" w:ascii="华文中宋" w:hAnsi="华文中宋" w:eastAsia="华文中宋" w:cs="宋体"/>
          <w:color w:val="000000" w:themeColor="text1"/>
          <w:sz w:val="32"/>
          <w:szCs w:val="32"/>
        </w:rPr>
        <w:t>第一部分  概况</w:t>
      </w:r>
      <w:r>
        <w:rPr>
          <w:rFonts w:hint="eastAsia" w:ascii="华文中宋" w:hAnsi="华文中宋" w:eastAsia="华文中宋" w:cs="宋体"/>
          <w:color w:val="000000" w:themeColor="text1"/>
          <w:sz w:val="32"/>
          <w:szCs w:val="32"/>
        </w:rPr>
        <w:fldChar w:fldCharType="end"/>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一、单位职责</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二、单位机构设置</w:t>
      </w:r>
    </w:p>
    <w:p>
      <w:pPr>
        <w:pStyle w:val="12"/>
        <w:tabs>
          <w:tab w:val="right" w:leader="dot" w:pos="8307"/>
        </w:tabs>
        <w:jc w:val="center"/>
        <w:rPr>
          <w:rFonts w:ascii="华文中宋" w:hAnsi="华文中宋" w:eastAsia="华文中宋" w:cs="宋体"/>
          <w:color w:val="000000" w:themeColor="text1"/>
          <w:sz w:val="32"/>
          <w:szCs w:val="32"/>
        </w:rPr>
      </w:pPr>
      <w:r>
        <w:fldChar w:fldCharType="begin"/>
      </w:r>
      <w:r>
        <w:instrText xml:space="preserve"> HYPERLINK \l "_Toc16415" </w:instrText>
      </w:r>
      <w:r>
        <w:fldChar w:fldCharType="separate"/>
      </w:r>
      <w:r>
        <w:rPr>
          <w:rFonts w:hint="eastAsia" w:ascii="华文中宋" w:hAnsi="华文中宋" w:eastAsia="华文中宋" w:cs="宋体"/>
          <w:color w:val="000000" w:themeColor="text1"/>
          <w:sz w:val="32"/>
          <w:szCs w:val="32"/>
        </w:rPr>
        <w:t>第二部分  2021年度单位决算情况说明</w:t>
      </w:r>
      <w:r>
        <w:rPr>
          <w:rFonts w:hint="eastAsia" w:ascii="华文中宋" w:hAnsi="华文中宋" w:eastAsia="华文中宋" w:cs="宋体"/>
          <w:color w:val="000000" w:themeColor="text1"/>
          <w:sz w:val="32"/>
          <w:szCs w:val="32"/>
        </w:rPr>
        <w:fldChar w:fldCharType="end"/>
      </w:r>
    </w:p>
    <w:p>
      <w:pPr>
        <w:pStyle w:val="12"/>
        <w:tabs>
          <w:tab w:val="right" w:leader="dot" w:pos="8307"/>
        </w:tabs>
        <w:rPr>
          <w:rFonts w:ascii="仿宋" w:hAnsi="仿宋" w:eastAsia="仿宋" w:cs="宋体"/>
          <w:color w:val="000000" w:themeColor="text1"/>
          <w:sz w:val="32"/>
          <w:szCs w:val="32"/>
        </w:rPr>
      </w:pPr>
      <w:r>
        <w:fldChar w:fldCharType="begin"/>
      </w:r>
      <w:r>
        <w:instrText xml:space="preserve"> HYPERLINK \l "_Toc22078" </w:instrText>
      </w:r>
      <w:r>
        <w:fldChar w:fldCharType="separate"/>
      </w:r>
      <w:r>
        <w:rPr>
          <w:rFonts w:hint="eastAsia" w:ascii="仿宋" w:hAnsi="仿宋" w:eastAsia="仿宋" w:cs="宋体"/>
          <w:color w:val="000000" w:themeColor="text1"/>
          <w:sz w:val="32"/>
          <w:szCs w:val="32"/>
        </w:rPr>
        <w:t>一、收入情况</w:t>
      </w:r>
      <w:r>
        <w:rPr>
          <w:rFonts w:hint="eastAsia" w:ascii="仿宋" w:hAnsi="仿宋" w:eastAsia="仿宋" w:cs="宋体"/>
          <w:color w:val="000000" w:themeColor="text1"/>
          <w:sz w:val="32"/>
          <w:szCs w:val="32"/>
        </w:rPr>
        <w:fldChar w:fldCharType="end"/>
      </w:r>
    </w:p>
    <w:p>
      <w:pPr>
        <w:pStyle w:val="12"/>
        <w:tabs>
          <w:tab w:val="right" w:leader="dot" w:pos="8307"/>
        </w:tabs>
        <w:rPr>
          <w:rFonts w:ascii="仿宋" w:hAnsi="仿宋" w:eastAsia="仿宋" w:cs="宋体"/>
          <w:color w:val="000000" w:themeColor="text1"/>
          <w:sz w:val="32"/>
          <w:szCs w:val="32"/>
        </w:rPr>
      </w:pPr>
      <w:r>
        <w:fldChar w:fldCharType="begin"/>
      </w:r>
      <w:r>
        <w:instrText xml:space="preserve"> HYPERLINK \l "_Toc27132" </w:instrText>
      </w:r>
      <w:r>
        <w:fldChar w:fldCharType="separate"/>
      </w:r>
      <w:r>
        <w:rPr>
          <w:rFonts w:hint="eastAsia" w:ascii="仿宋" w:hAnsi="仿宋" w:eastAsia="仿宋" w:cs="宋体"/>
          <w:color w:val="000000" w:themeColor="text1"/>
          <w:sz w:val="32"/>
          <w:szCs w:val="32"/>
        </w:rPr>
        <w:t>二、支出情况</w:t>
      </w:r>
      <w:r>
        <w:rPr>
          <w:rFonts w:hint="eastAsia" w:ascii="仿宋" w:hAnsi="仿宋" w:eastAsia="仿宋" w:cs="宋体"/>
          <w:color w:val="000000" w:themeColor="text1"/>
          <w:sz w:val="32"/>
          <w:szCs w:val="32"/>
        </w:rPr>
        <w:fldChar w:fldCharType="end"/>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三、“三公”经费情况</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四、机关运行经费情况</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五、政府采购情况</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六、国有资产占用情况</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七、重点绩效评价情况</w:t>
      </w:r>
    </w:p>
    <w:p>
      <w:pPr>
        <w:pStyle w:val="12"/>
        <w:tabs>
          <w:tab w:val="right" w:leader="dot" w:pos="8307"/>
        </w:tabs>
        <w:jc w:val="center"/>
        <w:rPr>
          <w:rFonts w:ascii="华文中宋" w:hAnsi="华文中宋" w:eastAsia="华文中宋" w:cs="宋体"/>
          <w:color w:val="000000" w:themeColor="text1"/>
          <w:sz w:val="32"/>
          <w:szCs w:val="32"/>
        </w:rPr>
      </w:pPr>
      <w:r>
        <w:rPr>
          <w:rFonts w:hint="eastAsia" w:ascii="华文中宋" w:hAnsi="华文中宋" w:eastAsia="华文中宋" w:cs="宋体"/>
          <w:color w:val="000000" w:themeColor="text1"/>
          <w:sz w:val="32"/>
          <w:szCs w:val="32"/>
        </w:rPr>
        <w:t>第三部分  名词解释</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 xml:space="preserve">一、财政拨款收入 </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二、事业收入</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三、其他收入</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四、年初结转和结余</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五、支出</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六、年末结转和结余</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七、基本支出</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八、项目支出</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九、“三公”经费</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十、机关运行经费</w:t>
      </w:r>
    </w:p>
    <w:p>
      <w:pPr>
        <w:pStyle w:val="12"/>
        <w:tabs>
          <w:tab w:val="right" w:leader="dot" w:pos="8307"/>
        </w:tabs>
        <w:jc w:val="center"/>
        <w:rPr>
          <w:rFonts w:ascii="华文中宋" w:hAnsi="华文中宋" w:eastAsia="华文中宋" w:cs="宋体"/>
          <w:color w:val="000000" w:themeColor="text1"/>
          <w:sz w:val="32"/>
          <w:szCs w:val="32"/>
        </w:rPr>
      </w:pPr>
      <w:r>
        <w:rPr>
          <w:rFonts w:hint="eastAsia" w:ascii="华文中宋" w:hAnsi="华文中宋" w:eastAsia="华文中宋" w:cs="宋体"/>
          <w:color w:val="000000" w:themeColor="text1"/>
          <w:sz w:val="32"/>
          <w:szCs w:val="32"/>
        </w:rPr>
        <w:t>第四部分  2021年度单位决算表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1、收入支出决算总表(公开01表)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2、收入决算表(公开02表)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3、支出决算表(公开03表)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4、财政拨款收入支出决算总表(公开04表)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5、一般公共预算财政拨款支出决算表（一）(公开05表)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6、一般公共预算财政拨款支出决算表（二）(公开06表)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7、一般公共预算财政拨款“三公”经费支出决算表(公开07表)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8、政府性基金预算财政拨款收入支出决算表(公开08表)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9、国有资本经营预算财政拨款支出决算表(公开09表)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10、单位决算公开相关信息统计表(公开10表)</w:t>
      </w:r>
    </w:p>
    <w:p>
      <w:pPr>
        <w:pStyle w:val="12"/>
        <w:tabs>
          <w:tab w:val="right" w:leader="dot" w:pos="8307"/>
        </w:tabs>
        <w:rPr>
          <w:rFonts w:ascii="仿宋" w:hAnsi="仿宋" w:eastAsia="仿宋" w:cs="宋体"/>
          <w:color w:val="000000" w:themeColor="text1"/>
          <w:sz w:val="32"/>
          <w:szCs w:val="32"/>
          <w:shd w:val="pct10" w:color="auto" w:fill="FFFFFF"/>
        </w:rPr>
      </w:pPr>
    </w:p>
    <w:p>
      <w:pPr>
        <w:pStyle w:val="12"/>
        <w:tabs>
          <w:tab w:val="right" w:leader="dot" w:pos="8307"/>
        </w:tabs>
        <w:rPr>
          <w:rFonts w:hAnsi="宋体" w:cs="宋体"/>
          <w:sz w:val="32"/>
          <w:szCs w:val="32"/>
        </w:rPr>
      </w:pPr>
      <w:r>
        <w:rPr>
          <w:rFonts w:hint="eastAsia" w:ascii="仿宋" w:hAnsi="仿宋" w:eastAsia="仿宋" w:cs="宋体"/>
          <w:color w:val="000000" w:themeColor="text1"/>
          <w:sz w:val="32"/>
          <w:szCs w:val="32"/>
          <w:shd w:val="pct10" w:color="auto" w:fill="FFFFFF"/>
        </w:rPr>
        <w:fldChar w:fldCharType="end"/>
      </w:r>
    </w:p>
    <w:p>
      <w:pPr>
        <w:wordWrap w:val="0"/>
        <w:spacing w:line="400" w:lineRule="atLeast"/>
        <w:jc w:val="center"/>
        <w:rPr>
          <w:rFonts w:ascii="宋体 !important" w:eastAsia="宋体 !important"/>
          <w:b/>
          <w:bCs/>
          <w:sz w:val="36"/>
          <w:szCs w:val="36"/>
        </w:rPr>
      </w:pPr>
    </w:p>
    <w:p>
      <w:pPr>
        <w:wordWrap w:val="0"/>
        <w:spacing w:line="400" w:lineRule="atLeast"/>
        <w:jc w:val="center"/>
        <w:rPr>
          <w:rFonts w:ascii="宋体 !important" w:eastAsia="宋体 !important"/>
          <w:b/>
          <w:bCs/>
          <w:sz w:val="36"/>
          <w:szCs w:val="36"/>
        </w:rPr>
      </w:pPr>
    </w:p>
    <w:p>
      <w:pPr>
        <w:wordWrap w:val="0"/>
        <w:spacing w:line="400" w:lineRule="atLeast"/>
        <w:jc w:val="center"/>
        <w:rPr>
          <w:rFonts w:ascii="宋体 !important" w:eastAsia="宋体 !important"/>
          <w:b/>
          <w:bCs/>
          <w:sz w:val="36"/>
          <w:szCs w:val="36"/>
        </w:rPr>
      </w:pPr>
    </w:p>
    <w:p>
      <w:pPr>
        <w:wordWrap w:val="0"/>
        <w:spacing w:line="400" w:lineRule="atLeast"/>
        <w:jc w:val="center"/>
        <w:rPr>
          <w:rFonts w:ascii="宋体 !important" w:eastAsia="宋体 !important"/>
          <w:b/>
          <w:bCs/>
          <w:sz w:val="36"/>
          <w:szCs w:val="36"/>
        </w:rPr>
      </w:pPr>
    </w:p>
    <w:p>
      <w:pPr>
        <w:wordWrap w:val="0"/>
        <w:spacing w:line="400" w:lineRule="atLeast"/>
        <w:jc w:val="center"/>
        <w:rPr>
          <w:rFonts w:ascii="宋体 !important" w:eastAsia="宋体 !important"/>
          <w:b/>
          <w:bCs/>
          <w:sz w:val="36"/>
          <w:szCs w:val="36"/>
        </w:rPr>
      </w:pPr>
    </w:p>
    <w:p>
      <w:pPr>
        <w:wordWrap w:val="0"/>
        <w:spacing w:line="400" w:lineRule="atLeast"/>
        <w:jc w:val="center"/>
        <w:rPr>
          <w:rFonts w:ascii="宋体 !important" w:eastAsia="宋体 !important"/>
          <w:b/>
          <w:bCs/>
          <w:sz w:val="36"/>
          <w:szCs w:val="36"/>
        </w:rPr>
      </w:pPr>
    </w:p>
    <w:p>
      <w:pPr>
        <w:wordWrap w:val="0"/>
        <w:spacing w:line="400" w:lineRule="atLeast"/>
        <w:jc w:val="center"/>
        <w:rPr>
          <w:rFonts w:ascii="宋体 !important" w:eastAsia="宋体 !important"/>
          <w:b/>
          <w:bCs/>
          <w:sz w:val="36"/>
          <w:szCs w:val="36"/>
        </w:rPr>
      </w:pPr>
    </w:p>
    <w:p>
      <w:pPr>
        <w:jc w:val="center"/>
        <w:rPr>
          <w:rFonts w:ascii="华文中宋" w:hAnsi="华文中宋" w:eastAsia="华文中宋"/>
          <w:sz w:val="44"/>
          <w:szCs w:val="44"/>
        </w:rPr>
      </w:pPr>
      <w:r>
        <w:rPr>
          <w:rFonts w:hint="eastAsia" w:ascii="华文中宋" w:hAnsi="华文中宋" w:eastAsia="华文中宋"/>
          <w:sz w:val="44"/>
          <w:szCs w:val="44"/>
        </w:rPr>
        <w:t>长子县畜牧兽医中心单位决算公开报告</w:t>
      </w:r>
    </w:p>
    <w:p>
      <w:pPr>
        <w:wordWrap w:val="0"/>
        <w:spacing w:line="503" w:lineRule="atLeast"/>
        <w:jc w:val="center"/>
        <w:rPr>
          <w:rFonts w:ascii="宋体 !important" w:eastAsia="宋体 !important"/>
          <w:color w:val="222222"/>
        </w:rPr>
      </w:pPr>
    </w:p>
    <w:p>
      <w:pPr>
        <w:pStyle w:val="12"/>
        <w:tabs>
          <w:tab w:val="right" w:leader="dot" w:pos="8307"/>
        </w:tabs>
        <w:jc w:val="center"/>
        <w:rPr>
          <w:rFonts w:ascii="华文中宋" w:hAnsi="华文中宋" w:eastAsia="华文中宋" w:cs="宋体"/>
          <w:color w:val="000000" w:themeColor="text1"/>
          <w:sz w:val="32"/>
          <w:szCs w:val="32"/>
        </w:rPr>
      </w:pPr>
      <w:r>
        <w:fldChar w:fldCharType="begin"/>
      </w:r>
      <w:r>
        <w:instrText xml:space="preserve"> HYPERLINK \l "_Toc30197" </w:instrText>
      </w:r>
      <w:r>
        <w:fldChar w:fldCharType="separate"/>
      </w:r>
      <w:r>
        <w:rPr>
          <w:rFonts w:hint="eastAsia" w:ascii="华文中宋" w:hAnsi="华文中宋" w:eastAsia="华文中宋" w:cs="宋体"/>
          <w:color w:val="000000" w:themeColor="text1"/>
          <w:sz w:val="32"/>
          <w:szCs w:val="32"/>
        </w:rPr>
        <w:t>第一部分  概况</w:t>
      </w:r>
      <w:r>
        <w:rPr>
          <w:rFonts w:hint="eastAsia" w:ascii="华文中宋" w:hAnsi="华文中宋" w:eastAsia="华文中宋" w:cs="宋体"/>
          <w:color w:val="000000" w:themeColor="text1"/>
          <w:sz w:val="32"/>
          <w:szCs w:val="32"/>
        </w:rPr>
        <w:fldChar w:fldCharType="end"/>
      </w:r>
    </w:p>
    <w:p>
      <w:pPr>
        <w:pStyle w:val="12"/>
        <w:tabs>
          <w:tab w:val="right" w:leader="dot" w:pos="8307"/>
        </w:tabs>
        <w:ind w:firstLine="640" w:firstLineChars="200"/>
        <w:rPr>
          <w:rFonts w:ascii="黑体" w:hAnsi="黑体" w:eastAsia="黑体" w:cs="宋体"/>
          <w:color w:val="000000" w:themeColor="text1"/>
          <w:sz w:val="32"/>
          <w:szCs w:val="32"/>
        </w:rPr>
      </w:pPr>
      <w:r>
        <w:rPr>
          <w:rFonts w:hint="eastAsia" w:ascii="黑体" w:hAnsi="黑体" w:eastAsia="黑体" w:cs="宋体"/>
          <w:color w:val="000000" w:themeColor="text1"/>
          <w:sz w:val="32"/>
          <w:szCs w:val="32"/>
        </w:rPr>
        <w:t>一、单位职责</w:t>
      </w:r>
    </w:p>
    <w:p>
      <w:pPr>
        <w:widowControl/>
        <w:ind w:firstLine="470"/>
        <w:jc w:val="left"/>
        <w:rPr>
          <w:rFonts w:ascii="仿宋" w:hAnsi="仿宋" w:eastAsia="仿宋" w:cs="宋体"/>
          <w:color w:val="000000" w:themeColor="text1"/>
          <w:kern w:val="0"/>
          <w:sz w:val="32"/>
          <w:szCs w:val="32"/>
          <w:lang w:val="zh-CN"/>
        </w:rPr>
      </w:pPr>
      <w:r>
        <w:rPr>
          <w:rFonts w:hint="eastAsia" w:ascii="仿宋" w:hAnsi="仿宋" w:eastAsia="仿宋" w:cs="宋体"/>
          <w:color w:val="000000" w:themeColor="text1"/>
          <w:kern w:val="0"/>
          <w:sz w:val="32"/>
          <w:szCs w:val="32"/>
          <w:lang w:val="zh-CN"/>
        </w:rPr>
        <w:t>畜牧技术推广，草原改良畜牧业资源保护，畜牧业执照监督，畜牧业标准化管理，畜牧业许可管理，畜牧业项目管理，畜牧兽医器械产品管理，畜牧兽医器械产品进出口登记，畜禽品种登记。</w:t>
      </w:r>
    </w:p>
    <w:p>
      <w:pPr>
        <w:pStyle w:val="12"/>
        <w:tabs>
          <w:tab w:val="right" w:leader="dot" w:pos="8307"/>
        </w:tabs>
        <w:ind w:firstLine="640" w:firstLineChars="200"/>
        <w:rPr>
          <w:rFonts w:ascii="黑体" w:hAnsi="黑体" w:eastAsia="黑体" w:cs="宋体"/>
          <w:color w:val="000000" w:themeColor="text1"/>
          <w:sz w:val="32"/>
          <w:szCs w:val="32"/>
        </w:rPr>
      </w:pPr>
      <w:r>
        <w:rPr>
          <w:rFonts w:hint="eastAsia" w:ascii="黑体" w:hAnsi="黑体" w:eastAsia="黑体" w:cs="宋体"/>
          <w:color w:val="000000" w:themeColor="text1"/>
          <w:sz w:val="32"/>
          <w:szCs w:val="32"/>
        </w:rPr>
        <w:t>二、单位机构设置</w:t>
      </w:r>
    </w:p>
    <w:p>
      <w:pPr>
        <w:widowControl/>
        <w:ind w:firstLine="640" w:firstLineChars="200"/>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长子县畜牧兽中心</w:t>
      </w:r>
    </w:p>
    <w:p>
      <w:pPr>
        <w:pStyle w:val="12"/>
        <w:tabs>
          <w:tab w:val="right" w:leader="dot" w:pos="8307"/>
        </w:tabs>
        <w:ind w:firstLine="640" w:firstLineChars="200"/>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长子县动物疫病预防控制中心</w:t>
      </w:r>
    </w:p>
    <w:p>
      <w:pPr>
        <w:pStyle w:val="12"/>
        <w:tabs>
          <w:tab w:val="right" w:leader="dot" w:pos="8307"/>
        </w:tabs>
        <w:jc w:val="center"/>
        <w:rPr>
          <w:rFonts w:ascii="华文中宋" w:hAnsi="华文中宋" w:eastAsia="华文中宋" w:cs="宋体"/>
          <w:color w:val="000000" w:themeColor="text1"/>
          <w:sz w:val="32"/>
          <w:szCs w:val="32"/>
        </w:rPr>
      </w:pPr>
      <w:bookmarkStart w:id="0" w:name="_Toc22078"/>
      <w:r>
        <w:rPr>
          <w:rFonts w:hint="eastAsia" w:ascii="华文中宋" w:hAnsi="华文中宋" w:eastAsia="华文中宋" w:cs="宋体"/>
          <w:color w:val="000000" w:themeColor="text1"/>
          <w:sz w:val="32"/>
          <w:szCs w:val="32"/>
        </w:rPr>
        <w:fldChar w:fldCharType="begin"/>
      </w:r>
      <w:r>
        <w:rPr>
          <w:rFonts w:hint="eastAsia" w:ascii="华文中宋" w:hAnsi="华文中宋" w:eastAsia="华文中宋" w:cs="宋体"/>
          <w:color w:val="000000" w:themeColor="text1"/>
          <w:sz w:val="32"/>
          <w:szCs w:val="32"/>
        </w:rPr>
        <w:instrText xml:space="preserve"> HYPERLINK \l "_Toc16415"</w:instrText>
      </w:r>
      <w:r>
        <w:rPr>
          <w:rFonts w:hint="eastAsia" w:ascii="华文中宋" w:hAnsi="华文中宋" w:eastAsia="华文中宋" w:cs="宋体"/>
          <w:color w:val="000000" w:themeColor="text1"/>
          <w:sz w:val="32"/>
          <w:szCs w:val="32"/>
        </w:rPr>
        <w:fldChar w:fldCharType="separate"/>
      </w:r>
      <w:r>
        <w:rPr>
          <w:rFonts w:hint="eastAsia" w:ascii="华文中宋" w:hAnsi="华文中宋" w:eastAsia="华文中宋" w:cs="宋体"/>
          <w:color w:val="000000" w:themeColor="text1"/>
          <w:sz w:val="32"/>
          <w:szCs w:val="32"/>
        </w:rPr>
        <w:t>第二部分  2021年度单位决算情况说明</w:t>
      </w:r>
      <w:r>
        <w:rPr>
          <w:rFonts w:hint="eastAsia" w:ascii="华文中宋" w:hAnsi="华文中宋" w:eastAsia="华文中宋" w:cs="宋体"/>
          <w:color w:val="000000" w:themeColor="text1"/>
          <w:sz w:val="32"/>
          <w:szCs w:val="32"/>
        </w:rPr>
        <w:fldChar w:fldCharType="end"/>
      </w:r>
    </w:p>
    <w:bookmarkEnd w:id="0"/>
    <w:p>
      <w:pPr>
        <w:pStyle w:val="12"/>
        <w:tabs>
          <w:tab w:val="right" w:leader="dot" w:pos="8307"/>
        </w:tabs>
        <w:ind w:firstLine="640" w:firstLineChars="200"/>
        <w:rPr>
          <w:rFonts w:ascii="黑体" w:hAnsi="黑体" w:eastAsia="黑体" w:cs="宋体"/>
          <w:color w:val="000000" w:themeColor="text1"/>
          <w:sz w:val="32"/>
          <w:szCs w:val="32"/>
        </w:rPr>
      </w:pPr>
      <w:r>
        <w:rPr>
          <w:rFonts w:hint="eastAsia" w:ascii="黑体" w:hAnsi="黑体" w:eastAsia="黑体" w:cs="宋体"/>
          <w:color w:val="000000" w:themeColor="text1"/>
          <w:sz w:val="32"/>
          <w:szCs w:val="32"/>
        </w:rPr>
        <w:fldChar w:fldCharType="begin"/>
      </w:r>
      <w:r>
        <w:rPr>
          <w:rFonts w:hint="eastAsia" w:ascii="黑体" w:hAnsi="黑体" w:eastAsia="黑体" w:cs="宋体"/>
          <w:color w:val="000000" w:themeColor="text1"/>
          <w:sz w:val="32"/>
          <w:szCs w:val="32"/>
        </w:rPr>
        <w:instrText xml:space="preserve"> HYPERLINK \l "_Toc22078"</w:instrText>
      </w:r>
      <w:r>
        <w:rPr>
          <w:rFonts w:hint="eastAsia" w:ascii="黑体" w:hAnsi="黑体" w:eastAsia="黑体" w:cs="宋体"/>
          <w:color w:val="000000" w:themeColor="text1"/>
          <w:sz w:val="32"/>
          <w:szCs w:val="32"/>
        </w:rPr>
        <w:fldChar w:fldCharType="separate"/>
      </w:r>
      <w:r>
        <w:rPr>
          <w:rFonts w:hint="eastAsia" w:ascii="黑体" w:hAnsi="黑体" w:eastAsia="黑体" w:cs="宋体"/>
          <w:color w:val="000000" w:themeColor="text1"/>
          <w:sz w:val="32"/>
          <w:szCs w:val="32"/>
        </w:rPr>
        <w:t>一、收入情况</w:t>
      </w:r>
      <w:r>
        <w:rPr>
          <w:rFonts w:hint="eastAsia" w:ascii="黑体" w:hAnsi="黑体" w:eastAsia="黑体" w:cs="宋体"/>
          <w:color w:val="000000" w:themeColor="text1"/>
          <w:sz w:val="32"/>
          <w:szCs w:val="32"/>
        </w:rPr>
        <w:fldChar w:fldCharType="end"/>
      </w:r>
    </w:p>
    <w:p>
      <w:pPr>
        <w:pStyle w:val="12"/>
        <w:tabs>
          <w:tab w:val="right" w:leader="dot" w:pos="8307"/>
        </w:tabs>
        <w:ind w:firstLine="640" w:firstLineChars="200"/>
        <w:jc w:val="both"/>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长子县畜牧兽医中心2021年收入1551.96万元。其中：财政拨款资金收入1551.96万元，占全部收入的100%。较2020年度增加377.99万元，增幅为32.19%。增加的原因为：县级强农惠农补贴资金增加幅度较大。</w:t>
      </w:r>
    </w:p>
    <w:p>
      <w:pPr>
        <w:pStyle w:val="12"/>
        <w:tabs>
          <w:tab w:val="right" w:leader="dot" w:pos="8307"/>
        </w:tabs>
        <w:ind w:firstLine="640" w:firstLineChars="200"/>
        <w:rPr>
          <w:rFonts w:ascii="黑体" w:hAnsi="黑体" w:eastAsia="黑体" w:cs="宋体"/>
          <w:color w:val="000000" w:themeColor="text1"/>
          <w:sz w:val="32"/>
          <w:szCs w:val="32"/>
        </w:rPr>
      </w:pPr>
      <w:bookmarkStart w:id="1" w:name="_Toc27132"/>
      <w:r>
        <w:rPr>
          <w:rFonts w:hint="eastAsia" w:ascii="黑体" w:hAnsi="黑体" w:eastAsia="黑体" w:cs="宋体"/>
          <w:color w:val="000000" w:themeColor="text1"/>
          <w:sz w:val="32"/>
          <w:szCs w:val="32"/>
        </w:rPr>
        <w:t>二、支出情况</w:t>
      </w:r>
      <w:bookmarkEnd w:id="1"/>
    </w:p>
    <w:p>
      <w:pPr>
        <w:pStyle w:val="12"/>
        <w:tabs>
          <w:tab w:val="right" w:leader="dot" w:pos="8307"/>
        </w:tabs>
        <w:ind w:firstLine="640" w:firstLineChars="200"/>
        <w:jc w:val="both"/>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长子县畜牧兽医中心2021年支出1668.45万元。其中：基本支出425.03万元，占支出的25.47 %；项目支出1243.42万元，占支出的74.53%。较2020年度比较增加335.66万元，增幅为25.18%。增加的原因为：</w:t>
      </w:r>
    </w:p>
    <w:p>
      <w:pPr>
        <w:wordWrap w:val="0"/>
        <w:spacing w:line="240" w:lineRule="atLeast"/>
        <w:ind w:firstLine="561"/>
        <w:rPr>
          <w:rFonts w:ascii="仿宋" w:hAnsi="仿宋" w:eastAsia="仿宋" w:cs="仿宋"/>
          <w:color w:val="222222"/>
          <w:sz w:val="32"/>
          <w:szCs w:val="32"/>
        </w:rPr>
      </w:pPr>
      <w:r>
        <w:rPr>
          <w:rFonts w:hint="eastAsia" w:ascii="仿宋" w:hAnsi="仿宋" w:eastAsia="仿宋" w:cs="仿宋"/>
          <w:color w:val="333333"/>
          <w:sz w:val="32"/>
          <w:szCs w:val="32"/>
        </w:rPr>
        <w:t>1.基本支出425.03万元。其中：人员经费394.89万元，主要包括统发工资、津贴补贴等；公用经费30.14万元，主要包括：办公费、印刷费、水费、电费、邮电费、差旅费、办公设备购置、其他商品和服务支出等。</w:t>
      </w:r>
    </w:p>
    <w:p>
      <w:pPr>
        <w:wordWrap w:val="0"/>
        <w:spacing w:line="240" w:lineRule="atLeast"/>
        <w:ind w:firstLine="560"/>
        <w:rPr>
          <w:rFonts w:ascii="仿宋" w:hAnsi="仿宋" w:eastAsia="仿宋" w:cs="仿宋"/>
          <w:color w:val="333333"/>
          <w:sz w:val="32"/>
          <w:szCs w:val="32"/>
        </w:rPr>
      </w:pPr>
      <w:r>
        <w:rPr>
          <w:rFonts w:hint="eastAsia" w:ascii="仿宋" w:hAnsi="仿宋" w:eastAsia="仿宋" w:cs="仿宋"/>
          <w:color w:val="333333"/>
          <w:sz w:val="32"/>
          <w:szCs w:val="32"/>
        </w:rPr>
        <w:t>2.项目支出1243.42万元。</w:t>
      </w:r>
    </w:p>
    <w:p>
      <w:pPr>
        <w:wordWrap w:val="0"/>
        <w:spacing w:line="240" w:lineRule="atLeast"/>
        <w:ind w:firstLine="561"/>
        <w:rPr>
          <w:rFonts w:ascii="仿宋" w:hAnsi="仿宋" w:eastAsia="仿宋" w:cs="仿宋"/>
          <w:color w:val="333333"/>
          <w:sz w:val="32"/>
          <w:szCs w:val="32"/>
        </w:rPr>
      </w:pPr>
      <w:r>
        <w:rPr>
          <w:rFonts w:hint="eastAsia" w:ascii="仿宋" w:hAnsi="仿宋" w:eastAsia="仿宋" w:cs="仿宋"/>
          <w:color w:val="333333"/>
          <w:sz w:val="32"/>
          <w:szCs w:val="32"/>
        </w:rPr>
        <w:t>其中：项目支出1243.42万元，主要用于道路交通事故损害赔偿、解决职工及家属劳动纠纷补偿、牧工商中心社保、医保缴纳金、农业生产发展、动物疫病防控、生猪规模化养殖场建设、畜禽强农惠农扶持支出等。</w:t>
      </w:r>
    </w:p>
    <w:p>
      <w:pPr>
        <w:pStyle w:val="12"/>
        <w:tabs>
          <w:tab w:val="right" w:leader="dot" w:pos="8307"/>
        </w:tabs>
        <w:ind w:firstLine="640" w:firstLineChars="200"/>
        <w:rPr>
          <w:rFonts w:ascii="黑体" w:hAnsi="黑体" w:eastAsia="黑体" w:cs="宋体"/>
          <w:color w:val="000000" w:themeColor="text1"/>
          <w:sz w:val="32"/>
          <w:szCs w:val="32"/>
        </w:rPr>
      </w:pPr>
      <w:r>
        <w:rPr>
          <w:rFonts w:hint="eastAsia" w:ascii="黑体" w:hAnsi="黑体" w:eastAsia="黑体" w:cs="宋体"/>
          <w:color w:val="000000" w:themeColor="text1"/>
          <w:sz w:val="32"/>
          <w:szCs w:val="32"/>
        </w:rPr>
        <w:t>三、“三公”经费情况</w:t>
      </w:r>
    </w:p>
    <w:p>
      <w:pPr>
        <w:shd w:val="clear" w:color="auto" w:fill="FFFFFF"/>
        <w:wordWrap w:val="0"/>
        <w:spacing w:line="240" w:lineRule="atLeast"/>
        <w:ind w:firstLine="560"/>
        <w:rPr>
          <w:rFonts w:ascii="仿宋" w:hAnsi="仿宋" w:eastAsia="仿宋" w:cs="宋体"/>
          <w:kern w:val="0"/>
          <w:sz w:val="32"/>
          <w:szCs w:val="32"/>
        </w:rPr>
      </w:pPr>
      <w:r>
        <w:rPr>
          <w:rFonts w:hint="eastAsia" w:ascii="仿宋" w:hAnsi="仿宋" w:eastAsia="仿宋" w:cs="宋体"/>
          <w:color w:val="000000" w:themeColor="text1"/>
          <w:kern w:val="0"/>
          <w:sz w:val="32"/>
          <w:szCs w:val="32"/>
        </w:rPr>
        <w:t>长子县畜牧兽医中心2021年一般公共预算“三公”经费支出0.26万元。其中：因公出国（境）费0万元，公务接待费0.26万元，公务用车购置及运行维护费0万元。与本年预算相比，“三公”经费比预算减少</w:t>
      </w:r>
      <w:r>
        <w:rPr>
          <w:rFonts w:hint="eastAsia" w:ascii="仿宋" w:hAnsi="仿宋" w:eastAsia="仿宋" w:cs="宋体"/>
          <w:kern w:val="0"/>
          <w:sz w:val="32"/>
          <w:szCs w:val="32"/>
        </w:rPr>
        <w:t>2.24万元，其中：因公出国（境）费</w:t>
      </w:r>
      <w:r>
        <w:rPr>
          <w:rFonts w:hint="eastAsia" w:ascii="仿宋" w:hAnsi="仿宋" w:eastAsia="仿宋" w:cs="宋体"/>
          <w:sz w:val="32"/>
          <w:szCs w:val="32"/>
        </w:rPr>
        <w:t>0</w:t>
      </w:r>
      <w:r>
        <w:rPr>
          <w:rFonts w:hint="eastAsia" w:ascii="仿宋" w:hAnsi="仿宋" w:eastAsia="仿宋" w:cs="宋体"/>
          <w:kern w:val="0"/>
          <w:sz w:val="32"/>
          <w:szCs w:val="32"/>
        </w:rPr>
        <w:t>万元，公务接待费</w:t>
      </w:r>
      <w:r>
        <w:rPr>
          <w:rFonts w:hint="eastAsia" w:ascii="仿宋" w:hAnsi="仿宋" w:eastAsia="仿宋" w:cs="宋体"/>
          <w:sz w:val="32"/>
          <w:szCs w:val="32"/>
        </w:rPr>
        <w:t>减少0.25</w:t>
      </w:r>
      <w:r>
        <w:rPr>
          <w:rFonts w:hint="eastAsia" w:ascii="仿宋" w:hAnsi="仿宋" w:eastAsia="仿宋" w:cs="宋体"/>
          <w:kern w:val="0"/>
          <w:sz w:val="32"/>
          <w:szCs w:val="32"/>
        </w:rPr>
        <w:t>万元，公务用车购置及运行维护费</w:t>
      </w:r>
      <w:r>
        <w:rPr>
          <w:rFonts w:hint="eastAsia" w:ascii="仿宋" w:hAnsi="仿宋" w:eastAsia="仿宋" w:cs="宋体"/>
          <w:sz w:val="32"/>
          <w:szCs w:val="32"/>
        </w:rPr>
        <w:t>减少2</w:t>
      </w:r>
      <w:r>
        <w:rPr>
          <w:rFonts w:hint="eastAsia" w:ascii="仿宋" w:hAnsi="仿宋" w:eastAsia="仿宋" w:cs="宋体"/>
          <w:kern w:val="0"/>
          <w:sz w:val="32"/>
          <w:szCs w:val="32"/>
        </w:rPr>
        <w:t>万元。</w:t>
      </w:r>
    </w:p>
    <w:p>
      <w:pPr>
        <w:shd w:val="clear" w:color="auto" w:fill="FFFFFF"/>
        <w:wordWrap w:val="0"/>
        <w:spacing w:line="240" w:lineRule="atLeast"/>
        <w:ind w:firstLine="560"/>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2021年因公出国（境）人数0人，公务接待5批次，50余人次，公务用车购置0辆，保有0辆。</w:t>
      </w:r>
    </w:p>
    <w:p>
      <w:pPr>
        <w:pStyle w:val="12"/>
        <w:tabs>
          <w:tab w:val="right" w:leader="dot" w:pos="8307"/>
        </w:tabs>
        <w:ind w:firstLine="640" w:firstLineChars="200"/>
        <w:rPr>
          <w:rFonts w:ascii="黑体" w:hAnsi="黑体" w:eastAsia="黑体" w:cs="宋体"/>
          <w:color w:val="000000" w:themeColor="text1"/>
          <w:sz w:val="32"/>
          <w:szCs w:val="32"/>
        </w:rPr>
      </w:pPr>
      <w:r>
        <w:rPr>
          <w:rFonts w:hint="eastAsia" w:ascii="黑体" w:hAnsi="黑体" w:eastAsia="黑体" w:cs="宋体"/>
          <w:color w:val="000000" w:themeColor="text1"/>
          <w:sz w:val="32"/>
          <w:szCs w:val="32"/>
        </w:rPr>
        <w:t>四、机关运行经费情况</w:t>
      </w:r>
    </w:p>
    <w:p>
      <w:pPr>
        <w:shd w:val="clear" w:color="auto" w:fill="FFFFFF"/>
        <w:wordWrap w:val="0"/>
        <w:spacing w:line="240" w:lineRule="atLeast"/>
        <w:ind w:firstLine="560"/>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2021年机关运行经费支出30.14万元，主要为保障单位运行和购买货物和服务的各项资金，包括办公费、水电费、邮电费、差旅费、日常维修（护）费及其他费用。</w:t>
      </w:r>
    </w:p>
    <w:p>
      <w:pPr>
        <w:pStyle w:val="12"/>
        <w:tabs>
          <w:tab w:val="right" w:leader="dot" w:pos="8307"/>
        </w:tabs>
        <w:ind w:firstLine="640" w:firstLineChars="200"/>
        <w:rPr>
          <w:rFonts w:ascii="黑体" w:hAnsi="黑体" w:eastAsia="黑体" w:cs="宋体"/>
          <w:color w:val="000000" w:themeColor="text1"/>
          <w:sz w:val="32"/>
          <w:szCs w:val="32"/>
        </w:rPr>
      </w:pPr>
      <w:bookmarkStart w:id="2" w:name="_Toc22795"/>
      <w:r>
        <w:rPr>
          <w:rFonts w:hint="eastAsia" w:ascii="黑体" w:hAnsi="黑体" w:eastAsia="黑体" w:cs="宋体"/>
          <w:color w:val="000000" w:themeColor="text1"/>
          <w:sz w:val="32"/>
          <w:szCs w:val="32"/>
        </w:rPr>
        <w:t>五、政府采购情况</w:t>
      </w:r>
      <w:bookmarkEnd w:id="2"/>
    </w:p>
    <w:p>
      <w:pPr>
        <w:shd w:val="clear" w:color="auto" w:fill="FFFFFF"/>
        <w:wordWrap w:val="0"/>
        <w:spacing w:line="240" w:lineRule="atLeast"/>
        <w:ind w:firstLine="560"/>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2021年采购支出总额0万元，其中：政府采购货物支出0万元,占采购支出总额的0%；政府采购工程支出0万元，占采购支出总额的0%；政府服务支出0万元，占采购支出总额的0%。</w:t>
      </w:r>
    </w:p>
    <w:p>
      <w:pPr>
        <w:pStyle w:val="12"/>
        <w:tabs>
          <w:tab w:val="right" w:leader="dot" w:pos="8307"/>
        </w:tabs>
        <w:ind w:firstLine="640" w:firstLineChars="200"/>
        <w:rPr>
          <w:rFonts w:ascii="黑体" w:hAnsi="黑体" w:eastAsia="黑体" w:cs="宋体"/>
          <w:color w:val="000000" w:themeColor="text1"/>
          <w:sz w:val="32"/>
          <w:szCs w:val="32"/>
        </w:rPr>
      </w:pPr>
      <w:bookmarkStart w:id="3" w:name="_Toc26587"/>
      <w:r>
        <w:rPr>
          <w:rFonts w:hint="eastAsia" w:ascii="黑体" w:hAnsi="黑体" w:eastAsia="黑体" w:cs="宋体"/>
          <w:color w:val="000000" w:themeColor="text1"/>
          <w:sz w:val="32"/>
          <w:szCs w:val="32"/>
        </w:rPr>
        <w:t>六、国有资产占用情况</w:t>
      </w:r>
      <w:bookmarkEnd w:id="3"/>
    </w:p>
    <w:p>
      <w:pPr>
        <w:shd w:val="clear" w:color="auto" w:fill="FFFFFF"/>
        <w:wordWrap w:val="0"/>
        <w:spacing w:line="240" w:lineRule="atLeast"/>
        <w:ind w:firstLine="560"/>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截至2021年12月31日，国有资产现值328.19万元。办公用房面积3300㎡，公务用车0辆，业务用车0辆。</w:t>
      </w:r>
    </w:p>
    <w:p>
      <w:pPr>
        <w:pStyle w:val="12"/>
        <w:tabs>
          <w:tab w:val="right" w:leader="dot" w:pos="8307"/>
        </w:tabs>
        <w:ind w:firstLine="640" w:firstLineChars="200"/>
        <w:rPr>
          <w:rFonts w:ascii="黑体" w:hAnsi="黑体" w:eastAsia="黑体" w:cs="宋体"/>
          <w:color w:val="000000" w:themeColor="text1"/>
          <w:sz w:val="32"/>
          <w:szCs w:val="32"/>
        </w:rPr>
      </w:pPr>
      <w:r>
        <w:rPr>
          <w:rFonts w:hint="eastAsia" w:ascii="黑体" w:hAnsi="黑体" w:eastAsia="黑体" w:cs="宋体"/>
          <w:color w:val="000000" w:themeColor="text1"/>
          <w:sz w:val="32"/>
          <w:szCs w:val="32"/>
        </w:rPr>
        <w:t>七、重点绩效评价情况</w:t>
      </w:r>
    </w:p>
    <w:p>
      <w:pPr>
        <w:shd w:val="clear" w:color="auto" w:fill="FFFFFF"/>
        <w:wordWrap w:val="0"/>
        <w:spacing w:line="240" w:lineRule="atLeast"/>
        <w:ind w:firstLine="560"/>
        <w:rPr>
          <w:rFonts w:hint="eastAsia"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2021年共开展重点绩效评价项目9个，评价结果为：</w:t>
      </w:r>
    </w:p>
    <w:p>
      <w:pPr>
        <w:shd w:val="clear" w:color="auto" w:fill="FFFFFF"/>
        <w:wordWrap w:val="0"/>
        <w:spacing w:line="240" w:lineRule="atLeast"/>
        <w:ind w:firstLine="560"/>
        <w:rPr>
          <w:rFonts w:hint="eastAsia"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2020年长子县畜禽养殖强农惠农扶持项目，优秀；</w:t>
      </w:r>
    </w:p>
    <w:p>
      <w:pPr>
        <w:shd w:val="clear" w:color="auto" w:fill="FFFFFF"/>
        <w:wordWrap w:val="0"/>
        <w:spacing w:line="240" w:lineRule="atLeast"/>
        <w:ind w:firstLine="560"/>
        <w:rPr>
          <w:rFonts w:hint="eastAsia"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动物强免疫苗补助及监测费，优秀；</w:t>
      </w:r>
    </w:p>
    <w:p>
      <w:pPr>
        <w:shd w:val="clear" w:color="auto" w:fill="FFFFFF"/>
        <w:wordWrap w:val="0"/>
        <w:spacing w:line="240" w:lineRule="atLeast"/>
        <w:ind w:firstLine="560"/>
        <w:rPr>
          <w:rFonts w:hint="eastAsia"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动物疫病防疫及应急指挥工作经费，优秀；</w:t>
      </w:r>
    </w:p>
    <w:p>
      <w:pPr>
        <w:shd w:val="clear" w:color="auto" w:fill="FFFFFF"/>
        <w:wordWrap w:val="0"/>
        <w:spacing w:line="240" w:lineRule="atLeast"/>
        <w:ind w:firstLine="560"/>
        <w:rPr>
          <w:rFonts w:hint="eastAsia"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长子县牧工商中心2021年社保、医保缴纳资金，优秀；</w:t>
      </w:r>
    </w:p>
    <w:p>
      <w:pPr>
        <w:shd w:val="clear" w:color="auto" w:fill="FFFFFF"/>
        <w:wordWrap w:val="0"/>
        <w:spacing w:line="240" w:lineRule="atLeast"/>
        <w:ind w:firstLine="560"/>
        <w:rPr>
          <w:rFonts w:hint="eastAsia"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长子温氏公司打井项目，优秀；</w:t>
      </w:r>
    </w:p>
    <w:p>
      <w:pPr>
        <w:shd w:val="clear" w:color="auto" w:fill="FFFFFF"/>
        <w:wordWrap w:val="0"/>
        <w:spacing w:line="240" w:lineRule="atLeast"/>
        <w:ind w:firstLine="560"/>
        <w:rPr>
          <w:rFonts w:hint="eastAsia"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长子县畜牧兽医中心公用经费，优秀；</w:t>
      </w:r>
    </w:p>
    <w:p>
      <w:pPr>
        <w:shd w:val="clear" w:color="auto" w:fill="FFFFFF"/>
        <w:wordWrap w:val="0"/>
        <w:spacing w:line="240" w:lineRule="atLeast"/>
        <w:ind w:firstLine="560"/>
        <w:rPr>
          <w:rFonts w:hint="eastAsia"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长子县牧工商中心社保、医保缴纳资金，优秀；</w:t>
      </w:r>
    </w:p>
    <w:p>
      <w:pPr>
        <w:shd w:val="clear" w:color="auto" w:fill="FFFFFF"/>
        <w:wordWrap w:val="0"/>
        <w:spacing w:line="240" w:lineRule="atLeast"/>
        <w:ind w:firstLine="560"/>
        <w:rPr>
          <w:rFonts w:hint="eastAsia"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2021年市级畜牧产业发展项目，</w:t>
      </w:r>
      <w:r>
        <w:rPr>
          <w:rFonts w:hint="eastAsia" w:ascii="仿宋" w:hAnsi="仿宋" w:eastAsia="仿宋" w:cs="宋体"/>
          <w:color w:val="000000" w:themeColor="text1"/>
          <w:kern w:val="0"/>
          <w:sz w:val="32"/>
          <w:szCs w:val="32"/>
          <w:lang w:val="en-US" w:eastAsia="zh-CN"/>
        </w:rPr>
        <w:t>中</w:t>
      </w:r>
      <w:r>
        <w:rPr>
          <w:rFonts w:hint="eastAsia" w:ascii="仿宋" w:hAnsi="仿宋" w:eastAsia="仿宋" w:cs="宋体"/>
          <w:color w:val="000000" w:themeColor="text1"/>
          <w:kern w:val="0"/>
          <w:sz w:val="32"/>
          <w:szCs w:val="32"/>
        </w:rPr>
        <w:t>；</w:t>
      </w:r>
    </w:p>
    <w:p>
      <w:pPr>
        <w:shd w:val="clear" w:color="auto" w:fill="FFFFFF"/>
        <w:wordWrap w:val="0"/>
        <w:spacing w:line="240" w:lineRule="atLeast"/>
        <w:ind w:firstLine="560"/>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中央农业生产发展资金，良好。</w:t>
      </w:r>
    </w:p>
    <w:p>
      <w:pPr>
        <w:pStyle w:val="12"/>
        <w:tabs>
          <w:tab w:val="right" w:leader="dot" w:pos="8307"/>
        </w:tabs>
        <w:jc w:val="center"/>
        <w:rPr>
          <w:rFonts w:ascii="华文中宋" w:hAnsi="华文中宋" w:eastAsia="华文中宋" w:cs="宋体"/>
          <w:color w:val="000000" w:themeColor="text1"/>
          <w:sz w:val="32"/>
          <w:szCs w:val="32"/>
        </w:rPr>
      </w:pPr>
      <w:r>
        <w:rPr>
          <w:rFonts w:hint="eastAsia" w:ascii="华文中宋" w:hAnsi="华文中宋" w:eastAsia="华文中宋" w:cs="宋体"/>
          <w:color w:val="000000" w:themeColor="text1"/>
          <w:sz w:val="32"/>
          <w:szCs w:val="32"/>
        </w:rPr>
        <w:t>第三部分  名词解释</w:t>
      </w:r>
      <w:bookmarkStart w:id="4" w:name="_GoBack"/>
      <w:bookmarkEnd w:id="4"/>
    </w:p>
    <w:p>
      <w:pPr>
        <w:shd w:val="clear" w:color="auto" w:fill="FFFFFF"/>
        <w:spacing w:line="240" w:lineRule="atLeast"/>
        <w:ind w:firstLine="640" w:firstLineChars="200"/>
        <w:rPr>
          <w:rFonts w:ascii="仿宋" w:hAnsi="仿宋" w:eastAsia="仿宋" w:cs="仿宋"/>
          <w:color w:val="222222"/>
          <w:sz w:val="32"/>
          <w:szCs w:val="32"/>
        </w:rPr>
      </w:pPr>
      <w:r>
        <w:rPr>
          <w:rFonts w:hint="eastAsia" w:ascii="仿宋" w:hAnsi="仿宋" w:eastAsia="仿宋" w:cs="宋体"/>
          <w:color w:val="000000" w:themeColor="text1"/>
          <w:sz w:val="32"/>
          <w:szCs w:val="32"/>
        </w:rPr>
        <w:t>一、财政拨款收入：</w:t>
      </w:r>
      <w:r>
        <w:rPr>
          <w:rFonts w:hint="eastAsia" w:ascii="仿宋" w:hAnsi="仿宋" w:eastAsia="仿宋" w:cs="仿宋"/>
          <w:color w:val="333333"/>
          <w:sz w:val="32"/>
          <w:szCs w:val="32"/>
        </w:rPr>
        <w:t>指县级财政当年拨付的资金。</w:t>
      </w:r>
    </w:p>
    <w:p>
      <w:pPr>
        <w:shd w:val="clear" w:color="auto" w:fill="FFFFFF"/>
        <w:wordWrap w:val="0"/>
        <w:spacing w:line="240" w:lineRule="atLeast"/>
        <w:ind w:firstLine="560"/>
        <w:rPr>
          <w:rFonts w:ascii="仿宋" w:hAnsi="仿宋" w:eastAsia="仿宋" w:cs="仿宋"/>
          <w:color w:val="222222"/>
          <w:sz w:val="32"/>
          <w:szCs w:val="32"/>
        </w:rPr>
      </w:pPr>
      <w:r>
        <w:rPr>
          <w:rFonts w:hint="eastAsia" w:ascii="仿宋" w:hAnsi="仿宋" w:eastAsia="仿宋" w:cs="宋体"/>
          <w:color w:val="000000" w:themeColor="text1"/>
          <w:sz w:val="32"/>
          <w:szCs w:val="32"/>
        </w:rPr>
        <w:t>二、事业收入：</w:t>
      </w:r>
      <w:r>
        <w:rPr>
          <w:rFonts w:hint="eastAsia" w:ascii="仿宋" w:hAnsi="仿宋" w:eastAsia="仿宋" w:cs="仿宋"/>
          <w:color w:val="333333"/>
          <w:sz w:val="32"/>
          <w:szCs w:val="32"/>
        </w:rPr>
        <w:t>事业单位开展专业业务活动及辅助活动所取得的收入。</w:t>
      </w:r>
    </w:p>
    <w:p>
      <w:pPr>
        <w:shd w:val="clear" w:color="auto" w:fill="FFFFFF"/>
        <w:wordWrap w:val="0"/>
        <w:spacing w:line="240" w:lineRule="atLeast"/>
        <w:ind w:firstLine="560"/>
        <w:rPr>
          <w:rFonts w:ascii="仿宋" w:hAnsi="仿宋" w:eastAsia="仿宋" w:cs="仿宋"/>
          <w:color w:val="222222"/>
          <w:sz w:val="32"/>
          <w:szCs w:val="32"/>
        </w:rPr>
      </w:pPr>
      <w:r>
        <w:rPr>
          <w:rFonts w:hint="eastAsia" w:ascii="仿宋" w:hAnsi="仿宋" w:eastAsia="仿宋" w:cs="宋体"/>
          <w:color w:val="000000" w:themeColor="text1"/>
          <w:sz w:val="32"/>
          <w:szCs w:val="32"/>
        </w:rPr>
        <w:t>三、其他收入：</w:t>
      </w:r>
      <w:r>
        <w:rPr>
          <w:rFonts w:hint="eastAsia" w:ascii="仿宋" w:hAnsi="仿宋" w:eastAsia="仿宋" w:cs="仿宋"/>
          <w:color w:val="333333"/>
          <w:sz w:val="32"/>
          <w:szCs w:val="32"/>
        </w:rPr>
        <w:t>指除上述“财政拨款收入”、“事业收入”等以外的收入，主要是存款利息收入等。</w:t>
      </w:r>
    </w:p>
    <w:p>
      <w:pPr>
        <w:shd w:val="clear" w:color="auto" w:fill="FFFFFF"/>
        <w:wordWrap w:val="0"/>
        <w:spacing w:line="240" w:lineRule="atLeast"/>
        <w:ind w:firstLine="560"/>
        <w:rPr>
          <w:rFonts w:ascii="仿宋" w:hAnsi="仿宋" w:eastAsia="仿宋" w:cs="仿宋"/>
          <w:color w:val="222222"/>
          <w:sz w:val="32"/>
          <w:szCs w:val="32"/>
        </w:rPr>
      </w:pPr>
      <w:r>
        <w:rPr>
          <w:rFonts w:hint="eastAsia" w:ascii="仿宋" w:hAnsi="仿宋" w:eastAsia="仿宋" w:cs="宋体"/>
          <w:color w:val="000000" w:themeColor="text1"/>
          <w:sz w:val="32"/>
          <w:szCs w:val="32"/>
        </w:rPr>
        <w:t>四、年初结转和结余：</w:t>
      </w:r>
      <w:r>
        <w:rPr>
          <w:rFonts w:hint="eastAsia" w:ascii="仿宋" w:hAnsi="仿宋" w:eastAsia="仿宋" w:cs="仿宋"/>
          <w:color w:val="333333"/>
          <w:sz w:val="32"/>
          <w:szCs w:val="32"/>
        </w:rPr>
        <w:t>指以前年度工作目标尚未完成，结转到本年按有关规定继续使用的资金；或以前年度工作目标已完成，剩余的滚存资金。</w:t>
      </w:r>
    </w:p>
    <w:p>
      <w:pPr>
        <w:shd w:val="clear" w:color="auto" w:fill="FFFFFF"/>
        <w:wordWrap w:val="0"/>
        <w:spacing w:line="240" w:lineRule="atLeast"/>
        <w:ind w:firstLine="560"/>
        <w:rPr>
          <w:rFonts w:ascii="仿宋" w:hAnsi="仿宋" w:eastAsia="仿宋" w:cs="仿宋"/>
          <w:color w:val="222222"/>
          <w:sz w:val="32"/>
          <w:szCs w:val="32"/>
        </w:rPr>
      </w:pPr>
      <w:r>
        <w:rPr>
          <w:rFonts w:hint="eastAsia" w:ascii="仿宋" w:hAnsi="仿宋" w:eastAsia="仿宋" w:cs="宋体"/>
          <w:color w:val="000000" w:themeColor="text1"/>
          <w:sz w:val="32"/>
          <w:szCs w:val="32"/>
        </w:rPr>
        <w:t>五、支出：</w:t>
      </w:r>
      <w:r>
        <w:rPr>
          <w:rFonts w:hint="eastAsia" w:ascii="仿宋" w:hAnsi="仿宋" w:eastAsia="仿宋" w:cs="仿宋"/>
          <w:color w:val="333333"/>
          <w:sz w:val="32"/>
          <w:szCs w:val="32"/>
        </w:rPr>
        <w:t>指行政事业单位自身开展业务活动及其辅助活动使用各项资金发生的基本支出和项目支出。</w:t>
      </w:r>
    </w:p>
    <w:p>
      <w:pPr>
        <w:shd w:val="clear" w:color="auto" w:fill="FFFFFF"/>
        <w:wordWrap w:val="0"/>
        <w:spacing w:line="240" w:lineRule="atLeast"/>
        <w:ind w:firstLine="560"/>
        <w:rPr>
          <w:rFonts w:ascii="仿宋" w:hAnsi="仿宋" w:eastAsia="仿宋" w:cs="仿宋"/>
          <w:color w:val="222222"/>
          <w:sz w:val="32"/>
          <w:szCs w:val="32"/>
        </w:rPr>
      </w:pPr>
      <w:r>
        <w:rPr>
          <w:rFonts w:hint="eastAsia" w:ascii="仿宋" w:hAnsi="仿宋" w:eastAsia="仿宋" w:cs="宋体"/>
          <w:color w:val="000000" w:themeColor="text1"/>
          <w:sz w:val="32"/>
          <w:szCs w:val="32"/>
        </w:rPr>
        <w:t>六、年末结转和结余：</w:t>
      </w:r>
      <w:r>
        <w:rPr>
          <w:rFonts w:hint="eastAsia" w:ascii="仿宋" w:hAnsi="仿宋" w:eastAsia="仿宋" w:cs="仿宋"/>
          <w:color w:val="333333"/>
          <w:sz w:val="32"/>
          <w:szCs w:val="32"/>
        </w:rPr>
        <w:t>指本年和以前年度工作目标尚未完成，结转到以后年度按有关规定继续使用的资金；或本年和以前年度工作目标已完成，剩余的滚存资金。</w:t>
      </w:r>
    </w:p>
    <w:p>
      <w:pPr>
        <w:shd w:val="clear" w:color="auto" w:fill="FFFFFF"/>
        <w:wordWrap w:val="0"/>
        <w:spacing w:line="240" w:lineRule="atLeast"/>
        <w:ind w:firstLine="560"/>
        <w:rPr>
          <w:rFonts w:ascii="仿宋" w:hAnsi="仿宋" w:eastAsia="仿宋" w:cs="仿宋"/>
          <w:color w:val="222222"/>
          <w:sz w:val="32"/>
          <w:szCs w:val="32"/>
        </w:rPr>
      </w:pPr>
      <w:r>
        <w:rPr>
          <w:rFonts w:hint="eastAsia" w:ascii="仿宋" w:hAnsi="仿宋" w:eastAsia="仿宋" w:cs="宋体"/>
          <w:color w:val="000000" w:themeColor="text1"/>
          <w:sz w:val="32"/>
          <w:szCs w:val="32"/>
        </w:rPr>
        <w:t>七、基本支出：</w:t>
      </w:r>
      <w:r>
        <w:rPr>
          <w:rFonts w:hint="eastAsia" w:ascii="仿宋" w:hAnsi="仿宋" w:eastAsia="仿宋" w:cs="仿宋"/>
          <w:color w:val="333333"/>
          <w:sz w:val="32"/>
          <w:szCs w:val="32"/>
        </w:rPr>
        <w:t>指为保障机构正常运转、完成日常工作任务而发生的人员支出和公用支出。</w:t>
      </w:r>
    </w:p>
    <w:p>
      <w:pPr>
        <w:shd w:val="clear" w:color="auto" w:fill="FFFFFF"/>
        <w:wordWrap w:val="0"/>
        <w:spacing w:line="240" w:lineRule="atLeast"/>
        <w:ind w:firstLine="560"/>
        <w:rPr>
          <w:rFonts w:ascii="仿宋" w:hAnsi="仿宋" w:eastAsia="仿宋" w:cs="仿宋"/>
          <w:color w:val="222222"/>
          <w:sz w:val="32"/>
          <w:szCs w:val="32"/>
        </w:rPr>
      </w:pPr>
      <w:r>
        <w:rPr>
          <w:rFonts w:hint="eastAsia" w:ascii="仿宋" w:hAnsi="仿宋" w:eastAsia="仿宋" w:cs="宋体"/>
          <w:color w:val="000000" w:themeColor="text1"/>
          <w:sz w:val="32"/>
          <w:szCs w:val="32"/>
        </w:rPr>
        <w:t>八、项目支出：</w:t>
      </w:r>
      <w:r>
        <w:rPr>
          <w:rFonts w:hint="eastAsia" w:ascii="仿宋" w:hAnsi="仿宋" w:eastAsia="仿宋" w:cs="仿宋"/>
          <w:color w:val="333333"/>
          <w:sz w:val="32"/>
          <w:szCs w:val="32"/>
        </w:rPr>
        <w:t>指在基本支出之外为完成特定行政任务和事业发展目标所发生的支出。</w:t>
      </w:r>
    </w:p>
    <w:p>
      <w:pPr>
        <w:shd w:val="clear" w:color="auto" w:fill="FFFFFF"/>
        <w:wordWrap w:val="0"/>
        <w:spacing w:line="240" w:lineRule="atLeast"/>
        <w:ind w:firstLine="560"/>
        <w:rPr>
          <w:rFonts w:ascii="仿宋" w:hAnsi="仿宋" w:eastAsia="仿宋" w:cs="仿宋"/>
          <w:color w:val="222222"/>
          <w:sz w:val="32"/>
          <w:szCs w:val="32"/>
        </w:rPr>
      </w:pPr>
      <w:r>
        <w:rPr>
          <w:rFonts w:hint="eastAsia" w:ascii="仿宋" w:hAnsi="仿宋" w:eastAsia="仿宋" w:cs="宋体"/>
          <w:color w:val="000000" w:themeColor="text1"/>
          <w:sz w:val="32"/>
          <w:szCs w:val="32"/>
        </w:rPr>
        <w:t>九、“三公”经费：</w:t>
      </w:r>
      <w:r>
        <w:rPr>
          <w:rFonts w:hint="eastAsia" w:ascii="仿宋" w:hAnsi="仿宋" w:eastAsia="仿宋" w:cs="仿宋"/>
          <w:color w:val="333333"/>
          <w:sz w:val="32"/>
          <w:szCs w:val="32"/>
        </w:rPr>
        <w:t>纳入县级财政预决算管理的“三公”经费，是指县级单位用财政拨款安排的因公出国（境）费、公务用车购置及运行费和公务接待费。</w:t>
      </w:r>
    </w:p>
    <w:p>
      <w:pPr>
        <w:pStyle w:val="12"/>
        <w:tabs>
          <w:tab w:val="right" w:leader="dot" w:pos="8307"/>
        </w:tabs>
        <w:ind w:firstLine="640" w:firstLineChars="200"/>
        <w:jc w:val="both"/>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十、机关运行经费：</w:t>
      </w:r>
      <w:r>
        <w:rPr>
          <w:rFonts w:hint="eastAsia" w:ascii="仿宋" w:hAnsi="仿宋" w:eastAsia="仿宋" w:cs="仿宋"/>
          <w:color w:val="333333"/>
          <w:sz w:val="32"/>
          <w:szCs w:val="32"/>
        </w:rPr>
        <w:t>指行政单位和参照公务员法管理的事业单位使用一般公共预算安排的基本支出中的日常公用经费支出。</w:t>
      </w:r>
    </w:p>
    <w:p>
      <w:pPr>
        <w:pStyle w:val="12"/>
        <w:tabs>
          <w:tab w:val="right" w:leader="dot" w:pos="8307"/>
        </w:tabs>
        <w:jc w:val="center"/>
        <w:rPr>
          <w:rFonts w:ascii="华文中宋" w:hAnsi="华文中宋" w:eastAsia="华文中宋" w:cs="宋体"/>
          <w:color w:val="000000" w:themeColor="text1"/>
          <w:sz w:val="32"/>
          <w:szCs w:val="32"/>
        </w:rPr>
      </w:pPr>
      <w:r>
        <w:rPr>
          <w:rFonts w:hint="eastAsia" w:ascii="华文中宋" w:hAnsi="华文中宋" w:eastAsia="华文中宋" w:cs="宋体"/>
          <w:color w:val="000000" w:themeColor="text1"/>
          <w:sz w:val="32"/>
          <w:szCs w:val="32"/>
        </w:rPr>
        <w:t>第四部分  2021年度单位决算表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1、收入支出决算总表(公开01表)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2、收入决算表(公开02表)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3、支出决算表(公开03表)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4、财政拨款收入支出决算总表(公开04表)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5、一般公共预算财政拨款支出决算表（一）(公开05表)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6、一般公共预算财政拨款支出决算表（二）(公开06表)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7、一般公共预算财政拨款“三公”经费支出决算表(公开07表)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8、政府性基金预算财政拨款收入支出决算表(公开08表)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9、国有资本经营预算财政拨款支出决算表(公开09表)</w:t>
      </w:r>
    </w:p>
    <w:p>
      <w:pPr>
        <w:pStyle w:val="12"/>
        <w:tabs>
          <w:tab w:val="right" w:leader="dot" w:pos="8307"/>
        </w:tabs>
      </w:pPr>
      <w:r>
        <w:rPr>
          <w:rFonts w:hint="eastAsia" w:ascii="仿宋" w:hAnsi="仿宋" w:eastAsia="仿宋" w:cs="宋体"/>
          <w:color w:val="000000" w:themeColor="text1"/>
          <w:sz w:val="32"/>
          <w:szCs w:val="32"/>
        </w:rPr>
        <w:t>10、单位决算公开相关信息统计表(公开10表)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宋体 !important">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M2MDIyNjA5YjI2MjUyMDc4ZDc1MGJjZTQ1ZjZlMGQifQ=="/>
  </w:docVars>
  <w:rsids>
    <w:rsidRoot w:val="00DD0E0B"/>
    <w:rsid w:val="001C7ABA"/>
    <w:rsid w:val="00346B7B"/>
    <w:rsid w:val="00393E10"/>
    <w:rsid w:val="003E5A4C"/>
    <w:rsid w:val="007E5BF2"/>
    <w:rsid w:val="009A7CFB"/>
    <w:rsid w:val="009B56C9"/>
    <w:rsid w:val="00A06228"/>
    <w:rsid w:val="00A92864"/>
    <w:rsid w:val="00B45D96"/>
    <w:rsid w:val="00B47629"/>
    <w:rsid w:val="00BD4DF4"/>
    <w:rsid w:val="00CD5794"/>
    <w:rsid w:val="00D9088A"/>
    <w:rsid w:val="00DD0E0B"/>
    <w:rsid w:val="00DF4C42"/>
    <w:rsid w:val="00E2336F"/>
    <w:rsid w:val="00E523AD"/>
    <w:rsid w:val="00E844FD"/>
    <w:rsid w:val="00EE7D1D"/>
    <w:rsid w:val="00F70AE8"/>
    <w:rsid w:val="00FD4170"/>
    <w:rsid w:val="026B1259"/>
    <w:rsid w:val="0C4A0131"/>
    <w:rsid w:val="1AC50AFB"/>
    <w:rsid w:val="1BD23C9F"/>
    <w:rsid w:val="1C1F3D84"/>
    <w:rsid w:val="23D762F6"/>
    <w:rsid w:val="280671AA"/>
    <w:rsid w:val="31876623"/>
    <w:rsid w:val="36580022"/>
    <w:rsid w:val="38E6071A"/>
    <w:rsid w:val="38F57F72"/>
    <w:rsid w:val="39A84565"/>
    <w:rsid w:val="42127FFC"/>
    <w:rsid w:val="44814EC3"/>
    <w:rsid w:val="4AD16C06"/>
    <w:rsid w:val="4DDE116A"/>
    <w:rsid w:val="4FA964E9"/>
    <w:rsid w:val="5C970706"/>
    <w:rsid w:val="60111BC8"/>
    <w:rsid w:val="61DE0274"/>
    <w:rsid w:val="736A259F"/>
    <w:rsid w:val="761A3B1B"/>
    <w:rsid w:val="765566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qFormat/>
    <w:uiPriority w:val="99"/>
    <w:rPr>
      <w:color w:val="0000FF"/>
      <w:u w:val="single"/>
    </w:rPr>
  </w:style>
  <w:style w:type="character" w:customStyle="1" w:styleId="10">
    <w:name w:val="页眉 Char"/>
    <w:basedOn w:val="8"/>
    <w:link w:val="4"/>
    <w:uiPriority w:val="0"/>
    <w:rPr>
      <w:kern w:val="2"/>
      <w:sz w:val="18"/>
      <w:szCs w:val="18"/>
    </w:rPr>
  </w:style>
  <w:style w:type="character" w:customStyle="1" w:styleId="11">
    <w:name w:val="页脚 Char"/>
    <w:basedOn w:val="8"/>
    <w:link w:val="3"/>
    <w:uiPriority w:val="0"/>
    <w:rPr>
      <w:kern w:val="2"/>
      <w:sz w:val="18"/>
      <w:szCs w:val="18"/>
    </w:rPr>
  </w:style>
  <w:style w:type="paragraph" w:customStyle="1" w:styleId="12">
    <w:name w:val="WPSOffice手动目录 1"/>
    <w:qFormat/>
    <w:uiPriority w:val="0"/>
    <w:rPr>
      <w:rFonts w:ascii="Times New Roman" w:hAnsi="Times New Roman" w:eastAsia="宋体" w:cs="Times New Roman"/>
      <w:lang w:val="en-US" w:eastAsia="zh-CN" w:bidi="ar-SA"/>
    </w:rPr>
  </w:style>
  <w:style w:type="paragraph" w:customStyle="1" w:styleId="13">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4">
    <w:name w:val="标题 1 Char"/>
    <w:basedOn w:val="8"/>
    <w:link w:val="2"/>
    <w:qFormat/>
    <w:uiPriority w:val="0"/>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5B96C1-1CE3-45B2-BDC6-648915E34060}">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2235</Words>
  <Characters>534</Characters>
  <Lines>4</Lines>
  <Paragraphs>5</Paragraphs>
  <TotalTime>80</TotalTime>
  <ScaleCrop>false</ScaleCrop>
  <LinksUpToDate>false</LinksUpToDate>
  <CharactersWithSpaces>2764</CharactersWithSpaces>
  <Application>WPS Office_11.8.6.8697_F1E327BC-269C-435d-A152-05C5408002CA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2022-09-09T07:11:00Z</dcterms:created>
  <dc:creator>ZN</dc:creator>
  <cp:lastModifiedBy>ZN</cp:lastModifiedBy>
  <dcterms:modified xsi:type="dcterms:W3CDTF">2022-11-04T03:37:19Z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y fmtid="{D5CDD505-2E9C-101B-9397-08002B2CF9AE}" pid="3" name="ICV">
    <vt:lpwstr>6C3B7EED64D1400BB3B064270B7F1BFD</vt:lpwstr>
  </property>
</Properties>
</file>