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szCs w:val="21"/>
        </w:rPr>
      </w:pPr>
      <w:bookmarkStart w:id="1389" w:name="_GoBack"/>
      <w:bookmarkEnd w:id="1389"/>
    </w:p>
    <w:p>
      <w:pPr>
        <w:jc w:val="center"/>
        <w:rPr>
          <w:rFonts w:ascii="仿宋_GB2312" w:hAnsi="仿宋_GB2312" w:eastAsia="仿宋_GB2312" w:cs="仿宋_GB2312"/>
          <w:szCs w:val="21"/>
        </w:rPr>
      </w:pPr>
    </w:p>
    <w:p>
      <w:pPr>
        <w:pStyle w:val="2"/>
        <w:rPr>
          <w:rFonts w:ascii="仿宋_GB2312" w:hAnsi="仿宋_GB2312" w:eastAsia="仿宋_GB2312" w:cs="仿宋_GB2312"/>
          <w:szCs w:val="21"/>
        </w:rPr>
      </w:pPr>
    </w:p>
    <w:p/>
    <w:p>
      <w:pPr>
        <w:jc w:val="center"/>
        <w:rPr>
          <w:rFonts w:ascii="方正小标宋简体" w:hAnsi="方正小标宋简体" w:eastAsia="方正小标宋简体" w:cs="方正小标宋简体"/>
          <w:color w:val="FF0000"/>
          <w:spacing w:val="51"/>
          <w:w w:val="80"/>
          <w:sz w:val="100"/>
          <w:szCs w:val="100"/>
        </w:rPr>
      </w:pPr>
      <w:r>
        <w:rPr>
          <w:rFonts w:hint="eastAsia" w:ascii="方正小标宋简体" w:hAnsi="方正小标宋简体" w:eastAsia="方正小标宋简体" w:cs="方正小标宋简体"/>
          <w:color w:val="FF0000"/>
          <w:spacing w:val="51"/>
          <w:w w:val="75"/>
          <w:sz w:val="110"/>
          <w:szCs w:val="110"/>
        </w:rPr>
        <w:t>长子县人民政府文件</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363855</wp:posOffset>
                </wp:positionV>
                <wp:extent cx="5467350" cy="0"/>
                <wp:effectExtent l="0" t="19050" r="0" b="19050"/>
                <wp:wrapNone/>
                <wp:docPr id="9" name="直接连接符 9"/>
                <wp:cNvGraphicFramePr/>
                <a:graphic xmlns:a="http://schemas.openxmlformats.org/drawingml/2006/main">
                  <a:graphicData uri="http://schemas.microsoft.com/office/word/2010/wordprocessingShape">
                    <wps:wsp>
                      <wps:cNvCnPr/>
                      <wps:spPr>
                        <a:xfrm>
                          <a:off x="985520" y="4070985"/>
                          <a:ext cx="5467350" cy="0"/>
                        </a:xfrm>
                        <a:prstGeom prst="line">
                          <a:avLst/>
                        </a:prstGeom>
                        <a:noFill/>
                        <a:ln w="381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75pt;margin-top:28.65pt;height:0pt;width:430.5pt;z-index:251661312;mso-width-relative:page;mso-height-relative:page;" filled="f" stroked="t" coordsize="21600,21600" o:gfxdata="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K9LNU7VAAAACAEAAA8AAAAAAAAAAQAgAAAA&#10;OAAAAGRycy9kb3ducmV2LnhtbFBLAQIUABQAAAAIAIdO4kAGZIB/+AEAAMsDAAAOAAAAAAAAAAEA&#10;IAAAADoBAABkcnMvZTJvRG9jLnhtbFBLBQYAAAAABgAGAFkBAACkBQAAAAA=&#10;">
                <v:fill on="f" focussize="0,0"/>
                <v:stroke weight="3pt" color="#FF0000" miterlimit="8" joinstyle="miter"/>
                <v:imagedata o:title=""/>
                <o:lock v:ext="edit" aspectratio="f"/>
              </v:line>
            </w:pict>
          </mc:Fallback>
        </mc:AlternateContent>
      </w:r>
      <w:r>
        <w:rPr>
          <w:rFonts w:hint="eastAsia" w:ascii="仿宋_GB2312" w:hAnsi="仿宋_GB2312" w:eastAsia="仿宋_GB2312" w:cs="仿宋_GB2312"/>
          <w:sz w:val="32"/>
          <w:szCs w:val="32"/>
        </w:rPr>
        <w:t>长子政发〔2021〕13号</w:t>
      </w:r>
    </w:p>
    <w:p>
      <w:pPr>
        <w:jc w:val="center"/>
        <w:rPr>
          <w:rFonts w:ascii="仿宋_GB2312" w:hAnsi="仿宋_GB2312" w:eastAsia="仿宋_GB2312" w:cs="仿宋_GB2312"/>
          <w:sz w:val="10"/>
          <w:szCs w:val="10"/>
        </w:rPr>
      </w:pPr>
    </w:p>
    <w:p>
      <w:pPr>
        <w:pStyle w:val="2"/>
      </w:pP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长子县人民政府</w:t>
      </w:r>
    </w:p>
    <w:p>
      <w:pPr>
        <w:spacing w:line="700" w:lineRule="exact"/>
        <w:jc w:val="center"/>
        <w:rPr>
          <w:rFonts w:ascii="方正小标宋简体" w:hAnsi="方正小标宋简体" w:eastAsia="方正小标宋简体" w:cs="方正小标宋简体"/>
          <w:spacing w:val="-3"/>
          <w:sz w:val="44"/>
          <w:szCs w:val="44"/>
        </w:rPr>
      </w:pPr>
      <w:r>
        <w:rPr>
          <w:rFonts w:hint="eastAsia" w:ascii="方正小标宋简体" w:hAnsi="方正小标宋简体" w:eastAsia="方正小标宋简体" w:cs="方正小标宋简体"/>
          <w:spacing w:val="-3"/>
          <w:sz w:val="44"/>
          <w:szCs w:val="44"/>
        </w:rPr>
        <w:t>关于印发长子县国民经济和社会发展第十四个</w:t>
      </w:r>
    </w:p>
    <w:p>
      <w:pPr>
        <w:spacing w:line="70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3"/>
          <w:sz w:val="44"/>
          <w:szCs w:val="44"/>
        </w:rPr>
        <w:t>五年规划和2035年远景目标纲要的通知</w:t>
      </w:r>
    </w:p>
    <w:p>
      <w:pPr>
        <w:jc w:val="center"/>
        <w:rPr>
          <w:rFonts w:ascii="仿宋_GB2312" w:hAnsi="仿宋_GB2312" w:eastAsia="仿宋_GB2312" w:cs="仿宋_GB2312"/>
          <w:szCs w:val="21"/>
        </w:rPr>
      </w:pPr>
    </w:p>
    <w:p>
      <w:pPr>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各乡镇人民政府，县直各单位：</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《长子县国民经济和社会发展第十四个五年规划和2035年远景目标纲要》已经长子县第十七届人民代表大会第一次会议审议批准，现印发你们，请认真贯彻执行。</w:t>
      </w:r>
    </w:p>
    <w:p>
      <w:pPr>
        <w:jc w:val="left"/>
        <w:rPr>
          <w:rFonts w:ascii="仿宋_GB2312" w:hAnsi="仿宋_GB2312" w:eastAsia="仿宋_GB2312" w:cs="仿宋_GB2312"/>
          <w:color w:val="000000" w:themeColor="text1"/>
          <w:sz w:val="32"/>
          <w:szCs w:val="32"/>
        </w:rPr>
      </w:pPr>
    </w:p>
    <w:p>
      <w:pPr>
        <w:spacing w:beforeLines="50"/>
        <w:ind w:firstLine="4480" w:firstLineChars="14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长子县人民政府</w:t>
      </w:r>
    </w:p>
    <w:p>
      <w:pPr>
        <w:ind w:firstLine="4480" w:firstLineChars="14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2021年6月27日</w:t>
      </w:r>
    </w:p>
    <w:p>
      <w:pPr>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（此件公开发布）</w:t>
      </w:r>
    </w:p>
    <w:p>
      <w:pP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br w:type="page"/>
      </w:r>
    </w:p>
    <w:p>
      <w:r>
        <w:rPr>
          <w:rFonts w:hint="eastAsia"/>
        </w:rPr>
        <w:br w:type="page"/>
      </w:r>
    </w:p>
    <w:p>
      <w:pPr>
        <w:spacing w:line="540" w:lineRule="exact"/>
        <w:rPr>
          <w:rFonts w:ascii="黑体" w:eastAsia="黑体"/>
          <w:bCs/>
          <w:sz w:val="28"/>
          <w:szCs w:val="28"/>
        </w:rPr>
      </w:pPr>
      <w:r>
        <w:rPr>
          <w:sz w:val="48"/>
        </w:rPr>
        <mc:AlternateContent>
          <mc:Choice Requires="wps">
            <w:drawing>
              <wp:anchor distT="0" distB="0" distL="114300" distR="114300" simplePos="0" relativeHeight="251662336" behindDoc="0" locked="0" layoutInCell="1" allowOverlap="1">
                <wp:simplePos x="0" y="0"/>
                <wp:positionH relativeFrom="column">
                  <wp:posOffset>-295910</wp:posOffset>
                </wp:positionH>
                <wp:positionV relativeFrom="paragraph">
                  <wp:posOffset>-180975</wp:posOffset>
                </wp:positionV>
                <wp:extent cx="1866265" cy="1828800"/>
                <wp:effectExtent l="0" t="0" r="0" b="0"/>
                <wp:wrapSquare wrapText="bothSides"/>
                <wp:docPr id="6" name="文本框 6"/>
                <wp:cNvGraphicFramePr/>
                <a:graphic xmlns:a="http://schemas.openxmlformats.org/drawingml/2006/main">
                  <a:graphicData uri="http://schemas.microsoft.com/office/word/2010/wordprocessingShape">
                    <wps:wsp>
                      <wps:cNvSpPr txBox="1"/>
                      <wps:spPr>
                        <a:xfrm>
                          <a:off x="0" y="0"/>
                          <a:ext cx="1866265" cy="1828800"/>
                        </a:xfrm>
                        <a:prstGeom prst="rect">
                          <a:avLst/>
                        </a:prstGeom>
                        <a:noFill/>
                        <a:ln w="6350">
                          <a:noFill/>
                        </a:ln>
                        <a:effectLst/>
                      </wps:spPr>
                      <wps:txbx>
                        <w:txbxContent>
                          <w:p>
                            <w:pPr>
                              <w:rPr>
                                <w:rFonts w:ascii="黑体" w:hAnsi="黑体" w:eastAsia="黑体" w:cs="黑体"/>
                                <w:sz w:val="28"/>
                                <w:szCs w:val="28"/>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3.3pt;margin-top:-14.25pt;height:144pt;width:146.95pt;mso-wrap-distance-bottom:0pt;mso-wrap-distance-left:9pt;mso-wrap-distance-right:9pt;mso-wrap-distance-top:0pt;z-index:251662336;mso-width-relative:page;mso-height-relative:page;" filled="f" stroked="f" coordsize="21600,21600" o:gfxdata="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cT3tLtcA&#10;AAALAQAADwAAAAAAAAABACAAAAA4AAAAZHJzL2Rvd25yZXYueG1sUEsBAhQAFAAAAAgAh07iQFc5&#10;HeFDAgAAdQQAAA4AAAAAAAAAAQAgAAAAPAEAAGRycy9lMm9Eb2MueG1sUEsFBgAAAAAGAAYAWQEA&#10;APEFAAAAAA==&#10;">
                <v:fill on="f" focussize="0,0"/>
                <v:stroke on="f" weight="0.5pt"/>
                <v:imagedata o:title=""/>
                <o:lock v:ext="edit" aspectratio="f"/>
                <v:textbox style="mso-fit-shape-to-text:t;">
                  <w:txbxContent>
                    <w:p>
                      <w:pPr>
                        <w:rPr>
                          <w:rFonts w:ascii="黑体" w:hAnsi="黑体" w:eastAsia="黑体" w:cs="黑体"/>
                          <w:sz w:val="28"/>
                          <w:szCs w:val="28"/>
                        </w:rPr>
                      </w:pPr>
                    </w:p>
                  </w:txbxContent>
                </v:textbox>
                <w10:wrap type="square"/>
              </v:shape>
            </w:pict>
          </mc:Fallback>
        </mc:AlternateContent>
      </w:r>
    </w:p>
    <w:p>
      <w:pPr>
        <w:ind w:firstLine="963" w:firstLineChars="200"/>
        <w:rPr>
          <w:rFonts w:ascii="黑体" w:hAnsi="黑体" w:eastAsia="黑体" w:cs="黑体"/>
          <w:b/>
          <w:bCs/>
          <w:sz w:val="48"/>
          <w:szCs w:val="48"/>
        </w:rPr>
      </w:pPr>
    </w:p>
    <w:p>
      <w:pPr>
        <w:pStyle w:val="2"/>
      </w:pPr>
    </w:p>
    <w:p>
      <w:pPr>
        <w:spacing w:line="800" w:lineRule="exact"/>
        <w:jc w:val="center"/>
        <w:rPr>
          <w:rFonts w:ascii="方正小标宋简体" w:hAnsi="方正小标宋简体" w:eastAsia="方正小标宋简体" w:cs="方正小标宋简体"/>
          <w:b/>
          <w:bCs/>
          <w:sz w:val="52"/>
          <w:szCs w:val="52"/>
        </w:rPr>
      </w:pPr>
      <w:bookmarkStart w:id="0" w:name="_Toc17904"/>
      <w:bookmarkStart w:id="1" w:name="_Toc20419"/>
      <w:bookmarkStart w:id="2" w:name="_Toc21104"/>
      <w:r>
        <w:rPr>
          <w:rFonts w:hint="eastAsia" w:ascii="方正小标宋简体" w:hAnsi="方正小标宋简体" w:eastAsia="方正小标宋简体" w:cs="方正小标宋简体"/>
          <w:b/>
          <w:bCs/>
          <w:sz w:val="52"/>
          <w:szCs w:val="52"/>
        </w:rPr>
        <w:t>长子县国民经济和社会发展</w:t>
      </w:r>
    </w:p>
    <w:p>
      <w:pPr>
        <w:spacing w:line="800" w:lineRule="exact"/>
        <w:jc w:val="center"/>
        <w:rPr>
          <w:rFonts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第十四个五年规划</w:t>
      </w:r>
      <w:bookmarkEnd w:id="0"/>
      <w:bookmarkEnd w:id="1"/>
      <w:bookmarkEnd w:id="2"/>
      <w:r>
        <w:rPr>
          <w:rFonts w:hint="eastAsia" w:ascii="方正小标宋简体" w:hAnsi="方正小标宋简体" w:eastAsia="方正小标宋简体" w:cs="方正小标宋简体"/>
          <w:b/>
          <w:bCs/>
          <w:sz w:val="52"/>
          <w:szCs w:val="52"/>
        </w:rPr>
        <w:t>和二〇三五年</w:t>
      </w:r>
    </w:p>
    <w:p>
      <w:pPr>
        <w:spacing w:line="800" w:lineRule="exact"/>
        <w:jc w:val="center"/>
        <w:rPr>
          <w:rFonts w:ascii="华文中宋" w:hAnsi="华文中宋" w:eastAsia="华文中宋" w:cs="华文中宋"/>
          <w:b/>
          <w:bCs/>
          <w:sz w:val="52"/>
          <w:szCs w:val="52"/>
        </w:rPr>
      </w:pPr>
      <w:r>
        <w:rPr>
          <w:rFonts w:hint="eastAsia" w:ascii="方正小标宋简体" w:hAnsi="方正小标宋简体" w:eastAsia="方正小标宋简体" w:cs="方正小标宋简体"/>
          <w:b/>
          <w:bCs/>
          <w:sz w:val="52"/>
          <w:szCs w:val="52"/>
        </w:rPr>
        <w:t>远景目标纲要</w:t>
      </w:r>
    </w:p>
    <w:p>
      <w:pPr>
        <w:rPr>
          <w:rFonts w:ascii="楷体" w:hAnsi="楷体" w:eastAsia="楷体" w:cs="楷体"/>
          <w:b/>
          <w:bCs/>
          <w:sz w:val="44"/>
          <w:szCs w:val="44"/>
        </w:rPr>
      </w:pPr>
    </w:p>
    <w:p>
      <w:pPr>
        <w:ind w:firstLine="1044" w:firstLineChars="200"/>
        <w:rPr>
          <w:rFonts w:ascii="黑体" w:hAnsi="黑体" w:eastAsia="黑体" w:cs="黑体"/>
          <w:b/>
          <w:bCs/>
          <w:sz w:val="52"/>
          <w:szCs w:val="52"/>
        </w:rPr>
      </w:pPr>
    </w:p>
    <w:p>
      <w:pPr>
        <w:pStyle w:val="2"/>
        <w:ind w:left="0" w:leftChars="0"/>
        <w:rPr>
          <w:rFonts w:eastAsia="仿宋_GB2312"/>
        </w:rPr>
      </w:pPr>
    </w:p>
    <w:p>
      <w:pPr>
        <w:rPr>
          <w:rFonts w:ascii="楷体" w:hAnsi="楷体" w:eastAsia="楷体" w:cs="楷体"/>
          <w:sz w:val="36"/>
          <w:szCs w:val="36"/>
        </w:rPr>
      </w:pPr>
    </w:p>
    <w:p>
      <w:pPr>
        <w:pStyle w:val="3"/>
        <w:ind w:left="0" w:leftChars="0"/>
        <w:rPr>
          <w:rFonts w:ascii="楷体" w:hAnsi="楷体" w:eastAsia="楷体" w:cs="楷体"/>
          <w:sz w:val="36"/>
          <w:szCs w:val="36"/>
        </w:rPr>
      </w:pPr>
    </w:p>
    <w:p>
      <w:pPr>
        <w:pStyle w:val="2"/>
      </w:pPr>
    </w:p>
    <w:p>
      <w:pPr>
        <w:pStyle w:val="2"/>
        <w:ind w:left="0" w:leftChars="0"/>
        <w:rPr>
          <w:rFonts w:eastAsia="仿宋_GB2312"/>
        </w:rPr>
      </w:pPr>
    </w:p>
    <w:p>
      <w:pPr>
        <w:ind w:firstLine="722" w:firstLineChars="200"/>
        <w:rPr>
          <w:rFonts w:ascii="方正大标宋_GBK" w:eastAsia="方正大标宋_GBK"/>
          <w:b/>
          <w:bCs/>
          <w:sz w:val="36"/>
          <w:szCs w:val="36"/>
        </w:rPr>
      </w:pPr>
    </w:p>
    <w:p>
      <w:pPr>
        <w:pStyle w:val="2"/>
        <w:ind w:left="0" w:leftChars="0" w:firstLine="723"/>
        <w:rPr>
          <w:rFonts w:ascii="方正大标宋_GBK" w:eastAsia="方正大标宋_GBK"/>
          <w:b/>
          <w:bCs/>
          <w:sz w:val="36"/>
          <w:szCs w:val="36"/>
        </w:rPr>
      </w:pPr>
    </w:p>
    <w:p>
      <w:pPr>
        <w:pStyle w:val="2"/>
        <w:ind w:left="0" w:leftChars="0" w:firstLine="0" w:firstLineChars="0"/>
      </w:pPr>
    </w:p>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2021年6月</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2"/>
      </w:pP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pacing w:line="360" w:lineRule="auto"/>
        <w:jc w:val="center"/>
        <w:rPr>
          <w:rFonts w:ascii="黑体" w:hAnsi="黑体" w:eastAsia="黑体" w:cs="黑体"/>
          <w:b/>
          <w:sz w:val="48"/>
          <w:szCs w:val="48"/>
        </w:rPr>
      </w:pPr>
    </w:p>
    <w:p>
      <w:pPr>
        <w:spacing w:line="360" w:lineRule="auto"/>
        <w:jc w:val="center"/>
        <w:rPr>
          <w:rFonts w:ascii="黑体" w:hAnsi="黑体" w:eastAsia="黑体" w:cs="黑体"/>
          <w:b/>
          <w:sz w:val="48"/>
          <w:szCs w:val="48"/>
        </w:rPr>
      </w:pPr>
      <w:r>
        <w:rPr>
          <w:rFonts w:hint="eastAsia" w:ascii="黑体" w:hAnsi="黑体" w:eastAsia="黑体" w:cs="黑体"/>
          <w:b/>
          <w:sz w:val="48"/>
          <w:szCs w:val="48"/>
        </w:rPr>
        <w:t>目      录</w:t>
      </w:r>
    </w:p>
    <w:p>
      <w:pPr>
        <w:pStyle w:val="13"/>
        <w:tabs>
          <w:tab w:val="right" w:leader="dot" w:pos="8306"/>
        </w:tabs>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p>
    <w:p>
      <w:pPr>
        <w:pStyle w:val="13"/>
        <w:tabs>
          <w:tab w:val="right" w:leader="dot" w:pos="8306"/>
        </w:tabs>
        <w:spacing w:line="608" w:lineRule="exact"/>
        <w:rPr>
          <w:rFonts w:ascii="仿宋_GB2312" w:hAnsi="仿宋_GB2312" w:eastAsia="仿宋_GB2312" w:cs="仿宋_GB2312"/>
          <w:b/>
          <w:bCs/>
          <w:spacing w:val="11"/>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_Toc32370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pacing w:val="-6"/>
          <w:sz w:val="32"/>
          <w:szCs w:val="32"/>
        </w:rPr>
        <w:t xml:space="preserve">第一章 </w:t>
      </w:r>
      <w:r>
        <w:rPr>
          <w:rFonts w:hint="eastAsia" w:ascii="仿宋_GB2312" w:hAnsi="仿宋_GB2312" w:eastAsia="仿宋_GB2312" w:cs="仿宋_GB2312"/>
          <w:b/>
          <w:bCs/>
          <w:spacing w:val="11"/>
          <w:sz w:val="32"/>
          <w:szCs w:val="32"/>
        </w:rPr>
        <w:t>科学把握新发展阶段，奋力谱写全面建设社会</w:t>
      </w:r>
    </w:p>
    <w:p>
      <w:pPr>
        <w:pStyle w:val="13"/>
        <w:tabs>
          <w:tab w:val="right" w:leader="dot" w:pos="8306"/>
        </w:tabs>
        <w:spacing w:line="608" w:lineRule="exact"/>
        <w:rPr>
          <w:rFonts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主义现代化国家长子篇章</w:t>
      </w:r>
      <w:r>
        <w:rPr>
          <w:rFonts w:hint="eastAsia" w:ascii="仿宋_GB2312" w:hAnsi="仿宋_GB2312" w:eastAsia="仿宋_GB2312" w:cs="仿宋_GB2312"/>
          <w:spacing w:val="11"/>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_Toc32370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"_Toc25425" </w:instrText>
      </w:r>
      <w:r>
        <w:fldChar w:fldCharType="separate"/>
      </w:r>
      <w:r>
        <w:rPr>
          <w:rFonts w:hint="eastAsia" w:ascii="仿宋_GB2312" w:hAnsi="仿宋_GB2312" w:eastAsia="仿宋_GB2312" w:cs="仿宋_GB2312"/>
          <w:sz w:val="32"/>
          <w:szCs w:val="32"/>
        </w:rPr>
        <w:t>第一节 “十三五”发展成就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"_Toc18203" </w:instrText>
      </w:r>
      <w:r>
        <w:fldChar w:fldCharType="separate"/>
      </w:r>
      <w:r>
        <w:rPr>
          <w:rFonts w:hint="eastAsia" w:ascii="仿宋_GB2312" w:hAnsi="仿宋_GB2312" w:eastAsia="仿宋_GB2312" w:cs="仿宋_GB2312"/>
          <w:sz w:val="32"/>
          <w:szCs w:val="32"/>
        </w:rPr>
        <w:t>第二节 “十四五”时期经济社会发展面临的形势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"_Toc5817" </w:instrText>
      </w:r>
      <w:r>
        <w:fldChar w:fldCharType="separate"/>
      </w:r>
      <w:r>
        <w:rPr>
          <w:rFonts w:hint="eastAsia" w:ascii="仿宋_GB2312" w:hAnsi="仿宋_GB2312" w:eastAsia="仿宋_GB2312" w:cs="仿宋_GB2312"/>
          <w:sz w:val="32"/>
          <w:szCs w:val="32"/>
        </w:rPr>
        <w:t>第三节 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_Toc5817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"_Toc24669" </w:instrText>
      </w:r>
      <w:r>
        <w:fldChar w:fldCharType="separate"/>
      </w:r>
      <w:r>
        <w:rPr>
          <w:rFonts w:hint="eastAsia" w:ascii="仿宋_GB2312" w:hAnsi="仿宋_GB2312" w:eastAsia="仿宋_GB2312" w:cs="仿宋_GB2312"/>
          <w:sz w:val="32"/>
          <w:szCs w:val="32"/>
        </w:rPr>
        <w:t>第四节 战略定位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"_Toc7594" </w:instrText>
      </w:r>
      <w:r>
        <w:fldChar w:fldCharType="separate"/>
      </w:r>
      <w:r>
        <w:rPr>
          <w:rFonts w:hint="eastAsia" w:ascii="仿宋_GB2312" w:hAnsi="仿宋_GB2312" w:eastAsia="仿宋_GB2312" w:cs="仿宋_GB2312"/>
          <w:sz w:val="32"/>
          <w:szCs w:val="32"/>
        </w:rPr>
        <w:t>第五节 发展目标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b/>
          <w:bCs/>
          <w:sz w:val="32"/>
          <w:szCs w:val="32"/>
        </w:rPr>
      </w:pPr>
      <w:r>
        <w:fldChar w:fldCharType="begin"/>
      </w:r>
      <w:r>
        <w:instrText xml:space="preserve"> HYPERLINK \l "_Toc3082" </w:instrText>
      </w:r>
      <w:r>
        <w:fldChar w:fldCharType="separate"/>
      </w:r>
      <w:r>
        <w:rPr>
          <w:rFonts w:hint="eastAsia" w:ascii="仿宋_GB2312" w:hAnsi="仿宋_GB2312" w:eastAsia="仿宋_GB2312" w:cs="仿宋_GB2312"/>
          <w:b/>
          <w:bCs/>
          <w:spacing w:val="-6"/>
          <w:sz w:val="32"/>
          <w:szCs w:val="32"/>
        </w:rPr>
        <w:t>第二章  深入实施创新驱动发展战略，努力打造创新高地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"_Toc12102" </w:instrText>
      </w:r>
      <w:r>
        <w:fldChar w:fldCharType="separate"/>
      </w:r>
      <w:r>
        <w:rPr>
          <w:rFonts w:hint="eastAsia" w:ascii="仿宋_GB2312" w:hAnsi="仿宋_GB2312" w:eastAsia="仿宋_GB2312" w:cs="仿宋_GB2312"/>
          <w:sz w:val="32"/>
          <w:szCs w:val="32"/>
        </w:rPr>
        <w:t>第一节 打造一流创新平台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"_Toc5867" </w:instrText>
      </w:r>
      <w:r>
        <w:fldChar w:fldCharType="separate"/>
      </w:r>
      <w:r>
        <w:rPr>
          <w:rFonts w:hint="eastAsia" w:ascii="仿宋_GB2312" w:hAnsi="仿宋_GB2312" w:eastAsia="仿宋_GB2312" w:cs="仿宋_GB2312"/>
          <w:sz w:val="32"/>
          <w:szCs w:val="32"/>
        </w:rPr>
        <w:t>第二节 培育一流创新主体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_Toc5867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"_Toc2208" </w:instrText>
      </w:r>
      <w:r>
        <w:fldChar w:fldCharType="separate"/>
      </w:r>
      <w:r>
        <w:rPr>
          <w:rFonts w:hint="eastAsia" w:ascii="仿宋_GB2312" w:hAnsi="仿宋_GB2312" w:eastAsia="仿宋_GB2312" w:cs="仿宋_GB2312"/>
          <w:sz w:val="32"/>
          <w:szCs w:val="32"/>
        </w:rPr>
        <w:t>第三节 建设一流人才高地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"_Toc17677" </w:instrText>
      </w:r>
      <w:r>
        <w:fldChar w:fldCharType="separate"/>
      </w:r>
      <w:r>
        <w:rPr>
          <w:rFonts w:hint="eastAsia" w:ascii="仿宋_GB2312" w:hAnsi="仿宋_GB2312" w:eastAsia="仿宋_GB2312" w:cs="仿宋_GB2312"/>
          <w:sz w:val="32"/>
          <w:szCs w:val="32"/>
        </w:rPr>
        <w:t>第四节 创设一流创新制度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_Toc17677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sz w:val="32"/>
          <w:szCs w:val="32"/>
        </w:rPr>
      </w:pPr>
      <w:r>
        <w:fldChar w:fldCharType="begin"/>
      </w:r>
      <w:r>
        <w:instrText xml:space="preserve"> HYPERLINK \l "_Toc1415" </w:instrText>
      </w:r>
      <w:r>
        <w:fldChar w:fldCharType="separate"/>
      </w:r>
      <w:r>
        <w:rPr>
          <w:rFonts w:hint="eastAsia" w:ascii="仿宋_GB2312" w:hAnsi="仿宋_GB2312" w:eastAsia="仿宋_GB2312" w:cs="仿宋_GB2312"/>
          <w:b/>
          <w:bCs/>
          <w:sz w:val="32"/>
          <w:szCs w:val="32"/>
        </w:rPr>
        <w:t>第三章 全面推动转型发展，着力构建现代产业体系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"_Toc12368" </w:instrText>
      </w:r>
      <w:r>
        <w:fldChar w:fldCharType="separate"/>
      </w:r>
      <w:r>
        <w:rPr>
          <w:rFonts w:hint="eastAsia" w:ascii="仿宋_GB2312" w:hAnsi="仿宋_GB2312" w:eastAsia="仿宋_GB2312" w:cs="仿宋_GB2312"/>
          <w:sz w:val="32"/>
          <w:szCs w:val="32"/>
        </w:rPr>
        <w:t>第一节 全力培育壮大新兴产业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"_Toc7285" </w:instrText>
      </w:r>
      <w:r>
        <w:fldChar w:fldCharType="separate"/>
      </w:r>
      <w:r>
        <w:rPr>
          <w:rFonts w:hint="eastAsia" w:ascii="仿宋_GB2312" w:hAnsi="仿宋_GB2312" w:eastAsia="仿宋_GB2312" w:cs="仿宋_GB2312"/>
          <w:sz w:val="32"/>
          <w:szCs w:val="32"/>
        </w:rPr>
        <w:t>第二节 优化提升传统产业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_Toc7285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"_Toc30837" </w:instrText>
      </w:r>
      <w:r>
        <w:fldChar w:fldCharType="separate"/>
      </w:r>
      <w:r>
        <w:rPr>
          <w:rFonts w:hint="eastAsia" w:ascii="仿宋_GB2312" w:hAnsi="仿宋_GB2312" w:eastAsia="仿宋_GB2312" w:cs="仿宋_GB2312"/>
          <w:sz w:val="32"/>
          <w:szCs w:val="32"/>
        </w:rPr>
        <w:t>第三节 加快发展现代服务业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"_Toc4445" </w:instrText>
      </w:r>
      <w:r>
        <w:fldChar w:fldCharType="separate"/>
      </w:r>
      <w:r>
        <w:rPr>
          <w:rFonts w:hint="eastAsia" w:ascii="仿宋_GB2312" w:hAnsi="仿宋_GB2312" w:eastAsia="仿宋_GB2312" w:cs="仿宋_GB2312"/>
          <w:sz w:val="32"/>
          <w:szCs w:val="32"/>
        </w:rPr>
        <w:t>第四节 大力推进数字长子建设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_Toc4445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sz w:val="32"/>
          <w:szCs w:val="32"/>
        </w:rPr>
      </w:pPr>
      <w:r>
        <w:fldChar w:fldCharType="begin"/>
      </w:r>
      <w:r>
        <w:instrText xml:space="preserve"> HYPERLINK \l "_Toc21856" </w:instrText>
      </w:r>
      <w:r>
        <w:fldChar w:fldCharType="separate"/>
      </w:r>
      <w:r>
        <w:rPr>
          <w:rFonts w:hint="eastAsia" w:ascii="仿宋_GB2312" w:hAnsi="仿宋_GB2312" w:eastAsia="仿宋_GB2312" w:cs="仿宋_GB2312"/>
          <w:b/>
          <w:bCs/>
          <w:sz w:val="32"/>
          <w:szCs w:val="32"/>
        </w:rPr>
        <w:t>第四章 全面推进乡村振兴，加快农业农村现代化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"_Toc23762" </w:instrText>
      </w:r>
      <w:r>
        <w:fldChar w:fldCharType="separate"/>
      </w:r>
      <w:r>
        <w:rPr>
          <w:rFonts w:hint="eastAsia" w:ascii="仿宋_GB2312" w:hAnsi="仿宋_GB2312" w:eastAsia="仿宋_GB2312" w:cs="仿宋_GB2312"/>
          <w:sz w:val="32"/>
          <w:szCs w:val="32"/>
        </w:rPr>
        <w:t>第一节 切实做好稳粮保供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rPr>
          <w:rFonts w:ascii="仿宋_GB2312" w:hAnsi="仿宋_GB2312" w:eastAsia="仿宋_GB2312" w:cs="仿宋_GB2312"/>
          <w:sz w:val="32"/>
          <w:szCs w:val="32"/>
        </w:rPr>
        <w:sectPr>
          <w:pgSz w:w="11906" w:h="16838"/>
          <w:pgMar w:top="1814" w:right="1587" w:bottom="1587" w:left="1587" w:header="851" w:footer="992" w:gutter="0"/>
          <w:pgNumType w:start="1"/>
          <w:cols w:space="0" w:num="1"/>
          <w:docGrid w:type="lines" w:linePitch="312" w:charSpace="0"/>
        </w:sectPr>
      </w:pP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"_Toc3323" </w:instrText>
      </w:r>
      <w:r>
        <w:fldChar w:fldCharType="separate"/>
      </w:r>
      <w:r>
        <w:rPr>
          <w:rFonts w:hint="eastAsia" w:ascii="仿宋_GB2312" w:hAnsi="仿宋_GB2312" w:eastAsia="仿宋_GB2312" w:cs="仿宋_GB2312"/>
          <w:sz w:val="32"/>
          <w:szCs w:val="32"/>
        </w:rPr>
        <w:t>第二节 持续提升农业质量效益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_Toc3323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"_Toc9783" </w:instrText>
      </w:r>
      <w:r>
        <w:fldChar w:fldCharType="separate"/>
      </w:r>
      <w:r>
        <w:rPr>
          <w:rFonts w:hint="eastAsia" w:ascii="仿宋_GB2312" w:hAnsi="仿宋_GB2312" w:eastAsia="仿宋_GB2312" w:cs="仿宋_GB2312"/>
          <w:sz w:val="32"/>
          <w:szCs w:val="32"/>
        </w:rPr>
        <w:t>第三节 大力实施乡村建设行动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"_Toc9675" </w:instrText>
      </w:r>
      <w:r>
        <w:fldChar w:fldCharType="separate"/>
      </w:r>
      <w:r>
        <w:rPr>
          <w:rFonts w:hint="eastAsia" w:ascii="仿宋_GB2312" w:hAnsi="仿宋_GB2312" w:eastAsia="仿宋_GB2312" w:cs="仿宋_GB2312"/>
          <w:sz w:val="32"/>
          <w:szCs w:val="32"/>
        </w:rPr>
        <w:t>第四节 全面深化农业农村改革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第五节 巩固拓展脱贫攻坚成果同乡村振兴有效衔接</w:t>
      </w:r>
    </w:p>
    <w:p>
      <w:pPr>
        <w:pStyle w:val="14"/>
        <w:tabs>
          <w:tab w:val="right" w:leader="dot" w:pos="8306"/>
        </w:tabs>
        <w:spacing w:line="608"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sz w:val="32"/>
          <w:szCs w:val="32"/>
        </w:rPr>
      </w:pPr>
      <w:r>
        <w:fldChar w:fldCharType="begin"/>
      </w:r>
      <w:r>
        <w:instrText xml:space="preserve"> HYPERLINK \l "_Toc31028" </w:instrText>
      </w:r>
      <w:r>
        <w:fldChar w:fldCharType="separate"/>
      </w:r>
      <w:r>
        <w:rPr>
          <w:rFonts w:hint="eastAsia" w:ascii="仿宋_GB2312" w:hAnsi="仿宋_GB2312" w:eastAsia="仿宋_GB2312" w:cs="仿宋_GB2312"/>
          <w:b/>
          <w:bCs/>
          <w:sz w:val="32"/>
          <w:szCs w:val="32"/>
        </w:rPr>
        <w:t>第五章 坚定不移扩大内需，全面融入新发展格局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"_Toc21256" </w:instrText>
      </w:r>
      <w:r>
        <w:fldChar w:fldCharType="separate"/>
      </w:r>
      <w:r>
        <w:rPr>
          <w:rFonts w:hint="eastAsia" w:ascii="仿宋_GB2312" w:hAnsi="仿宋_GB2312" w:eastAsia="仿宋_GB2312" w:cs="仿宋_GB2312"/>
          <w:sz w:val="32"/>
          <w:szCs w:val="32"/>
        </w:rPr>
        <w:t>第一节 促进消费扩容提质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_Toc21256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"_Toc17105" </w:instrText>
      </w:r>
      <w:r>
        <w:fldChar w:fldCharType="separate"/>
      </w:r>
      <w:r>
        <w:rPr>
          <w:rFonts w:hint="eastAsia" w:ascii="仿宋_GB2312" w:hAnsi="仿宋_GB2312" w:eastAsia="仿宋_GB2312" w:cs="仿宋_GB2312"/>
          <w:sz w:val="32"/>
          <w:szCs w:val="32"/>
        </w:rPr>
        <w:t>第二节 充分发挥有效投资关键作用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"_Toc17049" </w:instrText>
      </w:r>
      <w:r>
        <w:fldChar w:fldCharType="separate"/>
      </w:r>
      <w:r>
        <w:rPr>
          <w:rFonts w:hint="eastAsia" w:ascii="仿宋_GB2312" w:hAnsi="仿宋_GB2312" w:eastAsia="仿宋_GB2312" w:cs="仿宋_GB2312"/>
          <w:sz w:val="32"/>
          <w:szCs w:val="32"/>
        </w:rPr>
        <w:t xml:space="preserve">第三节 </w:t>
      </w:r>
      <w:r>
        <w:rPr>
          <w:rFonts w:hint="eastAsia" w:ascii="仿宋_GB2312" w:hAnsi="仿宋_GB2312" w:eastAsia="仿宋_GB2312" w:cs="仿宋_GB2312"/>
          <w:bCs/>
          <w:sz w:val="32"/>
          <w:szCs w:val="32"/>
        </w:rPr>
        <w:t>稳定提升产业链供应链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sz w:val="32"/>
          <w:szCs w:val="32"/>
        </w:rPr>
      </w:pPr>
      <w:r>
        <w:fldChar w:fldCharType="begin"/>
      </w:r>
      <w:r>
        <w:instrText xml:space="preserve"> HYPERLINK \l "_Toc16654" </w:instrText>
      </w:r>
      <w:r>
        <w:fldChar w:fldCharType="separate"/>
      </w:r>
      <w:r>
        <w:rPr>
          <w:rFonts w:hint="eastAsia" w:ascii="仿宋_GB2312" w:hAnsi="仿宋_GB2312" w:eastAsia="仿宋_GB2312" w:cs="仿宋_GB2312"/>
          <w:b/>
          <w:bCs/>
          <w:sz w:val="32"/>
          <w:szCs w:val="32"/>
        </w:rPr>
        <w:t>第六章 推进全面深化改革，释放社会经济发展活力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"_Toc19128" </w:instrText>
      </w:r>
      <w:r>
        <w:fldChar w:fldCharType="separate"/>
      </w:r>
      <w:r>
        <w:rPr>
          <w:rFonts w:hint="eastAsia" w:ascii="仿宋_GB2312" w:hAnsi="仿宋_GB2312" w:eastAsia="仿宋_GB2312" w:cs="仿宋_GB2312"/>
          <w:sz w:val="32"/>
          <w:szCs w:val="32"/>
        </w:rPr>
        <w:t>第一节 深化重点领域改革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"_Toc25420" </w:instrText>
      </w:r>
      <w:r>
        <w:fldChar w:fldCharType="separate"/>
      </w:r>
      <w:r>
        <w:rPr>
          <w:rFonts w:hint="eastAsia" w:ascii="仿宋_GB2312" w:hAnsi="仿宋_GB2312" w:eastAsia="仿宋_GB2312" w:cs="仿宋_GB2312"/>
          <w:sz w:val="32"/>
          <w:szCs w:val="32"/>
        </w:rPr>
        <w:t>第二节 持续提升政府经济治理能力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"_Toc19182" </w:instrText>
      </w:r>
      <w:r>
        <w:fldChar w:fldCharType="separate"/>
      </w:r>
      <w:r>
        <w:rPr>
          <w:rFonts w:hint="eastAsia" w:ascii="仿宋_GB2312" w:hAnsi="仿宋_GB2312" w:eastAsia="仿宋_GB2312" w:cs="仿宋_GB2312"/>
          <w:sz w:val="32"/>
          <w:szCs w:val="32"/>
        </w:rPr>
        <w:t>第三节 构建全方位开放合作新格局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sz w:val="32"/>
          <w:szCs w:val="32"/>
        </w:rPr>
      </w:pPr>
      <w:r>
        <w:fldChar w:fldCharType="begin"/>
      </w:r>
      <w:r>
        <w:instrText xml:space="preserve"> HYPERLINK \l "_Toc18475" </w:instrText>
      </w:r>
      <w:r>
        <w:fldChar w:fldCharType="separate"/>
      </w:r>
      <w:r>
        <w:rPr>
          <w:rFonts w:hint="eastAsia" w:ascii="仿宋_GB2312" w:hAnsi="仿宋_GB2312" w:eastAsia="仿宋_GB2312" w:cs="仿宋_GB2312"/>
          <w:b/>
          <w:bCs/>
          <w:sz w:val="32"/>
          <w:szCs w:val="32"/>
        </w:rPr>
        <w:t>第七章 推进新型城镇化建设，打造一流县级宜居城市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"_Toc13042" </w:instrText>
      </w:r>
      <w:r>
        <w:fldChar w:fldCharType="separate"/>
      </w:r>
      <w:r>
        <w:rPr>
          <w:rFonts w:hint="eastAsia" w:ascii="仿宋_GB2312" w:hAnsi="仿宋_GB2312" w:eastAsia="仿宋_GB2312" w:cs="仿宋_GB2312"/>
          <w:sz w:val="32"/>
          <w:szCs w:val="32"/>
        </w:rPr>
        <w:t>第一节 高质量建设大县城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"_Toc22546" </w:instrText>
      </w:r>
      <w:r>
        <w:fldChar w:fldCharType="separate"/>
      </w:r>
      <w:r>
        <w:rPr>
          <w:rFonts w:hint="eastAsia" w:ascii="仿宋_GB2312" w:hAnsi="仿宋_GB2312" w:eastAsia="仿宋_GB2312" w:cs="仿宋_GB2312"/>
          <w:sz w:val="32"/>
          <w:szCs w:val="32"/>
        </w:rPr>
        <w:t>第二节 加强和创新城市管理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_Toc22546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"_Toc20869" </w:instrText>
      </w:r>
      <w:r>
        <w:fldChar w:fldCharType="separate"/>
      </w:r>
      <w:r>
        <w:rPr>
          <w:rFonts w:hint="eastAsia" w:ascii="仿宋_GB2312" w:hAnsi="仿宋_GB2312" w:eastAsia="仿宋_GB2312" w:cs="仿宋_GB2312"/>
          <w:sz w:val="32"/>
          <w:szCs w:val="32"/>
        </w:rPr>
        <w:t>第三节 构建现代综合交通运输体系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sz w:val="32"/>
          <w:szCs w:val="32"/>
        </w:rPr>
      </w:pPr>
      <w:r>
        <w:fldChar w:fldCharType="begin"/>
      </w:r>
      <w:r>
        <w:instrText xml:space="preserve"> HYPERLINK \l "_Toc7974" </w:instrText>
      </w:r>
      <w:r>
        <w:fldChar w:fldCharType="separate"/>
      </w:r>
      <w:r>
        <w:rPr>
          <w:rFonts w:hint="eastAsia" w:ascii="仿宋_GB2312" w:hAnsi="仿宋_GB2312" w:eastAsia="仿宋_GB2312" w:cs="仿宋_GB2312"/>
          <w:b/>
          <w:bCs/>
          <w:spacing w:val="-11"/>
          <w:sz w:val="32"/>
          <w:szCs w:val="32"/>
        </w:rPr>
        <w:t>第八章 推动文旅深度融合，打造全省文化名县、旅游强县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_Toc7974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"_Toc27399" </w:instrText>
      </w:r>
      <w:r>
        <w:fldChar w:fldCharType="separate"/>
      </w:r>
      <w:r>
        <w:rPr>
          <w:rFonts w:hint="eastAsia" w:ascii="仿宋_GB2312" w:hAnsi="仿宋_GB2312" w:eastAsia="仿宋_GB2312" w:cs="仿宋_GB2312"/>
          <w:sz w:val="32"/>
          <w:szCs w:val="32"/>
        </w:rPr>
        <w:t>第一节 完善公共文化服务体系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"_Toc262" </w:instrText>
      </w:r>
      <w:r>
        <w:fldChar w:fldCharType="separate"/>
      </w:r>
      <w:r>
        <w:rPr>
          <w:rFonts w:hint="eastAsia" w:ascii="仿宋_GB2312" w:hAnsi="仿宋_GB2312" w:eastAsia="仿宋_GB2312" w:cs="仿宋_GB2312"/>
          <w:sz w:val="32"/>
          <w:szCs w:val="32"/>
        </w:rPr>
        <w:t>第二节 构建全域旅游发展新格局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"_Toc19032" </w:instrText>
      </w:r>
      <w:r>
        <w:fldChar w:fldCharType="separate"/>
      </w:r>
      <w:r>
        <w:rPr>
          <w:rFonts w:hint="eastAsia" w:ascii="仿宋_GB2312" w:hAnsi="仿宋_GB2312" w:eastAsia="仿宋_GB2312" w:cs="仿宋_GB2312"/>
          <w:sz w:val="32"/>
          <w:szCs w:val="32"/>
        </w:rPr>
        <w:t>第三节 推进文旅深度融合发展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sz w:val="32"/>
          <w:szCs w:val="32"/>
        </w:rPr>
      </w:pPr>
      <w:r>
        <w:fldChar w:fldCharType="begin"/>
      </w:r>
      <w:r>
        <w:instrText xml:space="preserve"> HYPERLINK \l "_Toc9188" </w:instrText>
      </w:r>
      <w:r>
        <w:fldChar w:fldCharType="separate"/>
      </w:r>
      <w:r>
        <w:rPr>
          <w:rFonts w:hint="eastAsia" w:ascii="仿宋_GB2312" w:hAnsi="仿宋_GB2312" w:eastAsia="仿宋_GB2312" w:cs="仿宋_GB2312"/>
          <w:b/>
          <w:bCs/>
          <w:spacing w:val="-11"/>
          <w:sz w:val="32"/>
          <w:szCs w:val="32"/>
        </w:rPr>
        <w:t xml:space="preserve">第九章 </w:t>
      </w:r>
      <w:r>
        <w:rPr>
          <w:rFonts w:hint="eastAsia" w:ascii="仿宋_GB2312" w:hAnsi="仿宋_GB2312" w:eastAsia="仿宋_GB2312" w:cs="仿宋_GB2312"/>
          <w:b/>
          <w:bCs/>
          <w:spacing w:val="-17"/>
          <w:sz w:val="32"/>
          <w:szCs w:val="32"/>
        </w:rPr>
        <w:t>坚定推进生态立县，打造山清水秀天蓝地净美丽长子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_Toc9188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"_Toc21075" </w:instrText>
      </w:r>
      <w:r>
        <w:fldChar w:fldCharType="separate"/>
      </w:r>
      <w:r>
        <w:rPr>
          <w:rFonts w:hint="eastAsia" w:ascii="仿宋_GB2312" w:hAnsi="仿宋_GB2312" w:eastAsia="仿宋_GB2312" w:cs="仿宋_GB2312"/>
          <w:sz w:val="32"/>
          <w:szCs w:val="32"/>
        </w:rPr>
        <w:t>第一节 优化生态空间布局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"_Toc7515" </w:instrText>
      </w:r>
      <w:r>
        <w:fldChar w:fldCharType="separate"/>
      </w:r>
      <w:r>
        <w:rPr>
          <w:rFonts w:hint="eastAsia" w:ascii="仿宋_GB2312" w:hAnsi="仿宋_GB2312" w:eastAsia="仿宋_GB2312" w:cs="仿宋_GB2312"/>
          <w:sz w:val="32"/>
          <w:szCs w:val="32"/>
        </w:rPr>
        <w:t>第二节 持续推进生态保护修复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"_Toc21594" </w:instrText>
      </w:r>
      <w:r>
        <w:fldChar w:fldCharType="separate"/>
      </w:r>
      <w:r>
        <w:rPr>
          <w:rFonts w:hint="eastAsia" w:ascii="仿宋_GB2312" w:hAnsi="仿宋_GB2312" w:eastAsia="仿宋_GB2312" w:cs="仿宋_GB2312"/>
          <w:sz w:val="32"/>
          <w:szCs w:val="32"/>
        </w:rPr>
        <w:t>第三节 持续攻坚“三大战役”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"_Toc10180" </w:instrText>
      </w:r>
      <w:r>
        <w:fldChar w:fldCharType="separate"/>
      </w:r>
      <w:r>
        <w:rPr>
          <w:rFonts w:hint="eastAsia" w:ascii="仿宋_GB2312" w:hAnsi="仿宋_GB2312" w:eastAsia="仿宋_GB2312" w:cs="仿宋_GB2312"/>
          <w:sz w:val="32"/>
          <w:szCs w:val="32"/>
        </w:rPr>
        <w:t>第四节 提升资源综合利用水平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_Toc10180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"_Toc16963" </w:instrText>
      </w:r>
      <w:r>
        <w:fldChar w:fldCharType="separate"/>
      </w:r>
      <w:r>
        <w:rPr>
          <w:rFonts w:hint="eastAsia" w:ascii="仿宋_GB2312" w:hAnsi="仿宋_GB2312" w:eastAsia="仿宋_GB2312" w:cs="仿宋_GB2312"/>
          <w:sz w:val="32"/>
          <w:szCs w:val="32"/>
        </w:rPr>
        <w:t>第五节 建立健全生态文明制度体系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sz w:val="32"/>
          <w:szCs w:val="32"/>
        </w:rPr>
      </w:pPr>
      <w:r>
        <w:fldChar w:fldCharType="begin"/>
      </w:r>
      <w:r>
        <w:instrText xml:space="preserve"> HYPERLINK \l "_Toc31426" </w:instrText>
      </w:r>
      <w:r>
        <w:fldChar w:fldCharType="separate"/>
      </w:r>
      <w:r>
        <w:rPr>
          <w:rFonts w:hint="eastAsia" w:ascii="仿宋_GB2312" w:hAnsi="仿宋_GB2312" w:eastAsia="仿宋_GB2312" w:cs="仿宋_GB2312"/>
          <w:b/>
          <w:bCs/>
          <w:spacing w:val="-6"/>
          <w:sz w:val="32"/>
          <w:szCs w:val="32"/>
        </w:rPr>
        <w:t>第十章 切实增进民生福祉，使人民共享高质量发展成果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"_Toc6664" </w:instrText>
      </w:r>
      <w:r>
        <w:fldChar w:fldCharType="separate"/>
      </w:r>
      <w:r>
        <w:rPr>
          <w:rFonts w:hint="eastAsia" w:ascii="仿宋_GB2312" w:hAnsi="仿宋_GB2312" w:eastAsia="仿宋_GB2312" w:cs="仿宋_GB2312"/>
          <w:sz w:val="32"/>
          <w:szCs w:val="32"/>
        </w:rPr>
        <w:t>第一节 促进更充分更高质量就业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"_Toc17172" </w:instrText>
      </w:r>
      <w:r>
        <w:fldChar w:fldCharType="separate"/>
      </w:r>
      <w:r>
        <w:rPr>
          <w:rFonts w:hint="eastAsia" w:ascii="仿宋_GB2312" w:hAnsi="仿宋_GB2312" w:eastAsia="仿宋_GB2312" w:cs="仿宋_GB2312"/>
          <w:sz w:val="32"/>
          <w:szCs w:val="32"/>
        </w:rPr>
        <w:t>第二节 全力办好人民满意教育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"_Toc8524" </w:instrText>
      </w:r>
      <w:r>
        <w:fldChar w:fldCharType="separate"/>
      </w:r>
      <w:r>
        <w:rPr>
          <w:rFonts w:hint="eastAsia" w:ascii="仿宋_GB2312" w:hAnsi="仿宋_GB2312" w:eastAsia="仿宋_GB2312" w:cs="仿宋_GB2312"/>
          <w:sz w:val="32"/>
          <w:szCs w:val="32"/>
        </w:rPr>
        <w:t>第三节 提高全民卫生健康水平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_Toc8524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"_Toc15643" </w:instrText>
      </w:r>
      <w:r>
        <w:fldChar w:fldCharType="separate"/>
      </w:r>
      <w:r>
        <w:rPr>
          <w:rFonts w:hint="eastAsia" w:ascii="仿宋_GB2312" w:hAnsi="仿宋_GB2312" w:eastAsia="仿宋_GB2312" w:cs="仿宋_GB2312"/>
          <w:sz w:val="32"/>
          <w:szCs w:val="32"/>
        </w:rPr>
        <w:t>第四节 完善社会保障体系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sz w:val="32"/>
          <w:szCs w:val="32"/>
        </w:rPr>
      </w:pPr>
      <w:r>
        <w:fldChar w:fldCharType="begin"/>
      </w:r>
      <w:r>
        <w:instrText xml:space="preserve"> HYPERLINK \l "_Toc27190" </w:instrText>
      </w:r>
      <w:r>
        <w:fldChar w:fldCharType="separate"/>
      </w:r>
      <w:r>
        <w:rPr>
          <w:rFonts w:hint="eastAsia" w:ascii="仿宋_GB2312" w:hAnsi="仿宋_GB2312" w:eastAsia="仿宋_GB2312" w:cs="仿宋_GB2312"/>
          <w:b/>
          <w:kern w:val="44"/>
          <w:sz w:val="32"/>
          <w:szCs w:val="32"/>
        </w:rPr>
        <w:t xml:space="preserve">第十一章 </w:t>
      </w:r>
      <w:r>
        <w:rPr>
          <w:rFonts w:hint="eastAsia" w:ascii="仿宋_GB2312" w:hAnsi="仿宋_GB2312" w:eastAsia="仿宋_GB2312" w:cs="仿宋_GB2312"/>
          <w:b/>
          <w:sz w:val="32"/>
          <w:szCs w:val="32"/>
        </w:rPr>
        <w:t>统筹发展和安全，平安长子建设再上新水平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"_Toc13697" </w:instrText>
      </w:r>
      <w:r>
        <w:fldChar w:fldCharType="separate"/>
      </w:r>
      <w:r>
        <w:rPr>
          <w:rFonts w:hint="eastAsia" w:ascii="仿宋_GB2312" w:hAnsi="仿宋_GB2312" w:eastAsia="仿宋_GB2312" w:cs="仿宋_GB2312"/>
          <w:sz w:val="32"/>
          <w:szCs w:val="32"/>
        </w:rPr>
        <w:t>第一节 加快安全体系和能力建设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"_Toc8001" </w:instrText>
      </w:r>
      <w:r>
        <w:fldChar w:fldCharType="separate"/>
      </w:r>
      <w:r>
        <w:rPr>
          <w:rFonts w:hint="eastAsia" w:ascii="仿宋_GB2312" w:hAnsi="仿宋_GB2312" w:eastAsia="仿宋_GB2312" w:cs="仿宋_GB2312"/>
          <w:sz w:val="32"/>
          <w:szCs w:val="32"/>
        </w:rPr>
        <w:t>第二节 全面推进依法治县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"_Toc6841" </w:instrText>
      </w:r>
      <w:r>
        <w:fldChar w:fldCharType="separate"/>
      </w:r>
      <w:r>
        <w:rPr>
          <w:rFonts w:hint="eastAsia" w:ascii="仿宋_GB2312" w:hAnsi="仿宋_GB2312" w:eastAsia="仿宋_GB2312" w:cs="仿宋_GB2312"/>
          <w:sz w:val="32"/>
          <w:szCs w:val="32"/>
        </w:rPr>
        <w:t>第三节 加强和创新政府治理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_Toc6841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"_Toc22645" </w:instrText>
      </w:r>
      <w:r>
        <w:fldChar w:fldCharType="separate"/>
      </w:r>
      <w:r>
        <w:rPr>
          <w:rFonts w:hint="eastAsia" w:ascii="仿宋_GB2312" w:hAnsi="仿宋_GB2312" w:eastAsia="仿宋_GB2312" w:cs="仿宋_GB2312"/>
          <w:sz w:val="32"/>
          <w:szCs w:val="32"/>
        </w:rPr>
        <w:t>第四节 健全基层治理体系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_Toc22645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608" w:lineRule="exact"/>
        <w:rPr>
          <w:rFonts w:ascii="仿宋_GB2312" w:hAnsi="仿宋_GB2312" w:eastAsia="仿宋_GB2312" w:cs="仿宋_GB2312"/>
          <w:b/>
          <w:bCs/>
          <w:spacing w:val="-11"/>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_Toc8201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pacing w:val="-11"/>
          <w:sz w:val="32"/>
          <w:szCs w:val="32"/>
        </w:rPr>
        <w:t>第十二章 加强党的领导，凝聚形成推动转型发展的强大合力</w:t>
      </w:r>
    </w:p>
    <w:p>
      <w:pPr>
        <w:pStyle w:val="13"/>
        <w:tabs>
          <w:tab w:val="right" w:leader="dot" w:pos="8306"/>
        </w:tabs>
        <w:spacing w:line="608"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"_Toc20586" </w:instrText>
      </w:r>
      <w:r>
        <w:fldChar w:fldCharType="separate"/>
      </w:r>
      <w:r>
        <w:rPr>
          <w:rFonts w:hint="eastAsia" w:ascii="仿宋_GB2312" w:hAnsi="仿宋_GB2312" w:eastAsia="仿宋_GB2312" w:cs="仿宋_GB2312"/>
          <w:sz w:val="32"/>
          <w:szCs w:val="32"/>
        </w:rPr>
        <w:t>第一节 坚持和加强党的全面领导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_Toc20586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"_Toc20589" </w:instrText>
      </w:r>
      <w:r>
        <w:fldChar w:fldCharType="separate"/>
      </w:r>
      <w:r>
        <w:rPr>
          <w:rFonts w:hint="eastAsia" w:ascii="仿宋_GB2312" w:hAnsi="仿宋_GB2312" w:eastAsia="仿宋_GB2312" w:cs="仿宋_GB2312"/>
          <w:sz w:val="32"/>
          <w:szCs w:val="32"/>
        </w:rPr>
        <w:t>第二节 凝聚各方力量共识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_Toc20589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608" w:lineRule="exact"/>
        <w:ind w:firstLine="210" w:firstLineChars="100"/>
        <w:rPr>
          <w:rFonts w:ascii="仿宋_GB2312" w:hAnsi="仿宋_GB2312" w:eastAsia="仿宋_GB2312" w:cs="仿宋_GB2312"/>
          <w:sz w:val="32"/>
          <w:szCs w:val="32"/>
        </w:rPr>
      </w:pPr>
      <w:r>
        <w:fldChar w:fldCharType="begin"/>
      </w:r>
      <w:r>
        <w:instrText xml:space="preserve"> HYPERLINK \l "_Toc30301" </w:instrText>
      </w:r>
      <w:r>
        <w:fldChar w:fldCharType="separate"/>
      </w:r>
      <w:r>
        <w:rPr>
          <w:rFonts w:hint="eastAsia" w:ascii="仿宋_GB2312" w:hAnsi="仿宋_GB2312" w:eastAsia="仿宋_GB2312" w:cs="仿宋_GB2312"/>
          <w:bCs/>
          <w:sz w:val="32"/>
          <w:szCs w:val="32"/>
        </w:rPr>
        <w:t>第三节 加强规划实施保障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r>
        <w:rPr>
          <w:rFonts w:hint="eastAsia" w:ascii="仿宋_GB2312" w:hAnsi="仿宋_GB2312" w:eastAsia="仿宋_GB2312" w:cs="仿宋_GB2312"/>
          <w:sz w:val="32"/>
          <w:szCs w:val="32"/>
        </w:rPr>
        <w:br w:type="page"/>
      </w:r>
    </w:p>
    <w:p>
      <w:pPr>
        <w:rPr>
          <w:rFonts w:ascii="方正小标宋简体" w:hAnsi="方正小标宋简体" w:eastAsia="方正小标宋简体" w:cs="方正小标宋简体"/>
          <w:spacing w:val="-6"/>
          <w:szCs w:val="21"/>
        </w:rPr>
      </w:pPr>
      <w:r>
        <w:rPr>
          <w:rFonts w:hint="eastAsia" w:ascii="仿宋_GB2312" w:hAnsi="仿宋_GB2312" w:eastAsia="仿宋_GB2312" w:cs="仿宋_GB2312"/>
          <w:sz w:val="32"/>
          <w:szCs w:val="32"/>
        </w:rPr>
        <w:fldChar w:fldCharType="end"/>
      </w:r>
    </w:p>
    <w:p>
      <w:pPr>
        <w:sectPr>
          <w:footerReference r:id="rId3" w:type="default"/>
          <w:pgSz w:w="11906" w:h="16838"/>
          <w:pgMar w:top="1814" w:right="1587" w:bottom="1587" w:left="1587" w:header="851" w:footer="1106" w:gutter="0"/>
          <w:pgNumType w:start="1"/>
          <w:cols w:space="0" w:num="1"/>
          <w:docGrid w:type="lines" w:linePitch="312" w:charSpace="0"/>
        </w:sectPr>
      </w:pPr>
    </w:p>
    <w:p/>
    <w:p>
      <w:pPr>
        <w:pStyle w:val="2"/>
        <w:spacing w:before="0" w:beforeAutospacing="0"/>
        <w:ind w:left="0" w:leftChars="0"/>
      </w:pPr>
    </w:p>
    <w:p>
      <w:pPr>
        <w:spacing w:line="640" w:lineRule="exact"/>
        <w:jc w:val="center"/>
        <w:outlineLvl w:val="0"/>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长子县国民经济和社会发展第十四个五年规划</w:t>
      </w:r>
    </w:p>
    <w:p>
      <w:pPr>
        <w:spacing w:line="640" w:lineRule="exact"/>
        <w:jc w:val="center"/>
        <w:outlineLvl w:val="0"/>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和二〇三五年远景目标纲要</w:t>
      </w:r>
    </w:p>
    <w:p>
      <w:pPr>
        <w:spacing w:beforeLines="50"/>
        <w:jc w:val="center"/>
        <w:rPr>
          <w:rFonts w:ascii="楷体" w:hAnsi="楷体" w:eastAsia="楷体" w:cs="楷体"/>
          <w:b/>
          <w:bCs/>
          <w:spacing w:val="-20"/>
          <w:szCs w:val="21"/>
        </w:rPr>
      </w:pPr>
    </w:p>
    <w:p>
      <w:pPr>
        <w:pStyle w:val="2"/>
        <w:ind w:left="0" w:leftChars="0"/>
        <w:rPr>
          <w:szCs w:val="21"/>
        </w:rPr>
      </w:pPr>
    </w:p>
    <w:p>
      <w:pPr>
        <w:pStyle w:val="2"/>
        <w:spacing w:before="0" w:beforeAutospacing="0" w:line="608" w:lineRule="exact"/>
        <w:ind w:left="0" w:leftChars="0" w:firstLine="640"/>
      </w:pPr>
      <w:r>
        <w:rPr>
          <w:rFonts w:hint="eastAsia" w:ascii="仿宋_GB2312" w:hAnsi="仿宋_GB2312" w:eastAsia="仿宋_GB2312" w:cs="仿宋_GB2312"/>
          <w:bCs/>
          <w:sz w:val="32"/>
          <w:szCs w:val="32"/>
        </w:rPr>
        <w:t>长子县国民</w:t>
      </w:r>
      <w:r>
        <w:rPr>
          <w:rFonts w:hint="eastAsia" w:ascii="仿宋_GB2312" w:hAnsi="仿宋_GB2312" w:eastAsia="仿宋_GB2312" w:cs="仿宋_GB2312"/>
          <w:bCs/>
          <w:spacing w:val="9"/>
          <w:sz w:val="32"/>
          <w:szCs w:val="32"/>
        </w:rPr>
        <w:t>经济和社会发展第十四个五年规划和二〇三五年远景目标纲要，根据《中共长子县委关于制定国民经济和社会发展第十四个五年规划和二〇三五年远景目标的建议》编制，主要阐明我县未来五年经济社会发展的战略定位、主要目标、重点任务和重大举措，展望2035年远景目标，是指导长子县未来五年经济社会发展的纲领性文件，是党委领导经济社会发展、政府履行职责的重要依据，是全县人</w:t>
      </w:r>
      <w:r>
        <w:rPr>
          <w:rFonts w:hint="eastAsia" w:ascii="仿宋_GB2312" w:hAnsi="仿宋_GB2312" w:eastAsia="仿宋_GB2312" w:cs="仿宋_GB2312"/>
          <w:bCs/>
          <w:sz w:val="32"/>
          <w:szCs w:val="32"/>
        </w:rPr>
        <w:t>民共同的行动指南。</w:t>
      </w:r>
    </w:p>
    <w:p>
      <w:pPr>
        <w:pStyle w:val="4"/>
        <w:spacing w:beforeLines="0" w:afterLines="0" w:line="608" w:lineRule="exact"/>
        <w:rPr>
          <w:b w:val="0"/>
          <w:bCs/>
          <w:spacing w:val="-6"/>
          <w:sz w:val="36"/>
          <w:szCs w:val="36"/>
        </w:rPr>
      </w:pPr>
      <w:bookmarkStart w:id="3" w:name="_Toc12323"/>
      <w:bookmarkStart w:id="4" w:name="_Toc17245"/>
      <w:bookmarkStart w:id="5" w:name="_Toc32370"/>
      <w:bookmarkStart w:id="6" w:name="_Toc17937"/>
      <w:bookmarkStart w:id="7" w:name="_Toc23426"/>
      <w:bookmarkStart w:id="8" w:name="_Toc21033"/>
    </w:p>
    <w:p>
      <w:pPr>
        <w:pStyle w:val="4"/>
        <w:spacing w:beforeLines="0" w:afterLines="0" w:line="608" w:lineRule="exact"/>
        <w:ind w:firstLine="696" w:firstLineChars="200"/>
        <w:jc w:val="left"/>
        <w:rPr>
          <w:b w:val="0"/>
          <w:bCs/>
          <w:spacing w:val="-6"/>
          <w:sz w:val="36"/>
          <w:szCs w:val="36"/>
        </w:rPr>
      </w:pPr>
      <w:r>
        <w:rPr>
          <w:rFonts w:hint="eastAsia"/>
          <w:b w:val="0"/>
          <w:bCs/>
          <w:spacing w:val="-6"/>
          <w:sz w:val="36"/>
          <w:szCs w:val="36"/>
        </w:rPr>
        <w:t>第一章  科学把握新发展阶段，奋力谱写全面建设</w:t>
      </w:r>
      <w:bookmarkEnd w:id="3"/>
      <w:bookmarkStart w:id="9" w:name="_Toc25009"/>
    </w:p>
    <w:p>
      <w:pPr>
        <w:pStyle w:val="4"/>
        <w:spacing w:beforeLines="0" w:afterLines="0" w:line="608" w:lineRule="exact"/>
        <w:ind w:firstLine="2088" w:firstLineChars="600"/>
        <w:jc w:val="left"/>
      </w:pPr>
      <w:r>
        <w:rPr>
          <w:rFonts w:hint="eastAsia"/>
          <w:b w:val="0"/>
          <w:bCs/>
          <w:spacing w:val="-6"/>
          <w:sz w:val="36"/>
          <w:szCs w:val="36"/>
        </w:rPr>
        <w:t>社会主义现代化国家长子篇章</w:t>
      </w:r>
      <w:bookmarkEnd w:id="4"/>
      <w:bookmarkEnd w:id="5"/>
      <w:bookmarkEnd w:id="6"/>
      <w:bookmarkEnd w:id="7"/>
      <w:bookmarkEnd w:id="8"/>
      <w:bookmarkEnd w:id="9"/>
    </w:p>
    <w:p>
      <w:pPr>
        <w:pStyle w:val="2"/>
        <w:spacing w:before="0" w:beforeAutospacing="0" w:line="608" w:lineRule="exact"/>
        <w:ind w:left="0" w:leftChars="0" w:firstLine="640"/>
        <w:rPr>
          <w:rFonts w:ascii="仿宋_GB2312" w:hAnsi="仿宋_GB2312" w:eastAsia="仿宋_GB2312" w:cs="仿宋_GB2312"/>
          <w:bCs/>
          <w:sz w:val="32"/>
          <w:szCs w:val="32"/>
        </w:rPr>
      </w:pPr>
    </w:p>
    <w:p>
      <w:pPr>
        <w:pStyle w:val="2"/>
        <w:spacing w:before="0" w:beforeAutospacing="0" w:line="608" w:lineRule="exact"/>
        <w:ind w:left="0" w:leftChars="0"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四五”时期是我国“两个一百年”奋斗目标的历史交汇期，是推进高质量发展、构建新发展格局的重要阶段，也是我县与全省同步实现转型出雏型的关键时期。要坚定沿着习近平总书记指引的金光大道，乘势而上、勇攀高峰，率先蹚出一条高质量转型发展新路。</w:t>
      </w:r>
    </w:p>
    <w:p>
      <w:pPr>
        <w:pStyle w:val="2"/>
        <w:spacing w:before="0" w:beforeAutospacing="0" w:line="608" w:lineRule="exact"/>
        <w:ind w:left="0" w:leftChars="0" w:firstLine="640"/>
      </w:pPr>
      <w:r>
        <w:rPr>
          <w:rFonts w:hint="eastAsia" w:ascii="仿宋_GB2312" w:hAnsi="仿宋_GB2312" w:eastAsia="仿宋_GB2312" w:cs="仿宋_GB2312"/>
          <w:bCs/>
          <w:sz w:val="32"/>
          <w:szCs w:val="32"/>
        </w:rPr>
        <w:t xml:space="preserve"> </w:t>
      </w:r>
    </w:p>
    <w:p>
      <w:pPr>
        <w:pStyle w:val="5"/>
        <w:spacing w:beforeLines="0" w:afterLines="0" w:line="608" w:lineRule="exact"/>
        <w:rPr>
          <w:szCs w:val="32"/>
        </w:rPr>
      </w:pPr>
      <w:bookmarkStart w:id="10" w:name="_Toc25425"/>
      <w:bookmarkStart w:id="11" w:name="_Toc13241"/>
      <w:bookmarkStart w:id="12" w:name="_Toc31138"/>
      <w:bookmarkStart w:id="13" w:name="_Toc21029"/>
      <w:bookmarkStart w:id="14" w:name="_Toc23497"/>
      <w:bookmarkStart w:id="15" w:name="_Toc6062"/>
      <w:bookmarkStart w:id="16" w:name="_Toc558"/>
      <w:bookmarkStart w:id="17" w:name="_Toc26223"/>
      <w:bookmarkStart w:id="18" w:name="_Toc8481"/>
      <w:bookmarkStart w:id="19" w:name="_Toc14323"/>
      <w:bookmarkStart w:id="20" w:name="_Toc31104"/>
      <w:bookmarkStart w:id="21" w:name="_Toc10675"/>
      <w:bookmarkStart w:id="22" w:name="_Toc25156"/>
      <w:bookmarkStart w:id="23" w:name="_Toc10830"/>
      <w:bookmarkStart w:id="24" w:name="_Toc20388"/>
      <w:bookmarkStart w:id="25" w:name="_Toc18126"/>
      <w:bookmarkStart w:id="26" w:name="_Toc32546"/>
      <w:bookmarkStart w:id="27" w:name="_Toc21444"/>
      <w:bookmarkStart w:id="28" w:name="_Toc27824"/>
      <w:bookmarkStart w:id="29" w:name="_Toc32407"/>
      <w:bookmarkStart w:id="30" w:name="_Toc1194"/>
      <w:bookmarkStart w:id="31" w:name="_Toc27623"/>
      <w:bookmarkStart w:id="32" w:name="_Toc2810"/>
      <w:bookmarkStart w:id="33" w:name="_Toc27491"/>
      <w:bookmarkStart w:id="34" w:name="_Toc16024"/>
      <w:bookmarkStart w:id="35" w:name="_Toc14966"/>
      <w:bookmarkStart w:id="36" w:name="_Toc32141"/>
      <w:r>
        <w:rPr>
          <w:rFonts w:hint="eastAsia"/>
          <w:szCs w:val="32"/>
        </w:rPr>
        <w:t>第一节  “十三五”发展成就</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2"/>
        <w:spacing w:before="0" w:beforeAutospacing="0" w:line="608" w:lineRule="exact"/>
        <w:ind w:left="0" w:leftChars="0" w:firstLine="640"/>
        <w:rPr>
          <w:rFonts w:ascii="仿宋_GB2312" w:hAnsi="仿宋_GB2312" w:eastAsia="仿宋_GB2312" w:cs="仿宋_GB2312"/>
          <w:bCs/>
          <w:sz w:val="32"/>
          <w:szCs w:val="32"/>
        </w:rPr>
      </w:pPr>
      <w:bookmarkStart w:id="37" w:name="_Toc16775"/>
      <w:bookmarkStart w:id="38" w:name="_Toc43649307"/>
    </w:p>
    <w:p>
      <w:pPr>
        <w:pStyle w:val="2"/>
        <w:spacing w:before="0" w:beforeAutospacing="0" w:line="608" w:lineRule="exact"/>
        <w:ind w:left="0" w:leftChars="0"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“十三五”时期，面对各类风险挑战明显上升的复杂局面和艰巨繁重的改革发展任务，县委县政府坚持以习近平新时代中国特色社会主义思想为</w:t>
      </w:r>
      <w:r>
        <w:rPr>
          <w:rFonts w:hint="eastAsia" w:ascii="仿宋_GB2312" w:hAnsi="仿宋_GB2312" w:eastAsia="仿宋_GB2312" w:cs="仿宋_GB2312"/>
          <w:bCs/>
          <w:spacing w:val="9"/>
          <w:sz w:val="32"/>
          <w:szCs w:val="32"/>
        </w:rPr>
        <w:t>指导，全面贯彻落实习近平总书记视察山西重要讲话重要指示，</w:t>
      </w:r>
      <w:r>
        <w:rPr>
          <w:rFonts w:hint="eastAsia" w:ascii="仿宋_GB2312" w:hAnsi="仿宋_GB2312" w:eastAsia="仿宋_GB2312" w:cs="仿宋_GB2312"/>
          <w:bCs/>
          <w:spacing w:val="9"/>
          <w:sz w:val="32"/>
          <w:szCs w:val="32"/>
          <w:lang w:eastAsia="zh-CN"/>
        </w:rPr>
        <w:t>不忘初心、牢记使命</w:t>
      </w:r>
      <w:r>
        <w:rPr>
          <w:rFonts w:hint="eastAsia" w:ascii="仿宋_GB2312" w:hAnsi="仿宋_GB2312" w:eastAsia="仿宋_GB2312" w:cs="仿宋_GB2312"/>
          <w:bCs/>
          <w:spacing w:val="9"/>
          <w:sz w:val="32"/>
          <w:szCs w:val="32"/>
        </w:rPr>
        <w:t>，团结带领全县人民，全面落实省市总体思路和决策部署，着力在产业转型、乡村振兴、城市提质、民生保障、改革创新上下功夫，经济社会各领域全面发展，“十三五”规划确定的主要目标任务圆满完成，全面建成小康社会取得决定性成就，为顺利实施“十四五”规划，开启社会主义现代化建设新征程奠</w:t>
      </w:r>
      <w:r>
        <w:rPr>
          <w:rFonts w:hint="eastAsia" w:ascii="仿宋_GB2312" w:hAnsi="仿宋_GB2312" w:eastAsia="仿宋_GB2312" w:cs="仿宋_GB2312"/>
          <w:bCs/>
          <w:sz w:val="32"/>
          <w:szCs w:val="32"/>
        </w:rPr>
        <w:t>定了坚实基础。</w:t>
      </w:r>
    </w:p>
    <w:p>
      <w:pPr>
        <w:pStyle w:val="2"/>
        <w:spacing w:before="0" w:beforeAutospacing="0" w:line="608" w:lineRule="exact"/>
        <w:ind w:left="0" w:leftChars="0" w:firstLine="643"/>
        <w:rPr>
          <w:rFonts w:ascii="仿宋_GB2312" w:hAnsi="仿宋_GB2312" w:eastAsia="仿宋_GB2312" w:cs="仿宋_GB2312"/>
          <w:bCs/>
          <w:sz w:val="32"/>
          <w:szCs w:val="32"/>
        </w:rPr>
      </w:pPr>
      <w:r>
        <w:rPr>
          <w:rFonts w:hint="eastAsia" w:ascii="仿宋_GB2312" w:hAnsi="仿宋_GB2312" w:eastAsia="仿宋_GB2312" w:cs="仿宋_GB2312"/>
          <w:b/>
          <w:sz w:val="32"/>
          <w:szCs w:val="32"/>
        </w:rPr>
        <w:t>综合实力显著增强。</w:t>
      </w:r>
      <w:r>
        <w:rPr>
          <w:rFonts w:hint="eastAsia" w:ascii="仿宋_GB2312" w:hAnsi="仿宋_GB2312" w:eastAsia="仿宋_GB2312" w:cs="仿宋_GB2312"/>
          <w:bCs/>
          <w:sz w:val="32"/>
          <w:szCs w:val="32"/>
        </w:rPr>
        <w:t>积极适应和引领经济发展新常态，坚持稳中求进工作总基调，统筹推进稳增长、促改革、调结构、惠民生、防风险各项工作，经济总量稳居全市第一方阵。全县地区生产总值由2015年的96.24亿元增加到2020年的179.6亿元，年均增长8.17%；一般公共预算收入由2015年的6.37亿元增加到2020年的15.95亿元，年均增长20.15%；规上工业企业增加值年均增长9.71%；固定资产投资年均增长10.57%；社会消费品零售总额年均增长4.85%。</w:t>
      </w:r>
    </w:p>
    <w:p>
      <w:pPr>
        <w:spacing w:line="608"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转型步伐持续加快。</w:t>
      </w:r>
      <w:r>
        <w:rPr>
          <w:rFonts w:hint="eastAsia" w:ascii="仿宋_GB2312" w:hAnsi="仿宋_GB2312" w:eastAsia="仿宋_GB2312" w:cs="仿宋_GB2312"/>
          <w:bCs/>
          <w:sz w:val="32"/>
          <w:szCs w:val="32"/>
        </w:rPr>
        <w:t>“十三五”期间，全县共实施转型项目156个，已竣工105个。积极推进农业转型，省级有机旱作农业示范片创建成功，高标准农田建设初具规模，新增粮食产能目标任务全面完成，现代农业加快发展，美丽乡村建设扎实推进，农村面貌显著改善，农民收入稳定提升，粮食产量稳定在2亿公斤以上。积极推进工业转型，全县10座煤矿全部进行了技术改造，煤炭先进产能占比达到89.6%，煤炭洗选行业持续整改，证照齐全、依法合规的120万吨以上洗选企业达到19家，新能源产业快速发展，远景风电、朗晴风电等新能源项目竣工投产，全县风电装机容量达到20万千瓦。积极推进服务业转型，皓瑜新天地、富丽源广场、同新建材市场、小雪美食园投入运营，“一区五馆”等一批新的商贸综合体主体完工，能投、新易达、轩阳三大物流园持续发展壮大，对全县经济的拉动作用更加明显。</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城市创建成效显著。</w:t>
      </w:r>
      <w:r>
        <w:rPr>
          <w:rFonts w:hint="eastAsia" w:ascii="仿宋_GB2312" w:hAnsi="仿宋_GB2312" w:eastAsia="仿宋_GB2312" w:cs="仿宋_GB2312"/>
          <w:sz w:val="32"/>
          <w:szCs w:val="32"/>
        </w:rPr>
        <w:t>全县共实施城建基础设施和公共服务项目60多个，总投资100多亿元，城市发展和重大基础设施取得历史性突破。丹朱大街改造项目、南北大街拓宽改造工程、慈林大街延伸改造项目、市民广场周边环境整治工程等30多个项目建设完成。</w:t>
      </w:r>
      <w:r>
        <w:rPr>
          <w:rFonts w:hint="eastAsia" w:ascii="仿宋_GB2312" w:hAnsi="仿宋_GB2312" w:eastAsia="仿宋_GB2312" w:cs="仿宋_GB2312"/>
          <w:bCs/>
          <w:sz w:val="32"/>
          <w:szCs w:val="32"/>
        </w:rPr>
        <w:t>长子至长治快速通道、长临高速连接线建成通车，“六纵六横”城市道路框架基本成型，</w:t>
      </w:r>
      <w:r>
        <w:rPr>
          <w:rFonts w:hint="eastAsia" w:ascii="仿宋_GB2312" w:hAnsi="仿宋_GB2312" w:eastAsia="仿宋_GB2312" w:cs="仿宋_GB2312"/>
          <w:sz w:val="32"/>
          <w:szCs w:val="32"/>
        </w:rPr>
        <w:t>全省最大的县级棚户区改造项目还迁入住，全省首条县级地下综合管廊投入使用，</w:t>
      </w:r>
      <w:r>
        <w:rPr>
          <w:rFonts w:hint="eastAsia" w:ascii="仿宋_GB2312" w:hAnsi="仿宋_GB2312" w:eastAsia="仿宋_GB2312" w:cs="仿宋_GB2312"/>
          <w:bCs/>
          <w:sz w:val="32"/>
          <w:szCs w:val="32"/>
        </w:rPr>
        <w:t>城市面貌焕然一新。坚持长效常态持续推进，全面提升文明城市创建水平，</w:t>
      </w:r>
      <w:r>
        <w:rPr>
          <w:rFonts w:hint="eastAsia" w:ascii="仿宋_GB2312" w:hAnsi="仿宋_GB2312" w:eastAsia="仿宋_GB2312" w:cs="仿宋_GB2312"/>
          <w:sz w:val="32"/>
          <w:szCs w:val="32"/>
        </w:rPr>
        <w:t>基础设施条件明显改善，公共服务水平不断优化，广大居民生活品质显著提高，</w:t>
      </w:r>
      <w:r>
        <w:rPr>
          <w:rFonts w:hint="eastAsia" w:ascii="仿宋_GB2312" w:hAnsi="仿宋_GB2312" w:eastAsia="仿宋_GB2312" w:cs="仿宋_GB2312"/>
          <w:bCs/>
          <w:sz w:val="32"/>
          <w:szCs w:val="32"/>
        </w:rPr>
        <w:t>荣获第六届“全国文明城市”荣誉称号。</w:t>
      </w:r>
    </w:p>
    <w:p>
      <w:pPr>
        <w:spacing w:line="608"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乡村振兴加快实施。</w:t>
      </w:r>
      <w:r>
        <w:rPr>
          <w:rFonts w:hint="eastAsia" w:ascii="仿宋_GB2312" w:hAnsi="仿宋_GB2312" w:eastAsia="仿宋_GB2312" w:cs="仿宋_GB2312"/>
          <w:bCs/>
          <w:sz w:val="32"/>
          <w:szCs w:val="32"/>
        </w:rPr>
        <w:t>深入推进“一区六业”，有机旱作农业持续发展，创建封闭示范区6000亩、特色示范园53个。农业品牌化建设加快推进，注册省级著名商标22个，“长子青椒”“河岸红薯”入选全</w:t>
      </w:r>
      <w:r>
        <w:rPr>
          <w:rFonts w:hint="eastAsia" w:ascii="仿宋_GB2312" w:hAnsi="仿宋_GB2312" w:eastAsia="仿宋_GB2312" w:cs="仿宋_GB2312"/>
          <w:bCs/>
          <w:spacing w:val="9"/>
          <w:sz w:val="32"/>
          <w:szCs w:val="32"/>
        </w:rPr>
        <w:t>国名特优新农产品名录，获得国家农产品质量安全县荣誉称号。农村人居环境持续改善，农村改厕、村庄绿化、安全饮水、农网改造、垃圾处理、公路修复工作全面落实，荣获全国十大乡村绿化美化县、省级“四好农村路”示范县和国家卫生县城等荣誉称号。农村精神文明建设水平不断提升，荣获全国农村移风易俗机制创新任务试点县荣誉称号。积极推进“五治融合”，被确定为全国乡村治理体系建设试点县。创建美丽宜居示范村94个</w:t>
      </w:r>
      <w:r>
        <w:rPr>
          <w:rFonts w:hint="eastAsia" w:ascii="仿宋_GB2312" w:hAnsi="仿宋_GB2312" w:eastAsia="仿宋_GB2312" w:cs="仿宋_GB2312"/>
          <w:bCs/>
          <w:sz w:val="32"/>
          <w:szCs w:val="32"/>
        </w:rPr>
        <w:t>，城乡面貌发生巨大变化。</w:t>
      </w:r>
    </w:p>
    <w:p>
      <w:pPr>
        <w:spacing w:line="608"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重点改革取得突破。</w:t>
      </w:r>
      <w:r>
        <w:rPr>
          <w:rFonts w:hint="eastAsia" w:ascii="仿宋_GB2312" w:hAnsi="仿宋_GB2312" w:eastAsia="仿宋_GB2312" w:cs="仿宋_GB2312"/>
          <w:bCs/>
          <w:sz w:val="32"/>
          <w:szCs w:val="32"/>
        </w:rPr>
        <w:t>以</w:t>
      </w:r>
      <w:r>
        <w:rPr>
          <w:rFonts w:hint="eastAsia" w:ascii="仿宋_GB2312" w:hAnsi="仿宋_GB2312" w:eastAsia="仿宋_GB2312" w:cs="仿宋_GB2312"/>
          <w:bCs/>
          <w:spacing w:val="9"/>
          <w:sz w:val="32"/>
          <w:szCs w:val="32"/>
        </w:rPr>
        <w:t>供给侧结构性改革为主线，深入推进重点领域和关键环节改革，能源革命、乡村治理体系建设、农业供给侧结构性改革等重点改革事项成效明显。推进投融资改革，政策性融资、租赁融资等新型融资方式不断涌现，“新农贷”“政融保”融资平台搭建完成，授信额度持续提高。金融风险有效防范化解，涉众性经济案件得到妥善处理，守住了不发生系统性区域性风险底线。深化农业农村改革，集体产权制度改革清产核资、土地确权“回头看”和农业生产托管省级试点任务全面完成。推进公立医院和县乡医疗卫生机构一体化改革，长子县医疗集团挂牌成立，医疗服务价格二次调整在全市率先完成，五项医改核心指标全部达标。推进中小学教师“县管校聘”改革，教师管理机制基本理顺。建立重大投资项目联审联批制度，项目审批效率大幅提升</w:t>
      </w:r>
      <w:r>
        <w:rPr>
          <w:rFonts w:hint="eastAsia" w:ascii="仿宋_GB2312" w:hAnsi="仿宋_GB2312" w:eastAsia="仿宋_GB2312" w:cs="仿宋_GB2312"/>
          <w:bCs/>
          <w:sz w:val="32"/>
          <w:szCs w:val="32"/>
        </w:rPr>
        <w:t>。</w:t>
      </w:r>
    </w:p>
    <w:p>
      <w:pPr>
        <w:spacing w:line="608"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生态环境持续好转。</w:t>
      </w:r>
      <w:r>
        <w:rPr>
          <w:rFonts w:hint="eastAsia" w:ascii="仿宋_GB2312" w:hAnsi="仿宋_GB2312" w:eastAsia="仿宋_GB2312" w:cs="仿宋_GB2312"/>
          <w:bCs/>
          <w:sz w:val="32"/>
          <w:szCs w:val="32"/>
        </w:rPr>
        <w:t>强化大气污染防治，持续推进燃煤锅炉淘汰、低氮改造、工业炉窑治理，实施清洁取暖工程，全县二级以上优良天数逐年增加，空气质量持续好转。加快实施城市污水处理项目和村庄污水收集工程，污水处理能力和覆盖面进一步提高。严格落实河长制，在全市首家建立巡河报告制度。加大河道治理力度，疏浚河道28公里，三个出境断面水质稳定达标。强化土壤污染治理，农业生产化肥和农药使用量实现“双下降”。加大造林绿化力度，森林覆盖率由2015年的15.3%提高到2020年的16.96%，县城绿化面积由2015年的326.44万平方米增加到2020年340.67万平方米。加强人居环境整治，改造农村厕所5.3万座，完成清洁取暖11.1万户，垃圾分类村覆盖率超过80%。加强湿地保护，精卫湖国家湿地公园顺利通过国家验收。</w:t>
      </w:r>
    </w:p>
    <w:p>
      <w:pPr>
        <w:pStyle w:val="3"/>
        <w:spacing w:after="0" w:line="608" w:lineRule="exact"/>
        <w:ind w:left="0" w:leftChars="0"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社会事业全面进步。</w:t>
      </w:r>
      <w:bookmarkEnd w:id="37"/>
      <w:bookmarkEnd w:id="38"/>
      <w:r>
        <w:rPr>
          <w:rFonts w:hint="eastAsia" w:ascii="仿宋_GB2312" w:hAnsi="仿宋_GB2312" w:eastAsia="仿宋_GB2312" w:cs="仿宋_GB2312"/>
          <w:bCs/>
          <w:sz w:val="32"/>
          <w:szCs w:val="32"/>
        </w:rPr>
        <w:t>持续推进民生事业，民生支出共投入71.14亿元，年均增长14.55%，城乡居民人均可支配收入年均分别增长6.81%、7.8%。脱贫攻坚决战完胜，出台十项扶贫政策，实施八大扶贫工程，现行标准下农村贫困人口</w:t>
      </w:r>
      <w:r>
        <w:rPr>
          <w:rFonts w:hint="eastAsia" w:ascii="仿宋_GB2312" w:hAnsi="仿宋_GB2312" w:eastAsia="仿宋_GB2312" w:cs="仿宋_GB2312"/>
          <w:sz w:val="32"/>
          <w:szCs w:val="32"/>
        </w:rPr>
        <w:t>3912户8689人全部脱贫</w:t>
      </w:r>
      <w:r>
        <w:rPr>
          <w:rFonts w:hint="eastAsia" w:ascii="仿宋_GB2312" w:hAnsi="仿宋_GB2312" w:eastAsia="仿宋_GB2312" w:cs="仿宋_GB2312"/>
          <w:bCs/>
          <w:sz w:val="32"/>
          <w:szCs w:val="32"/>
        </w:rPr>
        <w:t>。强力推进教育民生，新二中、东方红小学、鹿谷小学、示范幼儿</w:t>
      </w:r>
      <w:r>
        <w:rPr>
          <w:rFonts w:hint="eastAsia" w:ascii="仿宋_GB2312" w:hAnsi="仿宋_GB2312" w:eastAsia="仿宋_GB2312" w:cs="仿宋_GB2312"/>
          <w:bCs/>
          <w:spacing w:val="9"/>
          <w:sz w:val="32"/>
          <w:szCs w:val="32"/>
        </w:rPr>
        <w:t>园投入使用，基础教育改革十大行动稳步推进，平安校园创建成效显著。县医院、中医院综合大楼高标准建成，实施深化医药卫生体制改革十大行动，卫生医疗健康服务体系不断完善。全面实施全民参保扩面行动，持续完善社会救助机制，社会保险、医疗救助“应参尽参、应保尽保”。统筹推进常态化疫情防控和经济社会发展，抗击新冠肺炎疫情取得重大战略成果。大力实施就业促进工程，“十三五”期间，城镇新增就业人数4465人，转移农村劳动力5059人，城镇登记失业率控制在3%以内，居民就业形势总体稳定。加强养老体系建设，40所农村老年人日间照料中心建成投用，14所乡镇敬老院提档升级，实现养老服务新突破。</w:t>
      </w:r>
      <w:r>
        <w:rPr>
          <w:rFonts w:hint="eastAsia" w:ascii="仿宋_GB2312" w:hAnsi="仿宋_GB2312" w:eastAsia="仿宋_GB2312" w:cs="仿宋_GB2312"/>
          <w:spacing w:val="9"/>
          <w:sz w:val="32"/>
          <w:szCs w:val="32"/>
        </w:rPr>
        <w:t>社会主义核心价值观深入人心,获得中央深化拓展新时代文明实践中心建设试点县荣誉称号，优秀传统文化繁荣发展。成功举办首届“金山银山文化旅游节”，长子知名度、美誉度大幅提升。县域社会治理取得重大成效，安全生产形势总体平稳，扫黑除恶战果显著，毒情形势明显好转，“三零”单位创建扎</w:t>
      </w:r>
      <w:r>
        <w:rPr>
          <w:rFonts w:hint="eastAsia" w:ascii="仿宋_GB2312" w:hAnsi="仿宋_GB2312" w:eastAsia="仿宋_GB2312" w:cs="仿宋_GB2312"/>
          <w:sz w:val="32"/>
          <w:szCs w:val="32"/>
        </w:rPr>
        <w:t>实推进。党建引领基层治理探索出新路</w:t>
      </w:r>
      <w:r>
        <w:rPr>
          <w:rFonts w:hint="eastAsia" w:ascii="仿宋_GB2312" w:hAnsi="仿宋_GB2312" w:eastAsia="仿宋_GB2312" w:cs="仿宋_GB2312"/>
          <w:bCs/>
          <w:sz w:val="32"/>
          <w:szCs w:val="32"/>
        </w:rPr>
        <w:t>，平安长子建设步伐不断加快，社会大局和谐稳定。</w:t>
      </w:r>
      <w:r>
        <w:rPr>
          <w:rFonts w:hint="eastAsia" w:ascii="仿宋_GB2312" w:hAnsi="仿宋_GB2312" w:eastAsia="仿宋_GB2312" w:cs="仿宋_GB2312"/>
          <w:sz w:val="32"/>
          <w:szCs w:val="32"/>
        </w:rPr>
        <w:t>人民群众的获得感、幸福感、安全感不断增强。</w:t>
      </w:r>
    </w:p>
    <w:p>
      <w:pPr>
        <w:spacing w:line="624"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17"/>
        <w:tblpPr w:leftFromText="180" w:rightFromText="180" w:vertAnchor="text" w:horzAnchor="page" w:tblpXSpec="center" w:tblpY="167"/>
        <w:tblOverlap w:val="never"/>
        <w:tblW w:w="874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882"/>
        <w:gridCol w:w="900"/>
        <w:gridCol w:w="880"/>
        <w:gridCol w:w="1160"/>
        <w:gridCol w:w="967"/>
        <w:gridCol w:w="993"/>
        <w:gridCol w:w="9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9" w:hRule="atLeast"/>
          <w:jc w:val="center"/>
        </w:trPr>
        <w:tc>
          <w:tcPr>
            <w:tcW w:w="8742" w:type="dxa"/>
            <w:gridSpan w:val="7"/>
            <w:tcBorders>
              <w:tl2br w:val="nil"/>
              <w:tr2bl w:val="nil"/>
            </w:tcBorders>
            <w:shd w:val="clear" w:color="auto" w:fill="auto"/>
            <w:vAlign w:val="center"/>
          </w:tcPr>
          <w:p>
            <w:pPr>
              <w:widowControl/>
              <w:jc w:val="center"/>
              <w:rPr>
                <w:rFonts w:ascii="Times New Roman" w:hAnsi="Times New Roman" w:eastAsia="宋体" w:cs="黑体"/>
                <w:kern w:val="0"/>
              </w:rPr>
            </w:pPr>
            <w:r>
              <w:rPr>
                <w:rFonts w:hint="eastAsia" w:ascii="黑体" w:hAnsi="黑体" w:eastAsia="黑体" w:cs="黑体"/>
                <w:color w:val="000000"/>
                <w:kern w:val="0"/>
                <w:sz w:val="28"/>
                <w:szCs w:val="28"/>
              </w:rPr>
              <w:t>专栏1：</w:t>
            </w:r>
            <w:r>
              <w:rPr>
                <w:rFonts w:hint="eastAsia" w:ascii="黑体" w:hAnsi="宋体" w:eastAsia="黑体" w:cs="黑体"/>
                <w:color w:val="000000"/>
                <w:kern w:val="0"/>
                <w:sz w:val="28"/>
                <w:szCs w:val="28"/>
              </w:rPr>
              <w:t>长子县</w:t>
            </w:r>
            <w:r>
              <w:rPr>
                <w:rFonts w:hint="eastAsia" w:ascii="黑体" w:hAnsi="黑体" w:eastAsia="黑体" w:cs="黑体"/>
                <w:color w:val="000000"/>
                <w:kern w:val="0"/>
                <w:sz w:val="28"/>
                <w:szCs w:val="28"/>
              </w:rPr>
              <w:t>“十三五”规划主要指标实现情况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4" w:hRule="atLeast"/>
          <w:jc w:val="center"/>
        </w:trPr>
        <w:tc>
          <w:tcPr>
            <w:tcW w:w="2882" w:type="dxa"/>
            <w:vMerge w:val="restart"/>
            <w:tcBorders>
              <w:tl2br w:val="nil"/>
              <w:tr2bl w:val="nil"/>
            </w:tcBorders>
            <w:shd w:val="clear" w:color="auto" w:fill="auto"/>
            <w:vAlign w:val="center"/>
          </w:tcPr>
          <w:p>
            <w:pPr>
              <w:widowControl/>
              <w:spacing w:line="320" w:lineRule="exact"/>
              <w:jc w:val="center"/>
              <w:rPr>
                <w:rFonts w:asciiTheme="minorEastAsia" w:hAnsiTheme="minorEastAsia" w:cstheme="minorEastAsia"/>
                <w:b/>
                <w:bCs/>
                <w:kern w:val="0"/>
              </w:rPr>
            </w:pPr>
            <w:r>
              <w:rPr>
                <w:rFonts w:hint="eastAsia" w:asciiTheme="minorEastAsia" w:hAnsiTheme="minorEastAsia" w:cstheme="minorEastAsia"/>
                <w:b/>
                <w:bCs/>
                <w:kern w:val="0"/>
              </w:rPr>
              <w:t>指标名称</w:t>
            </w:r>
          </w:p>
        </w:tc>
        <w:tc>
          <w:tcPr>
            <w:tcW w:w="900" w:type="dxa"/>
            <w:vMerge w:val="restart"/>
            <w:tcBorders>
              <w:tl2br w:val="nil"/>
              <w:tr2bl w:val="nil"/>
            </w:tcBorders>
            <w:shd w:val="clear" w:color="auto" w:fill="auto"/>
            <w:vAlign w:val="center"/>
          </w:tcPr>
          <w:p>
            <w:pPr>
              <w:widowControl/>
              <w:spacing w:line="320" w:lineRule="exact"/>
              <w:jc w:val="center"/>
              <w:rPr>
                <w:rFonts w:asciiTheme="minorEastAsia" w:hAnsiTheme="minorEastAsia" w:cstheme="minorEastAsia"/>
                <w:b/>
                <w:bCs/>
                <w:kern w:val="0"/>
              </w:rPr>
            </w:pPr>
            <w:r>
              <w:rPr>
                <w:rFonts w:hint="eastAsia" w:asciiTheme="minorEastAsia" w:hAnsiTheme="minorEastAsia" w:cstheme="minorEastAsia"/>
                <w:b/>
                <w:bCs/>
                <w:kern w:val="0"/>
              </w:rPr>
              <w:t>2015年</w:t>
            </w:r>
          </w:p>
        </w:tc>
        <w:tc>
          <w:tcPr>
            <w:tcW w:w="2040" w:type="dxa"/>
            <w:gridSpan w:val="2"/>
            <w:tcBorders>
              <w:tl2br w:val="nil"/>
              <w:tr2bl w:val="nil"/>
            </w:tcBorders>
            <w:shd w:val="clear" w:color="auto" w:fill="auto"/>
            <w:vAlign w:val="center"/>
          </w:tcPr>
          <w:p>
            <w:pPr>
              <w:widowControl/>
              <w:spacing w:line="320" w:lineRule="exact"/>
              <w:jc w:val="center"/>
              <w:rPr>
                <w:rFonts w:asciiTheme="minorEastAsia" w:hAnsiTheme="minorEastAsia" w:cstheme="minorEastAsia"/>
                <w:b/>
                <w:bCs/>
                <w:kern w:val="0"/>
              </w:rPr>
            </w:pPr>
            <w:r>
              <w:rPr>
                <w:rFonts w:hint="eastAsia" w:asciiTheme="minorEastAsia" w:hAnsiTheme="minorEastAsia" w:cstheme="minorEastAsia"/>
                <w:b/>
                <w:bCs/>
                <w:kern w:val="0"/>
              </w:rPr>
              <w:t>规划目标</w:t>
            </w:r>
          </w:p>
        </w:tc>
        <w:tc>
          <w:tcPr>
            <w:tcW w:w="1960" w:type="dxa"/>
            <w:gridSpan w:val="2"/>
            <w:tcBorders>
              <w:tl2br w:val="nil"/>
              <w:tr2bl w:val="nil"/>
            </w:tcBorders>
            <w:shd w:val="clear" w:color="auto" w:fill="auto"/>
            <w:vAlign w:val="center"/>
          </w:tcPr>
          <w:p>
            <w:pPr>
              <w:widowControl/>
              <w:spacing w:line="320" w:lineRule="exact"/>
              <w:jc w:val="center"/>
              <w:rPr>
                <w:rFonts w:asciiTheme="minorEastAsia" w:hAnsiTheme="minorEastAsia" w:cstheme="minorEastAsia"/>
                <w:b/>
                <w:bCs/>
                <w:kern w:val="0"/>
              </w:rPr>
            </w:pPr>
            <w:r>
              <w:rPr>
                <w:rFonts w:hint="eastAsia" w:asciiTheme="minorEastAsia" w:hAnsiTheme="minorEastAsia" w:cstheme="minorEastAsia"/>
                <w:b/>
                <w:bCs/>
                <w:kern w:val="0"/>
              </w:rPr>
              <w:t>实现情况</w:t>
            </w:r>
          </w:p>
        </w:tc>
        <w:tc>
          <w:tcPr>
            <w:tcW w:w="960" w:type="dxa"/>
            <w:vMerge w:val="restart"/>
            <w:tcBorders>
              <w:tl2br w:val="nil"/>
              <w:tr2bl w:val="nil"/>
            </w:tcBorders>
            <w:shd w:val="clear" w:color="auto" w:fill="auto"/>
            <w:vAlign w:val="center"/>
          </w:tcPr>
          <w:p>
            <w:pPr>
              <w:widowControl/>
              <w:spacing w:line="320" w:lineRule="exact"/>
              <w:jc w:val="center"/>
              <w:rPr>
                <w:rFonts w:asciiTheme="minorEastAsia" w:hAnsiTheme="minorEastAsia" w:cstheme="minorEastAsia"/>
                <w:b/>
                <w:bCs/>
                <w:kern w:val="0"/>
              </w:rPr>
            </w:pPr>
            <w:r>
              <w:rPr>
                <w:rFonts w:hint="eastAsia" w:asciiTheme="minorEastAsia" w:hAnsiTheme="minorEastAsia" w:cstheme="minorEastAsia"/>
                <w:b/>
                <w:bCs/>
                <w:kern w:val="0"/>
              </w:rPr>
              <w:t>属性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7" w:hRule="atLeast"/>
          <w:jc w:val="center"/>
        </w:trPr>
        <w:tc>
          <w:tcPr>
            <w:tcW w:w="2882" w:type="dxa"/>
            <w:vMerge w:val="continue"/>
            <w:tcBorders>
              <w:tl2br w:val="nil"/>
              <w:tr2bl w:val="nil"/>
            </w:tcBorders>
            <w:vAlign w:val="center"/>
          </w:tcPr>
          <w:p>
            <w:pPr>
              <w:widowControl/>
              <w:spacing w:line="320" w:lineRule="exact"/>
              <w:jc w:val="left"/>
              <w:rPr>
                <w:rFonts w:asciiTheme="minorEastAsia" w:hAnsiTheme="minorEastAsia" w:cstheme="minorEastAsia"/>
                <w:kern w:val="0"/>
              </w:rPr>
            </w:pPr>
          </w:p>
        </w:tc>
        <w:tc>
          <w:tcPr>
            <w:tcW w:w="900" w:type="dxa"/>
            <w:vMerge w:val="continue"/>
            <w:tcBorders>
              <w:tl2br w:val="nil"/>
              <w:tr2bl w:val="nil"/>
            </w:tcBorders>
            <w:vAlign w:val="center"/>
          </w:tcPr>
          <w:p>
            <w:pPr>
              <w:widowControl/>
              <w:spacing w:line="320" w:lineRule="exact"/>
              <w:jc w:val="left"/>
              <w:rPr>
                <w:rFonts w:asciiTheme="minorEastAsia" w:hAnsiTheme="minorEastAsia" w:cstheme="minorEastAsia"/>
                <w:kern w:val="0"/>
              </w:rPr>
            </w:pP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b/>
                <w:bCs/>
                <w:kern w:val="0"/>
              </w:rPr>
            </w:pPr>
            <w:r>
              <w:rPr>
                <w:rFonts w:hint="eastAsia" w:asciiTheme="minorEastAsia" w:hAnsiTheme="minorEastAsia" w:cstheme="minorEastAsia"/>
                <w:b/>
                <w:bCs/>
                <w:kern w:val="0"/>
              </w:rPr>
              <w:t>2020年</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b/>
                <w:bCs/>
                <w:kern w:val="0"/>
              </w:rPr>
            </w:pPr>
            <w:r>
              <w:rPr>
                <w:rFonts w:hint="eastAsia" w:asciiTheme="minorEastAsia" w:hAnsiTheme="minorEastAsia" w:cstheme="minorEastAsia"/>
                <w:b/>
                <w:bCs/>
                <w:kern w:val="0"/>
              </w:rPr>
              <w:t>累计或年均增长（%）</w:t>
            </w:r>
          </w:p>
        </w:tc>
        <w:tc>
          <w:tcPr>
            <w:tcW w:w="967" w:type="dxa"/>
            <w:tcBorders>
              <w:tl2br w:val="nil"/>
              <w:tr2bl w:val="nil"/>
            </w:tcBorders>
            <w:vAlign w:val="center"/>
          </w:tcPr>
          <w:p>
            <w:pPr>
              <w:widowControl/>
              <w:spacing w:line="320" w:lineRule="exact"/>
              <w:jc w:val="center"/>
              <w:rPr>
                <w:rFonts w:asciiTheme="minorEastAsia" w:hAnsiTheme="minorEastAsia" w:cstheme="minorEastAsia"/>
                <w:kern w:val="0"/>
              </w:rPr>
            </w:pPr>
            <w:r>
              <w:rPr>
                <w:rFonts w:hint="eastAsia" w:asciiTheme="minorEastAsia" w:hAnsiTheme="minorEastAsia" w:cstheme="minorEastAsia"/>
                <w:b/>
                <w:bCs/>
                <w:kern w:val="0"/>
              </w:rPr>
              <w:t>2020年</w:t>
            </w:r>
          </w:p>
        </w:tc>
        <w:tc>
          <w:tcPr>
            <w:tcW w:w="993" w:type="dxa"/>
            <w:tcBorders>
              <w:tl2br w:val="nil"/>
              <w:tr2bl w:val="nil"/>
            </w:tcBorders>
            <w:vAlign w:val="center"/>
          </w:tcPr>
          <w:p>
            <w:pPr>
              <w:widowControl/>
              <w:spacing w:line="320" w:lineRule="exact"/>
              <w:jc w:val="center"/>
              <w:rPr>
                <w:rFonts w:asciiTheme="minorEastAsia" w:hAnsiTheme="minorEastAsia" w:cstheme="minorEastAsia"/>
                <w:kern w:val="0"/>
              </w:rPr>
            </w:pPr>
            <w:r>
              <w:rPr>
                <w:rFonts w:hint="eastAsia" w:asciiTheme="minorEastAsia" w:hAnsiTheme="minorEastAsia" w:cstheme="minorEastAsia"/>
                <w:b/>
                <w:bCs/>
                <w:kern w:val="0"/>
              </w:rPr>
              <w:t>累计或年均增长（%）</w:t>
            </w:r>
          </w:p>
        </w:tc>
        <w:tc>
          <w:tcPr>
            <w:tcW w:w="960" w:type="dxa"/>
            <w:vMerge w:val="continue"/>
            <w:tcBorders>
              <w:tl2br w:val="nil"/>
              <w:tr2bl w:val="nil"/>
            </w:tcBorders>
            <w:vAlign w:val="center"/>
          </w:tcPr>
          <w:p>
            <w:pPr>
              <w:widowControl/>
              <w:spacing w:line="320" w:lineRule="exact"/>
              <w:jc w:val="left"/>
              <w:rPr>
                <w:rFonts w:asciiTheme="minorEastAsia" w:hAnsiTheme="minorEastAsia" w:cstheme="minorEastAsia"/>
                <w:b/>
                <w:bCs/>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6"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1.地区生产总值（亿元） </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96</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6.5</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179.6</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8.17</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6"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2.一般公共预算收入（亿元） </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7.71</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11.33</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15.95</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20.15</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3"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3.固定资产投资（亿元）</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122.9</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197.9</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77.6</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10.57</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9"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4.社会消费品零售总额（亿元）</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25</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27.05</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4.85</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2"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5.城镇居民人均可支配收入（元） </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24365</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33382</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6.5</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33875</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6.81</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2"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6.农村居民人均可支配收入（元） </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11763</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16498</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17120</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7.8</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8"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7.学前教育毛入学率（%）</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89</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95</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96</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8.高中阶段教育毛入学率（%）</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91.8</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95.6</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[3.8]</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96</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[4.2]</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8"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9.农村贫困人口脱贫（万人） </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0.25</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1.2507</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0.8689</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7"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10.森林覆盖率（%）</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15.3</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21.36</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16.96</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6"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11.森林蓄积量（亿立方米）</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0.0072</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0.0083</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[0.0011]</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0.0108</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[0.036]</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12.研究与试验发展经费投入强度（%）</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b/>
                <w:bCs/>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1"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13.每万人发明专利拥有量（件）</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0.114</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0.257</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0.4</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9"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14.技术合同交易总额（亿元） </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0.02</w:t>
            </w:r>
          </w:p>
        </w:tc>
        <w:tc>
          <w:tcPr>
            <w:tcW w:w="88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0.045</w:t>
            </w:r>
          </w:p>
        </w:tc>
        <w:tc>
          <w:tcPr>
            <w:tcW w:w="11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7"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0.1685</w:t>
            </w:r>
          </w:p>
        </w:tc>
        <w:tc>
          <w:tcPr>
            <w:tcW w:w="993"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ascii="Times New Roman" w:hAnsi="Times New Roman"/>
                <w:kern w:val="0"/>
                <w:szCs w:val="21"/>
              </w:rPr>
              <w:t>——</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4"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15.万元地区生产总值用水量（立方米） </w:t>
            </w:r>
          </w:p>
        </w:tc>
        <w:tc>
          <w:tcPr>
            <w:tcW w:w="900" w:type="dxa"/>
            <w:vMerge w:val="restart"/>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完成市下达任务</w:t>
            </w:r>
          </w:p>
        </w:tc>
        <w:tc>
          <w:tcPr>
            <w:tcW w:w="2040" w:type="dxa"/>
            <w:gridSpan w:val="2"/>
            <w:vMerge w:val="restart"/>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控制在市</w:t>
            </w:r>
          </w:p>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下达目标内</w:t>
            </w:r>
          </w:p>
        </w:tc>
        <w:tc>
          <w:tcPr>
            <w:tcW w:w="1960" w:type="dxa"/>
            <w:gridSpan w:val="2"/>
            <w:vMerge w:val="restart"/>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未核定</w:t>
            </w:r>
          </w:p>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预计能完成</w:t>
            </w:r>
          </w:p>
        </w:tc>
        <w:tc>
          <w:tcPr>
            <w:tcW w:w="96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1"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16.单位地区生产总值能耗降低（%） </w:t>
            </w:r>
          </w:p>
        </w:tc>
        <w:tc>
          <w:tcPr>
            <w:tcW w:w="900" w:type="dxa"/>
            <w:vMerge w:val="continue"/>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p>
        </w:tc>
        <w:tc>
          <w:tcPr>
            <w:tcW w:w="2040" w:type="dxa"/>
            <w:gridSpan w:val="2"/>
            <w:vMerge w:val="continue"/>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p>
        </w:tc>
        <w:tc>
          <w:tcPr>
            <w:tcW w:w="1960" w:type="dxa"/>
            <w:gridSpan w:val="2"/>
            <w:vMerge w:val="continue"/>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p>
        </w:tc>
        <w:tc>
          <w:tcPr>
            <w:tcW w:w="960" w:type="dxa"/>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7" w:hRule="atLeas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17.单位地区生产总值二氧化碳排放降低（%）</w:t>
            </w:r>
          </w:p>
        </w:tc>
        <w:tc>
          <w:tcPr>
            <w:tcW w:w="900" w:type="dxa"/>
            <w:vMerge w:val="continue"/>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p>
        </w:tc>
        <w:tc>
          <w:tcPr>
            <w:tcW w:w="2040" w:type="dxa"/>
            <w:gridSpan w:val="2"/>
            <w:vMerge w:val="continue"/>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p>
        </w:tc>
        <w:tc>
          <w:tcPr>
            <w:tcW w:w="1960" w:type="dxa"/>
            <w:gridSpan w:val="2"/>
            <w:vMerge w:val="continue"/>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p>
        </w:tc>
        <w:tc>
          <w:tcPr>
            <w:tcW w:w="960" w:type="dxa"/>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3" w:hRule="atLeast"/>
          <w:jc w:val="center"/>
        </w:trPr>
        <w:tc>
          <w:tcPr>
            <w:tcW w:w="8742" w:type="dxa"/>
            <w:gridSpan w:val="7"/>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18.主要污染物排放总量减少（%）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   化学需氧量（万吨） </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0.0097</w:t>
            </w:r>
          </w:p>
        </w:tc>
        <w:tc>
          <w:tcPr>
            <w:tcW w:w="2040" w:type="dxa"/>
            <w:gridSpan w:val="2"/>
            <w:vMerge w:val="restart"/>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控制在市</w:t>
            </w:r>
          </w:p>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下达目标内</w:t>
            </w:r>
          </w:p>
        </w:tc>
        <w:tc>
          <w:tcPr>
            <w:tcW w:w="1960" w:type="dxa"/>
            <w:gridSpan w:val="2"/>
            <w:vMerge w:val="restart"/>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未核定</w:t>
            </w:r>
          </w:p>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预计能完成</w:t>
            </w:r>
          </w:p>
        </w:tc>
        <w:tc>
          <w:tcPr>
            <w:tcW w:w="960" w:type="dxa"/>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   氨氮（万吨）</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0.0013</w:t>
            </w:r>
          </w:p>
        </w:tc>
        <w:tc>
          <w:tcPr>
            <w:tcW w:w="2040" w:type="dxa"/>
            <w:gridSpan w:val="2"/>
            <w:vMerge w:val="continue"/>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p>
        </w:tc>
        <w:tc>
          <w:tcPr>
            <w:tcW w:w="1960" w:type="dxa"/>
            <w:gridSpan w:val="2"/>
            <w:vMerge w:val="continue"/>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p>
        </w:tc>
        <w:tc>
          <w:tcPr>
            <w:tcW w:w="960" w:type="dxa"/>
            <w:tcBorders>
              <w:tl2br w:val="nil"/>
              <w:tr2bl w:val="nil"/>
            </w:tcBorders>
            <w:shd w:val="clear" w:color="auto" w:fill="auto"/>
            <w:noWrap/>
            <w:vAlign w:val="center"/>
          </w:tcPr>
          <w:p>
            <w:pPr>
              <w:widowControl/>
              <w:tabs>
                <w:tab w:val="left" w:pos="362"/>
              </w:tabs>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   二氧化硫（万吨） </w:t>
            </w:r>
          </w:p>
        </w:tc>
        <w:tc>
          <w:tcPr>
            <w:tcW w:w="900" w:type="dxa"/>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0.0036</w:t>
            </w:r>
          </w:p>
        </w:tc>
        <w:tc>
          <w:tcPr>
            <w:tcW w:w="2040" w:type="dxa"/>
            <w:gridSpan w:val="2"/>
            <w:vMerge w:val="continue"/>
            <w:tcBorders>
              <w:tl2br w:val="nil"/>
              <w:tr2bl w:val="nil"/>
            </w:tcBorders>
            <w:shd w:val="clear" w:color="auto" w:fill="auto"/>
            <w:vAlign w:val="center"/>
          </w:tcPr>
          <w:p>
            <w:pPr>
              <w:widowControl/>
              <w:spacing w:line="320" w:lineRule="exact"/>
              <w:jc w:val="center"/>
              <w:rPr>
                <w:rFonts w:asciiTheme="minorEastAsia" w:hAnsiTheme="minorEastAsia" w:cstheme="minorEastAsia"/>
                <w:kern w:val="0"/>
                <w:szCs w:val="21"/>
              </w:rPr>
            </w:pPr>
          </w:p>
        </w:tc>
        <w:tc>
          <w:tcPr>
            <w:tcW w:w="1960" w:type="dxa"/>
            <w:gridSpan w:val="2"/>
            <w:vMerge w:val="continue"/>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p>
        </w:tc>
        <w:tc>
          <w:tcPr>
            <w:tcW w:w="960" w:type="dxa"/>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   氮氧化合物（万吨）</w:t>
            </w:r>
          </w:p>
        </w:tc>
        <w:tc>
          <w:tcPr>
            <w:tcW w:w="900" w:type="dxa"/>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0.0085</w:t>
            </w:r>
          </w:p>
        </w:tc>
        <w:tc>
          <w:tcPr>
            <w:tcW w:w="2040" w:type="dxa"/>
            <w:gridSpan w:val="2"/>
            <w:vMerge w:val="continue"/>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p>
        </w:tc>
        <w:tc>
          <w:tcPr>
            <w:tcW w:w="1960" w:type="dxa"/>
            <w:gridSpan w:val="2"/>
            <w:vMerge w:val="continue"/>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p>
        </w:tc>
        <w:tc>
          <w:tcPr>
            <w:tcW w:w="960" w:type="dxa"/>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2882" w:type="dxa"/>
            <w:tcBorders>
              <w:tl2br w:val="nil"/>
              <w:tr2bl w:val="nil"/>
            </w:tcBorders>
            <w:shd w:val="clear" w:color="auto" w:fill="auto"/>
            <w:vAlign w:val="center"/>
          </w:tcPr>
          <w:p>
            <w:pPr>
              <w:widowControl/>
              <w:spacing w:line="32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    烟粉尘（万吨）  </w:t>
            </w:r>
          </w:p>
        </w:tc>
        <w:tc>
          <w:tcPr>
            <w:tcW w:w="900" w:type="dxa"/>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0.0073</w:t>
            </w:r>
          </w:p>
        </w:tc>
        <w:tc>
          <w:tcPr>
            <w:tcW w:w="2040" w:type="dxa"/>
            <w:gridSpan w:val="2"/>
            <w:vMerge w:val="continue"/>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p>
        </w:tc>
        <w:tc>
          <w:tcPr>
            <w:tcW w:w="1960" w:type="dxa"/>
            <w:gridSpan w:val="2"/>
            <w:vMerge w:val="continue"/>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p>
        </w:tc>
        <w:tc>
          <w:tcPr>
            <w:tcW w:w="960" w:type="dxa"/>
            <w:tcBorders>
              <w:tl2br w:val="nil"/>
              <w:tr2bl w:val="nil"/>
            </w:tcBorders>
            <w:shd w:val="clear" w:color="auto" w:fill="auto"/>
            <w:noWrap/>
            <w:vAlign w:val="center"/>
          </w:tcPr>
          <w:p>
            <w:pPr>
              <w:widowControl/>
              <w:spacing w:line="3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2" w:hRule="atLeast"/>
          <w:jc w:val="center"/>
        </w:trPr>
        <w:tc>
          <w:tcPr>
            <w:tcW w:w="8742" w:type="dxa"/>
            <w:gridSpan w:val="7"/>
            <w:tcBorders>
              <w:tl2br w:val="nil"/>
              <w:tr2bl w:val="nil"/>
            </w:tcBorders>
            <w:shd w:val="clear" w:color="auto" w:fill="auto"/>
            <w:vAlign w:val="center"/>
          </w:tcPr>
          <w:p>
            <w:pPr>
              <w:pStyle w:val="2"/>
              <w:spacing w:beforeLines="50" w:beforeAutospacing="0" w:afterLines="50" w:line="360" w:lineRule="exact"/>
              <w:ind w:left="0" w:leftChars="0"/>
              <w:rPr>
                <w:rFonts w:asciiTheme="minorEastAsia" w:hAnsiTheme="minorEastAsia" w:cstheme="minorEastAsia"/>
                <w:szCs w:val="21"/>
              </w:rPr>
            </w:pPr>
            <w:r>
              <w:rPr>
                <w:rFonts w:hint="eastAsia" w:asciiTheme="minorEastAsia" w:hAnsiTheme="minorEastAsia" w:cstheme="minorEastAsia"/>
                <w:szCs w:val="21"/>
              </w:rPr>
              <w:t>备注：1、</w:t>
            </w:r>
            <w:r>
              <w:rPr>
                <w:kern w:val="0"/>
                <w:szCs w:val="21"/>
              </w:rPr>
              <w:t>[</w:t>
            </w:r>
            <w:r>
              <w:rPr>
                <w:rFonts w:hint="eastAsia"/>
                <w:kern w:val="0"/>
                <w:szCs w:val="21"/>
              </w:rPr>
              <w:t xml:space="preserve">  </w:t>
            </w:r>
            <w:r>
              <w:rPr>
                <w:kern w:val="0"/>
                <w:szCs w:val="21"/>
              </w:rPr>
              <w:t>]</w:t>
            </w:r>
            <w:r>
              <w:rPr>
                <w:rFonts w:hint="eastAsia"/>
                <w:kern w:val="0"/>
                <w:szCs w:val="21"/>
              </w:rPr>
              <w:t>为累计数。2、</w:t>
            </w:r>
            <w:r>
              <w:rPr>
                <w:rFonts w:hint="eastAsia" w:asciiTheme="minorEastAsia" w:hAnsiTheme="minorEastAsia" w:cstheme="minorEastAsia"/>
                <w:szCs w:val="21"/>
              </w:rPr>
              <w:t>固定资产投资2016年基数由143.24亿元调整为54.74亿元。3、社会消费零售总额2019年基数由22.67提高至28.47亿元，拉低年均增长率。4、脱贫人口数经过动态调整，2020年全部实现脱贫。</w:t>
            </w:r>
          </w:p>
        </w:tc>
      </w:tr>
    </w:tbl>
    <w:p>
      <w:pPr>
        <w:pStyle w:val="5"/>
        <w:spacing w:beforeLines="0" w:afterLines="0" w:line="608" w:lineRule="exact"/>
        <w:rPr>
          <w:rFonts w:ascii="楷体_GB2312" w:hAnsi="楷体_GB2312" w:eastAsia="楷体_GB2312" w:cs="楷体_GB2312"/>
        </w:rPr>
      </w:pPr>
      <w:bookmarkStart w:id="39" w:name="_Toc8636"/>
      <w:bookmarkStart w:id="40" w:name="_Toc8732"/>
      <w:bookmarkStart w:id="41" w:name="_Toc5877"/>
      <w:bookmarkStart w:id="42" w:name="_Toc8581"/>
      <w:bookmarkStart w:id="43" w:name="_Toc3317"/>
      <w:bookmarkStart w:id="44" w:name="_Toc30417"/>
      <w:bookmarkStart w:id="45" w:name="_Toc27308"/>
      <w:bookmarkStart w:id="46" w:name="_Toc16072"/>
      <w:bookmarkStart w:id="47" w:name="_Toc18572"/>
      <w:bookmarkStart w:id="48" w:name="_Toc32031"/>
      <w:bookmarkStart w:id="49" w:name="_Toc14804"/>
      <w:bookmarkStart w:id="50" w:name="_Toc18203"/>
      <w:bookmarkStart w:id="51" w:name="_Toc22103"/>
      <w:bookmarkStart w:id="52" w:name="_Toc23576"/>
      <w:bookmarkStart w:id="53" w:name="_Toc30527"/>
      <w:bookmarkStart w:id="54" w:name="_Toc24478"/>
      <w:bookmarkStart w:id="55" w:name="_Toc17233"/>
      <w:bookmarkStart w:id="56" w:name="_Toc6902"/>
      <w:bookmarkStart w:id="57" w:name="_Toc10541"/>
      <w:bookmarkStart w:id="58" w:name="_Toc4932"/>
      <w:bookmarkStart w:id="59" w:name="_Toc4310"/>
      <w:bookmarkStart w:id="60" w:name="_Toc7765"/>
      <w:bookmarkStart w:id="61" w:name="_Toc10449"/>
      <w:bookmarkStart w:id="62" w:name="_Toc31340"/>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第二节  “十四五”时期经济社会发展面临的形势</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Style w:val="15"/>
        <w:spacing w:beforeAutospacing="0" w:afterAutospacing="0" w:line="608" w:lineRule="exact"/>
        <w:ind w:firstLine="640" w:firstLineChars="200"/>
        <w:rPr>
          <w:rFonts w:ascii="仿宋_GB2312" w:hAnsi="仿宋_GB2312" w:eastAsia="仿宋_GB2312" w:cs="仿宋_GB2312"/>
          <w:sz w:val="32"/>
          <w:szCs w:val="32"/>
        </w:rPr>
      </w:pPr>
      <w:bookmarkStart w:id="63" w:name="_Toc6775"/>
      <w:bookmarkStart w:id="64" w:name="_Toc6319"/>
      <w:bookmarkStart w:id="65" w:name="_Toc1681"/>
      <w:bookmarkStart w:id="66" w:name="_Toc22491"/>
      <w:bookmarkStart w:id="67" w:name="_Toc24242"/>
      <w:bookmarkStart w:id="68" w:name="_Toc7760"/>
      <w:bookmarkStart w:id="69" w:name="_Toc18646"/>
      <w:bookmarkStart w:id="70" w:name="_Toc28576"/>
      <w:bookmarkStart w:id="71" w:name="_Toc8457"/>
      <w:bookmarkStart w:id="72" w:name="_Toc5096"/>
      <w:bookmarkStart w:id="73" w:name="_Toc2549"/>
      <w:bookmarkStart w:id="74" w:name="_Toc24660"/>
      <w:bookmarkStart w:id="75" w:name="_Toc25108"/>
      <w:bookmarkStart w:id="76" w:name="_Toc31720"/>
      <w:bookmarkStart w:id="77" w:name="_Toc23027"/>
      <w:bookmarkStart w:id="78" w:name="_Toc10839"/>
      <w:bookmarkStart w:id="79" w:name="_Toc5283"/>
      <w:bookmarkStart w:id="80" w:name="_Toc28824"/>
      <w:bookmarkStart w:id="81" w:name="_Toc29128"/>
      <w:bookmarkStart w:id="82" w:name="_Toc7115"/>
      <w:bookmarkStart w:id="83" w:name="_Toc12222"/>
      <w:bookmarkStart w:id="84" w:name="_Toc7627"/>
      <w:bookmarkStart w:id="85" w:name="_Toc27551"/>
      <w:bookmarkStart w:id="86" w:name="_Toc3727"/>
    </w:p>
    <w:p>
      <w:pPr>
        <w:pStyle w:val="15"/>
        <w:spacing w:beforeAutospacing="0" w:afterAutospacing="0"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我国全面建成小康社会、实现第一个百年奋斗目标之后，乘势而上开启全面建设社会主义现代化国家新征程、向第二个百年奋斗目标进军的第一个五年。中央赋予山西建设国家资源型经济转型综合配套改革试验区的重大历史使命，省委赋予长治建设省域副中心城市的发展定位，市委提出建设全国创新驱动转型示范城市、生态引领的太行宜居山水名城，打造向东开放、承接中原城市群枢纽型城市的重大战略，赋予我县建设晋东南物流基地、全市能源生产供应基地和特色文化旅游生态休闲区发展定位，我县发展面临重大机遇。同时，也要清醒地认识到，我县经济总量不大、经济结构单一，“一煤独大”的局面长期存在，新兴产业不足；创新能力不强，发展新动能成长不快，要素制约长期存在；城乡发展不平衡不协调，农村发展不充分；生态环保存在明显短板，特别是地质沉陷和水土流失等问题突出；人均收入水平还不高，城乡区域公共服务水平差距较大；还面临着新冠疫情防控的压力。全县上下要进一步树立底线思维，准确识变、科学应变、主动求变，努力在危机中育先机，于变局中开新局，聚力全面推动转型发展，聚力全面推进乡村振兴，加快创新长子、开放长子、文明长子、平安长子、美丽长子、幸福长子建设，在高质量发展中赢得优势、赢得主动、赢得未来。</w:t>
      </w:r>
    </w:p>
    <w:p>
      <w:pPr>
        <w:pStyle w:val="15"/>
        <w:spacing w:beforeAutospacing="0" w:afterAutospacing="0" w:line="608" w:lineRule="exact"/>
        <w:ind w:firstLine="640" w:firstLineChars="200"/>
      </w:pPr>
      <w:r>
        <w:rPr>
          <w:rFonts w:hint="eastAsia" w:ascii="仿宋_GB2312" w:hAnsi="仿宋_GB2312" w:eastAsia="仿宋_GB2312" w:cs="仿宋_GB2312"/>
          <w:sz w:val="32"/>
          <w:szCs w:val="32"/>
        </w:rPr>
        <w:t xml:space="preserve"> </w:t>
      </w:r>
    </w:p>
    <w:p>
      <w:pPr>
        <w:pStyle w:val="5"/>
        <w:spacing w:beforeLines="0" w:afterLines="0" w:line="608" w:lineRule="exact"/>
      </w:pPr>
      <w:bookmarkStart w:id="87" w:name="_Toc6955"/>
      <w:bookmarkStart w:id="88" w:name="_Toc5817"/>
      <w:bookmarkStart w:id="89" w:name="_Toc28369"/>
      <w:bookmarkStart w:id="90" w:name="_Toc14226"/>
      <w:bookmarkStart w:id="91" w:name="_Toc9083"/>
      <w:bookmarkStart w:id="92" w:name="_Toc16287"/>
      <w:bookmarkStart w:id="93" w:name="_Toc7108"/>
      <w:bookmarkStart w:id="94" w:name="_Toc13941"/>
      <w:bookmarkStart w:id="95" w:name="_Toc25945"/>
      <w:r>
        <w:rPr>
          <w:rFonts w:hint="eastAsia"/>
        </w:rPr>
        <w:t>第三节  指导思想</w:t>
      </w:r>
      <w:bookmarkEnd w:id="63"/>
      <w:bookmarkEnd w:id="64"/>
      <w:bookmarkEnd w:id="65"/>
      <w:bookmarkEnd w:id="66"/>
      <w:bookmarkEnd w:id="67"/>
      <w:bookmarkEnd w:id="68"/>
      <w:bookmarkEnd w:id="69"/>
      <w:bookmarkEnd w:id="70"/>
      <w:bookmarkEnd w:id="71"/>
      <w:bookmarkEnd w:id="72"/>
      <w:bookmarkEnd w:id="73"/>
      <w:bookmarkEnd w:id="74"/>
      <w:bookmarkEnd w:id="87"/>
      <w:bookmarkEnd w:id="88"/>
      <w:bookmarkEnd w:id="89"/>
      <w:bookmarkEnd w:id="90"/>
      <w:bookmarkEnd w:id="91"/>
      <w:bookmarkEnd w:id="92"/>
      <w:bookmarkEnd w:id="93"/>
      <w:bookmarkEnd w:id="94"/>
      <w:bookmarkEnd w:id="95"/>
    </w:p>
    <w:p>
      <w:pPr>
        <w:pStyle w:val="2"/>
        <w:spacing w:before="0" w:beforeAutospacing="0" w:line="608" w:lineRule="exact"/>
        <w:ind w:left="0" w:leftChars="0" w:firstLine="640"/>
        <w:rPr>
          <w:rFonts w:ascii="仿宋_GB2312" w:hAnsi="仿宋_GB2312" w:eastAsia="仿宋_GB2312" w:cs="仿宋_GB2312"/>
          <w:sz w:val="32"/>
          <w:szCs w:val="32"/>
        </w:rPr>
      </w:pPr>
      <w:bookmarkStart w:id="96" w:name="_Toc23076"/>
      <w:bookmarkStart w:id="97" w:name="_Toc8073"/>
      <w:bookmarkStart w:id="98" w:name="_Toc26789"/>
      <w:bookmarkStart w:id="99" w:name="_Toc8323"/>
      <w:bookmarkStart w:id="100" w:name="_Toc18756"/>
      <w:bookmarkStart w:id="101" w:name="_Toc29045"/>
      <w:bookmarkStart w:id="102" w:name="_Toc18523"/>
      <w:bookmarkStart w:id="103" w:name="_Toc22251"/>
      <w:bookmarkStart w:id="104" w:name="_Toc19633"/>
    </w:p>
    <w:p>
      <w:pPr>
        <w:pStyle w:val="2"/>
        <w:spacing w:before="0" w:beforeAutospacing="0" w:line="608"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以习近平新时代中国特色社会主义思想为指导，深入贯彻习近平总书记视察山西重要讲话重要指示，统筹推进“五位一体”总体布局，协调推进“四个全面”战略布局，坚持稳中求进工作总基调，按照省委“四为四高两同步”总体思路和要求，围绕市委“建设省域副中心城市”目标定位，以推动高质量发展为主题，以深化供给侧结构性改革为主线，以全面推动转型发展和全面推进乡村振兴为统领，以扩大内需为战略基点，立足新发展阶段，贯彻新发展理念，紧抓构建新发展格局机遇，扩大改革开放，推动科技创新，统筹疫情防控和经济社会发展，统筹发展和安全，努力实现高质量高速度发展，确保实现转型出雏型，在全面建设社会主义现代化新征程中开好局、起好步，奋力谱写践行新时代中国特色社会主义的长子新篇章。</w:t>
      </w:r>
    </w:p>
    <w:p>
      <w:pPr>
        <w:pStyle w:val="2"/>
        <w:spacing w:before="0" w:beforeAutospacing="0" w:line="608"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bookmarkEnd w:id="96"/>
    <w:bookmarkEnd w:id="97"/>
    <w:bookmarkEnd w:id="98"/>
    <w:bookmarkEnd w:id="99"/>
    <w:bookmarkEnd w:id="100"/>
    <w:bookmarkEnd w:id="101"/>
    <w:bookmarkEnd w:id="102"/>
    <w:bookmarkEnd w:id="103"/>
    <w:bookmarkEnd w:id="104"/>
    <w:p>
      <w:pPr>
        <w:pStyle w:val="5"/>
        <w:spacing w:beforeLines="0" w:afterLines="0" w:line="608" w:lineRule="exact"/>
        <w:rPr>
          <w:rFonts w:ascii="楷体_GB2312" w:hAnsi="楷体_GB2312" w:eastAsia="楷体_GB2312" w:cs="楷体_GB2312"/>
        </w:rPr>
      </w:pPr>
      <w:bookmarkStart w:id="105" w:name="_Toc16604"/>
      <w:bookmarkStart w:id="106" w:name="_Toc20712"/>
      <w:bookmarkStart w:id="107" w:name="_Toc7356"/>
      <w:bookmarkStart w:id="108" w:name="_Toc5795"/>
      <w:bookmarkStart w:id="109" w:name="_Toc4039"/>
      <w:bookmarkStart w:id="110" w:name="_Toc29941"/>
      <w:bookmarkStart w:id="111" w:name="_Toc21818"/>
      <w:bookmarkStart w:id="112" w:name="_Toc16089"/>
      <w:bookmarkStart w:id="113" w:name="_Toc28506"/>
      <w:bookmarkStart w:id="114" w:name="_Toc1607"/>
      <w:bookmarkStart w:id="115" w:name="_Toc3766"/>
      <w:bookmarkStart w:id="116" w:name="_Toc26925"/>
      <w:bookmarkStart w:id="117" w:name="_Toc29219"/>
      <w:bookmarkStart w:id="118" w:name="_Toc32401"/>
      <w:bookmarkStart w:id="119" w:name="_Toc31975"/>
      <w:bookmarkStart w:id="120" w:name="_Toc20749"/>
      <w:bookmarkStart w:id="121" w:name="_Toc7345"/>
      <w:bookmarkStart w:id="122" w:name="_Toc9419"/>
      <w:bookmarkStart w:id="123" w:name="_Toc5136"/>
      <w:bookmarkStart w:id="124" w:name="_Toc3885"/>
      <w:bookmarkStart w:id="125" w:name="_Toc8028"/>
      <w:bookmarkStart w:id="126" w:name="_Toc11250"/>
      <w:bookmarkStart w:id="127" w:name="_Toc9860"/>
      <w:bookmarkStart w:id="128" w:name="_Toc3235"/>
      <w:bookmarkStart w:id="129" w:name="_Toc24669"/>
      <w:bookmarkStart w:id="130" w:name="_Toc10727"/>
      <w:r>
        <w:rPr>
          <w:rFonts w:hint="eastAsia" w:ascii="楷体_GB2312" w:hAnsi="楷体_GB2312" w:eastAsia="楷体_GB2312" w:cs="楷体_GB2312"/>
        </w:rPr>
        <w:t>第四节  战略定位</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pacing w:line="608" w:lineRule="exact"/>
        <w:ind w:firstLine="640" w:firstLineChars="200"/>
        <w:rPr>
          <w:rFonts w:ascii="仿宋_GB2312" w:hAnsi="仿宋_GB2312" w:eastAsia="仿宋_GB2312" w:cs="仿宋_GB2312"/>
          <w:color w:val="000000"/>
          <w:sz w:val="32"/>
          <w:szCs w:val="32"/>
          <w:shd w:val="clear" w:color="auto" w:fill="FFFFFF"/>
        </w:rPr>
      </w:pPr>
      <w:bookmarkStart w:id="131" w:name="_Toc18254"/>
      <w:bookmarkStart w:id="132" w:name="_Toc2989"/>
      <w:bookmarkStart w:id="133" w:name="_Toc18014"/>
      <w:bookmarkStart w:id="134" w:name="_Toc3975"/>
      <w:bookmarkStart w:id="135" w:name="_Toc30800"/>
      <w:bookmarkStart w:id="136" w:name="_Toc27298"/>
      <w:bookmarkStart w:id="137" w:name="_Toc13288"/>
      <w:bookmarkStart w:id="138" w:name="_Toc13126"/>
      <w:bookmarkStart w:id="139" w:name="_Toc26335"/>
      <w:bookmarkStart w:id="140" w:name="_Toc20186"/>
      <w:bookmarkStart w:id="141" w:name="_Toc23781"/>
      <w:bookmarkStart w:id="142" w:name="_Toc12878"/>
      <w:bookmarkStart w:id="143" w:name="_Toc20992"/>
      <w:bookmarkStart w:id="144" w:name="_Toc26161"/>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坚持胸怀“两个大局”，准确把握我县在全市、全省和全国所处的新的历史地位，以更宽广的视野和战略眼光审视谋划全县的发展方向，长子经济社会发展的战略定位是：</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sz w:val="32"/>
          <w:szCs w:val="32"/>
        </w:rPr>
        <w:t>——晋东南物流基地。</w:t>
      </w:r>
      <w:r>
        <w:rPr>
          <w:rFonts w:hint="eastAsia" w:ascii="仿宋_GB2312" w:hAnsi="仿宋_GB2312" w:eastAsia="仿宋_GB2312" w:cs="仿宋_GB2312"/>
          <w:sz w:val="32"/>
          <w:szCs w:val="32"/>
        </w:rPr>
        <w:t>依托</w:t>
      </w:r>
      <w:r>
        <w:rPr>
          <w:rFonts w:hint="eastAsia" w:ascii="仿宋_GB2312" w:hAnsi="仿宋_GB2312" w:eastAsia="仿宋_GB2312" w:cs="仿宋_GB2312"/>
          <w:spacing w:val="9"/>
          <w:sz w:val="32"/>
          <w:szCs w:val="32"/>
        </w:rPr>
        <w:t>能投、新易达、轩阳等物流园区，形成以煤炭物流、快递物流、冷链物流为支撑，其它专业物流协调发展的规模化、专业化、网络化现代物</w:t>
      </w:r>
      <w:r>
        <w:rPr>
          <w:rFonts w:hint="eastAsia" w:ascii="仿宋_GB2312" w:hAnsi="仿宋_GB2312" w:eastAsia="仿宋_GB2312" w:cs="仿宋_GB2312"/>
          <w:sz w:val="32"/>
          <w:szCs w:val="32"/>
        </w:rPr>
        <w:t>流产业体系。</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——全市能源生产供应基地。</w:t>
      </w:r>
      <w:r>
        <w:rPr>
          <w:rFonts w:hint="eastAsia" w:ascii="仿宋_GB2312" w:hAnsi="仿宋_GB2312" w:eastAsia="仿宋_GB2312" w:cs="仿宋_GB2312"/>
          <w:sz w:val="32"/>
          <w:szCs w:val="32"/>
        </w:rPr>
        <w:t>充分利用我县能源优势，形成传统能源与新能源多元互补、多轮驱动、综合利用的能源发展新格局。推进煤矿企业智能化建设，加大煤炭先进产能释放；推进煤电一体化发展，提升资源循环利用水平；推进电力外送通道扩容升级，打造晋电外送重要支点；推进煤层气增储上产，不断延伸产业发展链条；大力发展光伏发电、氢能、生物质能等新能源产业，逐步构建现代智慧能源体系。</w:t>
      </w:r>
    </w:p>
    <w:p>
      <w:pPr>
        <w:pStyle w:val="2"/>
        <w:spacing w:before="0" w:beforeAutospacing="0" w:line="608" w:lineRule="exact"/>
        <w:ind w:left="0" w:leftChars="0"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——特色文化旅游生态休闲区。</w:t>
      </w:r>
      <w:r>
        <w:rPr>
          <w:rFonts w:hint="eastAsia" w:ascii="仿宋_GB2312" w:hAnsi="仿宋_GB2312" w:eastAsia="仿宋_GB2312" w:cs="仿宋_GB2312"/>
          <w:sz w:val="32"/>
          <w:szCs w:val="32"/>
        </w:rPr>
        <w:t>坚持规划引领，不断夯实基础，完善配套，以龙头景区建设为带动，以文化和旅游深度融合为突破口，建立健全市场化运作机制，着力打造“品长子文化、读千年历史”特色文旅品牌，推动全县全域旅游和文旅事业长足发展。</w:t>
      </w:r>
    </w:p>
    <w:p>
      <w:pPr>
        <w:pStyle w:val="2"/>
        <w:spacing w:before="0" w:beforeAutospacing="0" w:line="608"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spacing w:beforeLines="0" w:afterLines="0" w:line="608" w:lineRule="exact"/>
        <w:rPr>
          <w:rFonts w:ascii="楷体_GB2312" w:hAnsi="楷体_GB2312" w:eastAsia="楷体_GB2312" w:cs="楷体_GB2312"/>
        </w:rPr>
      </w:pPr>
      <w:bookmarkStart w:id="145" w:name="_Toc2589"/>
      <w:bookmarkStart w:id="146" w:name="_Toc28450"/>
      <w:bookmarkStart w:id="147" w:name="_Toc20894"/>
      <w:bookmarkStart w:id="148" w:name="_Toc18184"/>
      <w:bookmarkStart w:id="149" w:name="_Toc30104"/>
      <w:bookmarkStart w:id="150" w:name="_Toc11846"/>
      <w:bookmarkStart w:id="151" w:name="_Toc7594"/>
      <w:bookmarkStart w:id="152" w:name="_Toc24001"/>
      <w:bookmarkStart w:id="153" w:name="_Toc26977"/>
      <w:bookmarkStart w:id="154" w:name="_Toc17125"/>
      <w:bookmarkStart w:id="155" w:name="_Toc3328"/>
      <w:bookmarkStart w:id="156" w:name="_Toc25199"/>
      <w:bookmarkStart w:id="157" w:name="_Toc29047"/>
      <w:r>
        <w:rPr>
          <w:rFonts w:hint="eastAsia" w:ascii="楷体_GB2312" w:hAnsi="楷体_GB2312" w:eastAsia="楷体_GB2312" w:cs="楷体_GB2312"/>
        </w:rPr>
        <w:t>第五节  发展目标</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9"/>
        <w:spacing w:after="0" w:line="608" w:lineRule="exact"/>
        <w:ind w:firstLine="640" w:firstLineChars="200"/>
        <w:rPr>
          <w:rFonts w:ascii="仿宋_GB2312" w:hAnsi="仿宋_GB2312" w:eastAsia="仿宋_GB2312" w:cs="仿宋_GB2312"/>
          <w:sz w:val="32"/>
          <w:szCs w:val="32"/>
        </w:rPr>
      </w:pPr>
    </w:p>
    <w:p>
      <w:pPr>
        <w:pStyle w:val="9"/>
        <w:spacing w:after="0"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党的十九届五中全会确定的基本实现社会主义现代化的远景目标和省委提出的“两同步”战略部署，我县2035年的远景目标是：全县经济实力要实现大幅提升，基本形成以现代农业为基础，新兴产业和现代服务业为主导的现代产业体系；文化软实力显著增强，历史文化影响更加广泛深入，全社会文明程度达到新高度；“人人持证、技能社会”建设持续深化，中等收入群体显著扩大，城乡区域发展差距显著缩小，人民生活更加美好；生态环境根本好转，绿色生产生活方式广泛形成；基本实现社会治理体系和治理能力现代化；人民平等参与、平等发展权利得到充分保障；资源型经济转型任务全面完成，与全国同步基本实现社会主义现代化。</w:t>
      </w:r>
    </w:p>
    <w:p>
      <w:pPr>
        <w:pStyle w:val="2"/>
        <w:spacing w:before="0" w:beforeAutospacing="0" w:line="608"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锚定二〇三五年远景目标，聚力实现转型出雏型的重要阶段性战略目标，为“十五五”基本实现转型、“十六五”全面完成转型奠定坚实基础。今后五年全县经济社会发展要努力实现以下主要目标：</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——一流创新生态基本形成。</w:t>
      </w:r>
      <w:r>
        <w:rPr>
          <w:rFonts w:hint="eastAsia" w:ascii="仿宋_GB2312" w:hAnsi="仿宋_GB2312" w:eastAsia="仿宋_GB2312" w:cs="仿宋_GB2312"/>
          <w:sz w:val="32"/>
          <w:szCs w:val="32"/>
        </w:rPr>
        <w:t>政产学研金服用深度融合，企业创新主体地位进一步增强，科技型企业梯队培育体系基本形成。创新长子深入推进，创新要素全面汇聚，创新制度日趋完备，创新平台多点突破，创新成果不断涌现，创新文化深入人心，基本构建起政府为引导、企业为主体、市场为导向、产学研相结合的创新生态系统。</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——新兴产业集群基本形成。</w:t>
      </w:r>
      <w:r>
        <w:rPr>
          <w:rFonts w:hint="eastAsia" w:ascii="仿宋_GB2312" w:hAnsi="仿宋_GB2312" w:eastAsia="仿宋_GB2312" w:cs="仿宋_GB2312"/>
          <w:sz w:val="32"/>
          <w:szCs w:val="32"/>
        </w:rPr>
        <w:t>聚焦“六新”突破，产业转型升级步伐加</w:t>
      </w:r>
      <w:r>
        <w:rPr>
          <w:rFonts w:hint="eastAsia" w:ascii="仿宋_GB2312" w:hAnsi="仿宋_GB2312" w:eastAsia="仿宋_GB2312" w:cs="仿宋_GB2312"/>
          <w:spacing w:val="-9"/>
          <w:sz w:val="32"/>
          <w:szCs w:val="32"/>
        </w:rPr>
        <w:t>快，装备制造、医药健康、新能源、节能环保、食品酿品、新材料等产业集群不断壮大，培育形成一批有较大影响力的龙头企业和名牌产品，规模以</w:t>
      </w:r>
      <w:r>
        <w:rPr>
          <w:rFonts w:hint="eastAsia" w:ascii="仿宋_GB2312" w:hAnsi="仿宋_GB2312" w:eastAsia="仿宋_GB2312" w:cs="仿宋_GB2312"/>
          <w:sz w:val="32"/>
          <w:szCs w:val="32"/>
        </w:rPr>
        <w:t>上工业企业数量实现倍增。</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——绿色能源供应体系基本形</w:t>
      </w:r>
      <w:r>
        <w:rPr>
          <w:rFonts w:hint="eastAsia" w:ascii="仿宋_GB2312" w:hAnsi="仿宋_GB2312" w:eastAsia="仿宋_GB2312" w:cs="仿宋_GB2312"/>
          <w:b/>
          <w:spacing w:val="-9"/>
          <w:sz w:val="32"/>
          <w:szCs w:val="32"/>
        </w:rPr>
        <w:t>成。</w:t>
      </w:r>
      <w:r>
        <w:rPr>
          <w:rFonts w:hint="eastAsia" w:ascii="仿宋_GB2312" w:hAnsi="仿宋_GB2312" w:eastAsia="仿宋_GB2312" w:cs="仿宋_GB2312"/>
          <w:spacing w:val="-9"/>
          <w:sz w:val="32"/>
          <w:szCs w:val="32"/>
        </w:rPr>
        <w:t>能源革命综合改革取得明显成效，煤炭绿色智能安全开采和高效清洁深度利用水平不断提高，能源科技创新领域取得重大进展，清洁能源和新能源比例明显提升，能源优势特别是电价优势转化为产业集聚的竞争优势</w:t>
      </w:r>
      <w:r>
        <w:rPr>
          <w:rFonts w:hint="eastAsia" w:ascii="仿宋_GB2312" w:hAnsi="仿宋_GB2312" w:eastAsia="仿宋_GB2312" w:cs="仿宋_GB2312"/>
          <w:sz w:val="32"/>
          <w:szCs w:val="32"/>
        </w:rPr>
        <w:t>。</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——“六最”营商环境基本形成。</w:t>
      </w:r>
      <w:r>
        <w:rPr>
          <w:rFonts w:hint="eastAsia" w:ascii="仿宋_GB2312" w:hAnsi="仿宋_GB2312" w:eastAsia="仿宋_GB2312" w:cs="仿宋_GB2312"/>
          <w:sz w:val="32"/>
          <w:szCs w:val="32"/>
        </w:rPr>
        <w:t>深化“放管服效”改革，形成一批具有长子特色的改革亮点，行政审批服务效率不断提高，人才机制活力和政策吸引力大幅提升，廉洁高效的政务环境、公平便捷的市场环境、公正透明的法治环境、诚实守信的信用环境、宜居宜业的人文环境迈入全市第一梯队。</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——对外开放新格局基本形成。</w:t>
      </w:r>
      <w:r>
        <w:rPr>
          <w:rFonts w:hint="eastAsia" w:ascii="仿宋_GB2312" w:hAnsi="仿宋_GB2312" w:eastAsia="仿宋_GB2312" w:cs="仿宋_GB2312"/>
          <w:sz w:val="32"/>
          <w:szCs w:val="32"/>
        </w:rPr>
        <w:t>积</w:t>
      </w:r>
      <w:r>
        <w:rPr>
          <w:rFonts w:hint="eastAsia" w:ascii="仿宋_GB2312" w:hAnsi="仿宋_GB2312" w:eastAsia="仿宋_GB2312" w:cs="仿宋_GB2312"/>
          <w:spacing w:val="-9"/>
          <w:sz w:val="32"/>
          <w:szCs w:val="32"/>
        </w:rPr>
        <w:t>极融入“一带一路”，加强与京津冀、长三角、粤港澳大湾区深度对接，加快融入全市向东开发枢纽门户，深度对接中原城市群，主动承接东部产业转移，推动区域合作向更高质量迈进，建设开放长子。深化招商领域体制机制创新，推动物流产业高质量发展，推进开发区获批，加快出境通道建设力度，重大交通基础设施建设取得新进展。</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——新型城镇化布局基本形成。</w:t>
      </w:r>
      <w:r>
        <w:rPr>
          <w:rFonts w:hint="eastAsia" w:ascii="仿宋_GB2312" w:hAnsi="仿宋_GB2312" w:eastAsia="仿宋_GB2312" w:cs="仿宋_GB2312"/>
          <w:sz w:val="32"/>
          <w:szCs w:val="32"/>
        </w:rPr>
        <w:t>加快构建多元、开放、高效、优质的新型城镇化空间布局，全面推动公共服务、市政设施等补短板项目建设，不断提高城市服务承载能力，完善城市功能，提升城市品位，构建现代综合交通运输体系，推动我县新型城镇化建设向更高水平发展。</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——文明城市创建长效机制基本形成。</w:t>
      </w:r>
      <w:r>
        <w:rPr>
          <w:rFonts w:hint="eastAsia" w:ascii="仿宋_GB2312" w:hAnsi="仿宋_GB2312" w:eastAsia="仿宋_GB2312" w:cs="仿宋_GB2312"/>
          <w:sz w:val="32"/>
          <w:szCs w:val="32"/>
        </w:rPr>
        <w:t>社</w:t>
      </w:r>
      <w:r>
        <w:rPr>
          <w:rFonts w:hint="eastAsia" w:ascii="仿宋_GB2312" w:hAnsi="仿宋_GB2312" w:eastAsia="仿宋_GB2312" w:cs="仿宋_GB2312"/>
          <w:spacing w:val="-9"/>
          <w:sz w:val="32"/>
          <w:szCs w:val="32"/>
        </w:rPr>
        <w:t>会主义核心价值观深入人心，人民思想道德素质、科学文化素质和身心健康素质明显提高，公共文化服务体系和文化产业体系更加健全，群众精神文化生活更加丰富，新时代文明实践中心的作用有效发挥，历史文化资源得到充分开发和更好保护传承，文明长子建设纵深推</w:t>
      </w:r>
      <w:r>
        <w:rPr>
          <w:rFonts w:hint="eastAsia" w:ascii="仿宋_GB2312" w:hAnsi="仿宋_GB2312" w:eastAsia="仿宋_GB2312" w:cs="仿宋_GB2312"/>
          <w:sz w:val="32"/>
          <w:szCs w:val="32"/>
        </w:rPr>
        <w:t>进。</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——高水平生态保护格局基本形成。</w:t>
      </w:r>
      <w:r>
        <w:rPr>
          <w:rFonts w:hint="eastAsia" w:ascii="仿宋_GB2312" w:hAnsi="仿宋_GB2312" w:eastAsia="仿宋_GB2312" w:cs="仿宋_GB2312"/>
          <w:sz w:val="32"/>
          <w:szCs w:val="32"/>
        </w:rPr>
        <w:t>生态保护红线、永久基本农田、城镇开发边界严格划定落实，主要污染物排放总量明显减少，环境准入清单和生态补偿机制加快健全，生态环境保护制度、资源高效利用制度严格执行，美丽长子建设取得实效，绿色生产方式和生活方式加快形成。</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——更加健全的民生保障体系基本形成。</w:t>
      </w:r>
      <w:r>
        <w:rPr>
          <w:rFonts w:hint="eastAsia" w:ascii="仿宋_GB2312" w:hAnsi="仿宋_GB2312" w:eastAsia="仿宋_GB2312" w:cs="仿宋_GB2312"/>
          <w:sz w:val="32"/>
          <w:szCs w:val="32"/>
        </w:rPr>
        <w:t>“人人持证、技能社会”建设取得新成果，实现更加充分更高质量就业，解决相对贫困长效机制不断健全，居民收入与经济发展同步增长。幸福长子建设扎实有效，教育、医疗、住房、育幼、养老、社保等各项民生事业全面进步。</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——严密高效的县域社会治理体系基本形成。</w:t>
      </w:r>
      <w:r>
        <w:rPr>
          <w:rFonts w:hint="eastAsia" w:ascii="仿宋_GB2312" w:hAnsi="仿宋_GB2312" w:eastAsia="仿宋_GB2312" w:cs="仿宋_GB2312"/>
          <w:sz w:val="32"/>
          <w:szCs w:val="32"/>
        </w:rPr>
        <w:t>民主法治更加健全，社会公</w:t>
      </w:r>
      <w:r>
        <w:rPr>
          <w:rFonts w:hint="eastAsia" w:ascii="仿宋_GB2312" w:hAnsi="仿宋_GB2312" w:eastAsia="仿宋_GB2312" w:cs="仿宋_GB2312"/>
          <w:spacing w:val="-9"/>
          <w:sz w:val="32"/>
          <w:szCs w:val="32"/>
        </w:rPr>
        <w:t>平正义进一步彰显，行政效率和公信力显著提升，基层治理水平明显提高，防范化解重大风险体制机制不断健全，突发公共事件应急能</w:t>
      </w:r>
      <w:r>
        <w:rPr>
          <w:rFonts w:hint="eastAsia" w:ascii="仿宋_GB2312" w:hAnsi="仿宋_GB2312" w:eastAsia="仿宋_GB2312" w:cs="仿宋_GB2312"/>
          <w:sz w:val="32"/>
          <w:szCs w:val="32"/>
        </w:rPr>
        <w:t>力显著增强，自然灾害防御水平明显提升，安全稳定工作基础更加巩固，平安长子建设再上新台阶。</w:t>
      </w:r>
    </w:p>
    <w:p>
      <w:pPr>
        <w:pStyle w:val="2"/>
        <w:spacing w:before="0" w:beforeAutospacing="0"/>
      </w:pPr>
    </w:p>
    <w:tbl>
      <w:tblPr>
        <w:tblStyle w:val="17"/>
        <w:tblW w:w="8735" w:type="dxa"/>
        <w:jc w:val="center"/>
        <w:tblLayout w:type="autofit"/>
        <w:tblCellMar>
          <w:top w:w="0" w:type="dxa"/>
          <w:left w:w="108" w:type="dxa"/>
          <w:bottom w:w="0" w:type="dxa"/>
          <w:right w:w="108" w:type="dxa"/>
        </w:tblCellMar>
      </w:tblPr>
      <w:tblGrid>
        <w:gridCol w:w="3644"/>
        <w:gridCol w:w="1106"/>
        <w:gridCol w:w="1000"/>
        <w:gridCol w:w="992"/>
        <w:gridCol w:w="864"/>
        <w:gridCol w:w="1129"/>
      </w:tblGrid>
      <w:tr>
        <w:tblPrEx>
          <w:tblCellMar>
            <w:top w:w="0" w:type="dxa"/>
            <w:left w:w="108" w:type="dxa"/>
            <w:bottom w:w="0" w:type="dxa"/>
            <w:right w:w="108" w:type="dxa"/>
          </w:tblCellMar>
        </w:tblPrEx>
        <w:trPr>
          <w:trHeight w:val="532" w:hRule="atLeast"/>
          <w:jc w:val="center"/>
        </w:trPr>
        <w:tc>
          <w:tcPr>
            <w:tcW w:w="873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000000"/>
                <w:kern w:val="0"/>
                <w:sz w:val="24"/>
              </w:rPr>
            </w:pPr>
            <w:r>
              <w:rPr>
                <w:rFonts w:hint="eastAsia" w:ascii="黑体" w:hAnsi="宋体" w:eastAsia="黑体" w:cs="黑体"/>
                <w:color w:val="000000"/>
                <w:kern w:val="0"/>
                <w:sz w:val="28"/>
                <w:szCs w:val="28"/>
              </w:rPr>
              <w:t>专栏2  长子县“十四五”时期转型出雏型主要指标表</w:t>
            </w:r>
          </w:p>
        </w:tc>
      </w:tr>
      <w:tr>
        <w:tblPrEx>
          <w:tblCellMar>
            <w:top w:w="0" w:type="dxa"/>
            <w:left w:w="108" w:type="dxa"/>
            <w:bottom w:w="0" w:type="dxa"/>
            <w:right w:w="108" w:type="dxa"/>
          </w:tblCellMar>
        </w:tblPrEx>
        <w:trPr>
          <w:trHeight w:val="463" w:hRule="atLeast"/>
          <w:jc w:val="center"/>
        </w:trPr>
        <w:tc>
          <w:tcPr>
            <w:tcW w:w="364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指标名称</w:t>
            </w:r>
          </w:p>
        </w:tc>
        <w:tc>
          <w:tcPr>
            <w:tcW w:w="110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2020年</w:t>
            </w:r>
          </w:p>
        </w:tc>
        <w:tc>
          <w:tcPr>
            <w:tcW w:w="100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2025年目标</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累计或年均增长</w:t>
            </w:r>
          </w:p>
        </w:tc>
        <w:tc>
          <w:tcPr>
            <w:tcW w:w="864"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属性</w:t>
            </w:r>
          </w:p>
        </w:tc>
        <w:tc>
          <w:tcPr>
            <w:tcW w:w="1129"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责任单位</w:t>
            </w:r>
          </w:p>
        </w:tc>
      </w:tr>
      <w:tr>
        <w:tblPrEx>
          <w:tblCellMar>
            <w:top w:w="0" w:type="dxa"/>
            <w:left w:w="108" w:type="dxa"/>
            <w:bottom w:w="0" w:type="dxa"/>
            <w:right w:w="108" w:type="dxa"/>
          </w:tblCellMar>
        </w:tblPrEx>
        <w:trPr>
          <w:trHeight w:val="342" w:hRule="atLeast"/>
          <w:jc w:val="center"/>
        </w:trPr>
        <w:tc>
          <w:tcPr>
            <w:tcW w:w="873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一、经济发展（6项）</w:t>
            </w:r>
          </w:p>
        </w:tc>
      </w:tr>
      <w:tr>
        <w:tblPrEx>
          <w:tblCellMar>
            <w:top w:w="0" w:type="dxa"/>
            <w:left w:w="108" w:type="dxa"/>
            <w:bottom w:w="0" w:type="dxa"/>
            <w:right w:w="108" w:type="dxa"/>
          </w:tblCellMar>
        </w:tblPrEx>
        <w:trPr>
          <w:trHeight w:val="306"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1.地区生产总值（GDP）增长率（%）</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≥8</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县发改局</w:t>
            </w:r>
          </w:p>
        </w:tc>
      </w:tr>
      <w:tr>
        <w:tblPrEx>
          <w:tblCellMar>
            <w:top w:w="0" w:type="dxa"/>
            <w:left w:w="108" w:type="dxa"/>
            <w:bottom w:w="0" w:type="dxa"/>
            <w:right w:w="108" w:type="dxa"/>
          </w:tblCellMar>
        </w:tblPrEx>
        <w:trPr>
          <w:trHeight w:val="90"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2.常住人口城镇化率（%）</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*36.35</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＞60</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县发改局</w:t>
            </w:r>
          </w:p>
        </w:tc>
      </w:tr>
      <w:tr>
        <w:tblPrEx>
          <w:tblCellMar>
            <w:top w:w="0" w:type="dxa"/>
            <w:left w:w="108" w:type="dxa"/>
            <w:bottom w:w="0" w:type="dxa"/>
            <w:right w:w="108" w:type="dxa"/>
          </w:tblCellMar>
        </w:tblPrEx>
        <w:trPr>
          <w:trHeight w:val="285"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3.规上工业企业数量（户）</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33</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66</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县工信局</w:t>
            </w:r>
          </w:p>
        </w:tc>
      </w:tr>
      <w:tr>
        <w:tblPrEx>
          <w:tblCellMar>
            <w:top w:w="0" w:type="dxa"/>
            <w:left w:w="108" w:type="dxa"/>
            <w:bottom w:w="0" w:type="dxa"/>
            <w:right w:w="108" w:type="dxa"/>
          </w:tblCellMar>
        </w:tblPrEx>
        <w:trPr>
          <w:trHeight w:val="306"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4.工业增加值占GDP比重（%）</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65.37</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＞60</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县工信局</w:t>
            </w:r>
          </w:p>
        </w:tc>
      </w:tr>
      <w:tr>
        <w:tblPrEx>
          <w:tblCellMar>
            <w:top w:w="0" w:type="dxa"/>
            <w:left w:w="108" w:type="dxa"/>
            <w:bottom w:w="0" w:type="dxa"/>
            <w:right w:w="108" w:type="dxa"/>
          </w:tblCellMar>
        </w:tblPrEx>
        <w:trPr>
          <w:trHeight w:val="610"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5.战略性新兴产业增加值占GDP比重（%）</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0.14</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≥1.5</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县工信局</w:t>
            </w:r>
          </w:p>
        </w:tc>
      </w:tr>
      <w:tr>
        <w:tblPrEx>
          <w:tblCellMar>
            <w:top w:w="0" w:type="dxa"/>
            <w:left w:w="108" w:type="dxa"/>
            <w:bottom w:w="0" w:type="dxa"/>
            <w:right w:w="108" w:type="dxa"/>
          </w:tblCellMar>
        </w:tblPrEx>
        <w:trPr>
          <w:trHeight w:val="432"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6.全员劳动生产率增长（%）</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县发改局</w:t>
            </w:r>
          </w:p>
        </w:tc>
      </w:tr>
      <w:tr>
        <w:tblPrEx>
          <w:tblCellMar>
            <w:top w:w="0" w:type="dxa"/>
            <w:left w:w="108" w:type="dxa"/>
            <w:bottom w:w="0" w:type="dxa"/>
            <w:right w:w="108" w:type="dxa"/>
          </w:tblCellMar>
        </w:tblPrEx>
        <w:trPr>
          <w:trHeight w:val="475" w:hRule="atLeast"/>
          <w:jc w:val="center"/>
        </w:trPr>
        <w:tc>
          <w:tcPr>
            <w:tcW w:w="873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二、创新驱动（3项）</w:t>
            </w:r>
          </w:p>
        </w:tc>
      </w:tr>
      <w:tr>
        <w:tblPrEx>
          <w:tblCellMar>
            <w:top w:w="0" w:type="dxa"/>
            <w:left w:w="108" w:type="dxa"/>
            <w:bottom w:w="0" w:type="dxa"/>
            <w:right w:w="108" w:type="dxa"/>
          </w:tblCellMar>
        </w:tblPrEx>
        <w:trPr>
          <w:trHeight w:val="402"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kern w:val="0"/>
                <w:szCs w:val="21"/>
              </w:rPr>
            </w:pPr>
            <w:r>
              <w:rPr>
                <w:rFonts w:hint="eastAsia" w:asciiTheme="minorEastAsia" w:hAnsiTheme="minorEastAsia" w:cstheme="minorEastAsia"/>
                <w:kern w:val="0"/>
                <w:szCs w:val="21"/>
              </w:rPr>
              <w:t>7.研发经费投入增长（%）</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ascii="Times New Roman" w:hAnsi="Times New Roman"/>
                <w:kern w:val="0"/>
                <w:szCs w:val="21"/>
              </w:rPr>
              <w:t>——</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ascii="Times New Roman" w:hAnsi="Times New Roman"/>
                <w:kern w:val="0"/>
                <w:szCs w:val="21"/>
              </w:rPr>
              <w:t>——</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县工信局</w:t>
            </w:r>
          </w:p>
        </w:tc>
      </w:tr>
      <w:tr>
        <w:tblPrEx>
          <w:tblCellMar>
            <w:top w:w="0" w:type="dxa"/>
            <w:left w:w="108" w:type="dxa"/>
            <w:bottom w:w="0" w:type="dxa"/>
            <w:right w:w="108" w:type="dxa"/>
          </w:tblCellMar>
        </w:tblPrEx>
        <w:trPr>
          <w:trHeight w:val="364"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kern w:val="0"/>
                <w:szCs w:val="21"/>
              </w:rPr>
            </w:pPr>
            <w:r>
              <w:rPr>
                <w:rFonts w:hint="eastAsia" w:asciiTheme="minorEastAsia" w:hAnsiTheme="minorEastAsia" w:cstheme="minorEastAsia"/>
                <w:kern w:val="0"/>
                <w:szCs w:val="21"/>
              </w:rPr>
              <w:t>8.省级以上重点实验室/省级以上技术创新中心/省市工程技术研究中心（个）</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0/0/0</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0/0/1</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ascii="Times New Roman" w:hAnsi="Times New Roman"/>
                <w:kern w:val="0"/>
                <w:szCs w:val="21"/>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县发改局</w:t>
            </w:r>
          </w:p>
        </w:tc>
      </w:tr>
      <w:tr>
        <w:tblPrEx>
          <w:tblCellMar>
            <w:top w:w="0" w:type="dxa"/>
            <w:left w:w="108" w:type="dxa"/>
            <w:bottom w:w="0" w:type="dxa"/>
            <w:right w:w="108" w:type="dxa"/>
          </w:tblCellMar>
        </w:tblPrEx>
        <w:trPr>
          <w:trHeight w:val="407"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kern w:val="0"/>
                <w:szCs w:val="21"/>
              </w:rPr>
            </w:pPr>
            <w:r>
              <w:rPr>
                <w:rFonts w:hint="eastAsia" w:asciiTheme="minorEastAsia" w:hAnsiTheme="minorEastAsia" w:cstheme="minorEastAsia"/>
                <w:kern w:val="0"/>
                <w:szCs w:val="21"/>
              </w:rPr>
              <w:t>9.高技术制造业增加值增速（%）</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ascii="Times New Roman" w:hAnsi="Times New Roman"/>
                <w:kern w:val="0"/>
                <w:szCs w:val="21"/>
              </w:rPr>
              <w:t>——</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ascii="Times New Roman" w:hAnsi="Times New Roman"/>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县工信局</w:t>
            </w:r>
          </w:p>
        </w:tc>
      </w:tr>
      <w:tr>
        <w:tblPrEx>
          <w:tblCellMar>
            <w:top w:w="0" w:type="dxa"/>
            <w:left w:w="108" w:type="dxa"/>
            <w:bottom w:w="0" w:type="dxa"/>
            <w:right w:w="108" w:type="dxa"/>
          </w:tblCellMar>
        </w:tblPrEx>
        <w:trPr>
          <w:trHeight w:val="412" w:hRule="atLeast"/>
          <w:jc w:val="center"/>
        </w:trPr>
        <w:tc>
          <w:tcPr>
            <w:tcW w:w="873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三、“六新”突破与产业升级（7项）</w:t>
            </w:r>
          </w:p>
        </w:tc>
      </w:tr>
      <w:tr>
        <w:tblPrEx>
          <w:tblCellMar>
            <w:top w:w="0" w:type="dxa"/>
            <w:left w:w="108" w:type="dxa"/>
            <w:bottom w:w="0" w:type="dxa"/>
            <w:right w:w="108" w:type="dxa"/>
          </w:tblCellMar>
        </w:tblPrEx>
        <w:trPr>
          <w:trHeight w:val="372"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10.5G网络用户普及率（%）【新基建】</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kern w:val="0"/>
                <w:szCs w:val="21"/>
              </w:rPr>
              <w:t>18.6</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82</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县工信局</w:t>
            </w:r>
          </w:p>
        </w:tc>
      </w:tr>
      <w:tr>
        <w:tblPrEx>
          <w:tblCellMar>
            <w:top w:w="0" w:type="dxa"/>
            <w:left w:w="108" w:type="dxa"/>
            <w:bottom w:w="0" w:type="dxa"/>
            <w:right w:w="108" w:type="dxa"/>
          </w:tblCellMar>
        </w:tblPrEx>
        <w:trPr>
          <w:trHeight w:val="395"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kern w:val="0"/>
                <w:szCs w:val="21"/>
              </w:rPr>
            </w:pPr>
            <w:r>
              <w:rPr>
                <w:rFonts w:hint="eastAsia" w:asciiTheme="minorEastAsia" w:hAnsiTheme="minorEastAsia" w:cstheme="minorEastAsia"/>
                <w:kern w:val="0"/>
                <w:szCs w:val="21"/>
              </w:rPr>
              <w:t>11.每万人口发明专利拥有量（件）【新技术】</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0.4</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县市场局</w:t>
            </w:r>
          </w:p>
        </w:tc>
      </w:tr>
      <w:tr>
        <w:tblPrEx>
          <w:tblCellMar>
            <w:top w:w="0" w:type="dxa"/>
            <w:left w:w="108" w:type="dxa"/>
            <w:bottom w:w="0" w:type="dxa"/>
            <w:right w:w="108" w:type="dxa"/>
          </w:tblCellMar>
        </w:tblPrEx>
        <w:trPr>
          <w:trHeight w:val="395"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12.新材料生产企业营业收入增速（%）【新材料】</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县工信局</w:t>
            </w:r>
          </w:p>
        </w:tc>
      </w:tr>
      <w:tr>
        <w:tblPrEx>
          <w:tblCellMar>
            <w:top w:w="0" w:type="dxa"/>
            <w:left w:w="108" w:type="dxa"/>
            <w:bottom w:w="0" w:type="dxa"/>
            <w:right w:w="108" w:type="dxa"/>
          </w:tblCellMar>
        </w:tblPrEx>
        <w:trPr>
          <w:trHeight w:val="395"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13.高端装备制造业增加值增速（%）【新装备】</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县工信局</w:t>
            </w:r>
          </w:p>
        </w:tc>
      </w:tr>
      <w:tr>
        <w:tblPrEx>
          <w:tblCellMar>
            <w:top w:w="0" w:type="dxa"/>
            <w:left w:w="108" w:type="dxa"/>
            <w:bottom w:w="0" w:type="dxa"/>
            <w:right w:w="108" w:type="dxa"/>
          </w:tblCellMar>
        </w:tblPrEx>
        <w:trPr>
          <w:trHeight w:val="395"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14.新产品开发项目数量年均增速（%）【新产品】</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县工信局</w:t>
            </w:r>
          </w:p>
        </w:tc>
      </w:tr>
      <w:tr>
        <w:tblPrEx>
          <w:tblCellMar>
            <w:top w:w="0" w:type="dxa"/>
            <w:left w:w="108" w:type="dxa"/>
            <w:bottom w:w="0" w:type="dxa"/>
            <w:right w:w="108" w:type="dxa"/>
          </w:tblCellMar>
        </w:tblPrEx>
        <w:trPr>
          <w:trHeight w:val="744"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15.数字经济核心产业增加值占GDP比重（%）【新业态】</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imes New Roman" w:hAnsi="Times New Roman"/>
                <w:kern w:val="0"/>
                <w:szCs w:val="21"/>
              </w:rPr>
              <w:t>0.5</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县工信局</w:t>
            </w:r>
          </w:p>
        </w:tc>
      </w:tr>
      <w:tr>
        <w:tblPrEx>
          <w:tblCellMar>
            <w:top w:w="0" w:type="dxa"/>
            <w:left w:w="108" w:type="dxa"/>
            <w:bottom w:w="0" w:type="dxa"/>
            <w:right w:w="108" w:type="dxa"/>
          </w:tblCellMar>
        </w:tblPrEx>
        <w:trPr>
          <w:trHeight w:val="614"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16.制造业增加值占规上工业增加值比重（%）</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1.18</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县工信局</w:t>
            </w:r>
          </w:p>
        </w:tc>
      </w:tr>
      <w:tr>
        <w:tblPrEx>
          <w:tblCellMar>
            <w:top w:w="0" w:type="dxa"/>
            <w:left w:w="108" w:type="dxa"/>
            <w:bottom w:w="0" w:type="dxa"/>
            <w:right w:w="108" w:type="dxa"/>
          </w:tblCellMar>
        </w:tblPrEx>
        <w:trPr>
          <w:trHeight w:val="347" w:hRule="atLeast"/>
          <w:jc w:val="center"/>
        </w:trPr>
        <w:tc>
          <w:tcPr>
            <w:tcW w:w="873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四、绿色生态（5项）</w:t>
            </w:r>
          </w:p>
        </w:tc>
      </w:tr>
      <w:tr>
        <w:tblPrEx>
          <w:tblCellMar>
            <w:top w:w="0" w:type="dxa"/>
            <w:left w:w="108" w:type="dxa"/>
            <w:bottom w:w="0" w:type="dxa"/>
            <w:right w:w="108" w:type="dxa"/>
          </w:tblCellMar>
        </w:tblPrEx>
        <w:trPr>
          <w:trHeight w:val="718"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17.地级及以上城市空气质量优良天数比率（%）</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未核定</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完成省市下达目标</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约束性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市生态局长子分局</w:t>
            </w:r>
          </w:p>
        </w:tc>
      </w:tr>
      <w:tr>
        <w:tblPrEx>
          <w:tblCellMar>
            <w:top w:w="0" w:type="dxa"/>
            <w:left w:w="108" w:type="dxa"/>
            <w:bottom w:w="0" w:type="dxa"/>
            <w:right w:w="108" w:type="dxa"/>
          </w:tblCellMar>
        </w:tblPrEx>
        <w:trPr>
          <w:trHeight w:val="986"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18.地表水达到或好于Ⅲ类水体比例（%）</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未核定</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完成省市下达目标</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约束性</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市生态局长子分局</w:t>
            </w:r>
          </w:p>
        </w:tc>
      </w:tr>
      <w:tr>
        <w:tblPrEx>
          <w:tblCellMar>
            <w:top w:w="0" w:type="dxa"/>
            <w:left w:w="108" w:type="dxa"/>
            <w:bottom w:w="0" w:type="dxa"/>
            <w:right w:w="108" w:type="dxa"/>
          </w:tblCellMar>
        </w:tblPrEx>
        <w:trPr>
          <w:trHeight w:val="477"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19.森林覆盖率（%）</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16.96</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17.35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约束性</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县自然资源局</w:t>
            </w:r>
          </w:p>
        </w:tc>
      </w:tr>
      <w:tr>
        <w:tblPrEx>
          <w:tblCellMar>
            <w:top w:w="0" w:type="dxa"/>
            <w:left w:w="108" w:type="dxa"/>
            <w:bottom w:w="0" w:type="dxa"/>
            <w:right w:w="108" w:type="dxa"/>
          </w:tblCellMar>
        </w:tblPrEx>
        <w:trPr>
          <w:trHeight w:val="380"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20.单位GDP能耗降低（%）</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完成省市下达目标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约束性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县能源局</w:t>
            </w:r>
          </w:p>
        </w:tc>
      </w:tr>
      <w:tr>
        <w:tblPrEx>
          <w:tblCellMar>
            <w:top w:w="0" w:type="dxa"/>
            <w:left w:w="108" w:type="dxa"/>
            <w:bottom w:w="0" w:type="dxa"/>
            <w:right w:w="108" w:type="dxa"/>
          </w:tblCellMar>
        </w:tblPrEx>
        <w:trPr>
          <w:trHeight w:val="306"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21.单位GDP二氧化碳排放降低（%）</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完成省市下达目标</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约束性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市生态局长子分局</w:t>
            </w:r>
          </w:p>
        </w:tc>
      </w:tr>
      <w:tr>
        <w:tblPrEx>
          <w:tblCellMar>
            <w:top w:w="0" w:type="dxa"/>
            <w:left w:w="108" w:type="dxa"/>
            <w:bottom w:w="0" w:type="dxa"/>
            <w:right w:w="108" w:type="dxa"/>
          </w:tblCellMar>
        </w:tblPrEx>
        <w:trPr>
          <w:trHeight w:val="460" w:hRule="atLeast"/>
          <w:jc w:val="center"/>
        </w:trPr>
        <w:tc>
          <w:tcPr>
            <w:tcW w:w="873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五、人的全面发展（11项）</w:t>
            </w:r>
          </w:p>
        </w:tc>
      </w:tr>
      <w:tr>
        <w:tblPrEx>
          <w:tblCellMar>
            <w:top w:w="0" w:type="dxa"/>
            <w:left w:w="108" w:type="dxa"/>
            <w:bottom w:w="0" w:type="dxa"/>
            <w:right w:w="108" w:type="dxa"/>
          </w:tblCellMar>
        </w:tblPrEx>
        <w:trPr>
          <w:trHeight w:val="407"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22.从业人员持证率（%）</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＞60</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县人社局</w:t>
            </w:r>
          </w:p>
        </w:tc>
      </w:tr>
      <w:tr>
        <w:tblPrEx>
          <w:tblCellMar>
            <w:top w:w="0" w:type="dxa"/>
            <w:left w:w="108" w:type="dxa"/>
            <w:bottom w:w="0" w:type="dxa"/>
            <w:right w:w="108" w:type="dxa"/>
          </w:tblCellMar>
        </w:tblPrEx>
        <w:trPr>
          <w:trHeight w:val="411"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23.全社会劳动力持证率（%）</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＞30</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县人社局</w:t>
            </w:r>
          </w:p>
        </w:tc>
      </w:tr>
      <w:tr>
        <w:tblPrEx>
          <w:tblCellMar>
            <w:top w:w="0" w:type="dxa"/>
            <w:left w:w="108" w:type="dxa"/>
            <w:bottom w:w="0" w:type="dxa"/>
            <w:right w:w="108" w:type="dxa"/>
          </w:tblCellMar>
        </w:tblPrEx>
        <w:trPr>
          <w:trHeight w:val="306"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24.城镇人均可支配收入增长率（%）</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4.6</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＞8</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县人社局</w:t>
            </w:r>
            <w:r>
              <w:rPr>
                <w:rFonts w:hint="eastAsia" w:asciiTheme="minorEastAsia" w:hAnsiTheme="minorEastAsia" w:cstheme="minorEastAsia"/>
                <w:color w:val="000000"/>
                <w:kern w:val="0"/>
                <w:szCs w:val="21"/>
              </w:rPr>
              <w:br w:type="textWrapping"/>
            </w:r>
          </w:p>
        </w:tc>
      </w:tr>
      <w:tr>
        <w:tblPrEx>
          <w:tblCellMar>
            <w:top w:w="0" w:type="dxa"/>
            <w:left w:w="108" w:type="dxa"/>
            <w:bottom w:w="0" w:type="dxa"/>
            <w:right w:w="108" w:type="dxa"/>
          </w:tblCellMar>
        </w:tblPrEx>
        <w:trPr>
          <w:trHeight w:val="306"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25.农村人均可支配收入增长率（%）</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6.5</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8</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县农业</w:t>
            </w:r>
          </w:p>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农村局</w:t>
            </w:r>
          </w:p>
        </w:tc>
      </w:tr>
      <w:tr>
        <w:tblPrEx>
          <w:tblCellMar>
            <w:top w:w="0" w:type="dxa"/>
            <w:left w:w="108" w:type="dxa"/>
            <w:bottom w:w="0" w:type="dxa"/>
            <w:right w:w="108" w:type="dxa"/>
          </w:tblCellMar>
        </w:tblPrEx>
        <w:trPr>
          <w:trHeight w:val="380"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26.城镇登记失业率（%）</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1.02</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＜4.5</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县人社局</w:t>
            </w:r>
          </w:p>
        </w:tc>
      </w:tr>
      <w:tr>
        <w:tblPrEx>
          <w:tblCellMar>
            <w:top w:w="0" w:type="dxa"/>
            <w:left w:w="108" w:type="dxa"/>
            <w:bottom w:w="0" w:type="dxa"/>
            <w:right w:w="108" w:type="dxa"/>
          </w:tblCellMar>
        </w:tblPrEx>
        <w:trPr>
          <w:trHeight w:val="306"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27.劳动年龄人口平均受教育年限（年）</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11.5</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11.9</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约束性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县教育局</w:t>
            </w:r>
          </w:p>
        </w:tc>
      </w:tr>
      <w:tr>
        <w:tblPrEx>
          <w:tblCellMar>
            <w:top w:w="0" w:type="dxa"/>
            <w:left w:w="108" w:type="dxa"/>
            <w:bottom w:w="0" w:type="dxa"/>
            <w:right w:w="108" w:type="dxa"/>
          </w:tblCellMar>
        </w:tblPrEx>
        <w:trPr>
          <w:trHeight w:val="306"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28.每千人口拥有执业（助理）医师数（人）</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1.83</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2.5</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县卫体局</w:t>
            </w:r>
          </w:p>
        </w:tc>
      </w:tr>
      <w:tr>
        <w:tblPrEx>
          <w:tblCellMar>
            <w:top w:w="0" w:type="dxa"/>
            <w:left w:w="108" w:type="dxa"/>
            <w:bottom w:w="0" w:type="dxa"/>
            <w:right w:w="108" w:type="dxa"/>
          </w:tblCellMar>
        </w:tblPrEx>
        <w:trPr>
          <w:trHeight w:val="411" w:hRule="atLeast"/>
          <w:jc w:val="center"/>
        </w:trPr>
        <w:tc>
          <w:tcPr>
            <w:tcW w:w="364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29.基本养老保险参保率（%）</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93.75</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95</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县人社局</w:t>
            </w:r>
          </w:p>
        </w:tc>
      </w:tr>
      <w:tr>
        <w:tblPrEx>
          <w:tblCellMar>
            <w:top w:w="0" w:type="dxa"/>
            <w:left w:w="108" w:type="dxa"/>
            <w:bottom w:w="0" w:type="dxa"/>
            <w:right w:w="108" w:type="dxa"/>
          </w:tblCellMar>
        </w:tblPrEx>
        <w:trPr>
          <w:trHeight w:val="306"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30.每千人口拥有3岁以下婴幼儿托位数（个）</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县卫体局</w:t>
            </w:r>
          </w:p>
        </w:tc>
      </w:tr>
      <w:tr>
        <w:tblPrEx>
          <w:tblCellMar>
            <w:top w:w="0" w:type="dxa"/>
            <w:left w:w="108" w:type="dxa"/>
            <w:bottom w:w="0" w:type="dxa"/>
            <w:right w:w="108" w:type="dxa"/>
          </w:tblCellMar>
        </w:tblPrEx>
        <w:trPr>
          <w:trHeight w:val="380"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31.人均预期寿命（岁）</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78.1</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县卫体局</w:t>
            </w:r>
          </w:p>
        </w:tc>
      </w:tr>
      <w:tr>
        <w:tblPrEx>
          <w:tblCellMar>
            <w:top w:w="0" w:type="dxa"/>
            <w:left w:w="108" w:type="dxa"/>
            <w:bottom w:w="0" w:type="dxa"/>
            <w:right w:w="108" w:type="dxa"/>
          </w:tblCellMar>
        </w:tblPrEx>
        <w:trPr>
          <w:trHeight w:val="380"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32.体育人口占比（%）</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34.4</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40.9</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县卫体局</w:t>
            </w:r>
          </w:p>
        </w:tc>
      </w:tr>
      <w:tr>
        <w:tblPrEx>
          <w:tblCellMar>
            <w:top w:w="0" w:type="dxa"/>
            <w:left w:w="108" w:type="dxa"/>
            <w:bottom w:w="0" w:type="dxa"/>
            <w:right w:w="108" w:type="dxa"/>
          </w:tblCellMar>
        </w:tblPrEx>
        <w:trPr>
          <w:trHeight w:val="407" w:hRule="atLeast"/>
          <w:jc w:val="center"/>
        </w:trPr>
        <w:tc>
          <w:tcPr>
            <w:tcW w:w="873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六、安全保障（2项）</w:t>
            </w:r>
          </w:p>
        </w:tc>
      </w:tr>
      <w:tr>
        <w:tblPrEx>
          <w:tblCellMar>
            <w:top w:w="0" w:type="dxa"/>
            <w:left w:w="108" w:type="dxa"/>
            <w:bottom w:w="0" w:type="dxa"/>
            <w:right w:w="108" w:type="dxa"/>
          </w:tblCellMar>
        </w:tblPrEx>
        <w:trPr>
          <w:trHeight w:val="684"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33.粮食综合生产能力（万吨）</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18.11</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[ 105 ]</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约束性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县农业</w:t>
            </w:r>
          </w:p>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农村局</w:t>
            </w:r>
          </w:p>
        </w:tc>
      </w:tr>
      <w:tr>
        <w:tblPrEx>
          <w:tblCellMar>
            <w:top w:w="0" w:type="dxa"/>
            <w:left w:w="108" w:type="dxa"/>
            <w:bottom w:w="0" w:type="dxa"/>
            <w:right w:w="108" w:type="dxa"/>
          </w:tblCellMar>
        </w:tblPrEx>
        <w:trPr>
          <w:trHeight w:val="306" w:hRule="atLeast"/>
          <w:jc w:val="center"/>
        </w:trPr>
        <w:tc>
          <w:tcPr>
            <w:tcW w:w="3644"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34.能源综合生产能力（亿吨标准煤）</w:t>
            </w:r>
          </w:p>
        </w:tc>
        <w:tc>
          <w:tcPr>
            <w:tcW w:w="1106"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1000"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992"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ascii="Times New Roman" w:hAnsi="Times New Roman"/>
                <w:kern w:val="0"/>
                <w:szCs w:val="21"/>
              </w:rPr>
              <w:t>——</w:t>
            </w:r>
          </w:p>
        </w:tc>
        <w:tc>
          <w:tcPr>
            <w:tcW w:w="864"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约束性</w:t>
            </w:r>
          </w:p>
        </w:tc>
        <w:tc>
          <w:tcPr>
            <w:tcW w:w="112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县发改局</w:t>
            </w:r>
          </w:p>
        </w:tc>
      </w:tr>
      <w:tr>
        <w:tblPrEx>
          <w:tblCellMar>
            <w:top w:w="0" w:type="dxa"/>
            <w:left w:w="108" w:type="dxa"/>
            <w:bottom w:w="0" w:type="dxa"/>
            <w:right w:w="108" w:type="dxa"/>
          </w:tblCellMar>
        </w:tblPrEx>
        <w:trPr>
          <w:trHeight w:val="441" w:hRule="atLeast"/>
          <w:jc w:val="center"/>
        </w:trPr>
        <w:tc>
          <w:tcPr>
            <w:tcW w:w="8735" w:type="dxa"/>
            <w:gridSpan w:val="6"/>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asciiTheme="minorEastAsia" w:hAnsiTheme="minorEastAsia" w:cstheme="minorEastAsia"/>
                <w:color w:val="000000"/>
                <w:kern w:val="0"/>
                <w:szCs w:val="21"/>
              </w:rPr>
            </w:pPr>
            <w:r>
              <w:rPr>
                <w:rFonts w:hint="eastAsia" w:asciiTheme="minorEastAsia" w:hAnsiTheme="minorEastAsia" w:cstheme="minorEastAsia"/>
                <w:szCs w:val="21"/>
              </w:rPr>
              <w:t>备注：1、*为2019年数据。2、</w:t>
            </w:r>
            <w:r>
              <w:rPr>
                <w:rFonts w:ascii="Times New Roman" w:hAnsi="Times New Roman"/>
                <w:kern w:val="0"/>
                <w:szCs w:val="21"/>
              </w:rPr>
              <w:t>[</w:t>
            </w:r>
            <w:r>
              <w:rPr>
                <w:rFonts w:hint="eastAsia"/>
                <w:kern w:val="0"/>
                <w:szCs w:val="21"/>
              </w:rPr>
              <w:t xml:space="preserve">  </w:t>
            </w:r>
            <w:r>
              <w:rPr>
                <w:rFonts w:ascii="Times New Roman" w:hAnsi="Times New Roman"/>
                <w:kern w:val="0"/>
                <w:szCs w:val="21"/>
              </w:rPr>
              <w:t>]</w:t>
            </w:r>
            <w:r>
              <w:rPr>
                <w:rFonts w:hint="eastAsia"/>
                <w:kern w:val="0"/>
                <w:szCs w:val="21"/>
              </w:rPr>
              <w:t>为累计数。</w:t>
            </w:r>
          </w:p>
        </w:tc>
      </w:tr>
      <w:bookmarkEnd w:id="75"/>
      <w:bookmarkEnd w:id="76"/>
      <w:bookmarkEnd w:id="77"/>
      <w:bookmarkEnd w:id="78"/>
      <w:bookmarkEnd w:id="79"/>
      <w:bookmarkEnd w:id="80"/>
      <w:bookmarkEnd w:id="81"/>
      <w:bookmarkEnd w:id="82"/>
      <w:bookmarkEnd w:id="83"/>
      <w:bookmarkEnd w:id="84"/>
      <w:bookmarkEnd w:id="85"/>
      <w:bookmarkEnd w:id="86"/>
    </w:tbl>
    <w:p>
      <w:r>
        <w:rPr>
          <w:rFonts w:hint="eastAsia"/>
        </w:rPr>
        <w:br w:type="page"/>
      </w:r>
    </w:p>
    <w:p>
      <w:pPr>
        <w:jc w:val="center"/>
        <w:outlineLvl w:val="0"/>
        <w:rPr>
          <w:rFonts w:ascii="Times New Roman" w:hAnsi="Times New Roman" w:eastAsia="黑体"/>
          <w:sz w:val="32"/>
          <w:szCs w:val="32"/>
        </w:rPr>
      </w:pPr>
      <w:bookmarkStart w:id="158" w:name="_Toc11869"/>
      <w:bookmarkStart w:id="159" w:name="_Toc4109"/>
      <w:bookmarkStart w:id="160" w:name="_Toc3082"/>
      <w:bookmarkStart w:id="161" w:name="_Toc26434"/>
      <w:bookmarkStart w:id="162" w:name="_Toc12520"/>
    </w:p>
    <w:p>
      <w:pPr>
        <w:spacing w:line="608" w:lineRule="exact"/>
        <w:jc w:val="center"/>
        <w:outlineLvl w:val="0"/>
        <w:rPr>
          <w:spacing w:val="-9"/>
          <w:sz w:val="36"/>
          <w:szCs w:val="36"/>
        </w:rPr>
      </w:pPr>
      <w:r>
        <w:rPr>
          <w:rFonts w:ascii="Times New Roman" w:hAnsi="Times New Roman" w:eastAsia="黑体"/>
          <w:spacing w:val="-9"/>
          <w:sz w:val="36"/>
          <w:szCs w:val="36"/>
        </w:rPr>
        <w:t xml:space="preserve">第二章  </w:t>
      </w:r>
      <w:bookmarkEnd w:id="158"/>
      <w:r>
        <w:rPr>
          <w:rFonts w:hint="eastAsia" w:ascii="Times New Roman" w:hAnsi="Times New Roman" w:eastAsia="黑体"/>
          <w:spacing w:val="-9"/>
          <w:sz w:val="36"/>
          <w:szCs w:val="36"/>
        </w:rPr>
        <w:t>深入实施创新驱动发展战略，努力打造创新高地</w:t>
      </w:r>
      <w:bookmarkEnd w:id="159"/>
      <w:bookmarkEnd w:id="160"/>
      <w:bookmarkEnd w:id="161"/>
      <w:bookmarkEnd w:id="162"/>
    </w:p>
    <w:p>
      <w:pPr>
        <w:pStyle w:val="9"/>
        <w:spacing w:after="0" w:line="608" w:lineRule="exact"/>
        <w:ind w:firstLine="640" w:firstLineChars="200"/>
        <w:rPr>
          <w:rFonts w:ascii="仿宋_GB2312" w:hAnsi="仿宋_GB2312" w:eastAsia="仿宋_GB2312" w:cs="仿宋_GB2312"/>
          <w:sz w:val="32"/>
          <w:szCs w:val="32"/>
        </w:rPr>
      </w:pPr>
    </w:p>
    <w:p>
      <w:pPr>
        <w:pStyle w:val="9"/>
        <w:spacing w:after="0"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把创新作为引领发展的第一动力，以一流的创新生态集聚创新资源，催生创新成果，提升县域整体创新能力和核心竞争力，实现直道冲刺、弯道超车、换道领跑。</w:t>
      </w:r>
    </w:p>
    <w:p>
      <w:pPr>
        <w:pStyle w:val="9"/>
        <w:spacing w:after="0" w:line="608" w:lineRule="exact"/>
        <w:ind w:firstLine="640" w:firstLineChars="200"/>
        <w:rPr>
          <w:rFonts w:eastAsia="仿宋_GB2312"/>
          <w:sz w:val="32"/>
          <w:szCs w:val="32"/>
        </w:rPr>
      </w:pPr>
      <w:r>
        <w:rPr>
          <w:rFonts w:hint="eastAsia" w:ascii="仿宋_GB2312" w:hAnsi="仿宋_GB2312" w:eastAsia="仿宋_GB2312" w:cs="仿宋_GB2312"/>
          <w:sz w:val="32"/>
          <w:szCs w:val="32"/>
        </w:rPr>
        <w:t xml:space="preserve"> </w:t>
      </w:r>
    </w:p>
    <w:p>
      <w:pPr>
        <w:pStyle w:val="9"/>
        <w:spacing w:after="0" w:line="608" w:lineRule="exact"/>
        <w:ind w:firstLine="643"/>
        <w:jc w:val="center"/>
        <w:outlineLvl w:val="1"/>
        <w:rPr>
          <w:sz w:val="32"/>
          <w:szCs w:val="32"/>
        </w:rPr>
      </w:pPr>
      <w:bookmarkStart w:id="163" w:name="_Toc1764"/>
      <w:bookmarkStart w:id="164" w:name="_Toc12102"/>
      <w:bookmarkStart w:id="165" w:name="_Toc13035"/>
      <w:bookmarkStart w:id="166" w:name="_Toc1522"/>
      <w:bookmarkStart w:id="167" w:name="_Toc13072"/>
      <w:r>
        <w:rPr>
          <w:rFonts w:ascii="Times New Roman" w:hAnsi="Times New Roman" w:eastAsia="楷体_GB2312"/>
          <w:b/>
          <w:sz w:val="32"/>
          <w:szCs w:val="32"/>
        </w:rPr>
        <w:t xml:space="preserve">第一节 </w:t>
      </w:r>
      <w:r>
        <w:rPr>
          <w:rFonts w:hint="eastAsia" w:ascii="Times New Roman" w:hAnsi="Times New Roman" w:eastAsia="楷体_GB2312"/>
          <w:b/>
          <w:sz w:val="32"/>
          <w:szCs w:val="32"/>
        </w:rPr>
        <w:t xml:space="preserve"> </w:t>
      </w:r>
      <w:r>
        <w:rPr>
          <w:rFonts w:ascii="Times New Roman" w:hAnsi="Times New Roman" w:eastAsia="楷体_GB2312"/>
          <w:b/>
          <w:sz w:val="32"/>
          <w:szCs w:val="32"/>
        </w:rPr>
        <w:t>打造一流创新平台</w:t>
      </w:r>
      <w:bookmarkEnd w:id="163"/>
      <w:bookmarkEnd w:id="164"/>
      <w:bookmarkEnd w:id="165"/>
      <w:bookmarkEnd w:id="166"/>
      <w:bookmarkEnd w:id="167"/>
    </w:p>
    <w:p>
      <w:pPr>
        <w:snapToGrid w:val="0"/>
        <w:spacing w:line="608" w:lineRule="exact"/>
        <w:ind w:firstLine="640" w:firstLineChars="200"/>
        <w:rPr>
          <w:rFonts w:ascii="Times New Roman" w:hAnsi="Times New Roman" w:eastAsia="仿宋_GB2312"/>
          <w:sz w:val="32"/>
          <w:szCs w:val="32"/>
        </w:rPr>
      </w:pPr>
    </w:p>
    <w:p>
      <w:pPr>
        <w:snapToGrid w:val="0"/>
        <w:spacing w:line="608" w:lineRule="exact"/>
        <w:ind w:firstLine="640" w:firstLineChars="200"/>
        <w:rPr>
          <w:rFonts w:ascii="Times New Roman" w:hAnsi="Times New Roman" w:eastAsia="仿宋_GB2312"/>
          <w:b/>
          <w:sz w:val="32"/>
          <w:szCs w:val="32"/>
        </w:rPr>
      </w:pPr>
      <w:r>
        <w:rPr>
          <w:rFonts w:ascii="Times New Roman" w:hAnsi="Times New Roman" w:eastAsia="仿宋_GB2312"/>
          <w:sz w:val="32"/>
          <w:szCs w:val="32"/>
        </w:rPr>
        <w:t>聚焦产业创新能力提升，围绕重点发展的战略性新兴产业，强化创新平台与企业、产业发展的深度融合，为产业转型升级提供强大动力。</w:t>
      </w:r>
    </w:p>
    <w:p>
      <w:pPr>
        <w:snapToGrid w:val="0"/>
        <w:spacing w:line="608" w:lineRule="exact"/>
        <w:ind w:firstLine="642" w:firstLineChars="200"/>
        <w:rPr>
          <w:rFonts w:ascii="仿宋_GB2312" w:hAnsi="仿宋_GB2312" w:eastAsia="仿宋_GB2312" w:cs="仿宋_GB2312"/>
          <w:sz w:val="32"/>
          <w:szCs w:val="32"/>
        </w:rPr>
      </w:pPr>
      <w:r>
        <w:rPr>
          <w:rFonts w:ascii="Times New Roman" w:hAnsi="Times New Roman" w:eastAsia="仿宋_GB2312"/>
          <w:b/>
          <w:sz w:val="32"/>
          <w:szCs w:val="32"/>
        </w:rPr>
        <w:t>布局构建创新平台体系。</w:t>
      </w:r>
      <w:r>
        <w:rPr>
          <w:rFonts w:hint="eastAsia" w:ascii="仿宋_GB2312" w:hAnsi="仿宋_GB2312" w:eastAsia="仿宋_GB2312" w:cs="仿宋_GB2312"/>
          <w:sz w:val="32"/>
          <w:szCs w:val="32"/>
        </w:rPr>
        <w:t>依托产业发展需求和关键技术研发，聚焦我县标志性引领性产业集群，在装备制造、医药健康、新能源、节能环保、食品酿品、新材料等重点产业领域，建设一批工程技术研究中心、成果转化中心、新型研发机构为主的创新平台体系，实现创新平台重点产业全覆盖。支持中小企业通过人才飞地、共建研发中心、技术人才入股等方式，加强与国内外著名高校、科研院所、大企业合作，组建小型研发机构，开展研发活动。“十四五”期间，新增市级以上创新平台2个。</w:t>
      </w:r>
    </w:p>
    <w:p>
      <w:pPr>
        <w:spacing w:line="608" w:lineRule="exact"/>
        <w:ind w:firstLine="642" w:firstLineChars="200"/>
        <w:rPr>
          <w:rFonts w:ascii="Times New Roman" w:hAnsi="Times New Roman" w:eastAsia="仿宋_GB2312"/>
          <w:sz w:val="32"/>
          <w:szCs w:val="32"/>
        </w:rPr>
      </w:pPr>
      <w:r>
        <w:rPr>
          <w:rFonts w:ascii="Times New Roman" w:hAnsi="Times New Roman" w:eastAsia="仿宋_GB2312"/>
          <w:b/>
          <w:sz w:val="32"/>
          <w:szCs w:val="32"/>
        </w:rPr>
        <w:t>优化创新平台发展模式。</w:t>
      </w:r>
      <w:r>
        <w:rPr>
          <w:rFonts w:hint="eastAsia" w:ascii="Times New Roman" w:hAnsi="Times New Roman" w:eastAsia="仿宋_GB2312"/>
          <w:sz w:val="32"/>
          <w:szCs w:val="32"/>
        </w:rPr>
        <w:t>坚持政府引导、市场主导、协同发展原则，积极推行“企业自建”“省市县共建”“校企合作”“设立分支机构”等多种平台建设运营模式。引进高水平研发机构在我县建立分支机构，支持高等院校、职业院校在企业设立联合研发机构、科研成果转化基地、实验平台、实训基地。鼓励建设一批具备独立法人资格，投资主体多元化、管理制度现代化、运行机制市场化、用人机制灵活化的新型研发机构，探索建立联合开发、成果共享、风险共担的合作机制。</w:t>
      </w:r>
    </w:p>
    <w:p>
      <w:pPr>
        <w:pStyle w:val="2"/>
        <w:spacing w:before="0" w:beforeAutospacing="0" w:line="608" w:lineRule="exact"/>
        <w:ind w:left="0" w:leftChars="0" w:firstLine="643"/>
        <w:rPr>
          <w:rFonts w:ascii="仿宋_GB2312" w:hAnsi="仿宋_GB2312" w:eastAsia="仿宋_GB2312" w:cs="仿宋_GB2312"/>
          <w:sz w:val="32"/>
          <w:szCs w:val="32"/>
        </w:rPr>
      </w:pPr>
      <w:r>
        <w:rPr>
          <w:rFonts w:hint="eastAsia" w:eastAsia="仿宋_GB2312"/>
          <w:b/>
          <w:bCs/>
          <w:sz w:val="32"/>
          <w:szCs w:val="32"/>
        </w:rPr>
        <w:t>高标准建设长子双创平台。</w:t>
      </w:r>
      <w:r>
        <w:rPr>
          <w:rFonts w:hint="eastAsia" w:ascii="仿宋_GB2312" w:hAnsi="仿宋_GB2312" w:eastAsia="仿宋_GB2312" w:cs="仿宋_GB2312"/>
          <w:sz w:val="32"/>
          <w:szCs w:val="32"/>
        </w:rPr>
        <w:t>与省市智创城紧密合作，按照“政府引导、市场化运作模式”，引入一流双创运营团队，建设长子“双创”平台。积极引进高端技术、人才、项目等资源，推动产业链条上下游延伸、内外部对接，提升核心竞争力，构建“科技创新+成果转化+企业加速+园区承载+示范辐射+产业集聚”的全过程服务保障体系和高质量创新创业格局，打造我县创新生态小气候，最大程度地激发全县创新动力，释放创新活力。到“十四五”末，双创园区内累计入驻企业50家以上，引入研发机构3家以上，推动科技成果转化应用10项以上，产值达到2亿元以上，带动就业2000人。</w:t>
      </w:r>
    </w:p>
    <w:p>
      <w:pPr>
        <w:pStyle w:val="2"/>
        <w:spacing w:before="0" w:beforeAutospacing="0" w:line="608"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608" w:lineRule="exact"/>
        <w:jc w:val="center"/>
        <w:outlineLvl w:val="1"/>
        <w:rPr>
          <w:rFonts w:ascii="Times New Roman" w:hAnsi="Times New Roman" w:eastAsia="仿宋_GB2312"/>
          <w:sz w:val="32"/>
          <w:szCs w:val="32"/>
        </w:rPr>
      </w:pPr>
      <w:bookmarkStart w:id="168" w:name="_Toc26396"/>
      <w:bookmarkStart w:id="169" w:name="_Toc5867"/>
      <w:bookmarkStart w:id="170" w:name="_Toc24878"/>
      <w:bookmarkStart w:id="171" w:name="_Toc29469"/>
      <w:bookmarkStart w:id="172" w:name="_Toc7111"/>
      <w:r>
        <w:rPr>
          <w:rFonts w:ascii="Times New Roman" w:hAnsi="Times New Roman" w:eastAsia="楷体_GB2312"/>
          <w:b/>
          <w:sz w:val="32"/>
          <w:szCs w:val="32"/>
        </w:rPr>
        <w:t>第二节  培育一流创新主体</w:t>
      </w:r>
      <w:bookmarkEnd w:id="168"/>
      <w:bookmarkEnd w:id="169"/>
      <w:bookmarkEnd w:id="170"/>
      <w:bookmarkEnd w:id="171"/>
      <w:bookmarkEnd w:id="172"/>
    </w:p>
    <w:p>
      <w:pPr>
        <w:snapToGrid w:val="0"/>
        <w:spacing w:line="608" w:lineRule="exact"/>
        <w:ind w:firstLine="640" w:firstLineChars="200"/>
        <w:rPr>
          <w:rFonts w:ascii="Times New Roman" w:hAnsi="Times New Roman" w:eastAsia="仿宋_GB2312"/>
          <w:sz w:val="32"/>
          <w:szCs w:val="32"/>
        </w:rPr>
      </w:pPr>
    </w:p>
    <w:p>
      <w:pPr>
        <w:snapToGrid w:val="0"/>
        <w:spacing w:line="608" w:lineRule="exact"/>
        <w:ind w:firstLine="640" w:firstLineChars="200"/>
        <w:rPr>
          <w:rFonts w:ascii="Times New Roman" w:hAnsi="Times New Roman" w:eastAsia="仿宋_GB2312"/>
          <w:b/>
          <w:sz w:val="32"/>
          <w:szCs w:val="32"/>
        </w:rPr>
      </w:pPr>
      <w:r>
        <w:rPr>
          <w:rFonts w:ascii="Times New Roman" w:hAnsi="Times New Roman" w:eastAsia="仿宋_GB2312"/>
          <w:sz w:val="32"/>
          <w:szCs w:val="32"/>
        </w:rPr>
        <w:t>发挥企业创新主体作用，促进各类创新要素向企业集聚，构建多层次、递进式企业创新主体培育机制，不断壮大创新主体规模，激发创新主体活力，提升自主创新能力。</w:t>
      </w:r>
    </w:p>
    <w:p>
      <w:pPr>
        <w:snapToGrid w:val="0"/>
        <w:spacing w:line="608" w:lineRule="exact"/>
        <w:ind w:firstLine="642" w:firstLineChars="200"/>
        <w:rPr>
          <w:rFonts w:ascii="Times New Roman" w:hAnsi="Times New Roman" w:eastAsia="仿宋_GB2312"/>
          <w:bCs/>
          <w:sz w:val="32"/>
          <w:szCs w:val="32"/>
        </w:rPr>
      </w:pPr>
      <w:r>
        <w:rPr>
          <w:rFonts w:ascii="Times New Roman" w:hAnsi="Times New Roman" w:eastAsia="仿宋_GB2312"/>
          <w:b/>
          <w:sz w:val="32"/>
          <w:szCs w:val="32"/>
        </w:rPr>
        <w:t>强化企业创新主体地位。</w:t>
      </w:r>
      <w:r>
        <w:rPr>
          <w:rFonts w:hint="eastAsia" w:ascii="Times New Roman" w:hAnsi="Times New Roman" w:eastAsia="仿宋_GB2312"/>
          <w:bCs/>
          <w:sz w:val="32"/>
          <w:szCs w:val="32"/>
        </w:rPr>
        <w:t>推动规上工业企业加大研发投入，开展技术创新，按照有研发机构、有机构牌子、有研发场所、有研发人员、有研发课题、有研发经费“六有”标准，实现规上工业企业研发活动全覆盖。支持龙头企业建立创新联盟，带动中小企业开展创新活动，</w:t>
      </w:r>
      <w:r>
        <w:rPr>
          <w:rFonts w:ascii="Times New Roman" w:hAnsi="Times New Roman" w:eastAsia="仿宋_GB2312"/>
          <w:sz w:val="32"/>
          <w:szCs w:val="32"/>
        </w:rPr>
        <w:t>建立龙头企业帮带上下游企业、中小配套企业工作机制，通过联盟间成熟技术成果转让、研发资源共享、研发成果路演、开展行业交流等方式，推动联盟企业上下游耦合联动、配套企业协同创新、大中小企业融通发展，提升行业整体研发水平。</w:t>
      </w:r>
    </w:p>
    <w:p>
      <w:pPr>
        <w:snapToGrid w:val="0"/>
        <w:spacing w:line="608" w:lineRule="exact"/>
        <w:ind w:firstLine="642" w:firstLineChars="200"/>
        <w:rPr>
          <w:rFonts w:ascii="Times New Roman" w:hAnsi="Times New Roman" w:eastAsia="仿宋_GB2312"/>
          <w:b/>
          <w:sz w:val="32"/>
          <w:szCs w:val="32"/>
        </w:rPr>
      </w:pPr>
      <w:r>
        <w:rPr>
          <w:rFonts w:ascii="Times New Roman" w:hAnsi="Times New Roman" w:eastAsia="仿宋_GB2312"/>
          <w:b/>
          <w:sz w:val="32"/>
          <w:szCs w:val="32"/>
        </w:rPr>
        <w:t>加快高新技术企业培育。</w:t>
      </w:r>
      <w:r>
        <w:rPr>
          <w:rFonts w:hint="eastAsia" w:ascii="仿宋_GB2312" w:hAnsi="仿宋_GB2312" w:eastAsia="仿宋_GB2312" w:cs="仿宋_GB2312"/>
          <w:bCs/>
          <w:sz w:val="32"/>
          <w:szCs w:val="32"/>
        </w:rPr>
        <w:t>制定出台《高新技术企业奖励办法》，实施高新技术企业倍增计划，完善高新技术企业梯队培育机制，重点发现、培育、引进一批掌握核心技术的专精特新“小巨人”企业。</w:t>
      </w:r>
      <w:r>
        <w:rPr>
          <w:rFonts w:hint="eastAsia" w:ascii="仿宋_GB2312" w:hAnsi="仿宋_GB2312" w:eastAsia="仿宋_GB2312" w:cs="仿宋_GB2312"/>
          <w:sz w:val="32"/>
          <w:szCs w:val="32"/>
        </w:rPr>
        <w:t>建设高新技术企业培育库，分类引导初创期、成长期、成熟期科技型企业申报成为高新技术企业，“十四五”期间，培育认定高新技术企业5户。</w:t>
      </w:r>
      <w:r>
        <w:rPr>
          <w:rFonts w:ascii="Times New Roman" w:hAnsi="Times New Roman" w:eastAsia="仿宋_GB2312"/>
          <w:sz w:val="32"/>
          <w:szCs w:val="32"/>
        </w:rPr>
        <w:t xml:space="preserve"> </w:t>
      </w:r>
    </w:p>
    <w:p>
      <w:pPr>
        <w:pStyle w:val="9"/>
        <w:spacing w:after="0" w:line="608" w:lineRule="exact"/>
        <w:ind w:firstLine="642" w:firstLineChars="200"/>
        <w:outlineLvl w:val="1"/>
        <w:rPr>
          <w:rFonts w:ascii="仿宋_GB2312" w:hAnsi="仿宋_GB2312" w:eastAsia="仿宋_GB2312" w:cs="仿宋_GB2312"/>
          <w:sz w:val="32"/>
          <w:szCs w:val="32"/>
        </w:rPr>
      </w:pPr>
      <w:bookmarkStart w:id="173" w:name="_Toc22173"/>
      <w:bookmarkStart w:id="174" w:name="_Toc8516"/>
      <w:bookmarkStart w:id="175" w:name="_Toc10315"/>
      <w:bookmarkStart w:id="176" w:name="_Toc2580"/>
      <w:bookmarkStart w:id="177" w:name="_Toc12417"/>
      <w:bookmarkStart w:id="178" w:name="_Toc10241"/>
      <w:r>
        <w:rPr>
          <w:rFonts w:hint="eastAsia" w:ascii="Times New Roman" w:hAnsi="Times New Roman" w:eastAsia="仿宋_GB2312" w:cs="Times New Roman"/>
          <w:b/>
          <w:bCs/>
          <w:sz w:val="32"/>
          <w:szCs w:val="32"/>
        </w:rPr>
        <w:t>实施规上工业企业倍增计划。</w:t>
      </w:r>
      <w:r>
        <w:rPr>
          <w:rFonts w:hint="eastAsia" w:ascii="仿宋_GB2312" w:hAnsi="仿宋_GB2312" w:eastAsia="仿宋_GB2312" w:cs="仿宋_GB2312"/>
          <w:sz w:val="32"/>
          <w:szCs w:val="32"/>
        </w:rPr>
        <w:t>围绕培育大企业、大集团目标，鼓励骨干企业做大做强，重点在财政、用地、资源、减负、金融等方面给予扶持，助力企业延伸产业链、培育上下游产业，形成企业集群。支持金融服务提标扩面，促进金融产品向民营企业、中小型企业覆盖，助力规下工业企业向规上工业企业跃升。全面落实在库企业抓增长、达标企业抓入库、接近企业抓培育、新建企业抓跟踪。“十四五”期间，规上工业企业发展到66家。</w:t>
      </w:r>
      <w:bookmarkEnd w:id="173"/>
      <w:bookmarkEnd w:id="174"/>
      <w:bookmarkEnd w:id="175"/>
      <w:bookmarkEnd w:id="176"/>
      <w:bookmarkEnd w:id="177"/>
    </w:p>
    <w:p>
      <w:pPr>
        <w:pStyle w:val="9"/>
        <w:spacing w:after="0" w:line="608" w:lineRule="exact"/>
        <w:ind w:firstLine="642" w:firstLineChars="200"/>
        <w:outlineLvl w:val="1"/>
        <w:rPr>
          <w:rFonts w:ascii="仿宋_GB2312" w:hAnsi="仿宋_GB2312" w:eastAsia="仿宋_GB2312" w:cs="仿宋_GB2312"/>
          <w:sz w:val="32"/>
          <w:szCs w:val="32"/>
        </w:rPr>
      </w:pPr>
      <w:bookmarkStart w:id="179" w:name="_Toc2233"/>
      <w:bookmarkStart w:id="180" w:name="_Toc4221"/>
      <w:bookmarkStart w:id="181" w:name="_Toc3896"/>
      <w:bookmarkStart w:id="182" w:name="_Toc13208"/>
      <w:bookmarkStart w:id="183" w:name="_Toc8619"/>
      <w:r>
        <w:rPr>
          <w:rFonts w:hint="eastAsia" w:ascii="Times New Roman" w:hAnsi="Times New Roman" w:eastAsia="仿宋_GB2312" w:cs="Times New Roman"/>
          <w:b/>
          <w:bCs/>
          <w:sz w:val="32"/>
          <w:szCs w:val="32"/>
        </w:rPr>
        <w:t>实施中小微企业成长工程</w:t>
      </w:r>
      <w:r>
        <w:rPr>
          <w:rFonts w:hint="eastAsia" w:eastAsia="仿宋_GB2312" w:cs="Times New Roman"/>
          <w:b/>
          <w:bCs/>
          <w:sz w:val="32"/>
          <w:szCs w:val="32"/>
        </w:rPr>
        <w:t>。</w:t>
      </w:r>
      <w:r>
        <w:rPr>
          <w:rFonts w:hint="eastAsia" w:ascii="仿宋_GB2312" w:hAnsi="仿宋_GB2312" w:eastAsia="仿宋_GB2312" w:cs="仿宋_GB2312"/>
          <w:sz w:val="32"/>
          <w:szCs w:val="32"/>
        </w:rPr>
        <w:t>加强中小微企业规划引领，建立完善中小微重点企业培育库，推动面广量大的中小微企业向高成长、新模式与新业态转型，努力打造一批科技企业“单项冠军”。优化民营经济发展环境，</w:t>
      </w:r>
      <w:r>
        <w:rPr>
          <w:rFonts w:hint="eastAsia" w:ascii="仿宋_GB2312" w:hAnsi="仿宋_GB2312" w:eastAsia="仿宋_GB2312" w:cs="仿宋_GB2312"/>
          <w:sz w:val="32"/>
          <w:szCs w:val="32"/>
          <w:shd w:val="clear" w:color="auto" w:fill="FFFFFF"/>
        </w:rPr>
        <w:t>加大优惠</w:t>
      </w:r>
      <w:r>
        <w:rPr>
          <w:rFonts w:hint="eastAsia" w:ascii="仿宋_GB2312" w:hAnsi="仿宋_GB2312" w:eastAsia="仿宋_GB2312" w:cs="仿宋_GB2312"/>
          <w:sz w:val="32"/>
          <w:szCs w:val="32"/>
        </w:rPr>
        <w:t>政策扶持力度，</w:t>
      </w:r>
      <w:r>
        <w:rPr>
          <w:rFonts w:hint="eastAsia" w:ascii="仿宋_GB2312" w:hAnsi="仿宋_GB2312" w:eastAsia="仿宋_GB2312" w:cs="仿宋_GB2312"/>
          <w:sz w:val="32"/>
          <w:szCs w:val="32"/>
          <w:shd w:val="clear" w:color="auto" w:fill="FFFFFF"/>
        </w:rPr>
        <w:t>打造集财务、法律、信息为一体的综合服务平台，</w:t>
      </w:r>
      <w:r>
        <w:rPr>
          <w:rFonts w:hint="eastAsia" w:ascii="仿宋_GB2312" w:hAnsi="仿宋_GB2312" w:eastAsia="仿宋_GB2312" w:cs="仿宋_GB2312"/>
          <w:sz w:val="32"/>
          <w:szCs w:val="32"/>
        </w:rPr>
        <w:t>建立新增规上企业激励机制，设立中小微企业发展基金，全面落实《支持民营中小微企业发展的若干措施》，</w:t>
      </w:r>
      <w:r>
        <w:rPr>
          <w:rFonts w:hint="eastAsia" w:ascii="仿宋_GB2312" w:hAnsi="仿宋_GB2312" w:eastAsia="仿宋_GB2312" w:cs="仿宋_GB2312"/>
          <w:sz w:val="32"/>
          <w:szCs w:val="32"/>
          <w:shd w:val="clear" w:color="auto" w:fill="FFFFFF"/>
        </w:rPr>
        <w:t>激发民营经济发展活力。</w:t>
      </w:r>
      <w:r>
        <w:rPr>
          <w:rFonts w:hint="eastAsia" w:ascii="仿宋_GB2312" w:hAnsi="仿宋_GB2312" w:eastAsia="仿宋_GB2312" w:cs="仿宋_GB2312"/>
          <w:sz w:val="32"/>
          <w:szCs w:val="32"/>
        </w:rPr>
        <w:t>“十四五”期间，每年新增中小微企业60家，到2025年达到2000家，实现企业“小升规”20家，培育年营业收入亿元以上非煤小巨人企业2家。</w:t>
      </w:r>
    </w:p>
    <w:bookmarkEnd w:id="179"/>
    <w:bookmarkEnd w:id="180"/>
    <w:bookmarkEnd w:id="181"/>
    <w:bookmarkEnd w:id="182"/>
    <w:bookmarkEnd w:id="183"/>
    <w:p>
      <w:pPr>
        <w:pStyle w:val="9"/>
        <w:spacing w:after="0" w:line="608" w:lineRule="exact"/>
        <w:ind w:firstLine="640" w:firstLineChars="200"/>
        <w:outlineLvl w:val="1"/>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p>
    <w:p>
      <w:pPr>
        <w:pStyle w:val="9"/>
        <w:spacing w:after="0" w:line="608" w:lineRule="exact"/>
        <w:jc w:val="center"/>
        <w:outlineLvl w:val="1"/>
        <w:rPr>
          <w:sz w:val="32"/>
          <w:szCs w:val="32"/>
        </w:rPr>
      </w:pPr>
      <w:bookmarkStart w:id="184" w:name="_Toc9116"/>
      <w:bookmarkStart w:id="185" w:name="_Toc2208"/>
      <w:bookmarkStart w:id="186" w:name="_Toc6001"/>
      <w:bookmarkStart w:id="187" w:name="_Toc16371"/>
      <w:r>
        <w:rPr>
          <w:rFonts w:ascii="Times New Roman" w:hAnsi="Times New Roman" w:eastAsia="楷体_GB2312"/>
          <w:b/>
          <w:sz w:val="32"/>
          <w:szCs w:val="32"/>
        </w:rPr>
        <w:t>第三节</w:t>
      </w:r>
      <w:r>
        <w:rPr>
          <w:rFonts w:hint="eastAsia" w:ascii="Times New Roman" w:hAnsi="Times New Roman" w:eastAsia="楷体_GB2312"/>
          <w:b/>
          <w:sz w:val="32"/>
          <w:szCs w:val="32"/>
        </w:rPr>
        <w:t xml:space="preserve"> </w:t>
      </w:r>
      <w:r>
        <w:rPr>
          <w:rFonts w:ascii="Times New Roman" w:hAnsi="Times New Roman" w:eastAsia="楷体_GB2312"/>
          <w:b/>
          <w:sz w:val="32"/>
          <w:szCs w:val="32"/>
        </w:rPr>
        <w:t xml:space="preserve"> </w:t>
      </w:r>
      <w:r>
        <w:rPr>
          <w:rFonts w:hint="eastAsia" w:ascii="Times New Roman" w:hAnsi="Times New Roman" w:eastAsia="楷体_GB2312"/>
          <w:b/>
          <w:sz w:val="32"/>
          <w:szCs w:val="32"/>
        </w:rPr>
        <w:t>建设</w:t>
      </w:r>
      <w:r>
        <w:rPr>
          <w:rFonts w:ascii="Times New Roman" w:hAnsi="Times New Roman" w:eastAsia="楷体_GB2312"/>
          <w:b/>
          <w:sz w:val="32"/>
          <w:szCs w:val="32"/>
        </w:rPr>
        <w:t>一流人才高地</w:t>
      </w:r>
      <w:bookmarkEnd w:id="178"/>
      <w:bookmarkEnd w:id="184"/>
      <w:bookmarkEnd w:id="185"/>
      <w:bookmarkEnd w:id="186"/>
      <w:bookmarkEnd w:id="187"/>
    </w:p>
    <w:p>
      <w:pPr>
        <w:snapToGrid w:val="0"/>
        <w:spacing w:line="608" w:lineRule="exact"/>
        <w:ind w:firstLine="640" w:firstLineChars="200"/>
        <w:rPr>
          <w:rFonts w:ascii="Times New Roman" w:hAnsi="Times New Roman" w:eastAsia="仿宋_GB2312"/>
          <w:sz w:val="32"/>
          <w:szCs w:val="32"/>
        </w:rPr>
      </w:pPr>
    </w:p>
    <w:p>
      <w:pPr>
        <w:snapToGrid w:val="0"/>
        <w:spacing w:line="60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坚持把人才作为支撑发展的第一资源，</w:t>
      </w:r>
      <w:r>
        <w:rPr>
          <w:rFonts w:ascii="Times New Roman" w:hAnsi="Times New Roman" w:eastAsia="仿宋_GB2312"/>
          <w:sz w:val="32"/>
          <w:szCs w:val="32"/>
        </w:rPr>
        <w:t>大力实施人才强</w:t>
      </w:r>
      <w:r>
        <w:rPr>
          <w:rFonts w:hint="eastAsia" w:ascii="Times New Roman" w:hAnsi="Times New Roman" w:eastAsia="仿宋_GB2312"/>
          <w:sz w:val="32"/>
          <w:szCs w:val="32"/>
        </w:rPr>
        <w:t>县</w:t>
      </w:r>
      <w:r>
        <w:rPr>
          <w:rFonts w:ascii="Times New Roman" w:hAnsi="Times New Roman" w:eastAsia="仿宋_GB2312"/>
          <w:sz w:val="32"/>
          <w:szCs w:val="32"/>
        </w:rPr>
        <w:t>、人才优先发展战略，创新人才机制，创优人才环境，培育人才梯队，壮大人才队伍，打造人才集聚地。</w:t>
      </w:r>
    </w:p>
    <w:p>
      <w:pPr>
        <w:snapToGrid w:val="0"/>
        <w:spacing w:line="608" w:lineRule="exact"/>
        <w:ind w:firstLine="642" w:firstLineChars="200"/>
        <w:rPr>
          <w:rFonts w:ascii="仿宋_GB2312" w:hAnsi="仿宋_GB2312" w:eastAsia="仿宋_GB2312" w:cs="仿宋_GB2312"/>
          <w:sz w:val="32"/>
          <w:szCs w:val="32"/>
        </w:rPr>
      </w:pPr>
      <w:r>
        <w:rPr>
          <w:rFonts w:ascii="Times New Roman" w:hAnsi="Times New Roman" w:eastAsia="仿宋_GB2312"/>
          <w:b/>
          <w:sz w:val="32"/>
          <w:szCs w:val="32"/>
        </w:rPr>
        <w:t>精准引进高精尖人才。</w:t>
      </w:r>
      <w:r>
        <w:rPr>
          <w:rFonts w:hint="eastAsia" w:ascii="仿宋_GB2312" w:hAnsi="仿宋_GB2312" w:eastAsia="仿宋_GB2312" w:cs="仿宋_GB2312"/>
          <w:sz w:val="32"/>
          <w:szCs w:val="32"/>
        </w:rPr>
        <w:t>围绕我县重点产业、重点领域、重点项目，精准引育一批高水平科技领军人才。全面推行“柔性用才、项目引才”，通过顾问指导、短期兼职、结对帮扶、项目合作、联合攻关等方式，打破人才刚性“围栏”，推广“引进一名人才、带来一个团队、落地一个项目、培育一个产业”模式，吸引更多优秀人才投身长子发展。</w:t>
      </w:r>
    </w:p>
    <w:p>
      <w:pPr>
        <w:snapToGrid w:val="0"/>
        <w:spacing w:line="608" w:lineRule="exact"/>
        <w:ind w:firstLine="642" w:firstLineChars="200"/>
        <w:rPr>
          <w:rFonts w:ascii="仿宋_GB2312" w:hAnsi="仿宋_GB2312" w:eastAsia="仿宋_GB2312" w:cs="仿宋_GB2312"/>
          <w:sz w:val="32"/>
          <w:szCs w:val="32"/>
        </w:rPr>
      </w:pPr>
      <w:r>
        <w:rPr>
          <w:rFonts w:ascii="Times New Roman" w:hAnsi="Times New Roman" w:eastAsia="仿宋_GB2312"/>
          <w:b/>
          <w:sz w:val="32"/>
          <w:szCs w:val="32"/>
        </w:rPr>
        <w:t>培育多层次人才梯队。</w:t>
      </w:r>
      <w:r>
        <w:rPr>
          <w:rFonts w:hint="eastAsia" w:ascii="仿宋_GB2312" w:hAnsi="仿宋_GB2312" w:eastAsia="仿宋_GB2312" w:cs="仿宋_GB2312"/>
          <w:sz w:val="32"/>
          <w:szCs w:val="32"/>
        </w:rPr>
        <w:t>大力发展职业教育，建立职业院校培养联盟，着力培养创新型、应用型、技能型人才；深入实施“青蓝工程”与学历提升工程，加速提升中青年人才创新能力；积极组织参与青年创业大赛、技能大赛、人才大讲堂等各类活动，不断壮大双创人才队伍。开展民营企业家培养行动和创新型管理人才培育计划，积极参加“长清班”“长浙班”“复旦班”，大力培养造就一批高素质专业化创新型企业家队伍。实施新时代工匠培育工程，依托长治太行高技能人才发展工作联盟，推进校企对接、订单培养，努力打造一批“大师工作室”“技师工作站”，培育一批高技能、高素质的“长子工匠”。</w:t>
      </w:r>
    </w:p>
    <w:p>
      <w:pPr>
        <w:snapToGrid w:val="0"/>
        <w:spacing w:line="608" w:lineRule="exact"/>
        <w:ind w:firstLine="642" w:firstLineChars="200"/>
        <w:rPr>
          <w:rFonts w:ascii="仿宋_GB2312" w:hAnsi="仿宋_GB2312" w:eastAsia="仿宋_GB2312" w:cs="仿宋_GB2312"/>
          <w:sz w:val="32"/>
          <w:szCs w:val="32"/>
        </w:rPr>
      </w:pPr>
      <w:r>
        <w:rPr>
          <w:rFonts w:ascii="Times New Roman" w:hAnsi="Times New Roman" w:eastAsia="仿宋_GB2312"/>
          <w:b/>
          <w:sz w:val="32"/>
          <w:szCs w:val="32"/>
        </w:rPr>
        <w:t>创优人才发展环境。</w:t>
      </w:r>
      <w:r>
        <w:rPr>
          <w:rFonts w:ascii="Times New Roman" w:hAnsi="Times New Roman" w:eastAsia="仿宋_GB2312"/>
          <w:sz w:val="32"/>
          <w:szCs w:val="32"/>
        </w:rPr>
        <w:t>持续深化人才发展体制机制改革，落实《山西省建设人才强省优化创新生态若干措施》和市委《关于深化人才发展体制机制改革的实施意见》，实行人才工作专项述职和专项考核制度</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落实落细各项人才政策，从子女入学、配偶安置、人才公寓等方面制定务实管用的服务保障措施，切实解决各类人才后顾之忧，营造尊重知识、尊重人才的良好氛围，吸引越来越多的人才扎根长子、服务长子。</w:t>
      </w:r>
    </w:p>
    <w:p>
      <w:pPr>
        <w:snapToGrid w:val="0"/>
        <w:spacing w:line="608" w:lineRule="exact"/>
        <w:ind w:firstLine="640" w:firstLineChars="200"/>
        <w:rPr>
          <w:rFonts w:ascii="Times New Roman" w:hAnsi="Times New Roman" w:eastAsia="楷体_GB2312"/>
          <w:b/>
          <w:sz w:val="32"/>
          <w:szCs w:val="32"/>
        </w:rPr>
      </w:pPr>
      <w:r>
        <w:rPr>
          <w:rFonts w:hint="eastAsia" w:ascii="仿宋_GB2312" w:hAnsi="仿宋_GB2312" w:eastAsia="仿宋_GB2312" w:cs="仿宋_GB2312"/>
          <w:sz w:val="32"/>
          <w:szCs w:val="32"/>
        </w:rPr>
        <w:t xml:space="preserve"> </w:t>
      </w:r>
    </w:p>
    <w:p>
      <w:pPr>
        <w:pStyle w:val="9"/>
        <w:spacing w:after="0" w:line="608" w:lineRule="exact"/>
        <w:jc w:val="center"/>
        <w:outlineLvl w:val="1"/>
        <w:rPr>
          <w:rFonts w:eastAsia="楷体_GB2312"/>
          <w:sz w:val="32"/>
          <w:szCs w:val="32"/>
        </w:rPr>
      </w:pPr>
      <w:bookmarkStart w:id="188" w:name="_Toc28628"/>
      <w:bookmarkStart w:id="189" w:name="_Toc17677"/>
      <w:bookmarkStart w:id="190" w:name="_Toc32206"/>
      <w:bookmarkStart w:id="191" w:name="_Toc28240"/>
      <w:bookmarkStart w:id="192" w:name="_Toc1631"/>
      <w:r>
        <w:rPr>
          <w:rFonts w:ascii="Times New Roman" w:hAnsi="Times New Roman" w:eastAsia="楷体_GB2312"/>
          <w:b/>
          <w:sz w:val="32"/>
          <w:szCs w:val="32"/>
        </w:rPr>
        <w:t xml:space="preserve">第四节 </w:t>
      </w:r>
      <w:r>
        <w:rPr>
          <w:rFonts w:hint="eastAsia" w:ascii="Times New Roman" w:hAnsi="Times New Roman" w:eastAsia="楷体_GB2312"/>
          <w:b/>
          <w:sz w:val="32"/>
          <w:szCs w:val="32"/>
        </w:rPr>
        <w:t xml:space="preserve"> 创设</w:t>
      </w:r>
      <w:r>
        <w:rPr>
          <w:rFonts w:ascii="Times New Roman" w:hAnsi="Times New Roman" w:eastAsia="楷体_GB2312"/>
          <w:b/>
          <w:sz w:val="32"/>
          <w:szCs w:val="32"/>
        </w:rPr>
        <w:t>一流创新</w:t>
      </w:r>
      <w:bookmarkEnd w:id="188"/>
      <w:r>
        <w:rPr>
          <w:rFonts w:hint="eastAsia" w:ascii="Times New Roman" w:hAnsi="Times New Roman" w:eastAsia="楷体_GB2312"/>
          <w:b/>
          <w:sz w:val="32"/>
          <w:szCs w:val="32"/>
        </w:rPr>
        <w:t>制度</w:t>
      </w:r>
      <w:bookmarkEnd w:id="189"/>
      <w:bookmarkEnd w:id="190"/>
      <w:bookmarkEnd w:id="191"/>
      <w:bookmarkEnd w:id="192"/>
    </w:p>
    <w:p>
      <w:pPr>
        <w:snapToGrid w:val="0"/>
        <w:spacing w:line="608" w:lineRule="exact"/>
        <w:ind w:firstLine="640" w:firstLineChars="200"/>
        <w:rPr>
          <w:rFonts w:ascii="Times New Roman" w:hAnsi="Times New Roman" w:eastAsia="仿宋_GB2312"/>
          <w:sz w:val="32"/>
          <w:szCs w:val="32"/>
        </w:rPr>
      </w:pPr>
    </w:p>
    <w:p>
      <w:pPr>
        <w:snapToGrid w:val="0"/>
        <w:spacing w:line="60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加强制度创新，强化要素保障，激发创新精神，在全社会树立崇尚科学、崇尚创新、崇尚人才的鲜明导向，为高质量转型发展积蓄新动能。</w:t>
      </w:r>
    </w:p>
    <w:p>
      <w:pPr>
        <w:snapToGrid w:val="0"/>
        <w:spacing w:line="608" w:lineRule="exact"/>
        <w:ind w:firstLine="642" w:firstLineChars="200"/>
        <w:rPr>
          <w:rFonts w:ascii="仿宋_GB2312" w:hAnsi="仿宋_GB2312" w:eastAsia="仿宋_GB2312" w:cs="仿宋_GB2312"/>
          <w:sz w:val="32"/>
          <w:szCs w:val="32"/>
        </w:rPr>
      </w:pPr>
      <w:r>
        <w:rPr>
          <w:rFonts w:ascii="Times New Roman" w:hAnsi="Times New Roman" w:eastAsia="仿宋_GB2312"/>
          <w:b/>
          <w:sz w:val="32"/>
          <w:szCs w:val="32"/>
        </w:rPr>
        <w:t>深入推进科技体制改革。</w:t>
      </w:r>
      <w:r>
        <w:rPr>
          <w:rFonts w:hint="eastAsia" w:ascii="仿宋_GB2312" w:hAnsi="仿宋_GB2312" w:eastAsia="仿宋_GB2312" w:cs="仿宋_GB2312"/>
          <w:sz w:val="32"/>
          <w:szCs w:val="32"/>
        </w:rPr>
        <w:t>深化“项目评审、人才评价、机构评估”三评改革，加快建立以科技创新质量、共享、绩效为导向的分类评价体系。紧紧围绕战略性新兴产业集群化发展，探索建立“揭榜挂帅”制度，在成果转化、项目实施过程中，不论资质，不设门槛，惟求实效，促进创新潜能充分释放。建立健全科学分类的创新评价制度体系，推动人才评价和奖励制度改革，以创新质量和实际贡献为核心，构建面向应用需求的科技成果评价制度与激励机制。深入探索科技成果权益管理改革，完善科技成果市场定价机制，增强科研人员的成就感和获得感，促进科技成果加快转化为现实生产力。</w:t>
      </w:r>
    </w:p>
    <w:p>
      <w:pPr>
        <w:snapToGrid w:val="0"/>
        <w:spacing w:line="608" w:lineRule="exact"/>
        <w:ind w:firstLine="642" w:firstLineChars="200"/>
        <w:rPr>
          <w:rFonts w:ascii="Times New Roman" w:hAnsi="Times New Roman" w:eastAsia="仿宋_GB2312"/>
          <w:sz w:val="32"/>
          <w:szCs w:val="32"/>
        </w:rPr>
      </w:pPr>
      <w:r>
        <w:rPr>
          <w:rFonts w:ascii="Times New Roman" w:hAnsi="Times New Roman" w:eastAsia="仿宋_GB2312"/>
          <w:b/>
          <w:sz w:val="32"/>
          <w:szCs w:val="32"/>
        </w:rPr>
        <w:t>加大财政金融支持力度。</w:t>
      </w:r>
      <w:r>
        <w:rPr>
          <w:rFonts w:hint="eastAsia" w:ascii="仿宋_GB2312" w:hAnsi="仿宋_GB2312" w:eastAsia="仿宋_GB2312" w:cs="仿宋_GB2312"/>
          <w:sz w:val="32"/>
          <w:szCs w:val="32"/>
        </w:rPr>
        <w:t>持续加大财政投入，把科技创新纳入财政重点保障范围，对“双创”基地、高新技术企业、民营科技企业、科技服务中介机构、企业技术研发机构、产学研平台、科技企业孵化基地、众创空间、星创天地、技术转移机构等创新主体给予重点扶持。十四五”期间，每年县级财政创新投入不低于年一般公共预算收入的2%并逐年增加。</w:t>
      </w:r>
      <w:r>
        <w:rPr>
          <w:rFonts w:ascii="Times New Roman" w:hAnsi="Times New Roman" w:eastAsia="仿宋_GB2312"/>
          <w:sz w:val="32"/>
          <w:szCs w:val="32"/>
        </w:rPr>
        <w:t>落实高新技术企业所得税优惠、研发费用加计扣除等普惠性政策，</w:t>
      </w:r>
      <w:r>
        <w:rPr>
          <w:rFonts w:hint="eastAsia" w:ascii="Times New Roman" w:hAnsi="Times New Roman" w:eastAsia="仿宋_GB2312"/>
          <w:sz w:val="32"/>
          <w:szCs w:val="32"/>
        </w:rPr>
        <w:t>激励企业</w:t>
      </w:r>
      <w:r>
        <w:rPr>
          <w:rFonts w:ascii="Times New Roman" w:hAnsi="Times New Roman" w:eastAsia="仿宋_GB2312"/>
          <w:sz w:val="32"/>
          <w:szCs w:val="32"/>
        </w:rPr>
        <w:t>加大</w:t>
      </w:r>
      <w:r>
        <w:rPr>
          <w:rFonts w:hint="eastAsia" w:ascii="Times New Roman" w:hAnsi="Times New Roman" w:eastAsia="仿宋_GB2312"/>
          <w:sz w:val="32"/>
          <w:szCs w:val="32"/>
        </w:rPr>
        <w:t>研发投入</w:t>
      </w:r>
      <w:r>
        <w:rPr>
          <w:rFonts w:ascii="Times New Roman" w:hAnsi="Times New Roman" w:eastAsia="仿宋_GB2312"/>
          <w:sz w:val="32"/>
          <w:szCs w:val="32"/>
        </w:rPr>
        <w:t>。创新金融产品和服务，</w:t>
      </w:r>
      <w:r>
        <w:rPr>
          <w:rFonts w:hint="eastAsia" w:ascii="Times New Roman" w:hAnsi="Times New Roman" w:eastAsia="仿宋_GB2312"/>
          <w:sz w:val="32"/>
          <w:szCs w:val="32"/>
        </w:rPr>
        <w:t>探索</w:t>
      </w:r>
      <w:r>
        <w:rPr>
          <w:rFonts w:ascii="Times New Roman" w:hAnsi="Times New Roman" w:eastAsia="仿宋_GB2312"/>
          <w:sz w:val="32"/>
          <w:szCs w:val="32"/>
        </w:rPr>
        <w:t>建立与科技型中小微企业特点相适应的贷款评审、风险定价、尽职免责和奖惩制度，推出科技成果转化费用损失险。鼓励社会资本进行天使投资、风险投资。</w:t>
      </w:r>
    </w:p>
    <w:p>
      <w:pPr>
        <w:snapToGrid w:val="0"/>
        <w:spacing w:line="608" w:lineRule="exact"/>
        <w:ind w:firstLine="642" w:firstLineChars="200"/>
        <w:rPr>
          <w:rFonts w:ascii="Times New Roman" w:hAnsi="Times New Roman" w:eastAsia="仿宋_GB2312"/>
          <w:sz w:val="32"/>
          <w:szCs w:val="32"/>
        </w:rPr>
      </w:pPr>
      <w:r>
        <w:rPr>
          <w:rFonts w:ascii="Times New Roman" w:hAnsi="Times New Roman" w:eastAsia="仿宋_GB2312"/>
          <w:b/>
          <w:sz w:val="32"/>
          <w:szCs w:val="32"/>
        </w:rPr>
        <w:t>提升全民科学素养和创新意识。</w:t>
      </w:r>
      <w:r>
        <w:rPr>
          <w:rFonts w:hint="eastAsia" w:ascii="仿宋_GB2312" w:hAnsi="仿宋_GB2312" w:eastAsia="仿宋_GB2312" w:cs="仿宋_GB2312"/>
          <w:sz w:val="32"/>
          <w:szCs w:val="32"/>
        </w:rPr>
        <w:t>扎实做好科普工作，普及科学知识，</w:t>
      </w:r>
      <w:r>
        <w:rPr>
          <w:rFonts w:ascii="Times New Roman" w:hAnsi="Times New Roman" w:eastAsia="仿宋_GB2312"/>
          <w:sz w:val="32"/>
          <w:szCs w:val="32"/>
        </w:rPr>
        <w:t>开展科技活动周、科普日、干部素质培训等活动，</w:t>
      </w:r>
      <w:r>
        <w:rPr>
          <w:rFonts w:hint="eastAsia" w:ascii="仿宋_GB2312" w:hAnsi="仿宋_GB2312" w:eastAsia="仿宋_GB2312" w:cs="仿宋_GB2312"/>
          <w:sz w:val="32"/>
          <w:szCs w:val="32"/>
        </w:rPr>
        <w:t>提升全民科学素质。</w:t>
      </w:r>
      <w:r>
        <w:rPr>
          <w:rFonts w:ascii="Times New Roman" w:hAnsi="Times New Roman" w:eastAsia="仿宋_GB2312"/>
          <w:sz w:val="32"/>
          <w:szCs w:val="32"/>
        </w:rPr>
        <w:t>实施青少年科学素质提升行动，推动创新活动进课堂，开展学生创新技能竞赛，</w:t>
      </w:r>
      <w:r>
        <w:rPr>
          <w:rFonts w:hint="eastAsia" w:ascii="Times New Roman" w:hAnsi="Times New Roman" w:eastAsia="仿宋_GB2312"/>
          <w:sz w:val="32"/>
          <w:szCs w:val="32"/>
        </w:rPr>
        <w:t>打造</w:t>
      </w:r>
      <w:r>
        <w:rPr>
          <w:rFonts w:ascii="Times New Roman" w:hAnsi="Times New Roman" w:eastAsia="仿宋_GB2312"/>
          <w:sz w:val="32"/>
          <w:szCs w:val="32"/>
        </w:rPr>
        <w:t>一批青少年科普教育基地。实施领导干部和公务员科学素质提升行动，增强领导干部和公务员对科学知识的掌握和科技议题的应对能力。建立健全创新容错机制，大力营造鼓励创新、宽容失败的良好氛围。大力弘扬科学家精神、企业家精神和工匠精神。加强对创新案例、创新企业、创新人物的宣传报道，讲好长</w:t>
      </w:r>
      <w:r>
        <w:rPr>
          <w:rFonts w:hint="eastAsia" w:ascii="Times New Roman" w:hAnsi="Times New Roman" w:eastAsia="仿宋_GB2312"/>
          <w:sz w:val="32"/>
          <w:szCs w:val="32"/>
        </w:rPr>
        <w:t>子</w:t>
      </w:r>
      <w:r>
        <w:rPr>
          <w:rFonts w:ascii="Times New Roman" w:hAnsi="Times New Roman" w:eastAsia="仿宋_GB2312"/>
          <w:sz w:val="32"/>
          <w:szCs w:val="32"/>
        </w:rPr>
        <w:t>创新故事，在全社会营造崇尚创新、勇于创新的浓厚社会氛围。</w:t>
      </w:r>
    </w:p>
    <w:p>
      <w:pPr>
        <w:pStyle w:val="2"/>
        <w:spacing w:before="0" w:beforeAutospacing="0"/>
      </w:pPr>
    </w:p>
    <w:tbl>
      <w:tblPr>
        <w:tblStyle w:val="18"/>
        <w:tblpPr w:leftFromText="180" w:rightFromText="180" w:vertAnchor="text" w:horzAnchor="page" w:tblpX="1713"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5" w:type="dxa"/>
            <w:tcBorders>
              <w:bottom w:val="single" w:color="auto" w:sz="4" w:space="0"/>
            </w:tcBorders>
          </w:tcPr>
          <w:p>
            <w:pPr>
              <w:jc w:val="center"/>
              <w:rPr>
                <w:rFonts w:ascii="黑体" w:hAnsi="宋体" w:eastAsia="黑体" w:cs="黑体"/>
                <w:b/>
                <w:kern w:val="0"/>
                <w:sz w:val="28"/>
                <w:szCs w:val="28"/>
              </w:rPr>
            </w:pPr>
            <w:bookmarkStart w:id="193" w:name="_Toc12888"/>
            <w:bookmarkStart w:id="194" w:name="_Toc24763"/>
            <w:bookmarkStart w:id="195" w:name="_Toc6627"/>
            <w:bookmarkStart w:id="196" w:name="_Toc15857"/>
            <w:bookmarkStart w:id="197" w:name="_Toc22830"/>
            <w:bookmarkStart w:id="198" w:name="_Toc9984"/>
            <w:bookmarkStart w:id="199" w:name="_Toc17062"/>
            <w:bookmarkStart w:id="200" w:name="_Toc17594"/>
            <w:bookmarkStart w:id="201" w:name="_Toc27643"/>
            <w:bookmarkStart w:id="202" w:name="_Toc17964"/>
            <w:r>
              <w:rPr>
                <w:rFonts w:hint="eastAsia" w:ascii="黑体" w:hAnsi="宋体" w:eastAsia="黑体" w:cs="黑体"/>
                <w:color w:val="000000"/>
                <w:kern w:val="0"/>
                <w:sz w:val="28"/>
                <w:szCs w:val="28"/>
              </w:rPr>
              <w:t>专栏3 创新驱动重大工程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4" w:hRule="atLeast"/>
        </w:trPr>
        <w:tc>
          <w:tcPr>
            <w:tcW w:w="8745"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60" w:lineRule="exact"/>
              <w:rPr>
                <w:rFonts w:asciiTheme="minorEastAsia" w:hAnsiTheme="minorEastAsia" w:cstheme="minorEastAsia"/>
              </w:rPr>
            </w:pPr>
            <w:r>
              <w:rPr>
                <w:rFonts w:hint="eastAsia" w:asciiTheme="minorEastAsia" w:hAnsiTheme="minorEastAsia" w:cstheme="minorEastAsia"/>
                <w:b/>
                <w:bCs/>
                <w:kern w:val="0"/>
                <w:szCs w:val="21"/>
              </w:rPr>
              <w:t>创新平台建设工程。</w:t>
            </w:r>
            <w:r>
              <w:rPr>
                <w:rFonts w:hint="eastAsia" w:asciiTheme="minorEastAsia" w:hAnsiTheme="minorEastAsia" w:cstheme="minorEastAsia"/>
                <w:kern w:val="0"/>
                <w:szCs w:val="21"/>
              </w:rPr>
              <w:t>按照“政府引导、市场化运作模式”，引入一流双创运营团队，建设长子“双创”平台。聚焦装备制造、医药健康、新能源、节能环保、食品酿品、新材料等重点产业领域，实现创新平台重点产业全覆盖。</w:t>
            </w:r>
          </w:p>
          <w:p>
            <w:pPr>
              <w:pStyle w:val="9"/>
              <w:numPr>
                <w:ilvl w:val="0"/>
                <w:numId w:val="2"/>
              </w:numPr>
              <w:spacing w:after="0" w:line="360" w:lineRule="exact"/>
              <w:outlineLvl w:val="1"/>
              <w:rPr>
                <w:rFonts w:asciiTheme="minorEastAsia" w:hAnsiTheme="minorEastAsia" w:cstheme="minorEastAsia"/>
                <w:kern w:val="0"/>
                <w:szCs w:val="21"/>
              </w:rPr>
            </w:pPr>
            <w:bookmarkStart w:id="203" w:name="_Toc24289"/>
            <w:r>
              <w:rPr>
                <w:rFonts w:hint="eastAsia" w:asciiTheme="minorEastAsia" w:hAnsiTheme="minorEastAsia" w:cstheme="minorEastAsia"/>
                <w:b/>
                <w:bCs/>
                <w:kern w:val="0"/>
                <w:szCs w:val="21"/>
              </w:rPr>
              <w:t>规上工业企业倍增工程。</w:t>
            </w:r>
            <w:r>
              <w:rPr>
                <w:rFonts w:hint="eastAsia" w:asciiTheme="minorEastAsia" w:hAnsiTheme="minorEastAsia" w:cstheme="minorEastAsia"/>
                <w:kern w:val="0"/>
                <w:szCs w:val="21"/>
              </w:rPr>
              <w:t>“十四五”期间，规上工业企业发展到66家。</w:t>
            </w:r>
            <w:bookmarkEnd w:id="203"/>
          </w:p>
          <w:p>
            <w:pPr>
              <w:numPr>
                <w:ilvl w:val="0"/>
                <w:numId w:val="1"/>
              </w:numPr>
              <w:spacing w:line="360" w:lineRule="exact"/>
              <w:rPr>
                <w:rFonts w:asciiTheme="minorEastAsia" w:hAnsiTheme="minorEastAsia" w:cstheme="minorEastAsia"/>
                <w:kern w:val="0"/>
                <w:szCs w:val="21"/>
              </w:rPr>
            </w:pPr>
            <w:r>
              <w:rPr>
                <w:rFonts w:hint="eastAsia" w:asciiTheme="minorEastAsia" w:hAnsiTheme="minorEastAsia" w:cstheme="minorEastAsia"/>
                <w:b/>
                <w:bCs/>
                <w:kern w:val="0"/>
                <w:szCs w:val="21"/>
              </w:rPr>
              <w:t>中小微企业成长工程。</w:t>
            </w:r>
            <w:r>
              <w:rPr>
                <w:rFonts w:hint="eastAsia" w:asciiTheme="minorEastAsia" w:hAnsiTheme="minorEastAsia" w:cstheme="minorEastAsia"/>
                <w:kern w:val="0"/>
                <w:szCs w:val="21"/>
              </w:rPr>
              <w:t>“十四五”期间，每年新增中小微企业60家，到2025年达到2000家，实现企业“小升规”20家，并培育年营业收入亿元以上非煤小巨人企业2家。</w:t>
            </w:r>
          </w:p>
          <w:p>
            <w:pPr>
              <w:numPr>
                <w:ilvl w:val="0"/>
                <w:numId w:val="1"/>
              </w:numPr>
              <w:spacing w:line="360" w:lineRule="exact"/>
            </w:pPr>
            <w:r>
              <w:rPr>
                <w:rFonts w:hint="eastAsia" w:asciiTheme="minorEastAsia" w:hAnsiTheme="minorEastAsia" w:cstheme="minorEastAsia"/>
                <w:b/>
                <w:bCs/>
                <w:kern w:val="0"/>
                <w:szCs w:val="21"/>
              </w:rPr>
              <w:t>创新人才引进工程。</w:t>
            </w:r>
            <w:r>
              <w:rPr>
                <w:rFonts w:hint="eastAsia" w:asciiTheme="minorEastAsia" w:hAnsiTheme="minorEastAsia" w:cstheme="minorEastAsia"/>
                <w:kern w:val="0"/>
                <w:szCs w:val="21"/>
              </w:rPr>
              <w:t>围绕我县重点产业、重点领域、重点项目，打破人才刚性“围栏”，全面推行“柔性用才、项目引才”，精准引育一批高水平科技领军人才。</w:t>
            </w:r>
          </w:p>
        </w:tc>
      </w:tr>
    </w:tbl>
    <w:p>
      <w:r>
        <w:rPr>
          <w:rFonts w:hint="eastAsia"/>
        </w:rPr>
        <w:br w:type="page"/>
      </w:r>
    </w:p>
    <w:p>
      <w:pPr>
        <w:pStyle w:val="4"/>
        <w:spacing w:beforeLines="0" w:afterLines="0" w:line="608" w:lineRule="exact"/>
        <w:rPr>
          <w:b w:val="0"/>
          <w:bCs/>
        </w:rPr>
      </w:pPr>
      <w:bookmarkStart w:id="204" w:name="_Toc1415"/>
    </w:p>
    <w:p>
      <w:pPr>
        <w:pStyle w:val="4"/>
        <w:spacing w:beforeLines="0" w:afterLines="0" w:line="608" w:lineRule="exact"/>
        <w:rPr>
          <w:b w:val="0"/>
          <w:bCs/>
        </w:rPr>
      </w:pPr>
      <w:r>
        <w:rPr>
          <w:rFonts w:hint="eastAsia"/>
          <w:b w:val="0"/>
          <w:bCs/>
          <w:sz w:val="36"/>
          <w:szCs w:val="36"/>
        </w:rPr>
        <w:t xml:space="preserve">第三章 </w:t>
      </w:r>
      <w:bookmarkEnd w:id="193"/>
      <w:bookmarkEnd w:id="194"/>
      <w:bookmarkEnd w:id="195"/>
      <w:bookmarkEnd w:id="196"/>
      <w:bookmarkEnd w:id="197"/>
      <w:r>
        <w:rPr>
          <w:rFonts w:hint="eastAsia" w:ascii="黑体" w:hAnsi="黑体" w:cs="黑体"/>
          <w:b w:val="0"/>
          <w:bCs/>
          <w:sz w:val="36"/>
          <w:szCs w:val="36"/>
        </w:rPr>
        <w:t>全面推动转型发展，着力构建现代产业体系</w:t>
      </w:r>
      <w:bookmarkEnd w:id="198"/>
      <w:bookmarkEnd w:id="199"/>
      <w:bookmarkEnd w:id="200"/>
      <w:bookmarkEnd w:id="201"/>
      <w:bookmarkEnd w:id="202"/>
      <w:bookmarkEnd w:id="204"/>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坚持把转型升级作为高质量发展的重中之重，全力培育壮大新兴产业，优化提升传统产业，加快发展现代服务业，大力推进数字长子建设，逐步构建支撑高质量转型发展的现代产业体系。</w:t>
      </w: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spacing w:beforeLines="0" w:afterLines="0" w:line="608" w:lineRule="exact"/>
        <w:rPr>
          <w:rFonts w:ascii="楷体_GB2312" w:hAnsi="楷体_GB2312" w:eastAsia="楷体_GB2312" w:cs="楷体_GB2312"/>
        </w:rPr>
      </w:pPr>
      <w:bookmarkStart w:id="205" w:name="_Toc8781"/>
      <w:bookmarkStart w:id="206" w:name="_Toc14697"/>
      <w:bookmarkStart w:id="207" w:name="_Toc12368"/>
      <w:bookmarkStart w:id="208" w:name="_Toc12929"/>
      <w:bookmarkStart w:id="209" w:name="_Toc20253"/>
      <w:bookmarkStart w:id="210" w:name="_Toc7912"/>
      <w:bookmarkStart w:id="211" w:name="_Toc9746"/>
      <w:bookmarkStart w:id="212" w:name="_Toc11499"/>
      <w:bookmarkStart w:id="213" w:name="_Toc13350"/>
      <w:bookmarkStart w:id="214" w:name="_Toc29246"/>
      <w:bookmarkStart w:id="215" w:name="_Toc28608"/>
      <w:bookmarkStart w:id="216" w:name="_Toc23254"/>
      <w:bookmarkStart w:id="217" w:name="_Toc10262"/>
      <w:bookmarkStart w:id="218" w:name="_Toc21141"/>
      <w:bookmarkStart w:id="219" w:name="_Toc29568"/>
      <w:bookmarkStart w:id="220" w:name="_Toc27901"/>
      <w:bookmarkStart w:id="221" w:name="_Toc16549"/>
      <w:bookmarkStart w:id="222" w:name="_Toc72"/>
      <w:bookmarkStart w:id="223" w:name="_Toc8690"/>
      <w:bookmarkStart w:id="224" w:name="_Toc18085"/>
      <w:bookmarkStart w:id="225" w:name="_Toc29212"/>
      <w:bookmarkStart w:id="226" w:name="_Toc12916"/>
      <w:bookmarkStart w:id="227" w:name="_Toc5879"/>
      <w:bookmarkStart w:id="228" w:name="_Toc13245"/>
      <w:bookmarkStart w:id="229" w:name="_Toc30627"/>
      <w:bookmarkStart w:id="230" w:name="_Toc12617"/>
      <w:bookmarkStart w:id="231" w:name="_Toc27342"/>
      <w:r>
        <w:rPr>
          <w:rFonts w:hint="eastAsia" w:ascii="楷体_GB2312" w:hAnsi="楷体_GB2312" w:eastAsia="楷体_GB2312" w:cs="楷体_GB2312"/>
        </w:rPr>
        <w:t>第一节  全力培育壮大新兴产业</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adjustRightInd w:val="0"/>
        <w:spacing w:line="608" w:lineRule="exact"/>
        <w:ind w:firstLine="640" w:firstLineChars="200"/>
        <w:rPr>
          <w:rFonts w:ascii="仿宋" w:hAnsi="仿宋" w:eastAsia="仿宋_GB2312" w:cs="仿宋"/>
          <w:sz w:val="32"/>
          <w:szCs w:val="32"/>
          <w:shd w:val="clear" w:color="auto" w:fill="FFFFFF"/>
        </w:rPr>
      </w:pPr>
    </w:p>
    <w:p>
      <w:pPr>
        <w:adjustRightInd w:val="0"/>
        <w:spacing w:line="608" w:lineRule="exact"/>
        <w:ind w:firstLine="640" w:firstLineChars="200"/>
        <w:rPr>
          <w:rFonts w:ascii="仿宋" w:hAnsi="仿宋" w:eastAsia="仿宋_GB2312" w:cs="仿宋"/>
          <w:sz w:val="32"/>
          <w:szCs w:val="32"/>
          <w:shd w:val="clear" w:color="auto" w:fill="FFFFFF"/>
        </w:rPr>
      </w:pPr>
      <w:r>
        <w:rPr>
          <w:rFonts w:hint="eastAsia" w:ascii="仿宋" w:hAnsi="仿宋" w:eastAsia="仿宋_GB2312" w:cs="仿宋"/>
          <w:sz w:val="32"/>
          <w:szCs w:val="32"/>
          <w:shd w:val="clear" w:color="auto" w:fill="FFFFFF"/>
        </w:rPr>
        <w:t>实施新兴产业培育工程，</w:t>
      </w:r>
      <w:r>
        <w:rPr>
          <w:rFonts w:hint="eastAsia" w:eastAsia="仿宋_GB2312"/>
          <w:sz w:val="32"/>
          <w:shd w:val="clear" w:color="auto" w:fill="FFFFFF"/>
        </w:rPr>
        <w:t>坚持外抓引进、内转提升，集中优势资源，集聚各方力量</w:t>
      </w:r>
      <w:r>
        <w:rPr>
          <w:rFonts w:hint="eastAsia" w:ascii="仿宋" w:hAnsi="仿宋" w:eastAsia="仿宋_GB2312" w:cs="仿宋"/>
          <w:sz w:val="32"/>
          <w:szCs w:val="32"/>
          <w:shd w:val="clear" w:color="auto" w:fill="FFFFFF"/>
        </w:rPr>
        <w:t>，实现组团发展，</w:t>
      </w:r>
      <w:r>
        <w:rPr>
          <w:rFonts w:hint="eastAsia" w:eastAsia="仿宋_GB2312"/>
          <w:sz w:val="32"/>
          <w:shd w:val="clear" w:color="auto" w:fill="FFFFFF"/>
        </w:rPr>
        <w:t>打造各具特色、优势互补、结构合理的</w:t>
      </w:r>
      <w:r>
        <w:rPr>
          <w:rFonts w:hint="eastAsia" w:ascii="仿宋" w:hAnsi="仿宋" w:eastAsia="仿宋_GB2312" w:cs="仿宋"/>
          <w:sz w:val="32"/>
          <w:szCs w:val="32"/>
          <w:shd w:val="clear" w:color="auto" w:fill="FFFFFF"/>
        </w:rPr>
        <w:t>新兴产业集群，抢占发展制高点，培育竞争新优势。</w:t>
      </w:r>
    </w:p>
    <w:p>
      <w:pPr>
        <w:adjustRightInd w:val="0"/>
        <w:spacing w:line="608" w:lineRule="exact"/>
        <w:ind w:firstLine="642" w:firstLineChars="200"/>
        <w:outlineLvl w:val="2"/>
        <w:rPr>
          <w:rFonts w:ascii="仿宋_GB2312" w:hAnsi="仿宋_GB2312" w:eastAsia="仿宋_GB2312" w:cs="仿宋_GB2312"/>
          <w:sz w:val="32"/>
          <w:szCs w:val="32"/>
        </w:rPr>
      </w:pPr>
      <w:bookmarkStart w:id="232" w:name="_Toc7107"/>
      <w:bookmarkStart w:id="233" w:name="_Toc15976"/>
      <w:r>
        <w:rPr>
          <w:rFonts w:hint="eastAsia" w:ascii="仿宋_GB2312" w:hAnsi="仿宋_GB2312" w:eastAsia="仿宋_GB2312" w:cs="仿宋_GB2312"/>
          <w:b/>
          <w:sz w:val="32"/>
          <w:szCs w:val="32"/>
        </w:rPr>
        <w:t>装备制造产业集群。</w:t>
      </w:r>
      <w:r>
        <w:rPr>
          <w:rFonts w:hint="eastAsia" w:ascii="仿宋_GB2312" w:hAnsi="仿宋_GB2312" w:eastAsia="仿宋_GB2312" w:cs="仿宋_GB2312"/>
          <w:bCs/>
          <w:sz w:val="32"/>
          <w:szCs w:val="32"/>
        </w:rPr>
        <w:t>抢抓国家制造强国重大战略机遇，各类生产要素优先保障制造类等对全县转型升级具有引领作用的战略性新兴产业项目，不断提高制造业工业增加值占比和降低煤炭工业增加值占比。</w:t>
      </w:r>
      <w:r>
        <w:rPr>
          <w:rFonts w:hint="eastAsia" w:ascii="仿宋_GB2312" w:hAnsi="仿宋_GB2312" w:eastAsia="仿宋_GB2312" w:cs="仿宋_GB2312"/>
          <w:sz w:val="32"/>
          <w:szCs w:val="32"/>
        </w:rPr>
        <w:t>促进数字技术与先进制造技术融合创新，</w:t>
      </w:r>
      <w:r>
        <w:rPr>
          <w:rFonts w:hint="eastAsia" w:ascii="仿宋_GB2312" w:hAnsi="仿宋_GB2312" w:eastAsia="仿宋_GB2312" w:cs="仿宋_GB2312"/>
          <w:bCs/>
          <w:sz w:val="32"/>
          <w:szCs w:val="32"/>
        </w:rPr>
        <w:t>为传统制造业转型升级赋能，</w:t>
      </w:r>
      <w:r>
        <w:rPr>
          <w:rFonts w:hint="eastAsia" w:ascii="仿宋_GB2312" w:hAnsi="仿宋_GB2312" w:eastAsia="仿宋_GB2312" w:cs="仿宋_GB2312"/>
          <w:sz w:val="32"/>
          <w:szCs w:val="32"/>
        </w:rPr>
        <w:t>推动现有装备制造企业提质增效。加快推进子午线轮胎、智能高端数控机床、专用挂车等项目落地建设。谋划引进换热机组制造、煤机制造、家具制造、陶瓷制造等项目，促进全县装备制造产业集群发展。</w:t>
      </w:r>
      <w:bookmarkEnd w:id="232"/>
      <w:bookmarkEnd w:id="233"/>
    </w:p>
    <w:p>
      <w:pPr>
        <w:adjustRightInd w:val="0"/>
        <w:spacing w:line="608" w:lineRule="exact"/>
        <w:ind w:firstLine="642" w:firstLineChars="200"/>
        <w:outlineLvl w:val="2"/>
        <w:rPr>
          <w:rFonts w:ascii="仿宋_GB2312" w:hAnsi="仿宋_GB2312" w:eastAsia="仿宋_GB2312" w:cs="仿宋_GB2312"/>
          <w:bCs/>
          <w:sz w:val="32"/>
          <w:szCs w:val="32"/>
        </w:rPr>
      </w:pPr>
      <w:bookmarkStart w:id="234" w:name="_Toc31481"/>
      <w:bookmarkStart w:id="235" w:name="_Toc4162"/>
      <w:r>
        <w:rPr>
          <w:rFonts w:hint="eastAsia" w:ascii="仿宋_GB2312" w:hAnsi="仿宋_GB2312" w:eastAsia="仿宋_GB2312" w:cs="仿宋_GB2312"/>
          <w:b/>
          <w:sz w:val="32"/>
          <w:szCs w:val="32"/>
        </w:rPr>
        <w:t>医药健康产业集群。</w:t>
      </w:r>
      <w:r>
        <w:rPr>
          <w:rFonts w:hint="eastAsia" w:ascii="仿宋_GB2312" w:hAnsi="仿宋_GB2312" w:eastAsia="仿宋_GB2312" w:cs="仿宋_GB2312"/>
          <w:sz w:val="32"/>
          <w:szCs w:val="32"/>
        </w:rPr>
        <w:t>以生物医药和中药现代化为发展方向，打造宋村、鲍店医药健康产业园。依托康宝药业积极布局大健康产业，大力推进新药研发生产，谋划引进中药制药项目和医疗耗材生产加工项目。支持鲍店镇中药材种植基地、“鲍店药市”街区建设，充分发掘北方四大药市历史文化，加强中药材资源保护和中药材标准化种植，推动中药材产业向市场化、规模化发展。加快药茶原料生产基地建设，支持生产企业与高等院校、科研院所合作建设药茶科创中心、博士工作站，加强药茶研发和品牌创建工作。</w:t>
      </w:r>
      <w:bookmarkEnd w:id="234"/>
      <w:bookmarkEnd w:id="235"/>
    </w:p>
    <w:p>
      <w:pPr>
        <w:spacing w:line="608" w:lineRule="exact"/>
        <w:ind w:firstLine="642" w:firstLineChars="200"/>
        <w:rPr>
          <w:sz w:val="32"/>
          <w:szCs w:val="32"/>
        </w:rPr>
      </w:pPr>
      <w:r>
        <w:rPr>
          <w:rFonts w:hint="eastAsia" w:ascii="仿宋" w:hAnsi="仿宋" w:eastAsia="仿宋_GB2312" w:cs="仿宋"/>
          <w:b/>
          <w:sz w:val="32"/>
          <w:szCs w:val="32"/>
        </w:rPr>
        <w:t>新能源产业集群。</w:t>
      </w:r>
      <w:r>
        <w:rPr>
          <w:rFonts w:hint="eastAsia" w:ascii="仿宋_GB2312" w:hAnsi="仿宋_GB2312" w:eastAsia="仿宋_GB2312" w:cs="仿宋_GB2312"/>
          <w:color w:val="000000" w:themeColor="text1"/>
          <w:sz w:val="32"/>
          <w:szCs w:val="32"/>
        </w:rPr>
        <w:t>推进能源低碳转型，围绕碳达峰、碳中和目标，大幅提升绿色清洁能源占比，稳步推进“风光水火储一体化”建设，推进风力发电健康持续发展，推进光伏发电产业综合开发利用，扶持瓦斯发电、生物质发电发展壮大，谋划引进天然气发电、沼气发电项目，“十四五”期间，新能源装机容量突破100万千瓦，打造全省重要电力生产和外送基地。围绕新能源电力生产基地，积极引进光伏组件生产、工业观光旅游、蓄水储能、化学</w:t>
      </w:r>
      <w:r>
        <w:rPr>
          <w:rFonts w:hint="eastAsia" w:ascii="仿宋_GB2312" w:hAnsi="仿宋_GB2312" w:eastAsia="仿宋_GB2312" w:cs="仿宋_GB2312"/>
          <w:sz w:val="32"/>
          <w:szCs w:val="32"/>
        </w:rPr>
        <w:t>储能、</w:t>
      </w:r>
      <w:r>
        <w:rPr>
          <w:rFonts w:hint="eastAsia" w:ascii="仿宋_GB2312" w:hAnsi="仿宋_GB2312" w:eastAsia="仿宋_GB2312" w:cs="仿宋_GB2312"/>
          <w:color w:val="000000" w:themeColor="text1"/>
          <w:sz w:val="32"/>
          <w:szCs w:val="32"/>
        </w:rPr>
        <w:t>氢能制造</w:t>
      </w:r>
      <w:r>
        <w:rPr>
          <w:rFonts w:hint="eastAsia" w:ascii="仿宋_GB2312" w:hAnsi="仿宋_GB2312" w:eastAsia="仿宋_GB2312" w:cs="仿宋_GB2312"/>
          <w:sz w:val="32"/>
          <w:szCs w:val="32"/>
        </w:rPr>
        <w:t>等项目落地，实现新能源产业综合开发利用和集聚发展</w:t>
      </w:r>
      <w:r>
        <w:rPr>
          <w:rFonts w:hint="eastAsia" w:eastAsia="仿宋_GB2312"/>
          <w:sz w:val="32"/>
          <w:szCs w:val="32"/>
          <w:shd w:val="clear" w:color="auto" w:fill="FFFFFF"/>
        </w:rPr>
        <w:t>。</w:t>
      </w:r>
    </w:p>
    <w:p>
      <w:pPr>
        <w:adjustRightInd w:val="0"/>
        <w:spacing w:line="608" w:lineRule="exact"/>
        <w:ind w:firstLine="642" w:firstLineChars="200"/>
        <w:outlineLvl w:val="2"/>
        <w:rPr>
          <w:rFonts w:ascii="仿宋_GB2312" w:hAnsi="仿宋_GB2312" w:eastAsia="仿宋_GB2312" w:cs="仿宋_GB2312"/>
          <w:bCs/>
          <w:sz w:val="32"/>
          <w:szCs w:val="32"/>
        </w:rPr>
      </w:pPr>
      <w:bookmarkStart w:id="236" w:name="_Toc30899"/>
      <w:bookmarkStart w:id="237" w:name="_Toc22521"/>
      <w:r>
        <w:rPr>
          <w:rFonts w:hint="eastAsia" w:ascii="仿宋" w:hAnsi="仿宋" w:eastAsia="仿宋_GB2312" w:cs="仿宋"/>
          <w:b/>
          <w:bCs/>
          <w:sz w:val="32"/>
          <w:szCs w:val="32"/>
          <w:shd w:val="clear" w:color="auto" w:fill="FFFFFF"/>
        </w:rPr>
        <w:t>节能环保产业集群。</w:t>
      </w:r>
      <w:r>
        <w:rPr>
          <w:rFonts w:hint="eastAsia" w:ascii="仿宋_GB2312" w:hAnsi="仿宋_GB2312" w:eastAsia="仿宋_GB2312" w:cs="仿宋_GB2312"/>
          <w:sz w:val="32"/>
          <w:szCs w:val="32"/>
        </w:rPr>
        <w:t>以煤矸石、粉煤灰、建筑废弃物、危固废等大宗工业固废和再生资源利用为重点，打造大堡头—慈林—色头节能环保产业园，完善提升现有固废综合利用产业链，推进工业固废由低效低质分散利用向高效高质规模利用转变，实现固体废物协同处置和循环利用规模化、高值化、集约化。</w:t>
      </w:r>
      <w:r>
        <w:rPr>
          <w:rFonts w:hint="eastAsia" w:ascii="仿宋_GB2312" w:hAnsi="仿宋_GB2312" w:eastAsia="仿宋_GB2312" w:cs="仿宋_GB2312"/>
          <w:bCs/>
          <w:sz w:val="32"/>
          <w:szCs w:val="32"/>
        </w:rPr>
        <w:t>以煤矸石、膏体井下充填项目为依托，不断发挥重点项目示范引导作用；</w:t>
      </w:r>
      <w:r>
        <w:rPr>
          <w:rFonts w:hint="eastAsia" w:ascii="仿宋_GB2312" w:hAnsi="仿宋_GB2312" w:eastAsia="仿宋_GB2312" w:cs="仿宋_GB2312"/>
          <w:sz w:val="32"/>
          <w:szCs w:val="32"/>
          <w:lang w:val="zh-TW"/>
        </w:rPr>
        <w:t>发挥粉煤灰资源优势，加强粉煤灰综合开发利用</w:t>
      </w:r>
      <w:r>
        <w:rPr>
          <w:rFonts w:hint="eastAsia" w:ascii="仿宋_GB2312" w:hAnsi="仿宋_GB2312" w:eastAsia="仿宋_GB2312" w:cs="仿宋_GB2312"/>
          <w:bCs/>
          <w:sz w:val="32"/>
          <w:szCs w:val="32"/>
        </w:rPr>
        <w:t>，开拓余量粉煤灰外送市场，逐步实现粉煤灰零排放；推进建筑废弃物资源化利用，年处理建筑废弃物能力突破20万吨；积极引进废钢铁、废旧轮胎、废机油、危废固废等资源化再生利用项目落地，实现资源—产品—再生资源闭环利用。</w:t>
      </w:r>
      <w:bookmarkEnd w:id="236"/>
      <w:bookmarkEnd w:id="237"/>
    </w:p>
    <w:p>
      <w:pPr>
        <w:adjustRightInd w:val="0"/>
        <w:spacing w:line="608" w:lineRule="exact"/>
        <w:ind w:firstLine="642" w:firstLineChars="200"/>
        <w:outlineLvl w:val="2"/>
        <w:rPr>
          <w:rFonts w:ascii="仿宋_GB2312" w:hAnsi="仿宋_GB2312" w:eastAsia="仿宋_GB2312" w:cs="仿宋_GB2312"/>
          <w:color w:val="000000" w:themeColor="text1"/>
          <w:sz w:val="32"/>
          <w:szCs w:val="32"/>
        </w:rPr>
      </w:pPr>
      <w:bookmarkStart w:id="238" w:name="_Toc26818"/>
      <w:bookmarkStart w:id="239" w:name="_Toc23574"/>
      <w:r>
        <w:rPr>
          <w:rFonts w:hint="eastAsia" w:ascii="仿宋_GB2312" w:hAnsi="仿宋_GB2312" w:eastAsia="仿宋_GB2312" w:cs="仿宋_GB2312"/>
          <w:b/>
          <w:bCs/>
          <w:color w:val="000000" w:themeColor="text1"/>
          <w:sz w:val="32"/>
          <w:szCs w:val="32"/>
        </w:rPr>
        <w:t>食品酿品产业集群。</w:t>
      </w:r>
      <w:r>
        <w:rPr>
          <w:rFonts w:hint="eastAsia" w:ascii="仿宋_GB2312" w:hAnsi="仿宋_GB2312" w:eastAsia="仿宋_GB2312" w:cs="仿宋_GB2312"/>
          <w:color w:val="000000" w:themeColor="text1"/>
          <w:sz w:val="32"/>
          <w:szCs w:val="32"/>
        </w:rPr>
        <w:t>充分发挥电厂蒸汽资源优势，不断降低企业用气用电用能成本，深度开发蒸汽烹煮、蒸馏、烘干等技术工艺，积极引进食品、乳品、酒类、酿造等关联项目，打造宋村食品酿品产业集群。充分发挥龙头企业核心主导作用，支持浩润、昌利食品提升产品品质，拓展国内外市场，做大做强食品加工产业。支持潞酒、山楂酒等酒类酿造企业加强新产品开发，抓好品牌建设，做特做优酒类酿造产业。积极引入知名食品、酿品企业，促进食品酿品产业集聚化、规模化发展。</w:t>
      </w:r>
      <w:bookmarkEnd w:id="238"/>
      <w:bookmarkEnd w:id="239"/>
    </w:p>
    <w:p>
      <w:pPr>
        <w:adjustRightInd w:val="0"/>
        <w:spacing w:line="608" w:lineRule="exact"/>
        <w:ind w:firstLine="642" w:firstLineChars="200"/>
        <w:outlineLvl w:val="2"/>
        <w:rPr>
          <w:rFonts w:ascii="仿宋_GB2312" w:hAnsi="仿宋_GB2312" w:eastAsia="仿宋_GB2312" w:cs="仿宋_GB2312"/>
          <w:color w:val="000000" w:themeColor="text1"/>
          <w:sz w:val="32"/>
          <w:szCs w:val="32"/>
        </w:rPr>
      </w:pPr>
      <w:bookmarkStart w:id="240" w:name="_Toc30649"/>
      <w:bookmarkStart w:id="241" w:name="_Toc14330"/>
      <w:r>
        <w:rPr>
          <w:rFonts w:hint="eastAsia" w:ascii="仿宋_GB2312" w:hAnsi="仿宋_GB2312" w:eastAsia="仿宋_GB2312" w:cs="仿宋_GB2312"/>
          <w:b/>
          <w:sz w:val="32"/>
          <w:szCs w:val="32"/>
        </w:rPr>
        <w:t>新材料产业</w:t>
      </w:r>
      <w:r>
        <w:rPr>
          <w:rFonts w:hint="eastAsia" w:ascii="仿宋_GB2312" w:hAnsi="仿宋_GB2312" w:eastAsia="仿宋_GB2312" w:cs="仿宋_GB2312"/>
          <w:b/>
          <w:bCs/>
          <w:sz w:val="32"/>
          <w:szCs w:val="32"/>
          <w:shd w:val="clear" w:color="auto" w:fill="FFFFFF"/>
        </w:rPr>
        <w:t>集群</w:t>
      </w:r>
      <w:r>
        <w:rPr>
          <w:rFonts w:hint="eastAsia" w:ascii="仿宋_GB2312" w:hAnsi="仿宋_GB2312" w:eastAsia="仿宋_GB2312" w:cs="仿宋_GB2312"/>
          <w:b/>
          <w:sz w:val="32"/>
          <w:szCs w:val="32"/>
        </w:rPr>
        <w:t>。</w:t>
      </w:r>
      <w:r>
        <w:rPr>
          <w:rFonts w:hint="eastAsia" w:ascii="仿宋_GB2312" w:hAnsi="仿宋_GB2312" w:eastAsia="仿宋_GB2312" w:cs="仿宋_GB2312"/>
          <w:color w:val="000000" w:themeColor="text1"/>
          <w:sz w:val="32"/>
          <w:szCs w:val="32"/>
        </w:rPr>
        <w:t>谋划引进石</w:t>
      </w:r>
      <w:r>
        <w:rPr>
          <w:rFonts w:hint="eastAsia" w:ascii="仿宋_GB2312" w:hAnsi="仿宋_GB2312" w:eastAsia="仿宋_GB2312" w:cs="仿宋_GB2312"/>
          <w:color w:val="000000" w:themeColor="text1"/>
          <w:spacing w:val="-9"/>
          <w:sz w:val="32"/>
          <w:szCs w:val="32"/>
        </w:rPr>
        <w:t>油化工与煤化工耦合一体化项目，打造氢能与碳基新材料基地，充分利用中南铁路物流优势，做好内循环和外循环两篇文章，推动碳纤维复合材料、石墨烯、电容炭、芳纶、合成橡胶、工程塑料等产业化生产和市场化应用；</w:t>
      </w:r>
      <w:r>
        <w:rPr>
          <w:rFonts w:hint="eastAsia" w:ascii="仿宋_GB2312" w:hAnsi="仿宋_GB2312" w:eastAsia="仿宋_GB2312" w:cs="仿宋_GB2312"/>
          <w:color w:val="000000" w:themeColor="text1"/>
          <w:spacing w:val="-9"/>
          <w:sz w:val="32"/>
          <w:szCs w:val="32"/>
          <w:lang w:val="zh-TW"/>
        </w:rPr>
        <w:t>推进蒸压轻质混凝土板材生产线项目，</w:t>
      </w:r>
      <w:bookmarkEnd w:id="240"/>
      <w:bookmarkEnd w:id="241"/>
      <w:r>
        <w:rPr>
          <w:rFonts w:hint="eastAsia" w:ascii="仿宋_GB2312" w:hAnsi="仿宋_GB2312" w:eastAsia="仿宋_GB2312" w:cs="仿宋_GB2312"/>
          <w:color w:val="000000" w:themeColor="text1"/>
          <w:spacing w:val="-9"/>
          <w:sz w:val="32"/>
          <w:szCs w:val="32"/>
          <w:lang w:val="zh-TW"/>
        </w:rPr>
        <w:t>充分发挥丰富的粉煤灰和煤矸石资源，不断扩大新型墙体材料、化学建材、新型保温隔热材料、装配式预制构件研发</w:t>
      </w:r>
      <w:r>
        <w:rPr>
          <w:rFonts w:hint="eastAsia" w:ascii="仿宋_GB2312" w:hAnsi="仿宋_GB2312" w:eastAsia="仿宋_GB2312" w:cs="仿宋_GB2312"/>
          <w:color w:val="000000" w:themeColor="text1"/>
          <w:sz w:val="32"/>
          <w:szCs w:val="32"/>
          <w:lang w:val="zh-TW"/>
        </w:rPr>
        <w:t>和生产规模，促进资源循环利用。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9" w:type="dxa"/>
          </w:tcPr>
          <w:p>
            <w:pPr>
              <w:jc w:val="center"/>
            </w:pPr>
            <w:r>
              <w:rPr>
                <w:rFonts w:hint="eastAsia" w:ascii="黑体" w:hAnsi="宋体" w:eastAsia="黑体" w:cs="黑体"/>
                <w:color w:val="000000"/>
                <w:kern w:val="0"/>
                <w:sz w:val="28"/>
                <w:szCs w:val="28"/>
              </w:rPr>
              <w:t>专栏4 新兴产业培育工程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5" w:hRule="atLeast"/>
          <w:jc w:val="center"/>
        </w:trPr>
        <w:tc>
          <w:tcPr>
            <w:tcW w:w="8669" w:type="dxa"/>
            <w:vAlign w:val="center"/>
          </w:tcPr>
          <w:p>
            <w:pPr>
              <w:numPr>
                <w:ilvl w:val="0"/>
                <w:numId w:val="3"/>
              </w:numPr>
              <w:spacing w:line="360" w:lineRule="exact"/>
              <w:rPr>
                <w:rFonts w:asciiTheme="minorEastAsia" w:hAnsiTheme="minorEastAsia" w:cstheme="minorEastAsia"/>
                <w:szCs w:val="21"/>
              </w:rPr>
            </w:pPr>
            <w:r>
              <w:rPr>
                <w:rFonts w:hint="eastAsia" w:asciiTheme="minorEastAsia" w:hAnsiTheme="minorEastAsia" w:cstheme="minorEastAsia"/>
                <w:b/>
                <w:bCs/>
                <w:szCs w:val="21"/>
              </w:rPr>
              <w:t>装备制造产业。</w:t>
            </w:r>
            <w:r>
              <w:rPr>
                <w:rFonts w:hint="eastAsia" w:asciiTheme="minorEastAsia" w:hAnsiTheme="minorEastAsia" w:cstheme="minorEastAsia"/>
                <w:szCs w:val="21"/>
              </w:rPr>
              <w:t>加快推进子午线轮胎、智能高端数控机床、专用挂车制造等项目落地建设，谋划引进换热机组制造、煤机制造、家具制造、陶瓷制造等项目。</w:t>
            </w:r>
          </w:p>
          <w:p>
            <w:pPr>
              <w:numPr>
                <w:ilvl w:val="0"/>
                <w:numId w:val="3"/>
              </w:numPr>
              <w:spacing w:line="360" w:lineRule="exact"/>
              <w:rPr>
                <w:rFonts w:asciiTheme="minorEastAsia" w:hAnsiTheme="minorEastAsia" w:cstheme="minorEastAsia"/>
                <w:szCs w:val="21"/>
              </w:rPr>
            </w:pPr>
            <w:r>
              <w:rPr>
                <w:rFonts w:hint="eastAsia" w:asciiTheme="minorEastAsia" w:hAnsiTheme="minorEastAsia" w:cstheme="minorEastAsia"/>
                <w:b/>
                <w:bCs/>
                <w:szCs w:val="21"/>
              </w:rPr>
              <w:t>医药健康产业。</w:t>
            </w:r>
            <w:r>
              <w:rPr>
                <w:rFonts w:hint="eastAsia" w:asciiTheme="minorEastAsia" w:hAnsiTheme="minorEastAsia" w:cstheme="minorEastAsia"/>
                <w:szCs w:val="21"/>
              </w:rPr>
              <w:t>积极推进康宝植物细胞培养平台建设及水母雪莲培养物新食品原料项目，加快推进浩润蔬菜药茶项目，厚德源、鑫润民药茶项目，尧健中药材收购加工项目建设，谋划引进中药制药项目和医疗耗材生产加工。</w:t>
            </w:r>
          </w:p>
          <w:p>
            <w:pPr>
              <w:numPr>
                <w:ilvl w:val="0"/>
                <w:numId w:val="3"/>
              </w:numPr>
              <w:spacing w:line="360" w:lineRule="exact"/>
              <w:rPr>
                <w:rFonts w:asciiTheme="minorEastAsia" w:hAnsiTheme="minorEastAsia" w:cstheme="minorEastAsia"/>
                <w:szCs w:val="21"/>
              </w:rPr>
            </w:pPr>
            <w:r>
              <w:rPr>
                <w:rFonts w:hint="eastAsia" w:asciiTheme="minorEastAsia" w:hAnsiTheme="minorEastAsia" w:cstheme="minorEastAsia"/>
                <w:b/>
                <w:bCs/>
                <w:szCs w:val="21"/>
              </w:rPr>
              <w:t>新能源产业。</w:t>
            </w:r>
            <w:r>
              <w:rPr>
                <w:rFonts w:hint="eastAsia" w:asciiTheme="minorEastAsia" w:hAnsiTheme="minorEastAsia" w:cstheme="minorEastAsia"/>
                <w:szCs w:val="21"/>
              </w:rPr>
              <w:t>推进农光互</w:t>
            </w:r>
            <w:r>
              <w:rPr>
                <w:rFonts w:hint="eastAsia" w:asciiTheme="minorEastAsia" w:hAnsiTheme="minorEastAsia" w:cstheme="minorEastAsia"/>
                <w:kern w:val="0"/>
                <w:szCs w:val="21"/>
              </w:rPr>
              <w:t>补光伏发电综合利用建设项目。谋划引进天然气发电、沼气发电、储能、氢能制造等项目。</w:t>
            </w:r>
          </w:p>
          <w:p>
            <w:pPr>
              <w:numPr>
                <w:ilvl w:val="0"/>
                <w:numId w:val="3"/>
              </w:numPr>
              <w:spacing w:line="360" w:lineRule="exact"/>
              <w:rPr>
                <w:rFonts w:asciiTheme="minorEastAsia" w:hAnsiTheme="minorEastAsia" w:cstheme="minorEastAsia"/>
                <w:szCs w:val="21"/>
              </w:rPr>
            </w:pPr>
            <w:r>
              <w:rPr>
                <w:rFonts w:hint="eastAsia" w:asciiTheme="minorEastAsia" w:hAnsiTheme="minorEastAsia" w:cstheme="minorEastAsia"/>
                <w:b/>
                <w:bCs/>
                <w:kern w:val="0"/>
                <w:szCs w:val="21"/>
              </w:rPr>
              <w:t>节能环保产业。</w:t>
            </w:r>
            <w:r>
              <w:rPr>
                <w:rFonts w:hint="eastAsia" w:asciiTheme="minorEastAsia" w:hAnsiTheme="minorEastAsia" w:cstheme="minorEastAsia"/>
                <w:kern w:val="0"/>
                <w:szCs w:val="21"/>
              </w:rPr>
              <w:t>加快推进危固废处置及资源循环利用项目，建筑废弃物资源化利用项目，机油、润滑油再生基础油项目，废旧轮胎加工处理等项目落地建设。谋划引进粉煤灰环保处置项目、报废车拆解及废钢废铁回收再利用项目。</w:t>
            </w:r>
          </w:p>
          <w:p>
            <w:pPr>
              <w:numPr>
                <w:ilvl w:val="0"/>
                <w:numId w:val="3"/>
              </w:numPr>
              <w:spacing w:line="360" w:lineRule="exact"/>
              <w:rPr>
                <w:rFonts w:asciiTheme="minorEastAsia" w:hAnsiTheme="minorEastAsia" w:cstheme="minorEastAsia"/>
                <w:kern w:val="0"/>
                <w:szCs w:val="21"/>
              </w:rPr>
            </w:pPr>
            <w:r>
              <w:rPr>
                <w:rFonts w:hint="eastAsia" w:asciiTheme="minorEastAsia" w:hAnsiTheme="minorEastAsia" w:cstheme="minorEastAsia"/>
                <w:b/>
                <w:bCs/>
                <w:szCs w:val="21"/>
              </w:rPr>
              <w:t>食品酿品产业。</w:t>
            </w:r>
            <w:r>
              <w:rPr>
                <w:rFonts w:hint="eastAsia" w:asciiTheme="minorEastAsia" w:hAnsiTheme="minorEastAsia" w:cstheme="minorEastAsia"/>
                <w:szCs w:val="21"/>
              </w:rPr>
              <w:t>推进宋村园区工业蒸汽管网建设，加快速冻果蔬果汁食品冷冻干燥厂项目、潞仙酒厂迁建项目建设进度；积极引进知名食品、酿品产业。</w:t>
            </w:r>
          </w:p>
          <w:p>
            <w:pPr>
              <w:numPr>
                <w:ilvl w:val="0"/>
                <w:numId w:val="3"/>
              </w:numPr>
              <w:spacing w:line="360" w:lineRule="exact"/>
            </w:pPr>
            <w:r>
              <w:rPr>
                <w:rFonts w:hint="eastAsia" w:asciiTheme="minorEastAsia" w:hAnsiTheme="minorEastAsia" w:cstheme="minorEastAsia"/>
                <w:b/>
                <w:bCs/>
                <w:szCs w:val="21"/>
              </w:rPr>
              <w:t>新材料产业。</w:t>
            </w:r>
            <w:r>
              <w:rPr>
                <w:rFonts w:hint="eastAsia" w:asciiTheme="minorEastAsia" w:hAnsiTheme="minorEastAsia" w:cstheme="minorEastAsia"/>
                <w:kern w:val="0"/>
                <w:szCs w:val="21"/>
              </w:rPr>
              <w:t>推进蒸压轻质加气混凝土板材生产线项目建设，积极引进氢能与碳基新材料一体化项目落地。</w:t>
            </w:r>
          </w:p>
        </w:tc>
      </w:tr>
    </w:tbl>
    <w:p>
      <w:pPr>
        <w:pStyle w:val="5"/>
        <w:spacing w:beforeLines="0" w:afterLines="0" w:line="608" w:lineRule="exact"/>
      </w:pPr>
      <w:bookmarkStart w:id="242" w:name="_Toc9292"/>
      <w:bookmarkStart w:id="243" w:name="_Toc11072"/>
      <w:bookmarkStart w:id="244" w:name="_Toc29842"/>
      <w:bookmarkStart w:id="245" w:name="_Toc22896"/>
      <w:bookmarkStart w:id="246" w:name="_Toc18289"/>
      <w:bookmarkStart w:id="247" w:name="_Toc8147"/>
      <w:bookmarkStart w:id="248" w:name="_Toc21446"/>
      <w:bookmarkStart w:id="249" w:name="_Toc27309"/>
      <w:bookmarkStart w:id="250" w:name="_Toc6857"/>
      <w:bookmarkStart w:id="251" w:name="_Toc10122"/>
      <w:bookmarkStart w:id="252" w:name="_Toc31452"/>
      <w:bookmarkStart w:id="253" w:name="_Toc24226"/>
      <w:bookmarkStart w:id="254" w:name="_Toc31797"/>
      <w:bookmarkStart w:id="255" w:name="_Toc20842"/>
      <w:bookmarkStart w:id="256" w:name="_Toc12317"/>
      <w:bookmarkStart w:id="257" w:name="_Toc7285"/>
      <w:bookmarkStart w:id="258" w:name="_Toc32143"/>
      <w:bookmarkStart w:id="259" w:name="_Toc16281"/>
      <w:bookmarkStart w:id="260" w:name="_Toc6767"/>
      <w:bookmarkStart w:id="261" w:name="_Toc1613"/>
      <w:bookmarkStart w:id="262" w:name="_Toc1593"/>
      <w:bookmarkStart w:id="263" w:name="_Toc1655"/>
      <w:bookmarkStart w:id="264" w:name="_Toc8086"/>
      <w:bookmarkStart w:id="265" w:name="_Toc25823"/>
      <w:bookmarkStart w:id="266" w:name="_Toc26030"/>
      <w:bookmarkStart w:id="267" w:name="_Toc7358"/>
      <w:bookmarkStart w:id="268" w:name="_Toc31366"/>
    </w:p>
    <w:p>
      <w:pPr>
        <w:pStyle w:val="5"/>
        <w:spacing w:beforeLines="0" w:afterLines="0" w:line="608" w:lineRule="exact"/>
      </w:pPr>
      <w:r>
        <w:rPr>
          <w:rFonts w:hint="eastAsia"/>
        </w:rPr>
        <w:t>第二节  优化提升传统</w:t>
      </w:r>
      <w:bookmarkEnd w:id="242"/>
      <w:bookmarkEnd w:id="243"/>
      <w:bookmarkEnd w:id="244"/>
      <w:bookmarkEnd w:id="245"/>
      <w:bookmarkEnd w:id="246"/>
      <w:r>
        <w:rPr>
          <w:rFonts w:hint="eastAsia"/>
        </w:rPr>
        <w:t>产业</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spacing w:line="608" w:lineRule="exact"/>
        <w:ind w:firstLine="640" w:firstLineChars="200"/>
        <w:outlineLvl w:val="2"/>
        <w:rPr>
          <w:rFonts w:ascii="仿宋_GB2312" w:hAnsi="仿宋_GB2312" w:eastAsia="仿宋_GB2312" w:cs="仿宋_GB2312"/>
          <w:sz w:val="32"/>
          <w:szCs w:val="32"/>
        </w:rPr>
      </w:pPr>
      <w:bookmarkStart w:id="269" w:name="_Toc4879"/>
      <w:bookmarkStart w:id="270" w:name="_Toc16748"/>
    </w:p>
    <w:p>
      <w:pPr>
        <w:spacing w:line="608"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实施传</w:t>
      </w:r>
      <w:r>
        <w:rPr>
          <w:rFonts w:hint="eastAsia" w:ascii="仿宋_GB2312" w:hAnsi="仿宋_GB2312" w:eastAsia="仿宋_GB2312" w:cs="仿宋_GB2312"/>
          <w:spacing w:val="-9"/>
          <w:sz w:val="32"/>
          <w:szCs w:val="32"/>
        </w:rPr>
        <w:t>统产业升级工程，坚持高端化、智能化、绿色化发展方向，推动煤炭、电力</w:t>
      </w:r>
      <w:r>
        <w:rPr>
          <w:rFonts w:hint="eastAsia" w:ascii="仿宋_GB2312" w:hAnsi="仿宋_GB2312" w:eastAsia="仿宋_GB2312" w:cs="仿宋_GB2312"/>
          <w:sz w:val="32"/>
          <w:szCs w:val="32"/>
        </w:rPr>
        <w:t>、煤层气等传统产业强基固本、高效发展。</w:t>
      </w:r>
      <w:bookmarkEnd w:id="269"/>
      <w:bookmarkEnd w:id="270"/>
    </w:p>
    <w:p>
      <w:pPr>
        <w:spacing w:line="608" w:lineRule="exact"/>
        <w:ind w:firstLine="642" w:firstLineChars="200"/>
        <w:outlineLvl w:val="2"/>
        <w:rPr>
          <w:rFonts w:ascii="仿宋_GB2312" w:hAnsi="仿宋_GB2312" w:eastAsia="仿宋_GB2312" w:cs="仿宋_GB2312"/>
          <w:b/>
          <w:bCs/>
          <w:sz w:val="32"/>
          <w:szCs w:val="32"/>
        </w:rPr>
      </w:pPr>
      <w:bookmarkStart w:id="271" w:name="_Toc25879"/>
      <w:bookmarkStart w:id="272" w:name="_Toc24322"/>
      <w:r>
        <w:rPr>
          <w:rFonts w:hint="eastAsia" w:ascii="仿宋_GB2312" w:hAnsi="仿宋_GB2312" w:eastAsia="仿宋_GB2312" w:cs="仿宋_GB2312"/>
          <w:b/>
          <w:bCs/>
          <w:sz w:val="32"/>
          <w:szCs w:val="32"/>
          <w:lang w:val="zh-TW"/>
        </w:rPr>
        <w:t>煤炭产业</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深化煤炭行业供给侧结构性改革，以5G通信、先进控制技术为引领，全面推进煤矿综采工作面、矿井智能化建设；鼓励洗选企业采用新工艺、新技术进行改建或技术改造，不断提高产品科技含量和附加值；支持能投铁路综合物流园储煤棚及公共设施项目、李村煤矿产品煤外运系统项目建设，不断推进我县“公转铁”步伐，提高煤炭清洁运输占比。</w:t>
      </w:r>
      <w:bookmarkEnd w:id="271"/>
      <w:bookmarkEnd w:id="272"/>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电力产业。</w:t>
      </w:r>
      <w:r>
        <w:rPr>
          <w:rFonts w:hint="eastAsia" w:ascii="仿宋_GB2312" w:hAnsi="仿宋_GB2312" w:eastAsia="仿宋_GB2312" w:cs="仿宋_GB2312"/>
          <w:sz w:val="32"/>
          <w:szCs w:val="32"/>
        </w:rPr>
        <w:t>强化电力要素保障支撑，全面开展电力电网建设，提高电力保障水平。</w:t>
      </w:r>
      <w:r>
        <w:rPr>
          <w:rFonts w:hint="eastAsia" w:ascii="仿宋_GB2312" w:hAnsi="仿宋_GB2312" w:eastAsia="仿宋_GB2312" w:cs="仿宋_GB2312"/>
          <w:spacing w:val="-9"/>
          <w:sz w:val="32"/>
          <w:szCs w:val="32"/>
        </w:rPr>
        <w:t>推进高河电厂安全稳定运行，推动赵庄电厂复建，加快特高压Ⅱ回线规划建设，不断提高晋电外送消纳能力。推进东田良110KV输变电工程、同贺村110KV变电站3号主变扩建工程、岚水35KV变电站主变增容改造工程及县域配电网升级改造工程开工建设，保障全县经济社会发展用电需求。积极推进电力市场化交易，深入开展社会资本控股增量配电网试点，探索建立跨省电力直接交易试点、</w:t>
      </w:r>
      <w:r>
        <w:rPr>
          <w:rFonts w:hint="eastAsia" w:ascii="仿宋_GB2312" w:hAnsi="仿宋_GB2312" w:eastAsia="仿宋_GB2312" w:cs="仿宋_GB2312"/>
          <w:sz w:val="32"/>
          <w:szCs w:val="32"/>
        </w:rPr>
        <w:t>分布式发电市场化交易试点，扩大战略性产业参与电力市场交易覆盖面，不断降低企业用电成本。</w:t>
      </w:r>
    </w:p>
    <w:p>
      <w:pPr>
        <w:adjustRightInd w:val="0"/>
        <w:spacing w:line="608" w:lineRule="exact"/>
        <w:ind w:firstLine="642" w:firstLineChars="200"/>
        <w:outlineLvl w:val="2"/>
        <w:rPr>
          <w:rFonts w:ascii="仿宋_GB2312" w:hAnsi="仿宋_GB2312" w:eastAsia="仿宋_GB2312" w:cs="仿宋_GB2312"/>
          <w:sz w:val="32"/>
          <w:szCs w:val="32"/>
        </w:rPr>
      </w:pPr>
      <w:bookmarkStart w:id="273" w:name="_Toc24756"/>
      <w:bookmarkStart w:id="274" w:name="_Toc5552"/>
      <w:r>
        <w:rPr>
          <w:rFonts w:hint="eastAsia" w:ascii="仿宋_GB2312" w:hAnsi="仿宋_GB2312" w:eastAsia="仿宋_GB2312" w:cs="仿宋_GB2312"/>
          <w:b/>
          <w:bCs/>
          <w:sz w:val="32"/>
          <w:szCs w:val="32"/>
        </w:rPr>
        <w:t>煤层气产业。</w:t>
      </w:r>
      <w:r>
        <w:rPr>
          <w:rFonts w:hint="eastAsia" w:ascii="仿宋_GB2312" w:hAnsi="仿宋_GB2312" w:eastAsia="仿宋_GB2312" w:cs="仿宋_GB2312"/>
          <w:sz w:val="32"/>
          <w:szCs w:val="32"/>
        </w:rPr>
        <w:t>深化煤层气勘查开采管理体制改革，集中突破体制难点堵点，有效遏制“占而不探”“圈而不采”问题。鼓励煤层气企业开展煤层气基础地质研究和关键技术联合攻关，持续推进县域区块煤层气争储上产，重点抓好中联、中石油、东宝能、蓝焰煤层气勘采试验项目建设进度，</w:t>
      </w:r>
      <w:r>
        <w:rPr>
          <w:rFonts w:hint="eastAsia" w:ascii="仿宋_GB2312" w:hAnsi="仿宋_GB2312" w:eastAsia="仿宋_GB2312" w:cs="仿宋_GB2312"/>
          <w:sz w:val="32"/>
          <w:shd w:val="clear" w:color="auto" w:fill="FFFFFF"/>
        </w:rPr>
        <w:t>推进</w:t>
      </w:r>
      <w:r>
        <w:rPr>
          <w:rFonts w:hint="eastAsia" w:ascii="仿宋_GB2312" w:hAnsi="仿宋_GB2312" w:eastAsia="仿宋_GB2312" w:cs="仿宋_GB2312"/>
          <w:sz w:val="32"/>
          <w:szCs w:val="32"/>
        </w:rPr>
        <w:t>LNG储气调峰项</w:t>
      </w:r>
      <w:r>
        <w:rPr>
          <w:rFonts w:hint="eastAsia" w:ascii="仿宋_GB2312" w:hAnsi="仿宋_GB2312" w:eastAsia="仿宋_GB2312" w:cs="仿宋_GB2312"/>
          <w:sz w:val="32"/>
          <w:shd w:val="clear" w:color="auto" w:fill="FFFFFF"/>
        </w:rPr>
        <w:t>目安全投产达效，</w:t>
      </w:r>
      <w:r>
        <w:rPr>
          <w:rFonts w:hint="eastAsia" w:ascii="仿宋_GB2312" w:hAnsi="仿宋_GB2312" w:eastAsia="仿宋_GB2312" w:cs="仿宋_GB2312"/>
          <w:sz w:val="32"/>
          <w:szCs w:val="32"/>
        </w:rPr>
        <w:t>积极引进煤层气关联项目，延伸产业链条，促进煤层气全产业链协调发展。</w:t>
      </w:r>
      <w:bookmarkEnd w:id="273"/>
      <w:bookmarkEnd w:id="274"/>
    </w:p>
    <w:p>
      <w:pPr>
        <w:pStyle w:val="2"/>
        <w:spacing w:before="0" w:beforeAutospacing="0"/>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70" w:type="dxa"/>
          </w:tcPr>
          <w:p>
            <w:pPr>
              <w:jc w:val="center"/>
            </w:pPr>
            <w:r>
              <w:rPr>
                <w:rFonts w:hint="eastAsia" w:ascii="黑体" w:hAnsi="宋体" w:eastAsia="黑体" w:cs="黑体"/>
                <w:color w:val="000000"/>
                <w:kern w:val="0"/>
                <w:sz w:val="28"/>
                <w:szCs w:val="28"/>
              </w:rPr>
              <w:t>专栏5 传统产业升级工程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70" w:type="dxa"/>
          </w:tcPr>
          <w:p>
            <w:pPr>
              <w:numPr>
                <w:ilvl w:val="0"/>
                <w:numId w:val="4"/>
              </w:numPr>
              <w:spacing w:line="360" w:lineRule="exact"/>
              <w:rPr>
                <w:rFonts w:asciiTheme="minorEastAsia" w:hAnsiTheme="minorEastAsia" w:cstheme="minorEastAsia"/>
                <w:b/>
                <w:bCs/>
                <w:szCs w:val="21"/>
              </w:rPr>
            </w:pPr>
            <w:r>
              <w:rPr>
                <w:rFonts w:hint="eastAsia" w:ascii="宋体" w:hAnsi="宋体" w:eastAsia="宋体" w:cs="宋体"/>
                <w:b/>
                <w:bCs/>
                <w:szCs w:val="21"/>
              </w:rPr>
              <w:t>煤炭产业。</w:t>
            </w:r>
            <w:r>
              <w:rPr>
                <w:rFonts w:hint="eastAsia" w:asciiTheme="minorEastAsia" w:hAnsiTheme="minorEastAsia" w:cstheme="minorEastAsia"/>
                <w:szCs w:val="21"/>
              </w:rPr>
              <w:t>推进李村煤矿2306综采工作面和矿井智能化建设项目、赵庄煤业15号煤配采工程、霍尔辛赫选煤厂煤泥浮选技术改造项目、三元煤业选煤厂产品煤储装运系统升级改造项目、赵庄煤业煤泥烘干系统改造工程，谋划霍尔辛赫及赵庄煤业智慧矿山建设项目。</w:t>
            </w:r>
          </w:p>
          <w:p>
            <w:pPr>
              <w:numPr>
                <w:ilvl w:val="0"/>
                <w:numId w:val="4"/>
              </w:numPr>
              <w:spacing w:line="360" w:lineRule="exact"/>
              <w:rPr>
                <w:rFonts w:asciiTheme="minorEastAsia" w:hAnsiTheme="minorEastAsia" w:cstheme="minorEastAsia"/>
                <w:b/>
                <w:bCs/>
                <w:szCs w:val="21"/>
              </w:rPr>
            </w:pPr>
            <w:r>
              <w:rPr>
                <w:rFonts w:hint="eastAsia" w:asciiTheme="minorEastAsia" w:hAnsiTheme="minorEastAsia" w:cstheme="minorEastAsia"/>
                <w:b/>
                <w:bCs/>
                <w:szCs w:val="21"/>
              </w:rPr>
              <w:t>电力产业。</w:t>
            </w:r>
            <w:r>
              <w:rPr>
                <w:rFonts w:hint="eastAsia" w:asciiTheme="minorEastAsia" w:hAnsiTheme="minorEastAsia" w:cstheme="minorEastAsia"/>
                <w:szCs w:val="21"/>
              </w:rPr>
              <w:t>推进晋煤长子赵庄2×66万千瓦低热值煤发电项目全面复工，推进同贺村110KV变电站3号主变扩建工程、2021年配电网供电设施升级改造工程。谋划推进东田良110KV输变电工程、岚水35KV变电站主变增容改造工程。</w:t>
            </w:r>
          </w:p>
          <w:p>
            <w:pPr>
              <w:numPr>
                <w:ilvl w:val="0"/>
                <w:numId w:val="4"/>
              </w:numPr>
              <w:spacing w:line="360" w:lineRule="exact"/>
            </w:pPr>
            <w:r>
              <w:rPr>
                <w:rFonts w:hint="eastAsia" w:asciiTheme="minorEastAsia" w:hAnsiTheme="minorEastAsia" w:cstheme="minorEastAsia"/>
                <w:b/>
                <w:bCs/>
                <w:szCs w:val="21"/>
              </w:rPr>
              <w:t>煤层气产业。</w:t>
            </w:r>
            <w:r>
              <w:rPr>
                <w:rFonts w:hint="eastAsia" w:asciiTheme="minorEastAsia" w:hAnsiTheme="minorEastAsia" w:cstheme="minorEastAsia"/>
                <w:szCs w:val="21"/>
              </w:rPr>
              <w:t>推进中联、中石油、东宝能、蓝焰等煤层气项目增储上产，谋划引进煤层气关联项目。推进LNG储气调峰项目安全投产达效。</w:t>
            </w:r>
          </w:p>
        </w:tc>
      </w:tr>
    </w:tbl>
    <w:p>
      <w:pPr>
        <w:pStyle w:val="5"/>
        <w:spacing w:beforeLines="0" w:afterLines="0" w:line="608" w:lineRule="exact"/>
        <w:rPr>
          <w:rFonts w:ascii="楷体_GB2312" w:hAnsi="楷体_GB2312" w:eastAsia="楷体_GB2312" w:cs="楷体_GB2312"/>
        </w:rPr>
      </w:pPr>
      <w:bookmarkStart w:id="275" w:name="_Toc10103"/>
      <w:bookmarkStart w:id="276" w:name="_Toc11021"/>
      <w:bookmarkStart w:id="277" w:name="_Toc16620"/>
      <w:bookmarkStart w:id="278" w:name="_Toc21486"/>
      <w:bookmarkStart w:id="279" w:name="_Toc14215"/>
      <w:bookmarkStart w:id="280" w:name="_Toc30837"/>
      <w:bookmarkStart w:id="281" w:name="_Toc19886"/>
      <w:bookmarkStart w:id="282" w:name="_Toc11073"/>
      <w:bookmarkStart w:id="283" w:name="_Toc9840"/>
      <w:bookmarkStart w:id="284" w:name="_Toc24630"/>
      <w:bookmarkStart w:id="285" w:name="_Toc26992"/>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第三节  加快发展现代服务业</w:t>
      </w:r>
      <w:bookmarkEnd w:id="275"/>
      <w:bookmarkEnd w:id="276"/>
      <w:bookmarkEnd w:id="277"/>
      <w:bookmarkEnd w:id="278"/>
      <w:bookmarkEnd w:id="279"/>
      <w:bookmarkEnd w:id="280"/>
      <w:bookmarkEnd w:id="281"/>
      <w:bookmarkEnd w:id="282"/>
      <w:bookmarkEnd w:id="283"/>
      <w:bookmarkEnd w:id="284"/>
      <w:bookmarkEnd w:id="285"/>
    </w:p>
    <w:p>
      <w:pPr>
        <w:pStyle w:val="3"/>
        <w:spacing w:after="0" w:line="608" w:lineRule="exact"/>
        <w:ind w:left="0" w:leftChars="0" w:firstLine="640" w:firstLineChars="200"/>
        <w:outlineLvl w:val="2"/>
        <w:rPr>
          <w:rFonts w:ascii="仿宋_GB2312" w:hAnsi="仿宋_GB2312" w:eastAsia="仿宋_GB2312" w:cs="仿宋_GB2312"/>
          <w:sz w:val="32"/>
          <w:szCs w:val="32"/>
        </w:rPr>
      </w:pPr>
      <w:bookmarkStart w:id="286" w:name="_Toc25548"/>
      <w:bookmarkStart w:id="287" w:name="_Toc22143"/>
    </w:p>
    <w:p>
      <w:pPr>
        <w:pStyle w:val="3"/>
        <w:spacing w:after="0" w:line="608" w:lineRule="exact"/>
        <w:ind w:left="0" w:leftChars="0"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实施现代服务业增效工程，主动适应消费升级需求，推动生产性服务业向专业化和价值链高端延伸，生活性服务业向高品质和多样化升级。</w:t>
      </w:r>
      <w:bookmarkEnd w:id="286"/>
      <w:bookmarkEnd w:id="287"/>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现代物流业。</w:t>
      </w:r>
      <w:r>
        <w:rPr>
          <w:rFonts w:hint="eastAsia" w:ascii="仿宋_GB2312" w:hAnsi="仿宋_GB2312" w:eastAsia="仿宋_GB2312" w:cs="仿宋_GB2312"/>
          <w:spacing w:val="-7"/>
          <w:sz w:val="32"/>
          <w:szCs w:val="32"/>
        </w:rPr>
        <w:t>以建设晋东南物流基地为目标，加快形成以煤炭物流、快递物流、冷链物流为支撑，其他专业物流协调发展的规模化、专业化、网络化现代物流产业体系。加快能投基础设施建设，扩大煤炭储备和发运能力，拓展铁路发运和铁路到达功能，打造大宗商品集散和交易中心。以轩阳物流为带动，不断健全物流种类，引进金融、保险等围绕物流产业服务项目，完善物流产业链条，扩大辐射半径，打造晋东南商贸物流集散中心。推动冷链物流产业快速发展，落实国家冷链产业扶持政策，支持冷藏保鲜设施建设，支持生猪养殖、屠宰、冷冻一体化建设，整合现有冷链资源，大力发展冷链配送，引导冷链产业链条向专业化、标准化、智能化发展</w:t>
      </w:r>
      <w:r>
        <w:rPr>
          <w:rFonts w:hint="eastAsia" w:ascii="仿宋_GB2312" w:hAnsi="仿宋_GB2312" w:eastAsia="仿宋_GB2312" w:cs="仿宋_GB2312"/>
          <w:sz w:val="32"/>
          <w:szCs w:val="32"/>
        </w:rPr>
        <w:t>。</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电子商务。</w:t>
      </w:r>
      <w:r>
        <w:rPr>
          <w:rFonts w:hint="eastAsia" w:ascii="仿宋_GB2312" w:hAnsi="仿宋_GB2312" w:eastAsia="仿宋_GB2312" w:cs="仿宋_GB2312"/>
          <w:sz w:val="32"/>
          <w:szCs w:val="32"/>
        </w:rPr>
        <w:t>制定电商产业发展指导意见，培育壮大电子商务经营主体，深化企业电子商务运用，推动网络经济与实体经济深度融合，促进电子商务与物流快递协同发展，推进电子商务园区建设，实现电商产业集聚发展。推进生产企业和电子商务跨界融合，推动制造类中小企业与互联网平台全面对接，整合线上线下资源，拓展销售渠道，打造制造、营销、物流等高效协同的生产流通一体化新生态。完善农村电商服务体系，构建覆盖县乡村的物流配送体系、信息服务体系，推广“企业+合作社+农户”“整村微商”等农村电商模式。支持平台经济健康快速发展，打造网络货运平台、农产品交易平台等一批具有行业带动力和影响力的产业供应链平台。</w:t>
      </w:r>
    </w:p>
    <w:p>
      <w:pPr>
        <w:spacing w:line="608" w:lineRule="exact"/>
        <w:ind w:firstLine="642" w:firstLineChars="200"/>
        <w:rPr>
          <w:rFonts w:ascii="仿宋_GB2312" w:hAnsi="仿宋_GB2312" w:eastAsia="仿宋_GB2312" w:cs="仿宋_GB2312"/>
          <w:spacing w:val="-9"/>
          <w:sz w:val="32"/>
          <w:szCs w:val="32"/>
        </w:rPr>
      </w:pPr>
      <w:r>
        <w:rPr>
          <w:rFonts w:hint="eastAsia" w:ascii="仿宋_GB2312" w:hAnsi="仿宋_GB2312" w:eastAsia="仿宋_GB2312" w:cs="仿宋_GB2312"/>
          <w:b/>
          <w:sz w:val="32"/>
          <w:szCs w:val="32"/>
        </w:rPr>
        <w:t>现代金融。</w:t>
      </w:r>
      <w:r>
        <w:rPr>
          <w:rFonts w:hint="eastAsia" w:ascii="仿宋_GB2312" w:hAnsi="仿宋_GB2312" w:eastAsia="仿宋_GB2312" w:cs="仿宋_GB2312"/>
          <w:sz w:val="32"/>
          <w:szCs w:val="32"/>
        </w:rPr>
        <w:t>深</w:t>
      </w:r>
      <w:r>
        <w:rPr>
          <w:rFonts w:hint="eastAsia" w:ascii="仿宋_GB2312" w:hAnsi="仿宋_GB2312" w:eastAsia="仿宋_GB2312" w:cs="仿宋_GB2312"/>
          <w:spacing w:val="-6"/>
          <w:sz w:val="32"/>
          <w:szCs w:val="32"/>
        </w:rPr>
        <w:t>化金融改革，强化金融服务实体经济发展基本功能，引导驻县金融机构不断拓展业务、创新服务，以绿色金融助推转型发展。加大财政奖补，吸引社会资本共同出资设立绿色转型发展引导基金，加快新旧动能转换，实现绿色发展。以县域资本市场试点县为契机，建立转型发展企业上市后备库，实行动态管理、精准服务，助推转型项目做强做大。促进融资担保机构、再担保机构、小额贷款公司等准金融机构健康发展。拓宽保险服务和投资领域，加快发展“三农”保险，提高农业保险服务水平。推动商业保险全方位参与社会保障体系建设和社会治理，发挥商业保险在重大灾害事故中的补偿作用。积极引入保险资金通过股权、债权等方式参与我县建设，推动保险帮扶中小</w:t>
      </w:r>
      <w:r>
        <w:rPr>
          <w:rFonts w:hint="eastAsia" w:ascii="仿宋_GB2312" w:hAnsi="仿宋_GB2312" w:eastAsia="仿宋_GB2312" w:cs="仿宋_GB2312"/>
          <w:spacing w:val="-9"/>
          <w:sz w:val="32"/>
          <w:szCs w:val="32"/>
        </w:rPr>
        <w:t>微企业发展。</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康养产业。</w:t>
      </w:r>
      <w:r>
        <w:rPr>
          <w:rFonts w:hint="eastAsia" w:ascii="仿宋_GB2312" w:hAnsi="仿宋_GB2312" w:eastAsia="仿宋_GB2312" w:cs="仿宋_GB2312"/>
          <w:sz w:val="32"/>
          <w:szCs w:val="32"/>
        </w:rPr>
        <w:t>紧紧抓住全省打造“康养山西、夏养山西”品牌机遇和我县特色文化休闲区战略定位，充分利用我县气候、生态、环境、文化等健康休闲养生资源优势，着力发展具有长子特色的康养产业。依托我县中药材传统优势，培育中医药文化养生产业，打造中医药养生基地。依托精卫湖国家湿地公园资源，打造避暑度假、休闲旅游基地。依托百里连翘长廊和万亩梨园花海，打造庞庄康养小镇和仙翁山康健养生基地。依托羊头山温泉资源和赵家庄民宿群，打造医养结合养生基地。</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现代商贸。</w:t>
      </w:r>
      <w:r>
        <w:rPr>
          <w:rFonts w:hint="eastAsia" w:ascii="仿宋_GB2312" w:hAnsi="仿宋_GB2312" w:eastAsia="仿宋_GB2312" w:cs="仿宋_GB2312"/>
          <w:sz w:val="32"/>
          <w:szCs w:val="32"/>
        </w:rPr>
        <w:t>加快商贸流通基础设施建设，培育流通市场主体，发展现代经营方式和新型流通业态，推动商贸服务高端化、特色化、品牌化、连锁化、便利化发展，构建现代商贸流通服务体系。完善提升老城精品商贸群、环城集贸市场圈、城东物流集散地三大核心商区服务功能，依托新型城镇化和道路节点建设，布局建设一批新的消费中心。完成“一区五馆”招商运营，加大商贸领域对外开放力度，主动吸引一批国内知名流通企业落户长子，培育骨干流通企业，提升我县商贸流通业整体水平和实力。大力发展夜间经济、假日经济、共享经济等消费新业态新模式，加快建设和培育一批服务业聚集区，促进服务业品牌化、标准化发展。大力发展连锁经营、统一配送等新型商贸流通业态，鼓励大型商贸流通企业通过发展便利店、中小超市、社区菜店等扩展社区经营网络，构建便民消费体系。积极发展经济型、文化主题型、乡土民俗型、家庭旅馆、公寓民宿等特色酒店，建立满足不同层次需求的住宿服务网络。</w:t>
      </w:r>
    </w:p>
    <w:p>
      <w:pPr>
        <w:pStyle w:val="2"/>
        <w:spacing w:before="0" w:beforeAutospacing="0"/>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8671" w:type="dxa"/>
            <w:vAlign w:val="center"/>
          </w:tcPr>
          <w:p>
            <w:pPr>
              <w:spacing w:line="600" w:lineRule="exact"/>
              <w:jc w:val="center"/>
            </w:pPr>
            <w:r>
              <w:rPr>
                <w:rFonts w:hint="eastAsia" w:ascii="黑体" w:hAnsi="宋体" w:eastAsia="黑体" w:cs="黑体"/>
                <w:color w:val="000000"/>
                <w:kern w:val="0"/>
                <w:sz w:val="28"/>
                <w:szCs w:val="28"/>
              </w:rPr>
              <w:t>专栏6 现代服务业增效工程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1" w:type="dxa"/>
          </w:tcPr>
          <w:p>
            <w:pPr>
              <w:numPr>
                <w:ilvl w:val="0"/>
                <w:numId w:val="5"/>
              </w:numPr>
              <w:spacing w:line="360" w:lineRule="exact"/>
              <w:rPr>
                <w:rFonts w:asciiTheme="minorEastAsia" w:hAnsiTheme="minorEastAsia" w:cstheme="minorEastAsia"/>
                <w:color w:val="000000" w:themeColor="text1"/>
                <w:szCs w:val="21"/>
              </w:rPr>
            </w:pPr>
            <w:r>
              <w:rPr>
                <w:rFonts w:hint="eastAsia" w:ascii="宋体" w:hAnsi="宋体" w:eastAsia="宋体" w:cs="宋体"/>
                <w:b/>
                <w:bCs/>
                <w:color w:val="000000" w:themeColor="text1"/>
                <w:szCs w:val="21"/>
              </w:rPr>
              <w:t>现代物流。</w:t>
            </w:r>
            <w:r>
              <w:rPr>
                <w:rFonts w:hint="eastAsia" w:asciiTheme="minorEastAsia" w:hAnsiTheme="minorEastAsia" w:cstheme="minorEastAsia"/>
                <w:color w:val="000000" w:themeColor="text1"/>
                <w:szCs w:val="21"/>
              </w:rPr>
              <w:t>推进</w:t>
            </w:r>
            <w:r>
              <w:rPr>
                <w:rFonts w:hint="eastAsia" w:asciiTheme="minorEastAsia" w:hAnsiTheme="minorEastAsia" w:cstheme="minorEastAsia"/>
                <w:color w:val="000000" w:themeColor="text1"/>
                <w:kern w:val="0"/>
                <w:szCs w:val="21"/>
              </w:rPr>
              <w:t>能投铁路综合物流园区储煤棚及公共设施建设项目、李村煤矿产品煤外运系统建设项目、</w:t>
            </w:r>
            <w:r>
              <w:rPr>
                <w:rFonts w:hint="eastAsia" w:asciiTheme="minorEastAsia" w:hAnsiTheme="minorEastAsia" w:cstheme="minorEastAsia"/>
                <w:color w:val="000000" w:themeColor="text1"/>
                <w:szCs w:val="21"/>
              </w:rPr>
              <w:t>净菜加工及冷链物流建设项目</w:t>
            </w:r>
            <w:r>
              <w:rPr>
                <w:rFonts w:hint="eastAsia" w:asciiTheme="minorEastAsia" w:hAnsiTheme="minorEastAsia" w:cstheme="minorEastAsia"/>
                <w:color w:val="000000" w:themeColor="text1"/>
                <w:kern w:val="0"/>
                <w:szCs w:val="21"/>
              </w:rPr>
              <w:t>、农贸综合体建设项目等</w:t>
            </w:r>
            <w:r>
              <w:rPr>
                <w:rFonts w:hint="eastAsia" w:asciiTheme="minorEastAsia" w:hAnsiTheme="minorEastAsia" w:cstheme="minorEastAsia"/>
                <w:color w:val="000000" w:themeColor="text1"/>
                <w:szCs w:val="21"/>
              </w:rPr>
              <w:t>。谋划</w:t>
            </w:r>
            <w:r>
              <w:rPr>
                <w:rFonts w:hint="eastAsia" w:asciiTheme="minorEastAsia" w:hAnsiTheme="minorEastAsia" w:cstheme="minorEastAsia"/>
                <w:color w:val="000000" w:themeColor="text1"/>
                <w:kern w:val="0"/>
                <w:szCs w:val="21"/>
              </w:rPr>
              <w:t>山西能投铁路口岸作业区项目、轩阳物流二期建设项目</w:t>
            </w:r>
            <w:r>
              <w:rPr>
                <w:rFonts w:hint="eastAsia" w:asciiTheme="minorEastAsia" w:hAnsiTheme="minorEastAsia" w:cstheme="minorEastAsia"/>
                <w:color w:val="000000" w:themeColor="text1"/>
                <w:szCs w:val="21"/>
              </w:rPr>
              <w:t>。</w:t>
            </w:r>
          </w:p>
          <w:p>
            <w:pPr>
              <w:numPr>
                <w:ilvl w:val="0"/>
                <w:numId w:val="5"/>
              </w:numPr>
              <w:spacing w:line="360" w:lineRule="exact"/>
              <w:rPr>
                <w:rFonts w:asciiTheme="minorEastAsia" w:hAnsiTheme="minorEastAsia" w:cstheme="minorEastAsia"/>
                <w:szCs w:val="21"/>
              </w:rPr>
            </w:pPr>
            <w:r>
              <w:rPr>
                <w:rFonts w:hint="eastAsia" w:asciiTheme="minorEastAsia" w:hAnsiTheme="minorEastAsia" w:cstheme="minorEastAsia"/>
                <w:b/>
                <w:bCs/>
                <w:color w:val="000000" w:themeColor="text1"/>
                <w:szCs w:val="21"/>
              </w:rPr>
              <w:t>康养产业。</w:t>
            </w:r>
            <w:r>
              <w:rPr>
                <w:rFonts w:hint="eastAsia" w:asciiTheme="minorEastAsia" w:hAnsiTheme="minorEastAsia" w:cstheme="minorEastAsia"/>
                <w:color w:val="000000" w:themeColor="text1"/>
                <w:kern w:val="0"/>
                <w:szCs w:val="21"/>
              </w:rPr>
              <w:t>谋划</w:t>
            </w:r>
            <w:r>
              <w:rPr>
                <w:rFonts w:hint="eastAsia" w:asciiTheme="minorEastAsia" w:hAnsiTheme="minorEastAsia" w:cstheme="minorEastAsia"/>
                <w:color w:val="000000" w:themeColor="text1"/>
                <w:szCs w:val="21"/>
              </w:rPr>
              <w:t>推进中医药养生基地、避暑休闲旅游基地、康养小镇等项目。</w:t>
            </w:r>
          </w:p>
          <w:p>
            <w:pPr>
              <w:numPr>
                <w:ilvl w:val="0"/>
                <w:numId w:val="6"/>
              </w:numPr>
              <w:spacing w:line="360" w:lineRule="exact"/>
              <w:rPr>
                <w:rFonts w:ascii="仿宋" w:hAnsi="仿宋" w:eastAsia="仿宋" w:cs="仿宋"/>
                <w:sz w:val="24"/>
              </w:rPr>
            </w:pPr>
            <w:r>
              <w:rPr>
                <w:rFonts w:hint="eastAsia" w:asciiTheme="minorEastAsia" w:hAnsiTheme="minorEastAsia" w:cstheme="minorEastAsia"/>
                <w:b/>
                <w:bCs/>
                <w:color w:val="000000" w:themeColor="text1"/>
                <w:kern w:val="0"/>
                <w:szCs w:val="21"/>
              </w:rPr>
              <w:t>现代商贸。</w:t>
            </w:r>
            <w:r>
              <w:rPr>
                <w:rFonts w:hint="eastAsia" w:asciiTheme="minorEastAsia" w:hAnsiTheme="minorEastAsia" w:cstheme="minorEastAsia"/>
                <w:color w:val="000000" w:themeColor="text1"/>
                <w:kern w:val="0"/>
                <w:szCs w:val="21"/>
              </w:rPr>
              <w:t>推进</w:t>
            </w:r>
            <w:r>
              <w:rPr>
                <w:rFonts w:hint="eastAsia" w:asciiTheme="minorEastAsia" w:hAnsiTheme="minorEastAsia" w:cstheme="minorEastAsia"/>
                <w:color w:val="000000" w:themeColor="text1"/>
                <w:szCs w:val="21"/>
              </w:rPr>
              <w:t>“一区五馆”招商运营</w:t>
            </w:r>
            <w:r>
              <w:rPr>
                <w:rFonts w:hint="eastAsia" w:asciiTheme="minorEastAsia" w:hAnsiTheme="minorEastAsia" w:cstheme="minorEastAsia"/>
                <w:color w:val="000000" w:themeColor="text1"/>
                <w:kern w:val="0"/>
                <w:szCs w:val="21"/>
              </w:rPr>
              <w:t>，大力发展消费新业态新模式，加快建设和培育一批服务业聚集区。</w:t>
            </w:r>
          </w:p>
        </w:tc>
      </w:tr>
    </w:tbl>
    <w:p>
      <w:pPr>
        <w:pStyle w:val="5"/>
        <w:spacing w:beforeLines="0" w:afterLines="0" w:line="608" w:lineRule="exact"/>
        <w:rPr>
          <w:rFonts w:ascii="楷体_GB2312" w:hAnsi="楷体_GB2312" w:eastAsia="楷体_GB2312" w:cs="楷体_GB2312"/>
        </w:rPr>
      </w:pPr>
      <w:bookmarkStart w:id="288" w:name="_Toc4445"/>
      <w:bookmarkStart w:id="289" w:name="_Toc16207"/>
      <w:bookmarkStart w:id="290" w:name="_Toc20875"/>
      <w:bookmarkStart w:id="291" w:name="_Toc20162"/>
      <w:bookmarkStart w:id="292" w:name="_Toc27411"/>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第四节  大力推进数字长子建设</w:t>
      </w:r>
      <w:bookmarkEnd w:id="288"/>
      <w:bookmarkEnd w:id="289"/>
      <w:bookmarkEnd w:id="290"/>
      <w:bookmarkEnd w:id="291"/>
      <w:bookmarkEnd w:id="292"/>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实施数字化转型工程，着力推进数字长子建设，不断在政府管理、公共服务、社会治理等领域打造新的智能化应用场景，驱动生产方式、生活方式和治理变革。</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建设数字政府。</w:t>
      </w:r>
      <w:r>
        <w:rPr>
          <w:rFonts w:hint="eastAsia" w:ascii="仿宋_GB2312" w:hAnsi="仿宋_GB2312" w:eastAsia="仿宋_GB2312" w:cs="仿宋_GB2312"/>
          <w:sz w:val="32"/>
          <w:szCs w:val="32"/>
        </w:rPr>
        <w:t>推进决策服务数字化，利用大数据、云计算等技术手段，在宏观</w:t>
      </w:r>
      <w:r>
        <w:rPr>
          <w:rFonts w:hint="eastAsia" w:ascii="仿宋_GB2312" w:hAnsi="仿宋_GB2312" w:eastAsia="仿宋_GB2312" w:cs="仿宋_GB2312"/>
          <w:spacing w:val="6"/>
          <w:sz w:val="32"/>
          <w:szCs w:val="32"/>
        </w:rPr>
        <w:t>经济监测、重大项目监管、营商环境评价、公共安全防控等方面开展大数据分析应用，实现“用数据说话，靠数据决策，依数据行动”，有效增强政府决策的科学性、预见性和精准性。加快“互联网+政务服务”推广应用，推动政务服务事项在政务服务网、移动终端、实体大厅、政府网站、“三晋通”APP和第三方互联网入口等服务渠道同源发布，实现政务服务“一网通办”。形成“横向到边、纵向到底”跨层级、跨地域、跨系统、跨部门、跨业务的全县“一张网”服务支撑能力。建设“领导驾驶舱”，重点工作一键直联，实现全局掌控、全时调度、全域处置、全程督办，打造数字化治理体系。坚持发展与安全并重的思想，进一步</w:t>
      </w:r>
      <w:r>
        <w:rPr>
          <w:rFonts w:hint="eastAsia" w:ascii="仿宋_GB2312" w:hAnsi="仿宋_GB2312" w:eastAsia="仿宋_GB2312" w:cs="仿宋_GB2312"/>
          <w:sz w:val="32"/>
          <w:szCs w:val="32"/>
        </w:rPr>
        <w:t>强化政务服务平台安全保障系统的风险防控能力，构建全方位、多层次、一致性的防护体系，打造保障数字政府安全运行的坚固城墙。</w:t>
      </w:r>
    </w:p>
    <w:p>
      <w:pPr>
        <w:spacing w:line="628" w:lineRule="exact"/>
        <w:ind w:firstLine="642" w:firstLineChars="200"/>
      </w:pPr>
      <w:r>
        <w:rPr>
          <w:rFonts w:hint="eastAsia" w:ascii="仿宋_GB2312" w:hAnsi="仿宋_GB2312" w:eastAsia="仿宋_GB2312" w:cs="仿宋_GB2312"/>
          <w:b/>
          <w:bCs/>
          <w:sz w:val="32"/>
          <w:szCs w:val="32"/>
        </w:rPr>
        <w:t>打造数字城市。</w:t>
      </w:r>
      <w:r>
        <w:rPr>
          <w:rFonts w:hint="eastAsia" w:ascii="仿宋_GB2312" w:hAnsi="仿宋_GB2312" w:eastAsia="仿宋_GB2312" w:cs="仿宋_GB2312"/>
          <w:sz w:val="32"/>
          <w:szCs w:val="32"/>
        </w:rPr>
        <w:t>推进5G基站建设，实现5G网络全覆盖。建成市场监管智慧平台，提高市场监管效能和监管现代化水平。推动雪亮工程、应急指挥、生态环境、护林防火等各类运行系统互联互通，全网统一管理，实现“一网统管”。完善公共就业人才服务信息系统，提升公共就业人才服务智能化水平。</w:t>
      </w:r>
      <w:r>
        <w:rPr>
          <w:rFonts w:hint="eastAsia" w:ascii="仿宋_GB2312" w:hAnsi="仿宋_GB2312" w:eastAsia="仿宋_GB2312" w:cs="仿宋_GB2312"/>
          <w:color w:val="000000"/>
          <w:sz w:val="32"/>
          <w:szCs w:val="32"/>
        </w:rPr>
        <w:t>进一步优化教育信息化公共服务平台各系统间的融合对接，推进教育城域网一体化建设和中小学数字校园建设，实现数字资源服务和网络学习全覆盖。加强全县“互联网+医疗服务”管理，</w:t>
      </w:r>
      <w:r>
        <w:rPr>
          <w:rFonts w:hint="eastAsia" w:ascii="仿宋_GB2312" w:hAnsi="仿宋_GB2312" w:eastAsia="仿宋_GB2312" w:cs="仿宋_GB2312"/>
          <w:sz w:val="32"/>
          <w:szCs w:val="32"/>
        </w:rPr>
        <w:t>实现全员人口、电子健康档案和电子病历数据互通共享，构建医疗健康大数据，健全覆盖医疗服务、公共卫生、健康保健、综合监管的智慧健康应用体系。</w:t>
      </w:r>
      <w:r>
        <w:rPr>
          <w:rFonts w:hint="eastAsia" w:ascii="仿宋_GB2312" w:hAnsi="仿宋_GB2312" w:eastAsia="仿宋_GB2312" w:cs="仿宋_GB2312"/>
          <w:color w:val="000000"/>
          <w:sz w:val="32"/>
          <w:szCs w:val="32"/>
        </w:rPr>
        <w:t>推动文旅景观全域提升，</w:t>
      </w:r>
      <w:r>
        <w:rPr>
          <w:rFonts w:hint="eastAsia" w:ascii="仿宋_GB2312" w:hAnsi="仿宋_GB2312" w:eastAsia="仿宋_GB2312" w:cs="仿宋_GB2312"/>
          <w:sz w:val="32"/>
          <w:szCs w:val="32"/>
        </w:rPr>
        <w:t>集成导航、导游、导览和导购功能及文旅特色服务，实现“一部手机游长子”。运用智慧交通系统，盘活热门地段停车资源，有效匹配停车需求，缓解城市停车难问题。</w:t>
      </w:r>
    </w:p>
    <w:p>
      <w:pPr>
        <w:spacing w:line="628" w:lineRule="exact"/>
        <w:ind w:firstLine="642" w:firstLineChars="200"/>
        <w:rPr>
          <w:rFonts w:ascii="仿宋_GB2312" w:hAnsi="仿宋_GB2312" w:eastAsia="仿宋_GB2312" w:cs="仿宋_GB2312"/>
          <w:szCs w:val="21"/>
        </w:rPr>
      </w:pPr>
      <w:r>
        <w:rPr>
          <w:rFonts w:hint="eastAsia" w:ascii="仿宋_GB2312" w:hAnsi="仿宋_GB2312" w:eastAsia="仿宋_GB2312" w:cs="仿宋_GB2312"/>
          <w:b/>
          <w:bCs/>
          <w:sz w:val="32"/>
          <w:szCs w:val="32"/>
        </w:rPr>
        <w:t>发展数字经济。</w:t>
      </w:r>
      <w:r>
        <w:rPr>
          <w:rFonts w:hint="eastAsia" w:ascii="仿宋_GB2312" w:hAnsi="仿宋_GB2312" w:eastAsia="仿宋_GB2312" w:cs="仿宋_GB2312"/>
          <w:sz w:val="32"/>
          <w:szCs w:val="32"/>
        </w:rPr>
        <w:t>围绕云</w:t>
      </w:r>
      <w:r>
        <w:rPr>
          <w:rFonts w:hint="eastAsia" w:ascii="仿宋_GB2312" w:hAnsi="仿宋_GB2312" w:eastAsia="仿宋_GB2312" w:cs="仿宋_GB2312"/>
          <w:spacing w:val="6"/>
          <w:sz w:val="32"/>
          <w:szCs w:val="32"/>
        </w:rPr>
        <w:t>计算、大数据、物联网、人工智能等新一代信息技术，规划建设数字经济产业园，打造以数字经济创新孵化中心、电子商务互联网产业基地、数字农业示范基地、大宗物流数据谷为载体的“一中心三基地”。探索形成具有数字经济时代鲜明特征的创新发展道路，加快数字技术在三次产业中的融合应用，孕育催生一批数字经济新兴业态，数字经济发展水平显著提高，数字经济增加</w:t>
      </w:r>
      <w:r>
        <w:rPr>
          <w:rFonts w:hint="eastAsia" w:ascii="仿宋_GB2312" w:hAnsi="仿宋_GB2312" w:eastAsia="仿宋_GB2312" w:cs="仿宋_GB2312"/>
          <w:sz w:val="32"/>
          <w:szCs w:val="32"/>
        </w:rPr>
        <w:t>值占GDP比重显著提升。</w:t>
      </w:r>
      <w:bookmarkStart w:id="293" w:name="_Toc31352"/>
      <w:bookmarkStart w:id="294" w:name="_Toc16000"/>
      <w:bookmarkStart w:id="295" w:name="_Toc5964"/>
      <w:bookmarkStart w:id="296" w:name="_Toc15514"/>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8671" w:type="dxa"/>
            <w:vAlign w:val="center"/>
          </w:tcPr>
          <w:p>
            <w:pPr>
              <w:spacing w:line="600" w:lineRule="exact"/>
              <w:jc w:val="center"/>
            </w:pPr>
            <w:r>
              <w:rPr>
                <w:rFonts w:hint="eastAsia" w:ascii="黑体" w:hAnsi="宋体" w:eastAsia="黑体" w:cs="黑体"/>
                <w:color w:val="000000"/>
                <w:kern w:val="0"/>
                <w:sz w:val="28"/>
                <w:szCs w:val="28"/>
              </w:rPr>
              <w:t>专栏7 数字化转型工程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5" w:hRule="atLeast"/>
          <w:jc w:val="center"/>
        </w:trPr>
        <w:tc>
          <w:tcPr>
            <w:tcW w:w="8671" w:type="dxa"/>
            <w:vAlign w:val="center"/>
          </w:tcPr>
          <w:p>
            <w:pPr>
              <w:numPr>
                <w:ilvl w:val="0"/>
                <w:numId w:val="5"/>
              </w:numPr>
              <w:spacing w:line="340" w:lineRule="exact"/>
              <w:rPr>
                <w:rFonts w:ascii="宋体" w:hAnsi="宋体" w:eastAsia="宋体" w:cs="宋体"/>
                <w:color w:val="000000" w:themeColor="text1"/>
                <w:szCs w:val="21"/>
              </w:rPr>
            </w:pPr>
            <w:r>
              <w:rPr>
                <w:rFonts w:hint="eastAsia" w:ascii="宋体" w:hAnsi="宋体" w:eastAsia="宋体" w:cs="宋体"/>
                <w:b/>
                <w:bCs/>
                <w:color w:val="000000" w:themeColor="text1"/>
                <w:szCs w:val="21"/>
              </w:rPr>
              <w:t>数字长子建设工程。</w:t>
            </w:r>
            <w:r>
              <w:rPr>
                <w:rFonts w:hint="eastAsia" w:ascii="宋体" w:hAnsi="宋体" w:eastAsia="宋体" w:cs="宋体"/>
                <w:color w:val="000000" w:themeColor="text1"/>
                <w:szCs w:val="21"/>
              </w:rPr>
              <w:t>加快“互联网+政务服务”推广应用，实现不同部门系统数据连通，提高决策科学性、服务效率，推动政府职能转变，实现政务服务“一网通办”。推进5G基站建设，推动雪亮工程、应急指挥、生态环境、护林防火等各类运行系统互联互通，全网统一管理，实现“一网统管”。</w:t>
            </w:r>
          </w:p>
          <w:p>
            <w:pPr>
              <w:numPr>
                <w:ilvl w:val="0"/>
                <w:numId w:val="6"/>
              </w:numPr>
              <w:spacing w:line="340" w:lineRule="exact"/>
              <w:rPr>
                <w:rFonts w:ascii="仿宋" w:hAnsi="仿宋" w:eastAsia="仿宋" w:cs="仿宋"/>
                <w:sz w:val="24"/>
              </w:rPr>
            </w:pPr>
            <w:r>
              <w:rPr>
                <w:rFonts w:hint="eastAsia" w:ascii="宋体" w:hAnsi="宋体" w:eastAsia="宋体" w:cs="宋体"/>
                <w:b/>
                <w:bCs/>
                <w:color w:val="000000" w:themeColor="text1"/>
                <w:szCs w:val="21"/>
              </w:rPr>
              <w:t>谋划建设数字经济产业园。</w:t>
            </w:r>
            <w:r>
              <w:rPr>
                <w:rFonts w:hint="eastAsia" w:ascii="宋体" w:hAnsi="宋体" w:eastAsia="宋体" w:cs="宋体"/>
                <w:color w:val="000000" w:themeColor="text1"/>
                <w:szCs w:val="21"/>
              </w:rPr>
              <w:t>打造以数字经济创新孵化中心、电子商务互联网产业基地、数字农业示范基地、大宗物流数据谷为载体的“一中心三基地”。以丹朱组团为核心打造千亩数字经济产业园区。</w:t>
            </w:r>
          </w:p>
        </w:tc>
      </w:tr>
    </w:tbl>
    <w:p/>
    <w:p>
      <w:pPr>
        <w:rPr>
          <w:rFonts w:ascii="黑体" w:hAnsi="黑体" w:eastAsia="黑体" w:cs="黑体"/>
          <w:bCs/>
          <w:kern w:val="44"/>
          <w:sz w:val="32"/>
          <w:szCs w:val="32"/>
        </w:rPr>
      </w:pPr>
      <w:bookmarkStart w:id="297" w:name="_Toc26627"/>
      <w:bookmarkStart w:id="298" w:name="_Toc2751"/>
      <w:bookmarkStart w:id="299" w:name="_Toc21856"/>
      <w:bookmarkStart w:id="300" w:name="_Toc659"/>
      <w:r>
        <w:rPr>
          <w:rFonts w:hint="eastAsia" w:ascii="黑体" w:hAnsi="黑体" w:eastAsia="黑体" w:cs="黑体"/>
          <w:bCs/>
          <w:kern w:val="44"/>
          <w:sz w:val="32"/>
          <w:szCs w:val="32"/>
        </w:rPr>
        <w:br w:type="page"/>
      </w:r>
    </w:p>
    <w:p>
      <w:pPr>
        <w:spacing w:line="608" w:lineRule="exact"/>
        <w:jc w:val="center"/>
        <w:rPr>
          <w:rFonts w:ascii="黑体" w:hAnsi="黑体" w:eastAsia="黑体" w:cs="黑体"/>
          <w:bCs/>
          <w:kern w:val="44"/>
          <w:sz w:val="32"/>
          <w:szCs w:val="32"/>
        </w:rPr>
      </w:pPr>
    </w:p>
    <w:p>
      <w:pPr>
        <w:spacing w:line="608" w:lineRule="exact"/>
        <w:jc w:val="center"/>
        <w:rPr>
          <w:rFonts w:ascii="黑体" w:hAnsi="黑体" w:eastAsia="黑体" w:cs="黑体"/>
          <w:bCs/>
          <w:kern w:val="44"/>
          <w:sz w:val="32"/>
          <w:szCs w:val="32"/>
        </w:rPr>
      </w:pPr>
      <w:r>
        <w:rPr>
          <w:rFonts w:hint="eastAsia" w:ascii="黑体" w:hAnsi="黑体" w:eastAsia="黑体" w:cs="黑体"/>
          <w:bCs/>
          <w:kern w:val="44"/>
          <w:sz w:val="36"/>
          <w:szCs w:val="36"/>
        </w:rPr>
        <w:t>第四章  全面推进乡村振兴，加快农业农村现代化</w:t>
      </w:r>
      <w:bookmarkEnd w:id="293"/>
      <w:bookmarkEnd w:id="294"/>
      <w:bookmarkEnd w:id="295"/>
      <w:bookmarkEnd w:id="296"/>
      <w:bookmarkEnd w:id="297"/>
      <w:bookmarkEnd w:id="298"/>
      <w:bookmarkEnd w:id="299"/>
      <w:bookmarkEnd w:id="300"/>
    </w:p>
    <w:p>
      <w:pPr>
        <w:spacing w:line="608" w:lineRule="exact"/>
        <w:ind w:firstLine="640" w:firstLineChars="200"/>
        <w:rPr>
          <w:rFonts w:ascii="仿宋_GB2312" w:hAnsi="仿宋_GB2312" w:eastAsia="仿宋_GB2312" w:cs="仿宋_GB2312"/>
          <w:sz w:val="32"/>
          <w:szCs w:val="32"/>
        </w:rPr>
      </w:pPr>
      <w:bookmarkStart w:id="301" w:name="_Toc19181"/>
      <w:bookmarkStart w:id="302" w:name="_Toc16521"/>
      <w:bookmarkStart w:id="303" w:name="_Toc19649"/>
      <w:bookmarkStart w:id="304" w:name="_Toc12163"/>
      <w:bookmarkStart w:id="305" w:name="_Toc12445"/>
      <w:bookmarkStart w:id="306" w:name="_Toc12135"/>
      <w:bookmarkStart w:id="307" w:name="_Toc28368"/>
      <w:bookmarkStart w:id="308" w:name="_Toc25950"/>
      <w:bookmarkStart w:id="309" w:name="_Toc8704"/>
      <w:bookmarkStart w:id="310" w:name="_Toc11179"/>
      <w:bookmarkStart w:id="311" w:name="_Toc32245"/>
      <w:bookmarkStart w:id="312" w:name="_Toc43649329"/>
      <w:bookmarkStart w:id="313" w:name="_Toc14308"/>
      <w:bookmarkStart w:id="314" w:name="_Toc11335"/>
      <w:bookmarkStart w:id="315" w:name="_Toc32111"/>
      <w:bookmarkStart w:id="316" w:name="_Toc28770"/>
      <w:bookmarkStart w:id="317" w:name="_Toc19687"/>
      <w:bookmarkStart w:id="318" w:name="_Toc1933"/>
      <w:bookmarkStart w:id="319" w:name="_Toc24659"/>
      <w:bookmarkStart w:id="320" w:name="_Toc28856"/>
      <w:bookmarkStart w:id="321" w:name="_Toc11185"/>
      <w:bookmarkStart w:id="322" w:name="_Toc19124"/>
      <w:bookmarkStart w:id="323" w:name="_Toc15946"/>
      <w:bookmarkStart w:id="324" w:name="_Toc24205"/>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坚持以乡村振兴统揽新发展阶段“三农”工作，做好巩固拓展脱贫攻坚成果同乡村振兴有效衔接，促进农业高质高效、乡村宜居宜业、农民富裕富足，全面开启长子农业农村现代化新征程。</w:t>
      </w:r>
    </w:p>
    <w:p>
      <w:pPr>
        <w:pStyle w:val="2"/>
      </w:pPr>
    </w:p>
    <w:p>
      <w:pPr>
        <w:pStyle w:val="5"/>
        <w:spacing w:beforeLines="0" w:afterLines="0" w:line="608" w:lineRule="exact"/>
        <w:rPr>
          <w:rFonts w:ascii="楷体_GB2312" w:hAnsi="楷体_GB2312" w:eastAsia="楷体_GB2312" w:cs="楷体_GB2312"/>
        </w:rPr>
      </w:pPr>
      <w:bookmarkStart w:id="325" w:name="_Toc1646"/>
      <w:bookmarkStart w:id="326" w:name="_Toc22134"/>
      <w:bookmarkStart w:id="327" w:name="_Toc24620"/>
      <w:bookmarkStart w:id="328" w:name="_Toc3461"/>
      <w:bookmarkStart w:id="329" w:name="_Toc2886"/>
      <w:bookmarkStart w:id="330" w:name="_Toc11525"/>
      <w:bookmarkStart w:id="331" w:name="_Toc23762"/>
      <w:bookmarkStart w:id="332" w:name="_Toc9118"/>
      <w:bookmarkStart w:id="333" w:name="_Toc28393"/>
      <w:bookmarkStart w:id="334" w:name="_Toc20209"/>
      <w:bookmarkStart w:id="335" w:name="_Toc20564"/>
      <w:bookmarkStart w:id="336" w:name="_Toc20920"/>
      <w:bookmarkStart w:id="337" w:name="_Toc16161"/>
      <w:bookmarkStart w:id="338" w:name="_Toc6238"/>
      <w:bookmarkStart w:id="339" w:name="_Toc19510"/>
      <w:bookmarkStart w:id="340" w:name="_Toc19944"/>
      <w:bookmarkStart w:id="341" w:name="_Toc28289"/>
      <w:bookmarkStart w:id="342" w:name="_Toc30127"/>
      <w:bookmarkStart w:id="343" w:name="_Toc22458"/>
      <w:bookmarkStart w:id="344" w:name="_Toc26565"/>
      <w:bookmarkStart w:id="345" w:name="_Toc14790"/>
      <w:bookmarkStart w:id="346" w:name="_Toc12190"/>
      <w:bookmarkStart w:id="347" w:name="_Toc7418"/>
      <w:bookmarkStart w:id="348" w:name="_Toc12643"/>
      <w:bookmarkStart w:id="349" w:name="_Toc15177"/>
      <w:bookmarkStart w:id="350" w:name="_Toc31926"/>
      <w:bookmarkStart w:id="351" w:name="_Toc27761"/>
      <w:bookmarkStart w:id="352" w:name="_Toc29492"/>
      <w:bookmarkStart w:id="353" w:name="_Toc16231"/>
      <w:bookmarkStart w:id="354" w:name="_Toc261"/>
      <w:bookmarkStart w:id="355" w:name="_Toc7930"/>
      <w:bookmarkStart w:id="356" w:name="_Toc5572"/>
      <w:bookmarkStart w:id="357" w:name="_Toc5307"/>
      <w:bookmarkStart w:id="358" w:name="_Toc22864"/>
      <w:bookmarkStart w:id="359" w:name="_Toc24303"/>
      <w:bookmarkStart w:id="360" w:name="_Toc5039"/>
      <w:bookmarkStart w:id="361" w:name="_Toc239"/>
      <w:bookmarkStart w:id="362" w:name="_Toc18265"/>
      <w:bookmarkStart w:id="363" w:name="_Toc24121"/>
      <w:bookmarkStart w:id="364" w:name="_Toc17809"/>
      <w:bookmarkStart w:id="365" w:name="_Toc4119"/>
      <w:bookmarkStart w:id="366" w:name="_Toc32227"/>
      <w:bookmarkStart w:id="367" w:name="_Toc13730"/>
      <w:bookmarkStart w:id="368" w:name="_Toc3641"/>
      <w:bookmarkStart w:id="369" w:name="_Toc26835"/>
      <w:bookmarkStart w:id="370" w:name="_Toc22492"/>
      <w:bookmarkStart w:id="371" w:name="_Toc15618"/>
      <w:bookmarkStart w:id="372" w:name="_Toc30660"/>
      <w:bookmarkStart w:id="373" w:name="_Toc29348"/>
      <w:bookmarkStart w:id="374" w:name="_Toc27881"/>
      <w:bookmarkStart w:id="375" w:name="_Toc19864"/>
      <w:bookmarkStart w:id="376" w:name="_Toc5073"/>
      <w:bookmarkStart w:id="377" w:name="_Toc26231"/>
      <w:bookmarkStart w:id="378" w:name="_Toc701"/>
      <w:bookmarkStart w:id="379" w:name="_Toc20550"/>
      <w:r>
        <w:rPr>
          <w:rFonts w:hint="eastAsia" w:ascii="楷体_GB2312" w:hAnsi="楷体_GB2312" w:eastAsia="楷体_GB2312" w:cs="楷体_GB2312"/>
        </w:rPr>
        <w:t>第一节  切实做好稳粮保供</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围绕保障粮食安全和重要农产品高质量供应，强化产供储销体系建设，健全稳定生产、畅通供应、强化储备、多方协调、精准调控的政策体系，全面提升保供稳价能力，促进市场供求动态平衡。</w:t>
      </w:r>
    </w:p>
    <w:p>
      <w:pPr>
        <w:spacing w:line="608" w:lineRule="exact"/>
        <w:ind w:firstLine="642" w:firstLineChars="200"/>
        <w:outlineLvl w:val="2"/>
        <w:rPr>
          <w:rFonts w:ascii="仿宋_GB2312" w:hAnsi="仿宋_GB2312" w:eastAsia="仿宋_GB2312" w:cs="仿宋_GB2312"/>
          <w:sz w:val="32"/>
          <w:szCs w:val="32"/>
        </w:rPr>
      </w:pPr>
      <w:bookmarkStart w:id="380" w:name="_Toc30557"/>
      <w:bookmarkStart w:id="381" w:name="_Toc3216"/>
      <w:r>
        <w:rPr>
          <w:rFonts w:hint="eastAsia" w:ascii="仿宋_GB2312" w:hAnsi="仿宋_GB2312" w:eastAsia="仿宋_GB2312" w:cs="仿宋_GB2312"/>
          <w:b/>
          <w:bCs/>
          <w:sz w:val="32"/>
          <w:szCs w:val="32"/>
        </w:rPr>
        <w:t>增强农产品供应保障能力。</w:t>
      </w:r>
      <w:r>
        <w:rPr>
          <w:rFonts w:hint="eastAsia" w:ascii="仿宋_GB2312" w:hAnsi="仿宋_GB2312" w:eastAsia="仿宋_GB2312" w:cs="仿宋_GB2312"/>
          <w:sz w:val="32"/>
          <w:szCs w:val="32"/>
        </w:rPr>
        <w:t>夯实粮食生产基础，深入实施“藏粮于地、藏粮于技”战略，提高农业综合生产能力，保障粮食安全和重要农产品有效供给。坚守耕地红线，</w:t>
      </w:r>
      <w:r>
        <w:rPr>
          <w:rFonts w:hint="eastAsia" w:ascii="仿宋_GB2312" w:hAnsi="仿宋_GB2312" w:eastAsia="仿宋_GB2312" w:cs="仿宋_GB2312"/>
          <w:color w:val="000000" w:themeColor="text1"/>
          <w:sz w:val="32"/>
          <w:szCs w:val="32"/>
        </w:rPr>
        <w:t>落实最严格的耕地保护制度，</w:t>
      </w:r>
      <w:r>
        <w:rPr>
          <w:rFonts w:hint="eastAsia" w:ascii="仿宋_GB2312" w:hAnsi="仿宋_GB2312" w:eastAsia="仿宋_GB2312" w:cs="仿宋_GB2312"/>
          <w:sz w:val="32"/>
          <w:szCs w:val="32"/>
        </w:rPr>
        <w:t>坚决遏制耕地“非农化”、防止“非粮化”，严格执行耕地占补平衡规定。发挥规模化养殖企业龙头带动作用，不断提高全县生猪产能。推进“菜篮子”工程健康有序发展，有效保障蔬菜供给。按照“集中连片、旱涝保收、节水高效、稳产高产、生态友好”要求，大力推进高标准农田建设，力争“十四五”时期完成8.9万亩的新建及提质改造任务。提推进农作物、畜禽等种质资源的保护。</w:t>
      </w:r>
      <w:r>
        <w:rPr>
          <w:rStyle w:val="32"/>
          <w:rFonts w:hint="eastAsia" w:ascii="仿宋_GB2312" w:hAnsi="仿宋_GB2312" w:eastAsia="仿宋_GB2312" w:cs="仿宋_GB2312"/>
          <w:b w:val="0"/>
          <w:bCs/>
          <w:szCs w:val="32"/>
        </w:rPr>
        <w:t>健全动物防疫和农作物病虫害防治体系，</w:t>
      </w:r>
      <w:r>
        <w:rPr>
          <w:rFonts w:hint="eastAsia" w:ascii="仿宋_GB2312" w:hAnsi="仿宋_GB2312" w:eastAsia="仿宋_GB2312" w:cs="仿宋_GB2312"/>
          <w:color w:val="000000" w:themeColor="text1"/>
          <w:sz w:val="32"/>
          <w:szCs w:val="32"/>
        </w:rPr>
        <w:t>提升农业抗风险能力。</w:t>
      </w:r>
      <w:r>
        <w:rPr>
          <w:rFonts w:hint="eastAsia" w:ascii="仿宋_GB2312" w:hAnsi="仿宋_GB2312" w:eastAsia="仿宋_GB2312" w:cs="仿宋_GB2312"/>
          <w:sz w:val="32"/>
          <w:szCs w:val="32"/>
        </w:rPr>
        <w:t>深入实施“优质粮食工程”，增加优质农产品供给。开展粮食节约行动。</w:t>
      </w:r>
      <w:bookmarkEnd w:id="380"/>
      <w:bookmarkEnd w:id="381"/>
    </w:p>
    <w:p>
      <w:pPr>
        <w:spacing w:line="608" w:lineRule="exact"/>
        <w:ind w:firstLine="642" w:firstLineChars="200"/>
        <w:outlineLvl w:val="2"/>
        <w:rPr>
          <w:rFonts w:ascii="仿宋_GB2312" w:hAnsi="仿宋_GB2312" w:eastAsia="仿宋_GB2312" w:cs="仿宋_GB2312"/>
          <w:sz w:val="32"/>
          <w:szCs w:val="32"/>
        </w:rPr>
      </w:pPr>
      <w:bookmarkStart w:id="382" w:name="_Toc1024"/>
      <w:bookmarkStart w:id="383" w:name="_Toc29551"/>
      <w:r>
        <w:rPr>
          <w:rStyle w:val="32"/>
          <w:rFonts w:hint="eastAsia" w:ascii="仿宋_GB2312" w:hAnsi="仿宋_GB2312" w:eastAsia="仿宋_GB2312" w:cs="仿宋_GB2312"/>
          <w:szCs w:val="32"/>
        </w:rPr>
        <w:t>推进农业基础设施现代化。</w:t>
      </w:r>
      <w:r>
        <w:rPr>
          <w:rFonts w:hint="eastAsia" w:ascii="仿宋_GB2312" w:hAnsi="仿宋_GB2312" w:eastAsia="仿宋_GB2312" w:cs="仿宋_GB2312"/>
          <w:sz w:val="32"/>
          <w:szCs w:val="32"/>
        </w:rPr>
        <w:t>强化农业科技和装备支撑，提升农业良种化和机械化水平，</w:t>
      </w:r>
      <w:r>
        <w:rPr>
          <w:rStyle w:val="32"/>
          <w:rFonts w:hint="eastAsia" w:ascii="仿宋_GB2312" w:hAnsi="仿宋_GB2312" w:eastAsia="仿宋_GB2312" w:cs="仿宋_GB2312"/>
          <w:b w:val="0"/>
          <w:bCs/>
          <w:szCs w:val="32"/>
        </w:rPr>
        <w:t>加快农机在粮食主产区和经济作物主产区的推广应用，稳步推进农作物生产机械化，</w:t>
      </w:r>
      <w:r>
        <w:rPr>
          <w:rFonts w:hint="eastAsia" w:ascii="仿宋_GB2312" w:hAnsi="仿宋_GB2312" w:eastAsia="仿宋_GB2312" w:cs="仿宋_GB2312"/>
          <w:sz w:val="32"/>
          <w:szCs w:val="32"/>
        </w:rPr>
        <w:t>“十四五”时期，全县农作物耕种收综合机械化率达到80%以上</w:t>
      </w:r>
      <w:r>
        <w:rPr>
          <w:rStyle w:val="32"/>
          <w:rFonts w:hint="eastAsia" w:ascii="仿宋_GB2312" w:hAnsi="仿宋_GB2312" w:eastAsia="仿宋_GB2312" w:cs="仿宋_GB2312"/>
          <w:b w:val="0"/>
          <w:bCs/>
          <w:szCs w:val="32"/>
        </w:rPr>
        <w:t>。持续改造农田排灌体系，兴建抗旱水源工程，重点推广节水灌溉，鼓励农民自主建设小型水利工程，夯实农田水利基础。加强农村供水城乡一体化建设，提升水旱灾害防御信息化发展水平。</w:t>
      </w:r>
      <w:r>
        <w:rPr>
          <w:rFonts w:hint="eastAsia" w:ascii="仿宋_GB2312" w:hAnsi="仿宋_GB2312" w:eastAsia="仿宋_GB2312" w:cs="仿宋_GB2312"/>
          <w:sz w:val="32"/>
          <w:szCs w:val="32"/>
        </w:rPr>
        <w:t>加快数字农业建设，以丹朱组团为核心打造千亩数字经济产业园区，加强农业遥感、物联网推广应用，提高农业精准化水平和综合信息服务水平，促进农业与信息技术深度融合。</w:t>
      </w:r>
      <w:bookmarkEnd w:id="382"/>
      <w:bookmarkEnd w:id="383"/>
      <w:bookmarkStart w:id="384" w:name="_Toc13879"/>
      <w:bookmarkStart w:id="385" w:name="_Toc25126"/>
      <w:bookmarkStart w:id="386" w:name="_Toc10508"/>
      <w:bookmarkStart w:id="387" w:name="_Toc30086"/>
    </w:p>
    <w:p>
      <w:pPr>
        <w:spacing w:line="608" w:lineRule="exact"/>
        <w:ind w:firstLine="642" w:firstLineChars="200"/>
        <w:outlineLvl w:val="2"/>
      </w:pPr>
      <w:r>
        <w:rPr>
          <w:rFonts w:hint="eastAsia" w:ascii="仿宋_GB2312" w:hAnsi="仿宋_GB2312" w:eastAsia="仿宋_GB2312" w:cs="仿宋_GB2312"/>
          <w:b/>
          <w:bCs/>
          <w:sz w:val="32"/>
          <w:szCs w:val="32"/>
        </w:rPr>
        <w:t>提升粮食收储产销能力。</w:t>
      </w:r>
      <w:bookmarkEnd w:id="351"/>
      <w:r>
        <w:rPr>
          <w:rStyle w:val="32"/>
          <w:rFonts w:hint="eastAsia" w:ascii="仿宋_GB2312" w:hAnsi="仿宋_GB2312" w:eastAsia="仿宋_GB2312" w:cs="仿宋_GB2312"/>
          <w:b w:val="0"/>
          <w:bCs/>
          <w:szCs w:val="32"/>
        </w:rPr>
        <w:t>完善储备粮安全保障体系，提升粮食仓储基础设施现代化水平，增强安全运行保障能力。健全粮食等重要农产品收储和储备管理机制，推进储备物资监管可视化、业务规范化、流程痕迹化、决策数据化，加强生产、加工、仓储、物流、调运配送等环节的协调和匹配，强化冷链物流等基础设施建设，提升粮食流通和收储调控能力。按照“企业储、部门管、财政补、政府调”原则，建立成品粮油储备制度，完善应急供应和放心粮油供应网络，提升保供稳价水平。</w:t>
      </w:r>
      <w:bookmarkEnd w:id="384"/>
      <w:bookmarkEnd w:id="385"/>
      <w:bookmarkEnd w:id="386"/>
      <w:bookmarkEnd w:id="387"/>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Pr>
        <w:spacing w:line="608" w:lineRule="exact"/>
        <w:jc w:val="center"/>
        <w:outlineLvl w:val="1"/>
        <w:rPr>
          <w:rFonts w:ascii="楷体_GB2312" w:hAnsi="楷体_GB2312" w:eastAsia="楷体_GB2312" w:cs="楷体_GB2312"/>
          <w:b/>
          <w:sz w:val="32"/>
          <w:szCs w:val="32"/>
        </w:rPr>
      </w:pPr>
      <w:bookmarkStart w:id="388" w:name="_Toc20732"/>
      <w:bookmarkStart w:id="389" w:name="_Toc3323"/>
      <w:bookmarkStart w:id="390" w:name="_Toc16169"/>
      <w:bookmarkStart w:id="391" w:name="_Toc12144"/>
    </w:p>
    <w:p>
      <w:pPr>
        <w:spacing w:line="608" w:lineRule="exact"/>
        <w:jc w:val="center"/>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第二节  持续提升农业质量效益</w:t>
      </w:r>
      <w:bookmarkEnd w:id="388"/>
      <w:bookmarkEnd w:id="389"/>
      <w:bookmarkEnd w:id="390"/>
      <w:bookmarkEnd w:id="391"/>
    </w:p>
    <w:p>
      <w:pPr>
        <w:spacing w:line="608" w:lineRule="exact"/>
        <w:ind w:firstLine="640" w:firstLineChars="200"/>
        <w:outlineLvl w:val="2"/>
        <w:rPr>
          <w:rFonts w:ascii="仿宋_GB2312" w:hAnsi="仿宋_GB2312" w:eastAsia="仿宋_GB2312" w:cs="仿宋_GB2312"/>
          <w:sz w:val="32"/>
          <w:szCs w:val="32"/>
        </w:rPr>
      </w:pPr>
      <w:bookmarkStart w:id="392" w:name="_Toc18945"/>
      <w:bookmarkStart w:id="393" w:name="_Toc29874"/>
    </w:p>
    <w:p>
      <w:pPr>
        <w:spacing w:line="608"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深入实施耕地质量提升、农水节约增效、旱作良种攻关、农技集成创新、农机配套融合、绿色循环发展、保护性耕作、品牌建设、新型经营主体培育、信息化等十大工程，全面推进省级有机旱作农业示范县建设。</w:t>
      </w:r>
      <w:bookmarkEnd w:id="392"/>
      <w:bookmarkEnd w:id="393"/>
    </w:p>
    <w:p>
      <w:pPr>
        <w:pStyle w:val="8"/>
        <w:spacing w:line="608" w:lineRule="exact"/>
        <w:ind w:firstLine="642"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b/>
          <w:bCs/>
          <w:sz w:val="32"/>
          <w:szCs w:val="32"/>
        </w:rPr>
        <w:t>加快特色有机旱作农业发展。</w:t>
      </w:r>
      <w:r>
        <w:rPr>
          <w:rFonts w:hint="eastAsia" w:ascii="仿宋_GB2312" w:hAnsi="仿宋_GB2312" w:eastAsia="仿宋_GB2312" w:cs="仿宋_GB2312"/>
          <w:sz w:val="32"/>
          <w:szCs w:val="32"/>
        </w:rPr>
        <w:t>坚持</w:t>
      </w:r>
      <w:r>
        <w:rPr>
          <w:rFonts w:hint="eastAsia" w:ascii="仿宋_GB2312" w:hAnsi="仿宋_GB2312" w:eastAsia="仿宋_GB2312" w:cs="仿宋_GB2312"/>
          <w:spacing w:val="-6"/>
          <w:sz w:val="32"/>
          <w:szCs w:val="32"/>
        </w:rPr>
        <w:t>科技支撑、高效生产，标准引领、品牌带动，市场主导、主体运作基本原则，持续推进全县有机旱作农业纵深发展。充分利用“院县共建”合作平台，发挥其人才、技术等优势，打造以鲍店、常张、丹朱、宋村、南漳、大堡头、南陈等乡镇为主的“有机旱作粮菜与健康养殖循环农业区”；打造以石哲、南陈、大堡头、碾张、慈林、色头、横水、王峪等乡镇（管理中心）为主的“有机旱作药果种植及生态涵养区”。坚持整体推进与多点布局相衔接，以西汉市级有机旱作农业封闭示范区，西寺头省级有机旱作农业封闭示范片，绿野、浩润、阡陌等市级现代农业产业园和五洲等市级特色产业示范园等示范主体为基础，建成有机旱作农业智能化生产和技术研发、技术集成示范、休闲观光、科普宣传等多功能为一体的综合性示范主体，带动和引领全县有机旱作农业快速高效发展。</w:t>
      </w:r>
    </w:p>
    <w:p>
      <w:pPr>
        <w:pStyle w:val="8"/>
        <w:spacing w:line="608" w:lineRule="exact"/>
        <w:ind w:firstLine="642"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创建全国畜牧强县。</w:t>
      </w:r>
      <w:r>
        <w:rPr>
          <w:rFonts w:hint="eastAsia" w:ascii="仿宋_GB2312" w:hAnsi="仿宋_GB2312" w:eastAsia="仿宋_GB2312" w:cs="仿宋_GB2312"/>
          <w:sz w:val="32"/>
          <w:szCs w:val="32"/>
        </w:rPr>
        <w:t>以温氏生猪养殖为引领，以丹朱、宋村、鲍店、南漳、南陈、碾张等乡镇为重点，建设生猪养殖基地；以丹朱、大堡头、鲍店、石哲、南陈、常张、王峪等乡镇为重点，发展蛋鸡养殖；以石哲、南陈、常张、横水、王峪为主，发展牛羊养殖。十四五末，全县生猪饲养量突破50万头，蛋鸡饲养量稳定在400万只，肉牛2万头，肉羊18万只；畜牧业产值力争突破10亿元，占农业总产值比重力争突破30%；畜禽养殖标准化比重达到85%。</w:t>
      </w:r>
    </w:p>
    <w:p>
      <w:pPr>
        <w:spacing w:line="608" w:lineRule="exact"/>
        <w:ind w:firstLine="642" w:firstLineChars="200"/>
        <w:outlineLvl w:val="2"/>
        <w:rPr>
          <w:rFonts w:ascii="仿宋_GB2312" w:hAnsi="仿宋_GB2312" w:eastAsia="仿宋_GB2312" w:cs="仿宋_GB2312"/>
          <w:sz w:val="32"/>
          <w:szCs w:val="32"/>
        </w:rPr>
      </w:pPr>
      <w:bookmarkStart w:id="394" w:name="_Toc27427"/>
      <w:bookmarkStart w:id="395" w:name="_Toc28986"/>
      <w:r>
        <w:rPr>
          <w:rFonts w:hint="eastAsia" w:ascii="仿宋_GB2312" w:hAnsi="仿宋_GB2312" w:eastAsia="仿宋_GB2312" w:cs="仿宋_GB2312"/>
          <w:b/>
          <w:bCs/>
          <w:sz w:val="32"/>
          <w:szCs w:val="32"/>
        </w:rPr>
        <w:t>建设标准化蔬菜产业基地。</w:t>
      </w:r>
      <w:r>
        <w:rPr>
          <w:rFonts w:hint="eastAsia" w:ascii="仿宋_GB2312" w:hAnsi="仿宋_GB2312" w:eastAsia="仿宋_GB2312" w:cs="仿宋_GB2312"/>
          <w:sz w:val="32"/>
          <w:szCs w:val="32"/>
        </w:rPr>
        <w:t>鼓励丹朱、宋村、大堡头、鲍店等平川乡镇发展青椒等特色种植，大力发展蔬菜深加工产业，加强标准化蔬菜生产基地认证，严格把控产品质量安全，创建特色鲜明、优势集聚、市场竞争力强的蔬菜种植基地。按照“基地+平台+项目”和“互联网+蔬菜批发市场”模式，推进国家蔬菜技术标准创新基地和优势农产品标准创新平台建设。“十四五”末，大青椒等特色蔬菜发展至7万亩，其中设施蔬菜3万亩，打造名副其实的“中国青椒之乡”。</w:t>
      </w:r>
      <w:bookmarkEnd w:id="394"/>
      <w:bookmarkEnd w:id="395"/>
    </w:p>
    <w:p>
      <w:pPr>
        <w:adjustRightInd w:val="0"/>
        <w:spacing w:line="608" w:lineRule="exact"/>
        <w:ind w:firstLine="642" w:firstLineChars="200"/>
        <w:outlineLvl w:val="2"/>
        <w:rPr>
          <w:rFonts w:ascii="仿宋_GB2312" w:hAnsi="仿宋_GB2312" w:eastAsia="仿宋_GB2312" w:cs="仿宋_GB2312"/>
          <w:sz w:val="32"/>
          <w:szCs w:val="32"/>
        </w:rPr>
      </w:pPr>
      <w:bookmarkStart w:id="396" w:name="_Toc23467"/>
      <w:bookmarkStart w:id="397" w:name="_Toc27311"/>
      <w:r>
        <w:rPr>
          <w:rFonts w:hint="eastAsia" w:ascii="仿宋_GB2312" w:hAnsi="仿宋_GB2312" w:eastAsia="仿宋_GB2312" w:cs="仿宋_GB2312"/>
          <w:b/>
          <w:bCs/>
          <w:sz w:val="32"/>
          <w:szCs w:val="32"/>
        </w:rPr>
        <w:t>培育壮大药茶产业集群。</w:t>
      </w:r>
      <w:r>
        <w:rPr>
          <w:rFonts w:hint="eastAsia" w:ascii="仿宋_GB2312" w:hAnsi="仿宋_GB2312" w:eastAsia="仿宋_GB2312" w:cs="仿宋_GB2312"/>
          <w:sz w:val="32"/>
          <w:szCs w:val="32"/>
        </w:rPr>
        <w:t>紧紧抓住药茶产业快速发展机遇，积极融入山西药茶产业联盟，推动我县药茶产业健康可持续发展。聚焦药茶高端化发展，优先打造连翘、蒲公英、菊花等药茶精品，加快申请授权使用山西药茶统一标识，积极做好“发鸠山药茶”、“丹朱药茶”商标注册，提高我县药茶企业的知名度和市场竞争力。充分发挥龙头企业在协作引领、产品辐射、技术示范、知识输出和营销网络等方面的核心作用，通过专业分工、服务外包、订单生产等方式，带动更多中小药茶企业规模化、集群化、专业化、高端化发展。</w:t>
      </w:r>
      <w:bookmarkEnd w:id="396"/>
      <w:bookmarkEnd w:id="397"/>
    </w:p>
    <w:p>
      <w:pPr>
        <w:pStyle w:val="2"/>
        <w:spacing w:before="0" w:beforeAutospacing="0" w:line="608" w:lineRule="exact"/>
        <w:ind w:left="0" w:leftChars="0"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推动农产品加工业精深发展。</w:t>
      </w:r>
      <w:r>
        <w:rPr>
          <w:rFonts w:hint="eastAsia" w:ascii="仿宋_GB2312" w:hAnsi="仿宋_GB2312" w:eastAsia="仿宋_GB2312" w:cs="仿宋_GB2312"/>
          <w:sz w:val="32"/>
          <w:szCs w:val="32"/>
        </w:rPr>
        <w:t>依托我县特色农产品资源优势，重点</w:t>
      </w:r>
      <w:r>
        <w:rPr>
          <w:rFonts w:hint="eastAsia" w:ascii="仿宋_GB2312" w:hAnsi="仿宋_GB2312" w:eastAsia="仿宋_GB2312" w:cs="仿宋_GB2312"/>
          <w:color w:val="000000" w:themeColor="text1"/>
          <w:sz w:val="32"/>
          <w:szCs w:val="32"/>
        </w:rPr>
        <w:t>打造药茶、酿品、中药材、肉制品、粮品、果蔬食品、功能保健品等七大产业集群。</w:t>
      </w:r>
      <w:r>
        <w:rPr>
          <w:rFonts w:hint="eastAsia" w:ascii="仿宋_GB2312" w:hAnsi="仿宋_GB2312" w:eastAsia="仿宋_GB2312" w:cs="仿宋_GB2312"/>
          <w:sz w:val="32"/>
          <w:szCs w:val="32"/>
        </w:rPr>
        <w:t>加快现代农业产业园建设，推进农产品加工向园区集聚，支持农产品就地加工转化增值。</w:t>
      </w:r>
      <w:r>
        <w:rPr>
          <w:rFonts w:hint="eastAsia" w:ascii="仿宋_GB2312" w:hAnsi="仿宋_GB2312" w:eastAsia="仿宋_GB2312" w:cs="仿宋_GB2312"/>
          <w:color w:val="000000" w:themeColor="text1"/>
          <w:sz w:val="32"/>
          <w:szCs w:val="32"/>
        </w:rPr>
        <w:t>持续</w:t>
      </w:r>
      <w:r>
        <w:rPr>
          <w:rStyle w:val="32"/>
          <w:rFonts w:hint="eastAsia" w:ascii="仿宋_GB2312" w:hAnsi="仿宋_GB2312" w:eastAsia="仿宋_GB2312" w:cs="仿宋_GB2312"/>
          <w:b w:val="0"/>
          <w:bCs/>
          <w:szCs w:val="32"/>
        </w:rPr>
        <w:t>推进基地建设、生产加工、品牌销售等全产业链条发展，</w:t>
      </w:r>
      <w:r>
        <w:rPr>
          <w:rFonts w:hint="eastAsia" w:ascii="仿宋_GB2312" w:hAnsi="仿宋_GB2312" w:eastAsia="仿宋_GB2312" w:cs="仿宋_GB2312"/>
          <w:color w:val="000000" w:themeColor="text1"/>
          <w:sz w:val="32"/>
          <w:szCs w:val="32"/>
        </w:rPr>
        <w:t>积极培育生态休闲农业、乡村旅游、农村电商等农村新业态，建设集生产、加工、科技、销售、冷储、农旅全产业链于一体的国家农业产业融合发展示范园。</w:t>
      </w:r>
      <w:r>
        <w:rPr>
          <w:rFonts w:hint="eastAsia" w:ascii="仿宋_GB2312" w:hAnsi="仿宋_GB2312" w:eastAsia="仿宋_GB2312" w:cs="仿宋_GB2312"/>
          <w:sz w:val="32"/>
          <w:szCs w:val="32"/>
        </w:rPr>
        <w:t>“十四五”末，全县农产品加工转化率达到60%以上。</w:t>
      </w:r>
    </w:p>
    <w:p/>
    <w:bookmarkEnd w:id="373"/>
    <w:bookmarkEnd w:id="374"/>
    <w:bookmarkEnd w:id="375"/>
    <w:bookmarkEnd w:id="376"/>
    <w:bookmarkEnd w:id="377"/>
    <w:bookmarkEnd w:id="378"/>
    <w:bookmarkEnd w:id="379"/>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674" w:type="dxa"/>
          </w:tcPr>
          <w:p>
            <w:pPr>
              <w:jc w:val="center"/>
            </w:pPr>
            <w:r>
              <w:rPr>
                <w:rFonts w:hint="eastAsia" w:ascii="黑体" w:hAnsi="宋体" w:eastAsia="黑体" w:cs="黑体"/>
                <w:color w:val="000000"/>
                <w:kern w:val="0"/>
                <w:sz w:val="28"/>
                <w:szCs w:val="28"/>
              </w:rPr>
              <w:t>专栏8 现代农业重大工程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3" w:hRule="atLeast"/>
          <w:jc w:val="center"/>
        </w:trPr>
        <w:tc>
          <w:tcPr>
            <w:tcW w:w="8674" w:type="dxa"/>
          </w:tcPr>
          <w:p>
            <w:pPr>
              <w:numPr>
                <w:ilvl w:val="0"/>
                <w:numId w:val="7"/>
              </w:numPr>
              <w:spacing w:line="360" w:lineRule="exact"/>
              <w:outlineLvl w:val="2"/>
              <w:rPr>
                <w:rFonts w:asciiTheme="minorEastAsia" w:hAnsiTheme="minorEastAsia" w:cstheme="minorEastAsia"/>
                <w:szCs w:val="21"/>
              </w:rPr>
            </w:pPr>
            <w:r>
              <w:rPr>
                <w:rFonts w:hint="eastAsia" w:asciiTheme="minorEastAsia" w:hAnsiTheme="minorEastAsia" w:cstheme="minorEastAsia"/>
                <w:b/>
                <w:bCs/>
                <w:szCs w:val="21"/>
              </w:rPr>
              <w:t>国家农业产业融合发展示范园建设工程。</w:t>
            </w:r>
            <w:r>
              <w:rPr>
                <w:rFonts w:hint="eastAsia" w:asciiTheme="minorEastAsia" w:hAnsiTheme="minorEastAsia" w:cstheme="minorEastAsia"/>
                <w:szCs w:val="21"/>
              </w:rPr>
              <w:t>培育生态休闲农业、乡村旅游、农村电商等农村新业态，建设集生产、加工、科技、销售、冷储、农旅全产业链于一体的国家农业产业融合发展示范园。</w:t>
            </w:r>
          </w:p>
          <w:p>
            <w:pPr>
              <w:numPr>
                <w:ilvl w:val="0"/>
                <w:numId w:val="7"/>
              </w:numPr>
              <w:spacing w:line="360" w:lineRule="exact"/>
              <w:outlineLvl w:val="2"/>
              <w:rPr>
                <w:rFonts w:asciiTheme="minorEastAsia" w:hAnsiTheme="minorEastAsia" w:cstheme="minorEastAsia"/>
                <w:szCs w:val="21"/>
              </w:rPr>
            </w:pPr>
            <w:r>
              <w:rPr>
                <w:rFonts w:hint="eastAsia" w:asciiTheme="minorEastAsia" w:hAnsiTheme="minorEastAsia" w:cstheme="minorEastAsia"/>
                <w:b/>
                <w:bCs/>
                <w:szCs w:val="21"/>
              </w:rPr>
              <w:t>省级有机旱作农业示范县建设工程。</w:t>
            </w:r>
            <w:r>
              <w:rPr>
                <w:rFonts w:hint="eastAsia" w:asciiTheme="minorEastAsia" w:hAnsiTheme="minorEastAsia" w:cstheme="minorEastAsia"/>
                <w:szCs w:val="21"/>
              </w:rPr>
              <w:t>重点实施耕地质量提升、农水节约增效、旱作良种攻关、农技集成创新、农机配套融合、绿色循环发展、保护性耕作、品牌建设、新型经营主体培育、信息化等十大工程。</w:t>
            </w:r>
          </w:p>
          <w:p>
            <w:pPr>
              <w:numPr>
                <w:ilvl w:val="0"/>
                <w:numId w:val="8"/>
              </w:numPr>
              <w:spacing w:line="360" w:lineRule="exact"/>
              <w:rPr>
                <w:rFonts w:asciiTheme="minorEastAsia" w:hAnsiTheme="minorEastAsia" w:cstheme="minorEastAsia"/>
                <w:szCs w:val="21"/>
              </w:rPr>
            </w:pPr>
            <w:r>
              <w:rPr>
                <w:rFonts w:hint="eastAsia" w:asciiTheme="minorEastAsia" w:hAnsiTheme="minorEastAsia" w:cstheme="minorEastAsia"/>
                <w:b/>
                <w:bCs/>
                <w:szCs w:val="21"/>
              </w:rPr>
              <w:t>粮食稳产增产工程。</w:t>
            </w:r>
            <w:r>
              <w:rPr>
                <w:rFonts w:hint="eastAsia" w:asciiTheme="minorEastAsia" w:hAnsiTheme="minorEastAsia" w:cstheme="minorEastAsia"/>
                <w:szCs w:val="21"/>
              </w:rPr>
              <w:t>推进高标准农田建设，力争“十四五”时期完成8.9万亩的新建及提质改造任务。</w:t>
            </w:r>
          </w:p>
          <w:p>
            <w:pPr>
              <w:numPr>
                <w:ilvl w:val="0"/>
                <w:numId w:val="8"/>
              </w:numPr>
              <w:spacing w:line="360" w:lineRule="exact"/>
              <w:rPr>
                <w:rFonts w:asciiTheme="minorEastAsia" w:hAnsiTheme="minorEastAsia" w:cstheme="minorEastAsia"/>
                <w:kern w:val="0"/>
                <w:szCs w:val="21"/>
              </w:rPr>
            </w:pPr>
            <w:r>
              <w:rPr>
                <w:rFonts w:hint="eastAsia" w:asciiTheme="minorEastAsia" w:hAnsiTheme="minorEastAsia" w:cstheme="minorEastAsia"/>
                <w:b/>
                <w:bCs/>
                <w:szCs w:val="21"/>
              </w:rPr>
              <w:t>全国畜牧强县创建工程。“</w:t>
            </w:r>
            <w:r>
              <w:rPr>
                <w:rFonts w:hint="eastAsia" w:asciiTheme="minorEastAsia" w:hAnsiTheme="minorEastAsia" w:cstheme="minorEastAsia"/>
                <w:kern w:val="0"/>
                <w:szCs w:val="21"/>
              </w:rPr>
              <w:t>十四五”末，全县生猪饲养量突破50万头，蛋鸡饲养量稳定在400万只，肉牛2万头，肉羊18万只；畜牧业产值力争突破10亿元，占农业总产值比重力争突破30%；畜禽养殖标准化比重达到85%。</w:t>
            </w:r>
          </w:p>
          <w:p>
            <w:pPr>
              <w:numPr>
                <w:ilvl w:val="0"/>
                <w:numId w:val="8"/>
              </w:numPr>
              <w:spacing w:line="360" w:lineRule="exact"/>
              <w:rPr>
                <w:rFonts w:asciiTheme="minorEastAsia" w:hAnsiTheme="minorEastAsia" w:cstheme="minorEastAsia"/>
                <w:kern w:val="0"/>
                <w:szCs w:val="21"/>
              </w:rPr>
            </w:pPr>
            <w:r>
              <w:rPr>
                <w:rFonts w:hint="eastAsia" w:asciiTheme="minorEastAsia" w:hAnsiTheme="minorEastAsia" w:cstheme="minorEastAsia"/>
                <w:b/>
                <w:bCs/>
                <w:szCs w:val="21"/>
              </w:rPr>
              <w:t>标准化蔬菜产业基地建设工程。</w:t>
            </w:r>
            <w:r>
              <w:rPr>
                <w:rFonts w:hint="eastAsia" w:asciiTheme="minorEastAsia" w:hAnsiTheme="minorEastAsia" w:cstheme="minorEastAsia"/>
                <w:kern w:val="0"/>
                <w:szCs w:val="21"/>
              </w:rPr>
              <w:t>“十四五”末，大青椒等特色蔬菜发展至7万亩，其中设施蔬菜3万亩，打造名副其实的“中国青椒之乡”。</w:t>
            </w:r>
          </w:p>
          <w:p>
            <w:pPr>
              <w:numPr>
                <w:ilvl w:val="0"/>
                <w:numId w:val="8"/>
              </w:numPr>
              <w:spacing w:line="360" w:lineRule="exact"/>
            </w:pPr>
            <w:r>
              <w:rPr>
                <w:rFonts w:hint="eastAsia" w:asciiTheme="minorEastAsia" w:hAnsiTheme="minorEastAsia" w:cstheme="minorEastAsia"/>
                <w:b/>
                <w:bCs/>
                <w:kern w:val="0"/>
                <w:szCs w:val="21"/>
              </w:rPr>
              <w:t>农业“特”“优”产业建设工程。</w:t>
            </w:r>
            <w:r>
              <w:rPr>
                <w:rFonts w:hint="eastAsia" w:asciiTheme="minorEastAsia" w:hAnsiTheme="minorEastAsia" w:cstheme="minorEastAsia"/>
                <w:kern w:val="0"/>
                <w:szCs w:val="21"/>
              </w:rPr>
              <w:t>重点打造药茶、酿品、中药材、肉制品、粮品、果蔬食品、功能保健品等七大产业集群。</w:t>
            </w:r>
          </w:p>
        </w:tc>
      </w:tr>
    </w:tbl>
    <w:p>
      <w:pPr>
        <w:pStyle w:val="5"/>
        <w:spacing w:beforeLines="0" w:afterLines="0" w:line="608" w:lineRule="exact"/>
        <w:rPr>
          <w:rFonts w:ascii="楷体_GB2312" w:hAnsi="楷体_GB2312" w:eastAsia="楷体_GB2312" w:cs="楷体_GB2312"/>
        </w:rPr>
      </w:pPr>
      <w:bookmarkStart w:id="398" w:name="_Toc2353"/>
      <w:bookmarkStart w:id="399" w:name="_Toc9783"/>
      <w:bookmarkStart w:id="400" w:name="_Toc14137"/>
      <w:bookmarkStart w:id="401" w:name="_Toc6858"/>
      <w:bookmarkStart w:id="402" w:name="_Toc2910"/>
      <w:bookmarkStart w:id="403" w:name="_Toc6498"/>
      <w:bookmarkStart w:id="404" w:name="_Toc28009"/>
      <w:bookmarkStart w:id="405" w:name="_Toc15686"/>
      <w:bookmarkStart w:id="406" w:name="_Toc18226"/>
      <w:bookmarkStart w:id="407" w:name="_Toc22268"/>
      <w:bookmarkStart w:id="408" w:name="_Toc4574"/>
      <w:bookmarkStart w:id="409" w:name="_Toc20096"/>
      <w:bookmarkStart w:id="410" w:name="_Toc20019"/>
      <w:bookmarkStart w:id="411" w:name="_Toc7564"/>
      <w:bookmarkStart w:id="412" w:name="_Toc1594"/>
      <w:bookmarkStart w:id="413" w:name="_Toc12314"/>
      <w:bookmarkStart w:id="414" w:name="_Toc30567"/>
      <w:bookmarkStart w:id="415" w:name="_Toc2260"/>
      <w:bookmarkStart w:id="416" w:name="_Toc639"/>
      <w:bookmarkStart w:id="417" w:name="_Toc23556"/>
      <w:bookmarkStart w:id="418" w:name="_Toc7382"/>
      <w:bookmarkStart w:id="419" w:name="_Toc14178"/>
      <w:bookmarkStart w:id="420" w:name="_Toc1511"/>
      <w:bookmarkStart w:id="421" w:name="_Toc15027"/>
      <w:bookmarkStart w:id="422" w:name="_Toc12753"/>
      <w:bookmarkStart w:id="423" w:name="_Toc14948"/>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第三节  大力实施乡村建设行动</w:t>
      </w:r>
      <w:bookmarkEnd w:id="398"/>
      <w:bookmarkEnd w:id="399"/>
      <w:bookmarkEnd w:id="400"/>
      <w:bookmarkEnd w:id="401"/>
      <w:bookmarkEnd w:id="402"/>
      <w:bookmarkEnd w:id="403"/>
      <w:bookmarkEnd w:id="404"/>
    </w:p>
    <w:p>
      <w:pPr>
        <w:pStyle w:val="8"/>
        <w:spacing w:line="608" w:lineRule="exact"/>
        <w:ind w:firstLine="640" w:firstLineChars="200"/>
        <w:jc w:val="both"/>
        <w:outlineLvl w:val="2"/>
        <w:rPr>
          <w:rStyle w:val="32"/>
          <w:rFonts w:ascii="仿宋_GB2312" w:hAnsi="仿宋_GB2312" w:eastAsia="仿宋_GB2312" w:cs="仿宋_GB2312"/>
          <w:b w:val="0"/>
          <w:bCs/>
        </w:rPr>
      </w:pPr>
      <w:bookmarkStart w:id="424" w:name="_Toc12655"/>
      <w:bookmarkStart w:id="425" w:name="_Toc13001"/>
    </w:p>
    <w:p>
      <w:pPr>
        <w:pStyle w:val="8"/>
        <w:spacing w:line="608" w:lineRule="exact"/>
        <w:ind w:firstLine="640" w:firstLineChars="200"/>
        <w:jc w:val="both"/>
        <w:outlineLvl w:val="2"/>
        <w:rPr>
          <w:rStyle w:val="32"/>
          <w:rFonts w:ascii="仿宋_GB2312" w:hAnsi="仿宋_GB2312" w:eastAsia="仿宋_GB2312" w:cs="仿宋_GB2312"/>
          <w:b w:val="0"/>
          <w:bCs/>
        </w:rPr>
      </w:pPr>
      <w:r>
        <w:rPr>
          <w:rStyle w:val="32"/>
          <w:rFonts w:hint="eastAsia" w:ascii="仿宋_GB2312" w:hAnsi="仿宋_GB2312" w:eastAsia="仿宋_GB2312" w:cs="仿宋_GB2312"/>
          <w:b w:val="0"/>
          <w:bCs/>
        </w:rPr>
        <w:t>立足缩小城乡差距，加强规划布局，统筹城镇和村庄规划建设，深化美丽乡村建设，补齐农村人居环境短板，加快推进优质公共服务向农村地区延伸，全面改善农村农民的生产生活条件。</w:t>
      </w:r>
      <w:bookmarkEnd w:id="424"/>
      <w:bookmarkEnd w:id="425"/>
    </w:p>
    <w:p>
      <w:pPr>
        <w:snapToGrid w:val="0"/>
        <w:spacing w:line="608" w:lineRule="exact"/>
        <w:ind w:firstLine="642" w:firstLineChars="200"/>
        <w:rPr>
          <w:rStyle w:val="32"/>
          <w:rFonts w:ascii="仿宋_GB2312" w:hAnsi="仿宋_GB2312" w:eastAsia="仿宋_GB2312" w:cs="仿宋_GB2312"/>
        </w:rPr>
      </w:pPr>
      <w:bookmarkStart w:id="426" w:name="_Toc29775"/>
      <w:bookmarkStart w:id="427" w:name="_Toc10709"/>
      <w:r>
        <w:rPr>
          <w:rStyle w:val="32"/>
          <w:rFonts w:hint="eastAsia" w:ascii="仿宋_GB2312" w:hAnsi="仿宋_GB2312" w:eastAsia="仿宋_GB2312" w:cs="仿宋_GB2312"/>
        </w:rPr>
        <w:t>接续推进农村人居环境整治提升行动。</w:t>
      </w:r>
      <w:bookmarkEnd w:id="426"/>
      <w:bookmarkEnd w:id="427"/>
      <w:r>
        <w:rPr>
          <w:rFonts w:hint="eastAsia" w:ascii="仿宋_GB2312" w:hAnsi="仿宋_GB2312" w:eastAsia="仿宋_GB2312" w:cs="仿宋_GB2312"/>
          <w:sz w:val="32"/>
          <w:szCs w:val="32"/>
        </w:rPr>
        <w:t>制定出台农村人居环境整治提升方案，探索建立农村人居环境整治标准体系和长效管护机制，实现乡村干净整洁便利、宜居宜业有“乡愁”。持续推进农村“厕所革命”，加快无害化公共卫生厕所和户用厕所建设，“十四五”期间，完</w:t>
      </w:r>
      <w:r>
        <w:rPr>
          <w:rStyle w:val="32"/>
          <w:rFonts w:hint="eastAsia" w:ascii="仿宋_GB2312" w:hAnsi="仿宋_GB2312" w:eastAsia="仿宋_GB2312" w:cs="仿宋_GB2312"/>
          <w:b w:val="0"/>
          <w:bCs/>
          <w:szCs w:val="22"/>
        </w:rPr>
        <w:t>成全县5782座农村厕所改造任务，</w:t>
      </w:r>
      <w:r>
        <w:rPr>
          <w:rFonts w:hint="eastAsia" w:ascii="仿宋_GB2312" w:hAnsi="仿宋_GB2312" w:eastAsia="仿宋_GB2312" w:cs="仿宋_GB2312"/>
          <w:sz w:val="32"/>
          <w:szCs w:val="32"/>
        </w:rPr>
        <w:t>全县农村卫生厕所覆盖率达到90%</w:t>
      </w:r>
      <w:r>
        <w:rPr>
          <w:rStyle w:val="32"/>
          <w:rFonts w:hint="eastAsia" w:ascii="仿宋_GB2312" w:hAnsi="仿宋_GB2312" w:eastAsia="仿宋_GB2312" w:cs="仿宋_GB2312"/>
          <w:b w:val="0"/>
          <w:bCs/>
          <w:szCs w:val="22"/>
        </w:rPr>
        <w:t>以上</w:t>
      </w:r>
      <w:r>
        <w:rPr>
          <w:rFonts w:hint="eastAsia" w:ascii="仿宋_GB2312" w:hAnsi="仿宋_GB2312" w:eastAsia="仿宋_GB2312" w:cs="仿宋_GB2312"/>
          <w:sz w:val="32"/>
          <w:szCs w:val="32"/>
        </w:rPr>
        <w:t>。精细化、常态化实施农村生活垃圾治理工程，推进农村生活垃圾分类试点，健全完善农村生活垃圾收运处置体系。推动城镇污水管网向村庄延伸，搞好农村厕所粪污和生活污水协同处理有机衔接。持续开展“三清三改治六乱”村庄清洁行动，实现村庄绿化美化、村容村貌提档升级。深入开展美丽宜居示范村建设，精心打造</w:t>
      </w:r>
      <w:r>
        <w:rPr>
          <w:rFonts w:hint="eastAsia" w:ascii="仿宋_GB2312" w:hAnsi="仿宋_GB2312" w:eastAsia="仿宋_GB2312" w:cs="仿宋_GB2312"/>
          <w:sz w:val="32"/>
          <w:szCs w:val="32"/>
          <w:shd w:val="clear" w:color="auto" w:fill="FFFFFF"/>
        </w:rPr>
        <w:t>一批具有独特文化内涵和旅游功能的特色小镇</w:t>
      </w:r>
      <w:r>
        <w:rPr>
          <w:rStyle w:val="32"/>
          <w:rFonts w:hint="eastAsia" w:ascii="仿宋_GB2312" w:hAnsi="仿宋_GB2312" w:eastAsia="仿宋_GB2312" w:cs="仿宋_GB2312"/>
          <w:b w:val="0"/>
          <w:bCs/>
          <w:szCs w:val="22"/>
        </w:rPr>
        <w:t>。</w:t>
      </w:r>
    </w:p>
    <w:p>
      <w:pPr>
        <w:pStyle w:val="10"/>
        <w:tabs>
          <w:tab w:val="right" w:leader="dot" w:pos="8306"/>
        </w:tabs>
        <w:spacing w:line="608" w:lineRule="exact"/>
        <w:ind w:left="0" w:leftChars="0" w:firstLine="642" w:firstLineChars="200"/>
        <w:outlineLvl w:val="2"/>
        <w:rPr>
          <w:rFonts w:ascii="仿宋_GB2312" w:hAnsi="仿宋_GB2312" w:eastAsia="仿宋_GB2312" w:cs="仿宋_GB2312"/>
          <w:sz w:val="32"/>
          <w:szCs w:val="32"/>
        </w:rPr>
      </w:pPr>
      <w:bookmarkStart w:id="428" w:name="_Toc8124"/>
      <w:bookmarkStart w:id="429" w:name="_Toc20165"/>
      <w:r>
        <w:rPr>
          <w:rFonts w:hint="eastAsia" w:ascii="仿宋_GB2312" w:hAnsi="仿宋_GB2312" w:eastAsia="仿宋_GB2312" w:cs="仿宋_GB2312"/>
          <w:b/>
          <w:bCs/>
          <w:sz w:val="32"/>
          <w:szCs w:val="32"/>
        </w:rPr>
        <w:t>推进农村生活设施便利化。</w:t>
      </w:r>
      <w:r>
        <w:rPr>
          <w:rFonts w:hint="eastAsia" w:ascii="仿宋_GB2312" w:hAnsi="仿宋_GB2312" w:eastAsia="仿宋_GB2312" w:cs="仿宋_GB2312"/>
          <w:sz w:val="32"/>
          <w:szCs w:val="32"/>
        </w:rPr>
        <w:t>提档升级农村交通设施，继续高标准推进“四好农村路”建设，发挥农村公路管养体制改革试点县示范作用。推进城乡公交一体化，实现全县城乡公共交通全覆盖。实施农村饮水安全巩固提升工程，推进城乡供水一体化，实现同质同量全覆盖。加快农村电网改造，推进农村清洁取暖。建立农产品电商服务体系，加快构建农村物流基础设施骨干网络。实施农村数字通信提升工程，推进光纤到村入户。</w:t>
      </w:r>
      <w:bookmarkEnd w:id="428"/>
      <w:bookmarkEnd w:id="429"/>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推进农村基本公共服务均等化。</w:t>
      </w:r>
      <w:r>
        <w:rPr>
          <w:rFonts w:hint="eastAsia" w:ascii="仿宋_GB2312" w:hAnsi="仿宋_GB2312" w:eastAsia="仿宋_GB2312" w:cs="仿宋_GB2312"/>
          <w:sz w:val="32"/>
          <w:szCs w:val="32"/>
        </w:rPr>
        <w:t>推进优质公共服务资源向农村延伸，全面提升农村教育、医疗卫生、社会保障、文化体育等公共服务水平。统筹城乡教育资源均衡配置，全面提升农村教学条件。开展健</w:t>
      </w:r>
      <w:r>
        <w:rPr>
          <w:rFonts w:hint="eastAsia" w:ascii="仿宋_GB2312" w:hAnsi="仿宋_GB2312" w:eastAsia="仿宋_GB2312" w:cs="仿宋_GB2312"/>
          <w:spacing w:val="6"/>
          <w:sz w:val="32"/>
          <w:szCs w:val="32"/>
        </w:rPr>
        <w:t>康乡村行动，推动标准化乡镇卫生院建设，提高基层医疗服务能力和水平。加强农村社会保障体系建设，保障农村基本生活。推动村级日间照料中心等养老服务设施建设，提升农村养老服务能力。推动城乡公共文化服务体系融合发展，增加优秀乡村文化产品和服务供给，丰富农村文化生活。增强农村防灾减灾救灾能力，继续推进农村地质灾害治理搬迁工程和农村危房改造，扎实做好易地扶贫搬迁</w:t>
      </w:r>
      <w:r>
        <w:rPr>
          <w:rFonts w:hint="eastAsia" w:ascii="仿宋_GB2312" w:hAnsi="仿宋_GB2312" w:eastAsia="仿宋_GB2312" w:cs="仿宋_GB2312"/>
          <w:sz w:val="32"/>
          <w:szCs w:val="32"/>
        </w:rPr>
        <w:t>后续扶持工作。</w:t>
      </w:r>
    </w:p>
    <w:p>
      <w:pPr>
        <w:pStyle w:val="5"/>
        <w:spacing w:beforeLines="0" w:afterLines="0" w:line="608" w:lineRule="exact"/>
        <w:rPr>
          <w:rFonts w:ascii="楷体_GB2312" w:hAnsi="楷体_GB2312" w:eastAsia="楷体_GB2312" w:cs="楷体_GB2312"/>
        </w:rPr>
      </w:pPr>
      <w:bookmarkStart w:id="430" w:name="_Toc9810"/>
      <w:bookmarkStart w:id="431" w:name="_Toc9675"/>
      <w:bookmarkStart w:id="432" w:name="_Toc22130"/>
      <w:bookmarkStart w:id="433" w:name="_Toc1043"/>
      <w:bookmarkStart w:id="434" w:name="_Toc27228"/>
      <w:bookmarkStart w:id="435" w:name="_Toc9516"/>
      <w:bookmarkStart w:id="436" w:name="_Toc29801"/>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第四节  全面深化农业农村改革</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30"/>
      <w:bookmarkEnd w:id="431"/>
      <w:bookmarkEnd w:id="432"/>
      <w:bookmarkEnd w:id="433"/>
      <w:bookmarkEnd w:id="434"/>
      <w:bookmarkEnd w:id="435"/>
      <w:bookmarkEnd w:id="436"/>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全面深化农业农村改革，推动农业全面升级、农村全面进步、农民全面发展，从提高农村改革的系统性、整体性、协同性出发，制定深化农村改革综合性实施方案，不断为农业农村现代化注入新动力。</w:t>
      </w:r>
    </w:p>
    <w:p>
      <w:pPr>
        <w:spacing w:line="608" w:lineRule="exact"/>
        <w:ind w:firstLine="642" w:firstLineChars="200"/>
        <w:outlineLvl w:val="2"/>
        <w:rPr>
          <w:rFonts w:ascii="仿宋_GB2312" w:hAnsi="仿宋_GB2312" w:eastAsia="仿宋_GB2312" w:cs="仿宋_GB2312"/>
          <w:sz w:val="32"/>
          <w:szCs w:val="32"/>
        </w:rPr>
      </w:pPr>
      <w:bookmarkStart w:id="437" w:name="_Toc29113"/>
      <w:bookmarkStart w:id="438" w:name="_Toc13304"/>
      <w:bookmarkStart w:id="439" w:name="_Toc16218"/>
      <w:bookmarkStart w:id="440" w:name="_Toc14931"/>
      <w:r>
        <w:rPr>
          <w:rStyle w:val="32"/>
          <w:rFonts w:hint="eastAsia" w:ascii="仿宋_GB2312" w:hAnsi="仿宋_GB2312" w:eastAsia="仿宋_GB2312" w:cs="仿宋_GB2312"/>
        </w:rPr>
        <w:t>深入推进集体产权制度改革</w:t>
      </w:r>
      <w:bookmarkEnd w:id="437"/>
      <w:bookmarkEnd w:id="438"/>
      <w:r>
        <w:rPr>
          <w:rStyle w:val="32"/>
          <w:rFonts w:hint="eastAsia" w:ascii="仿宋_GB2312" w:hAnsi="仿宋_GB2312" w:eastAsia="仿宋_GB2312" w:cs="仿宋_GB2312"/>
        </w:rPr>
        <w:t>。</w:t>
      </w:r>
      <w:bookmarkStart w:id="441" w:name="_Hlk55076506"/>
      <w:r>
        <w:rPr>
          <w:rFonts w:hint="eastAsia" w:ascii="仿宋_GB2312" w:hAnsi="仿宋_GB2312" w:eastAsia="仿宋_GB2312" w:cs="仿宋_GB2312"/>
          <w:sz w:val="32"/>
          <w:szCs w:val="32"/>
          <w:shd w:val="clear" w:color="auto" w:fill="FFFFFF"/>
        </w:rPr>
        <w:t>做好农村集体产权制度改革“后半篇文章”，盘活农村资源资产，</w:t>
      </w:r>
      <w:r>
        <w:rPr>
          <w:rStyle w:val="32"/>
          <w:rFonts w:hint="eastAsia" w:ascii="仿宋_GB2312" w:hAnsi="仿宋_GB2312" w:eastAsia="仿宋_GB2312" w:cs="仿宋_GB2312"/>
          <w:b w:val="0"/>
          <w:bCs/>
        </w:rPr>
        <w:t>开展集体资产股份权能改革试点，制定出台村级集体组织管理办法，确保村级集体经济组织规范有序运行。健全集体资产管理制度，加强农村“三资”管理，加快推进农村集体产权流转交易市场建设。</w:t>
      </w:r>
      <w:r>
        <w:rPr>
          <w:rFonts w:hint="eastAsia" w:ascii="仿宋_GB2312" w:hAnsi="仿宋_GB2312" w:eastAsia="仿宋_GB2312" w:cs="仿宋_GB2312"/>
          <w:sz w:val="32"/>
          <w:szCs w:val="32"/>
        </w:rPr>
        <w:t>支持村级集体经济组织通过土地入股、农户入社，组建土地股份合作社，发展规模经营，充分利用“四荒”、水面、土地整理、宅基地复垦等节余土地及其他可利用的集体所有资源。鼓励村集体经济组织利用本村的土地、劳力等资源，通过招商引资、集体参股经营等形式，引进资金和技术，兴办中小型工业企业，不断发展壮大新型集体经济。</w:t>
      </w:r>
      <w:bookmarkEnd w:id="439"/>
      <w:bookmarkEnd w:id="440"/>
    </w:p>
    <w:bookmarkEnd w:id="441"/>
    <w:p>
      <w:pPr>
        <w:spacing w:line="608" w:lineRule="exact"/>
        <w:ind w:firstLine="642" w:firstLineChars="200"/>
        <w:outlineLvl w:val="2"/>
        <w:rPr>
          <w:rFonts w:ascii="仿宋_GB2312" w:hAnsi="仿宋_GB2312" w:eastAsia="仿宋_GB2312" w:cs="仿宋_GB2312"/>
          <w:sz w:val="32"/>
          <w:szCs w:val="32"/>
        </w:rPr>
      </w:pPr>
      <w:bookmarkStart w:id="442" w:name="_Toc25934"/>
      <w:bookmarkStart w:id="443" w:name="_Toc7"/>
      <w:r>
        <w:rPr>
          <w:rFonts w:ascii="Times New Roman" w:hAnsi="Times New Roman" w:eastAsia="仿宋_GB2312"/>
          <w:b/>
          <w:sz w:val="32"/>
          <w:szCs w:val="32"/>
        </w:rPr>
        <w:t>深化农村土地制度改革。</w:t>
      </w:r>
      <w:r>
        <w:rPr>
          <w:rFonts w:hint="eastAsia" w:ascii="仿宋_GB2312" w:hAnsi="仿宋_GB2312" w:eastAsia="仿宋_GB2312" w:cs="仿宋_GB2312"/>
          <w:sz w:val="32"/>
          <w:szCs w:val="32"/>
        </w:rPr>
        <w:t>全面深化农村土地制度改革，做好第二轮土地承包到期后再延长30年的政策衔接。落实农村承包地所有权、承包权、经营权“三权”分置制度，深化宅基地“三权”分置改革，结合宅基地确权登记，探索有偿使用与腾退闲置宅基地，建立宅基地拆旧复垦指标收储制度，为宅基地改革深入推进和乡村振兴提供保障。</w:t>
      </w:r>
      <w:bookmarkEnd w:id="442"/>
      <w:bookmarkEnd w:id="443"/>
    </w:p>
    <w:p>
      <w:pPr>
        <w:spacing w:line="608" w:lineRule="exact"/>
        <w:ind w:firstLine="642" w:firstLineChars="200"/>
        <w:outlineLvl w:val="2"/>
        <w:rPr>
          <w:rFonts w:ascii="仿宋_GB2312" w:hAnsi="仿宋_GB2312" w:eastAsia="仿宋_GB2312" w:cs="仿宋_GB2312"/>
          <w:sz w:val="32"/>
          <w:szCs w:val="32"/>
        </w:rPr>
      </w:pPr>
      <w:bookmarkStart w:id="444" w:name="_Toc15975"/>
      <w:bookmarkStart w:id="445" w:name="_Toc29880"/>
      <w:r>
        <w:rPr>
          <w:rFonts w:hint="eastAsia" w:ascii="仿宋_GB2312" w:hAnsi="仿宋_GB2312" w:eastAsia="仿宋_GB2312" w:cs="仿宋_GB2312"/>
          <w:b/>
          <w:bCs/>
          <w:sz w:val="32"/>
          <w:szCs w:val="32"/>
        </w:rPr>
        <w:t>积极培育新型经营主体。</w:t>
      </w:r>
      <w:r>
        <w:rPr>
          <w:rFonts w:hint="eastAsia" w:ascii="仿宋_GB2312" w:hAnsi="仿宋_GB2312" w:eastAsia="仿宋_GB2312" w:cs="仿宋_GB2312"/>
          <w:sz w:val="32"/>
          <w:szCs w:val="32"/>
        </w:rPr>
        <w:t>实施新型农业经营主体培育工程，</w:t>
      </w:r>
      <w:r>
        <w:rPr>
          <w:rFonts w:hint="eastAsia" w:ascii="仿宋_GB2312" w:hAnsi="仿宋_GB2312" w:eastAsia="仿宋_GB2312" w:cs="仿宋_GB2312"/>
          <w:sz w:val="32"/>
          <w:szCs w:val="32"/>
          <w:shd w:val="clear" w:color="auto" w:fill="FFFFFF"/>
        </w:rPr>
        <w:t>深入推进生产、供销、信用“三位一体”综合合作。</w:t>
      </w:r>
      <w:r>
        <w:rPr>
          <w:rFonts w:hint="eastAsia" w:ascii="仿宋_GB2312" w:hAnsi="仿宋_GB2312" w:eastAsia="仿宋_GB2312" w:cs="仿宋_GB2312"/>
          <w:sz w:val="32"/>
          <w:szCs w:val="32"/>
        </w:rPr>
        <w:t>加快培育种植大户、家庭农场、合作社、龙头企业、农业产业化联合体等新型经营主体。鼓励工商资本到农村投资适合产业化、规模化经营的农业项目，提供区域性、系统性解决方案，与本地企业、村集体和农户组建互惠共赢的农业产业联合体共同实施项目。加快建立新型经营主体支持政策体系和信用评价体系，落实财政、税收、土地、信贷、保险等支持政策，扩大新型经营主体承担涉农项目规模。</w:t>
      </w:r>
      <w:bookmarkEnd w:id="444"/>
      <w:bookmarkEnd w:id="445"/>
    </w:p>
    <w:p>
      <w:pPr>
        <w:spacing w:line="608" w:lineRule="exact"/>
        <w:ind w:firstLine="642" w:firstLineChars="200"/>
        <w:outlineLvl w:val="2"/>
        <w:rPr>
          <w:rFonts w:ascii="仿宋_GB2312" w:hAnsi="仿宋_GB2312" w:eastAsia="仿宋_GB2312" w:cs="仿宋_GB2312"/>
          <w:sz w:val="32"/>
          <w:szCs w:val="32"/>
        </w:rPr>
      </w:pPr>
      <w:bookmarkStart w:id="446" w:name="_Toc26408"/>
      <w:bookmarkStart w:id="447" w:name="_Toc9321"/>
      <w:r>
        <w:rPr>
          <w:rStyle w:val="32"/>
          <w:rFonts w:hint="eastAsia" w:ascii="仿宋_GB2312" w:hAnsi="仿宋_GB2312" w:eastAsia="仿宋_GB2312" w:cs="仿宋_GB2312"/>
        </w:rPr>
        <w:t>创新现代农业经营模式。</w:t>
      </w:r>
      <w:r>
        <w:rPr>
          <w:rFonts w:hint="eastAsia" w:ascii="仿宋_GB2312" w:hAnsi="仿宋_GB2312" w:eastAsia="仿宋_GB2312" w:cs="仿宋_GB2312"/>
          <w:sz w:val="32"/>
          <w:szCs w:val="32"/>
        </w:rPr>
        <w:t>鼓励新型经营主体与小农户建立契约型、股权型利益联结机制，发展多样化的联合与合作，带动小农户专业化生产，提高小农户自我发展能力和组织化程度。固化农户土地承包经营权，增加银行对农地抵押贷款的积极性，提高农村土地流转效率。建立有效的激励机制，大力推行“农户+土地合作社+农业职业经理人”模式，选择采用固定工资制、分成制、租赁制等具体契约形式，提高职业经理人积极性，实现农业生产要素资源有效配置。</w:t>
      </w:r>
      <w:bookmarkEnd w:id="446"/>
      <w:bookmarkEnd w:id="447"/>
    </w:p>
    <w:p>
      <w:pPr>
        <w:spacing w:line="608" w:lineRule="exact"/>
        <w:ind w:firstLine="642" w:firstLineChars="200"/>
        <w:outlineLvl w:val="2"/>
        <w:rPr>
          <w:rFonts w:ascii="仿宋_GB2312" w:hAnsi="仿宋_GB2312" w:eastAsia="仿宋_GB2312" w:cs="仿宋_GB2312"/>
          <w:sz w:val="32"/>
          <w:szCs w:val="32"/>
        </w:rPr>
      </w:pPr>
      <w:bookmarkStart w:id="448" w:name="_Toc21195"/>
      <w:bookmarkStart w:id="449" w:name="_Toc3701"/>
      <w:r>
        <w:rPr>
          <w:rStyle w:val="32"/>
          <w:rFonts w:hint="eastAsia" w:ascii="仿宋_GB2312" w:hAnsi="仿宋_GB2312" w:eastAsia="仿宋_GB2312" w:cs="仿宋_GB2312"/>
        </w:rPr>
        <w:t>完善现代农业服务体系。</w:t>
      </w:r>
      <w:r>
        <w:rPr>
          <w:rStyle w:val="32"/>
          <w:rFonts w:hint="eastAsia" w:ascii="仿宋_GB2312" w:hAnsi="仿宋_GB2312" w:eastAsia="仿宋_GB2312" w:cs="仿宋_GB2312"/>
          <w:b w:val="0"/>
          <w:bCs/>
        </w:rPr>
        <w:t>加快推进</w:t>
      </w:r>
      <w:r>
        <w:rPr>
          <w:rFonts w:hint="eastAsia" w:ascii="仿宋_GB2312" w:hAnsi="仿宋_GB2312" w:eastAsia="仿宋_GB2312" w:cs="仿宋_GB2312"/>
          <w:sz w:val="32"/>
          <w:szCs w:val="32"/>
        </w:rPr>
        <w:t>农业生产性服务业发展，培育多元化农业社会化服务组织，</w:t>
      </w:r>
      <w:r>
        <w:rPr>
          <w:rFonts w:hint="eastAsia" w:ascii="仿宋_GB2312" w:hAnsi="仿宋_GB2312" w:eastAsia="仿宋_GB2312" w:cs="仿宋_GB2312"/>
          <w:sz w:val="32"/>
          <w:szCs w:val="32"/>
          <w:shd w:val="clear" w:color="auto" w:fill="FFFFFF"/>
        </w:rPr>
        <w:t>有序推进农技农经农机“三支队伍”市场化改革。全面推进农业生产托管服务。</w:t>
      </w:r>
      <w:r>
        <w:rPr>
          <w:rFonts w:hint="eastAsia" w:ascii="仿宋_GB2312" w:hAnsi="仿宋_GB2312" w:eastAsia="仿宋_GB2312" w:cs="仿宋_GB2312"/>
          <w:sz w:val="32"/>
          <w:szCs w:val="32"/>
        </w:rPr>
        <w:t>鼓励有经济管理服务职能的部门，向农村延伸农资供销、农机作业、土地托管、统防统治、烘干储藏等服务职能，打造为民服务综合平台。支持农机、农资、种子、饲料、兽药、种畜禽等涉农企业和各类合作经济组织为农民提供技术指导、技能培训、生产资料采购等专业服务。加快县乡村三级物流服务网络和节点建设，重点推进县城批发市场、乡镇集贸市场、县级仓储配送中心、农村服务点等物流网络节点建设。</w:t>
      </w:r>
      <w:bookmarkEnd w:id="448"/>
      <w:bookmarkEnd w:id="449"/>
    </w:p>
    <w:p>
      <w:pPr>
        <w:pStyle w:val="5"/>
        <w:spacing w:beforeLines="0" w:afterLines="0" w:line="608" w:lineRule="exact"/>
        <w:rPr>
          <w:rFonts w:ascii="楷体_GB2312" w:hAnsi="楷体_GB2312" w:eastAsia="楷体_GB2312" w:cs="楷体_GB2312"/>
        </w:rPr>
      </w:pPr>
      <w:bookmarkStart w:id="450" w:name="_Toc17160"/>
      <w:bookmarkStart w:id="451" w:name="_Toc5914"/>
      <w:bookmarkStart w:id="452" w:name="_Toc15783"/>
      <w:bookmarkStart w:id="453" w:name="_Toc18210"/>
      <w:bookmarkStart w:id="454" w:name="_Toc19422"/>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第五节  巩固拓展脱贫攻坚成</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楷体_GB2312" w:hAnsi="楷体_GB2312" w:eastAsia="楷体_GB2312" w:cs="楷体_GB2312"/>
        </w:rPr>
        <w:t>果同乡村振兴有效衔接</w:t>
      </w:r>
      <w:bookmarkEnd w:id="321"/>
      <w:bookmarkEnd w:id="322"/>
      <w:bookmarkEnd w:id="323"/>
      <w:bookmarkEnd w:id="324"/>
      <w:bookmarkEnd w:id="450"/>
      <w:bookmarkEnd w:id="451"/>
      <w:bookmarkEnd w:id="452"/>
      <w:bookmarkEnd w:id="453"/>
      <w:bookmarkEnd w:id="454"/>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围绕脱贫致富目标，持续加强返贫致贫风险动态监测，坚决贯彻落实“四个不摘”要求，高质量巩固拓展脱贫攻坚成果，建立健全稳定脱贫致富长效机制。</w:t>
      </w:r>
    </w:p>
    <w:p>
      <w:pPr>
        <w:pStyle w:val="15"/>
        <w:spacing w:beforeAutospacing="0" w:afterAutospacing="0" w:line="608" w:lineRule="exact"/>
        <w:ind w:firstLine="642" w:firstLineChars="200"/>
        <w:outlineLvl w:val="2"/>
        <w:rPr>
          <w:rStyle w:val="32"/>
          <w:rFonts w:ascii="仿宋_GB2312" w:hAnsi="仿宋_GB2312" w:eastAsia="仿宋_GB2312" w:cs="仿宋_GB2312"/>
          <w:b w:val="0"/>
          <w:bCs/>
          <w:szCs w:val="32"/>
        </w:rPr>
      </w:pPr>
      <w:bookmarkStart w:id="455" w:name="_Toc7682"/>
      <w:bookmarkStart w:id="456" w:name="_Toc18830"/>
      <w:r>
        <w:rPr>
          <w:rStyle w:val="32"/>
          <w:rFonts w:hint="eastAsia" w:ascii="仿宋_GB2312" w:hAnsi="仿宋_GB2312" w:eastAsia="仿宋_GB2312" w:cs="仿宋_GB2312"/>
          <w:szCs w:val="32"/>
        </w:rPr>
        <w:t>巩固拓展脱贫攻坚成果。</w:t>
      </w:r>
      <w:r>
        <w:rPr>
          <w:rStyle w:val="32"/>
          <w:rFonts w:hint="eastAsia" w:ascii="仿宋_GB2312" w:hAnsi="仿宋_GB2312" w:eastAsia="仿宋_GB2312" w:cs="仿宋_GB2312"/>
          <w:b w:val="0"/>
          <w:bCs/>
          <w:szCs w:val="32"/>
        </w:rPr>
        <w:t>加快社会扶贫平台建设，完善社会扶贫组织机构，健全各级社会扶贫工作机制，加强对社会扶贫工作的领导，建立严谨科学的社会扶贫工作考核管理体系，准确评价社会扶贫工作成效，努力形成全面系统的社会扶贫总体格局。加强扶贫工作宣传力度，营造全社会共同扶贫的良好氛围，增强社会扶贫的责任心和使命感。充分发挥社会组织技术、资源等方面优势，鼓励和吸引更多非公企业，号召致富返乡带头人到贫困地区投资创业，带动当地发展产业，由被动“输血”变主动“造血”。</w:t>
      </w:r>
      <w:bookmarkEnd w:id="455"/>
      <w:bookmarkEnd w:id="456"/>
    </w:p>
    <w:p>
      <w:pPr>
        <w:pStyle w:val="3"/>
        <w:spacing w:after="0" w:line="608" w:lineRule="exact"/>
        <w:ind w:left="0" w:leftChars="0" w:firstLine="642" w:firstLineChars="200"/>
        <w:outlineLvl w:val="2"/>
        <w:rPr>
          <w:rFonts w:ascii="仿宋_GB2312" w:hAnsi="仿宋_GB2312" w:eastAsia="仿宋_GB2312" w:cs="仿宋_GB2312"/>
          <w:sz w:val="32"/>
          <w:szCs w:val="32"/>
        </w:rPr>
      </w:pPr>
      <w:bookmarkStart w:id="457" w:name="_Toc6162"/>
      <w:bookmarkStart w:id="458" w:name="_Toc21605"/>
      <w:bookmarkStart w:id="459" w:name="_Toc20812"/>
      <w:r>
        <w:rPr>
          <w:rFonts w:hint="eastAsia" w:ascii="仿宋_GB2312" w:hAnsi="仿宋_GB2312" w:eastAsia="仿宋_GB2312" w:cs="仿宋_GB2312"/>
          <w:b/>
          <w:kern w:val="0"/>
          <w:sz w:val="32"/>
          <w:szCs w:val="32"/>
        </w:rPr>
        <w:t>健全防止返贫监测和帮扶机制。</w:t>
      </w:r>
      <w:r>
        <w:rPr>
          <w:rFonts w:hint="eastAsia" w:ascii="仿宋_GB2312" w:hAnsi="仿宋_GB2312" w:eastAsia="仿宋_GB2312" w:cs="仿宋_GB2312"/>
          <w:sz w:val="32"/>
          <w:szCs w:val="32"/>
        </w:rPr>
        <w:t>持续加强对低收入群体动态监测，做好易地搬迁后续帮扶工作。</w:t>
      </w:r>
      <w:r>
        <w:rPr>
          <w:rFonts w:hint="eastAsia" w:ascii="仿宋_GB2312" w:hAnsi="仿宋_GB2312" w:eastAsia="仿宋_GB2312" w:cs="仿宋_GB2312"/>
          <w:bCs/>
          <w:kern w:val="0"/>
          <w:sz w:val="32"/>
          <w:szCs w:val="32"/>
        </w:rPr>
        <w:t>树立高质量脱贫观念，</w:t>
      </w:r>
      <w:r>
        <w:rPr>
          <w:rFonts w:hint="eastAsia" w:ascii="仿宋_GB2312" w:hAnsi="仿宋_GB2312" w:eastAsia="仿宋_GB2312" w:cs="仿宋_GB2312"/>
          <w:sz w:val="32"/>
          <w:szCs w:val="32"/>
        </w:rPr>
        <w:t>增</w:t>
      </w:r>
      <w:r>
        <w:rPr>
          <w:rFonts w:hint="eastAsia" w:ascii="仿宋_GB2312" w:hAnsi="仿宋_GB2312" w:eastAsia="仿宋_GB2312" w:cs="仿宋_GB2312"/>
          <w:bCs/>
          <w:kern w:val="0"/>
          <w:sz w:val="32"/>
          <w:szCs w:val="32"/>
        </w:rPr>
        <w:t>强扶贫政策的延续性，对退出贫困人口，严格落实“四个不摘”，留出“减速带”，设置“缓冲区”。坚持把事前预防与事后帮扶相结合，开发式帮扶与保障性措施相结合，政府主导与社会参与相结合，外部帮扶与群众主体相结合，对预防和监测对象实施帮扶。加强小额信贷支持力度，发挥领域内创业致富带头人及龙头企业典型示范、引领带动作用，多措并举帮助其渡过生产或经营上的难关。用好综合保障，对没有劳动能力的监测对象，强化低保、医疗、特困人员救助等综合性保障，做到应保尽保。</w:t>
      </w:r>
      <w:bookmarkEnd w:id="457"/>
      <w:bookmarkEnd w:id="458"/>
      <w:bookmarkEnd w:id="459"/>
    </w:p>
    <w:p>
      <w:pPr>
        <w:pStyle w:val="15"/>
        <w:spacing w:beforeAutospacing="0" w:afterAutospacing="0" w:line="608" w:lineRule="exact"/>
        <w:ind w:firstLine="642" w:firstLineChars="200"/>
        <w:outlineLvl w:val="2"/>
        <w:rPr>
          <w:sz w:val="32"/>
          <w:szCs w:val="32"/>
        </w:rPr>
      </w:pPr>
      <w:bookmarkStart w:id="460" w:name="_Toc8141"/>
      <w:bookmarkStart w:id="461" w:name="_Toc11323"/>
      <w:r>
        <w:rPr>
          <w:rStyle w:val="32"/>
          <w:rFonts w:hint="eastAsia" w:ascii="仿宋_GB2312" w:hAnsi="仿宋_GB2312" w:eastAsia="仿宋_GB2312" w:cs="仿宋_GB2312"/>
          <w:szCs w:val="32"/>
        </w:rPr>
        <w:t>构建解决相对贫困的长效机制。</w:t>
      </w:r>
      <w:r>
        <w:rPr>
          <w:rStyle w:val="32"/>
          <w:rFonts w:hint="eastAsia" w:ascii="仿宋_GB2312" w:hAnsi="仿宋_GB2312" w:eastAsia="仿宋_GB2312" w:cs="仿宋_GB2312"/>
          <w:b w:val="0"/>
          <w:bCs/>
          <w:szCs w:val="32"/>
        </w:rPr>
        <w:t>坚持“政府主导、社会参与、市场促进”的相对贫困治理整体性机制，加强责任体系、政策体系、投入体系、监督体系和考核体系的顶层设计，形成科学完善的长效机制，持续提高解决相对贫困问题的能力。按照长期靠产业、短期靠劳务、兜底靠政府脱贫致富路径，因村因户施策，扎实做好光伏扶贫，把发展药茶、蔬菜、食用菌、生猪作为推动产业扶贫向产业振兴转变的主攻方向。构建内生动力机制，明确贫困群众既是扶贫攻坚对象又是脱贫致富主体的双重身份，坚持“扶智、扶志、扶技”相结合，充分调动相对贫困群众的积极性、主动性、创造性，引导支持相对贫困群众实现脱贫致富。</w:t>
      </w:r>
      <w:bookmarkEnd w:id="460"/>
      <w:bookmarkEnd w:id="461"/>
    </w:p>
    <w:p>
      <w:bookmarkStart w:id="462" w:name="_Toc8123"/>
      <w:bookmarkStart w:id="463" w:name="_Toc5943"/>
      <w:bookmarkStart w:id="464" w:name="_Toc2778"/>
      <w:bookmarkStart w:id="465" w:name="_Toc28566"/>
      <w:bookmarkStart w:id="466" w:name="_Toc7541"/>
      <w:bookmarkStart w:id="467" w:name="_Toc25930"/>
      <w:bookmarkStart w:id="468" w:name="_Toc12561"/>
      <w:bookmarkStart w:id="469" w:name="_Toc19127"/>
      <w:bookmarkStart w:id="470" w:name="_Toc30117"/>
      <w:bookmarkStart w:id="471" w:name="_Toc17121"/>
      <w:bookmarkStart w:id="472" w:name="_Toc14849"/>
      <w:bookmarkStart w:id="473" w:name="_Toc21000"/>
      <w:bookmarkStart w:id="474" w:name="_Toc17467"/>
      <w:bookmarkStart w:id="475" w:name="_Toc4233"/>
      <w:bookmarkStart w:id="476" w:name="_Toc17907"/>
      <w:bookmarkStart w:id="477" w:name="_Toc30675"/>
      <w:bookmarkStart w:id="478" w:name="_Toc5521"/>
      <w:bookmarkStart w:id="479" w:name="_Toc19747"/>
      <w:r>
        <w:br w:type="page"/>
      </w:r>
    </w:p>
    <w:p>
      <w:pPr>
        <w:pStyle w:val="4"/>
        <w:spacing w:beforeLines="0" w:afterLines="0" w:line="608" w:lineRule="exact"/>
        <w:rPr>
          <w:b w:val="0"/>
          <w:bCs/>
        </w:rPr>
      </w:pPr>
      <w:bookmarkStart w:id="480" w:name="_Toc31028"/>
    </w:p>
    <w:p>
      <w:pPr>
        <w:pStyle w:val="4"/>
        <w:spacing w:beforeLines="0" w:afterLines="0" w:line="608" w:lineRule="exact"/>
        <w:rPr>
          <w:rFonts w:ascii="仿宋_GB2312" w:hAnsi="仿宋_GB2312" w:eastAsia="仿宋_GB2312" w:cs="仿宋_GB2312"/>
          <w:b w:val="0"/>
          <w:bCs/>
          <w:sz w:val="36"/>
          <w:szCs w:val="36"/>
        </w:rPr>
      </w:pPr>
      <w:r>
        <w:rPr>
          <w:b w:val="0"/>
          <w:bCs/>
          <w:sz w:val="36"/>
          <w:szCs w:val="36"/>
        </w:rPr>
        <w:t>第</w:t>
      </w:r>
      <w:r>
        <w:rPr>
          <w:rFonts w:hint="eastAsia"/>
          <w:b w:val="0"/>
          <w:bCs/>
          <w:sz w:val="36"/>
          <w:szCs w:val="36"/>
        </w:rPr>
        <w:t>五</w:t>
      </w:r>
      <w:r>
        <w:rPr>
          <w:b w:val="0"/>
          <w:bCs/>
          <w:sz w:val="36"/>
          <w:szCs w:val="36"/>
        </w:rPr>
        <w:t>章</w:t>
      </w:r>
      <w:r>
        <w:rPr>
          <w:rFonts w:hint="eastAsia"/>
          <w:b w:val="0"/>
          <w:bCs/>
          <w:sz w:val="36"/>
          <w:szCs w:val="36"/>
        </w:rPr>
        <w:t xml:space="preserve"> </w:t>
      </w:r>
      <w:r>
        <w:rPr>
          <w:b w:val="0"/>
          <w:bCs/>
          <w:sz w:val="36"/>
          <w:szCs w:val="36"/>
        </w:rPr>
        <w:t xml:space="preserve"> </w:t>
      </w:r>
      <w:r>
        <w:rPr>
          <w:rFonts w:hint="eastAsia"/>
          <w:b w:val="0"/>
          <w:bCs/>
          <w:sz w:val="36"/>
          <w:szCs w:val="36"/>
        </w:rPr>
        <w:t>坚定不移扩大内需，全面融入新发展格局</w:t>
      </w:r>
      <w:bookmarkEnd w:id="462"/>
      <w:bookmarkEnd w:id="463"/>
      <w:bookmarkEnd w:id="464"/>
      <w:bookmarkEnd w:id="465"/>
      <w:bookmarkEnd w:id="466"/>
      <w:bookmarkEnd w:id="467"/>
      <w:bookmarkEnd w:id="468"/>
      <w:bookmarkEnd w:id="469"/>
      <w:bookmarkEnd w:id="480"/>
    </w:p>
    <w:p>
      <w:pPr>
        <w:pStyle w:val="3"/>
        <w:spacing w:after="0" w:line="608" w:lineRule="exact"/>
        <w:ind w:left="0" w:leftChars="0" w:firstLine="640" w:firstLineChars="200"/>
        <w:rPr>
          <w:rFonts w:ascii="仿宋_GB2312" w:hAnsi="仿宋_GB2312" w:eastAsia="仿宋_GB2312" w:cs="仿宋_GB2312"/>
          <w:sz w:val="32"/>
          <w:szCs w:val="32"/>
        </w:rPr>
      </w:pPr>
    </w:p>
    <w:p>
      <w:pPr>
        <w:pStyle w:val="3"/>
        <w:spacing w:after="0" w:line="608"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紧紧扭住扩大内需这个战略基点，把扩大内需同深化供给侧结构性改革有机结合起来，注重需求侧管理，更好发挥消费基础性作用和投资关键性作用，</w:t>
      </w:r>
      <w:r>
        <w:rPr>
          <w:rFonts w:hint="eastAsia" w:ascii="仿宋_GB2312" w:hAnsi="仿宋_GB2312" w:eastAsia="仿宋_GB2312" w:cs="仿宋_GB2312"/>
          <w:color w:val="000000" w:themeColor="text1"/>
          <w:sz w:val="32"/>
          <w:szCs w:val="32"/>
        </w:rPr>
        <w:t>推动消费升级和产业互促共进，</w:t>
      </w:r>
      <w:r>
        <w:rPr>
          <w:rFonts w:hint="eastAsia" w:ascii="仿宋_GB2312" w:hAnsi="仿宋_GB2312" w:eastAsia="仿宋_GB2312" w:cs="仿宋_GB2312"/>
          <w:sz w:val="32"/>
          <w:szCs w:val="32"/>
        </w:rPr>
        <w:t>为转型发展拓展战略空间。</w:t>
      </w:r>
    </w:p>
    <w:p>
      <w:pPr>
        <w:pStyle w:val="5"/>
        <w:spacing w:beforeLines="0" w:afterLines="0" w:line="608" w:lineRule="exact"/>
        <w:rPr>
          <w:rFonts w:ascii="楷体_GB2312" w:hAnsi="楷体_GB2312" w:eastAsia="楷体_GB2312" w:cs="楷体_GB2312"/>
        </w:rPr>
      </w:pPr>
      <w:bookmarkStart w:id="481" w:name="_Toc5526"/>
      <w:bookmarkStart w:id="482" w:name="_Toc15020"/>
      <w:bookmarkStart w:id="483" w:name="_Toc26103"/>
      <w:bookmarkStart w:id="484" w:name="_Toc10664"/>
      <w:bookmarkStart w:id="485" w:name="_Toc13659"/>
      <w:bookmarkStart w:id="486" w:name="_Toc21853"/>
      <w:bookmarkStart w:id="487" w:name="_Toc28609"/>
      <w:bookmarkStart w:id="488" w:name="_Toc23257"/>
      <w:bookmarkStart w:id="489" w:name="_Toc7746"/>
      <w:bookmarkStart w:id="490" w:name="_Toc13070"/>
      <w:bookmarkStart w:id="491" w:name="_Toc13740"/>
      <w:bookmarkStart w:id="492" w:name="_Toc18271"/>
      <w:bookmarkStart w:id="493" w:name="_Toc2771"/>
      <w:bookmarkStart w:id="494" w:name="_Toc17261"/>
      <w:bookmarkStart w:id="495" w:name="_Toc17357"/>
      <w:bookmarkStart w:id="496" w:name="_Toc1295"/>
      <w:bookmarkStart w:id="497" w:name="_Toc9920"/>
      <w:bookmarkStart w:id="498" w:name="_Toc22540"/>
      <w:bookmarkStart w:id="499" w:name="_Toc31575"/>
      <w:bookmarkStart w:id="500" w:name="_Toc1647"/>
      <w:bookmarkStart w:id="501" w:name="_Toc26760"/>
      <w:bookmarkStart w:id="502" w:name="_Toc8336"/>
      <w:bookmarkStart w:id="503" w:name="_Toc209"/>
      <w:bookmarkStart w:id="504" w:name="_Toc3511"/>
      <w:bookmarkStart w:id="505" w:name="_Toc15224"/>
      <w:bookmarkStart w:id="506" w:name="_Toc7832"/>
      <w:bookmarkStart w:id="507" w:name="_Toc21256"/>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 xml:space="preserve">第一节 </w:t>
      </w:r>
      <w:bookmarkEnd w:id="481"/>
      <w:bookmarkEnd w:id="482"/>
      <w:bookmarkEnd w:id="483"/>
      <w:bookmarkEnd w:id="484"/>
      <w:bookmarkEnd w:id="485"/>
      <w:bookmarkEnd w:id="486"/>
      <w:bookmarkEnd w:id="487"/>
      <w:bookmarkEnd w:id="488"/>
      <w:r>
        <w:rPr>
          <w:rFonts w:hint="eastAsia" w:ascii="楷体_GB2312" w:hAnsi="楷体_GB2312" w:eastAsia="楷体_GB2312" w:cs="楷体_GB2312"/>
        </w:rPr>
        <w:t xml:space="preserve"> 促进消费</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hint="eastAsia" w:ascii="楷体_GB2312" w:hAnsi="楷体_GB2312" w:eastAsia="楷体_GB2312" w:cs="楷体_GB2312"/>
        </w:rPr>
        <w:t>扩容提质</w:t>
      </w:r>
      <w:bookmarkEnd w:id="507"/>
    </w:p>
    <w:p>
      <w:pPr>
        <w:pStyle w:val="9"/>
        <w:autoSpaceDE w:val="0"/>
        <w:autoSpaceDN w:val="0"/>
        <w:spacing w:after="0" w:line="608" w:lineRule="exact"/>
        <w:ind w:firstLine="640" w:firstLineChars="200"/>
        <w:jc w:val="left"/>
        <w:rPr>
          <w:rFonts w:ascii="仿宋_GB2312" w:hAnsi="仿宋_GB2312" w:eastAsia="仿宋_GB2312" w:cs="仿宋_GB2312"/>
          <w:bCs/>
          <w:sz w:val="32"/>
          <w:szCs w:val="32"/>
        </w:rPr>
      </w:pPr>
      <w:bookmarkStart w:id="508" w:name="_Toc15607"/>
      <w:bookmarkStart w:id="509" w:name="_Toc23867"/>
    </w:p>
    <w:p>
      <w:pPr>
        <w:pStyle w:val="9"/>
        <w:autoSpaceDE w:val="0"/>
        <w:autoSpaceDN w:val="0"/>
        <w:spacing w:after="0" w:line="608"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发挥消费对经济发展的基础性作用，在传统消费、新型消费上双向发力，促进线上线下消费融合发展，构建多元融合的消费业态。</w:t>
      </w:r>
    </w:p>
    <w:p>
      <w:pPr>
        <w:pStyle w:val="9"/>
        <w:autoSpaceDE w:val="0"/>
        <w:autoSpaceDN w:val="0"/>
        <w:spacing w:after="0" w:line="608"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巩固提升传统消费。</w:t>
      </w:r>
      <w:r>
        <w:rPr>
          <w:rFonts w:hint="eastAsia" w:ascii="仿宋_GB2312" w:hAnsi="仿宋_GB2312" w:eastAsia="仿宋_GB2312" w:cs="仿宋_GB2312"/>
          <w:sz w:val="32"/>
          <w:szCs w:val="32"/>
        </w:rPr>
        <w:t>以提升主城区消费能级为引领，以“一区五馆”为依托，打造老城精品商贸群和高品质商业商务集聚区，以慈林街为重点，打造高品质夜市文化一条街。组织特色鲜明的美食文化节、餐饮产业展会活动，传承发展“老字号”餐饮，充分发掘长子炒饼、长子猪头肉、长子豆腐、长子干卷、坡底麻糖等美食文化，实施标准化赋能，不断延伸产业链和价值链，打造本土美食品牌。开拓城乡消费市场，畅通工业品下乡、农产品进城双向流通渠道。发展壮大文化、教育、医疗、康养、体育等服务消费，促进住房消费健康发展。“十四五”时期，实现社会消费品零售总额年平均增长7.5%，到2025年达到35亿元。</w:t>
      </w:r>
    </w:p>
    <w:bookmarkEnd w:id="508"/>
    <w:bookmarkEnd w:id="509"/>
    <w:p>
      <w:pPr>
        <w:pStyle w:val="9"/>
        <w:autoSpaceDE w:val="0"/>
        <w:autoSpaceDN w:val="0"/>
        <w:spacing w:after="0" w:line="608" w:lineRule="exact"/>
        <w:ind w:firstLine="642" w:firstLineChars="200"/>
        <w:rPr>
          <w:rFonts w:ascii="仿宋_GB2312" w:hAnsi="仿宋_GB2312" w:eastAsia="仿宋_GB2312" w:cs="仿宋_GB2312"/>
          <w:sz w:val="32"/>
          <w:szCs w:val="32"/>
        </w:rPr>
      </w:pPr>
      <w:bookmarkStart w:id="510" w:name="_Toc16348"/>
      <w:bookmarkStart w:id="511" w:name="_Toc19550"/>
      <w:r>
        <w:rPr>
          <w:rFonts w:hint="eastAsia" w:ascii="仿宋_GB2312" w:hAnsi="仿宋_GB2312" w:eastAsia="仿宋_GB2312" w:cs="仿宋_GB2312"/>
          <w:b/>
          <w:bCs/>
          <w:sz w:val="32"/>
          <w:szCs w:val="32"/>
        </w:rPr>
        <w:t>加快发展新型消费。</w:t>
      </w:r>
      <w:r>
        <w:rPr>
          <w:rFonts w:hint="eastAsia" w:ascii="仿宋_GB2312" w:hAnsi="仿宋_GB2312" w:eastAsia="仿宋_GB2312" w:cs="仿宋_GB2312"/>
          <w:sz w:val="32"/>
          <w:szCs w:val="32"/>
        </w:rPr>
        <w:t>以“互联网+服务”等新业态新模式新场景为引领，积极培育在线教育、互联网诊疗、智慧旅游、智能体育、智慧商贸等消费新业态。积极拓展时尚消费、定制消费、信息消费，大力发展平台经济、共享经济。鼓励发展智慧门店、智能终端、智能机器人等“无接触”零售，打造集合多种业态的消费集聚区。建立“互联网+”消费生态体系，推广社群营销、直播带货、云逛街等消费新模式，做大做强本土电商品牌，促进线上线下消费融合发展。加快农村商贸流通数字化升级，加强农商互联农产品供应链建设。深入实施电商进农村综合示范，培育农村电商强县、强镇。加快新型消费基础设施建设，推动5G网络、物联网等覆盖核心商圈、产业园区、交通枢纽。</w:t>
      </w:r>
    </w:p>
    <w:bookmarkEnd w:id="510"/>
    <w:bookmarkEnd w:id="511"/>
    <w:p>
      <w:pPr>
        <w:pStyle w:val="2"/>
        <w:spacing w:before="0" w:beforeAutospacing="0" w:line="608" w:lineRule="exact"/>
        <w:ind w:left="0" w:leftChars="0" w:firstLine="643"/>
        <w:rPr>
          <w:rFonts w:ascii="仿宋_GB2312" w:hAnsi="仿宋_GB2312" w:eastAsia="仿宋_GB2312" w:cs="仿宋_GB2312"/>
          <w:sz w:val="32"/>
          <w:szCs w:val="32"/>
        </w:rPr>
      </w:pPr>
      <w:bookmarkStart w:id="512" w:name="_Toc18880"/>
      <w:bookmarkStart w:id="513" w:name="_Toc16295"/>
      <w:r>
        <w:rPr>
          <w:rFonts w:hint="eastAsia" w:ascii="仿宋_GB2312" w:hAnsi="仿宋_GB2312" w:eastAsia="仿宋_GB2312" w:cs="仿宋_GB2312"/>
          <w:b/>
          <w:bCs/>
          <w:sz w:val="32"/>
          <w:szCs w:val="32"/>
        </w:rPr>
        <w:t>完善促进消费体制机制。</w:t>
      </w:r>
      <w:r>
        <w:rPr>
          <w:rFonts w:hint="eastAsia" w:ascii="仿宋_GB2312" w:hAnsi="仿宋_GB2312" w:eastAsia="仿宋_GB2312" w:cs="仿宋_GB2312"/>
          <w:sz w:val="32"/>
          <w:szCs w:val="32"/>
        </w:rPr>
        <w:t>加强消费产品和服务质量监管体系建设，强化服务消费质量监测，开展相关领域服务认证，加大消费市场质量联合监督执法力度。完善消费金融服务，制定差异化信贷政策，创新金融产品，加大消费信贷投放力度。完善消费者维权机制，推进“安心消费”创建工作，健全消费者权益保护部门协作机制，建设快速解决消费纠纷的绿色通道，切实维护消费者合法权益。建立健全消费领域信用体系，优化促进居民消费配套保障，加强消费宣传推介和信息引导。优化线上消费环境，建立健全企业和相关人员信用记录，提供信用信息一站式查询和消费预警提示服务。</w:t>
      </w:r>
      <w:bookmarkEnd w:id="512"/>
      <w:bookmarkEnd w:id="513"/>
    </w:p>
    <w:p>
      <w:pPr>
        <w:pStyle w:val="5"/>
        <w:spacing w:beforeLines="0" w:afterLines="0" w:line="608" w:lineRule="exact"/>
        <w:rPr>
          <w:rFonts w:ascii="楷体_GB2312" w:hAnsi="楷体_GB2312" w:eastAsia="楷体_GB2312" w:cs="楷体_GB2312"/>
        </w:rPr>
      </w:pPr>
      <w:bookmarkStart w:id="514" w:name="_Toc28669"/>
      <w:bookmarkStart w:id="515" w:name="_Toc27792"/>
      <w:bookmarkStart w:id="516" w:name="_Toc21371"/>
      <w:bookmarkStart w:id="517" w:name="_Toc20988"/>
      <w:bookmarkStart w:id="518" w:name="_Toc29938"/>
      <w:bookmarkStart w:id="519" w:name="_Toc13719"/>
      <w:bookmarkStart w:id="520" w:name="_Toc24470"/>
      <w:bookmarkStart w:id="521" w:name="_Toc26876"/>
      <w:bookmarkStart w:id="522" w:name="_Toc17645"/>
      <w:bookmarkStart w:id="523" w:name="_Toc14376"/>
      <w:bookmarkStart w:id="524" w:name="_Toc30282"/>
      <w:bookmarkStart w:id="525" w:name="_Toc30161"/>
      <w:bookmarkStart w:id="526" w:name="_Toc26916"/>
      <w:bookmarkStart w:id="527" w:name="_Toc22262"/>
      <w:bookmarkStart w:id="528" w:name="_Toc28078"/>
      <w:bookmarkStart w:id="529" w:name="_Toc17105"/>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第二节  充分发挥有效投资关键作用</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pStyle w:val="3"/>
        <w:spacing w:after="0" w:line="608" w:lineRule="exact"/>
        <w:ind w:left="0" w:leftChars="0" w:firstLine="640" w:firstLineChars="200"/>
        <w:rPr>
          <w:rFonts w:ascii="仿宋_GB2312" w:hAnsi="仿宋_GB2312" w:eastAsia="仿宋_GB2312" w:cs="仿宋_GB2312"/>
          <w:bCs/>
          <w:kern w:val="0"/>
          <w:sz w:val="32"/>
          <w:szCs w:val="32"/>
        </w:rPr>
      </w:pPr>
    </w:p>
    <w:p>
      <w:pPr>
        <w:pStyle w:val="3"/>
        <w:spacing w:after="0" w:line="608" w:lineRule="exact"/>
        <w:ind w:left="0" w:leftChars="0"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坚持“项目为王”，发挥投资对转方式、调结构的关键作用，合理扩大有效投资，精准发力补齐短板，以高质量投资推动经济高质量发展。</w:t>
      </w:r>
    </w:p>
    <w:p>
      <w:pPr>
        <w:spacing w:line="608" w:lineRule="exact"/>
        <w:ind w:firstLine="642" w:firstLineChars="200"/>
        <w:textAlignment w:val="baseline"/>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聚焦重点领域扩大投资。</w:t>
      </w:r>
      <w:r>
        <w:rPr>
          <w:rFonts w:hint="eastAsia" w:ascii="仿宋_GB2312" w:hAnsi="仿宋_GB2312" w:eastAsia="仿宋_GB2312" w:cs="仿宋_GB2312"/>
          <w:kern w:val="0"/>
          <w:sz w:val="32"/>
          <w:szCs w:val="32"/>
        </w:rPr>
        <w:t>聚焦“六新”持续谋划重大项目，扩大战略性新兴产业投资，推动战略性新兴产业快速发展。聚焦提升基础支撑能力，抢抓国家布局支持“两新一重”建设机遇，推进交通基础设施、农业农村、能源、生态环保、防灾减灾等一批重大工程建设。加强政府投资管理，有效</w:t>
      </w:r>
      <w:r>
        <w:rPr>
          <w:rFonts w:hint="eastAsia" w:ascii="仿宋_GB2312" w:hAnsi="仿宋_GB2312" w:eastAsia="仿宋_GB2312" w:cs="仿宋_GB2312"/>
          <w:sz w:val="32"/>
          <w:szCs w:val="32"/>
        </w:rPr>
        <w:t>发挥政府投资撬动作用，统筹用好各类资金，</w:t>
      </w:r>
      <w:r>
        <w:rPr>
          <w:rFonts w:hint="eastAsia" w:ascii="仿宋_GB2312" w:hAnsi="仿宋_GB2312" w:eastAsia="仿宋_GB2312" w:cs="仿宋_GB2312"/>
          <w:kern w:val="0"/>
          <w:sz w:val="32"/>
          <w:szCs w:val="32"/>
        </w:rPr>
        <w:t>聚焦补齐社会民生短板，在城镇老旧小区改造、公共卫生、健康养老、就业、文化教育等领域加大投资力度。</w:t>
      </w:r>
      <w:r>
        <w:rPr>
          <w:rFonts w:hint="eastAsia" w:ascii="仿宋_GB2312" w:hAnsi="仿宋_GB2312" w:eastAsia="仿宋_GB2312" w:cs="仿宋_GB2312"/>
          <w:sz w:val="32"/>
          <w:szCs w:val="32"/>
        </w:rPr>
        <w:t>积极落实鼓励和支持民间投资各项政策，优化民间投资环境，拓宽民间投资领域，进一步激发民间投资活力。不断拓宽融资渠道，围绕国家和省投资方向，积极争取上级资金，充分利用多层次资本市场，扩大直接融资规模。</w:t>
      </w:r>
    </w:p>
    <w:p>
      <w:pPr>
        <w:pStyle w:val="3"/>
        <w:spacing w:after="0" w:line="608" w:lineRule="exact"/>
        <w:ind w:left="0" w:leftChars="0"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持续推进重点项目建设。</w:t>
      </w:r>
      <w:r>
        <w:rPr>
          <w:rFonts w:hint="eastAsia" w:ascii="仿宋_GB2312" w:hAnsi="仿宋_GB2312" w:eastAsia="仿宋_GB2312" w:cs="仿宋_GB2312"/>
          <w:kern w:val="0"/>
          <w:sz w:val="32"/>
          <w:szCs w:val="32"/>
        </w:rPr>
        <w:t>建立健全重点项目谋划储备制度、重点项目快速落地制度、重点项目协调推进制度、重点项目跟踪督导制度和重点项目联席会议制度，实现项目全口径调度、全流程服务、全要素保障。持续推动项目签约、开工、投产“三个一批”活动，推动签约项目早落地、落地项目早建设、建设项目早投产、投产项目早达效。完善项目推进机制，深化常态化入企服务，强化用地、用能等要素安排和项目需求精准匹配，确保重大项目顺利实施。</w:t>
      </w:r>
    </w:p>
    <w:p>
      <w:pPr>
        <w:pStyle w:val="3"/>
        <w:spacing w:after="0" w:line="608" w:lineRule="exact"/>
        <w:ind w:left="0" w:leftChars="0"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实施招商引资提质工程。</w:t>
      </w:r>
      <w:r>
        <w:rPr>
          <w:rFonts w:hint="eastAsia" w:ascii="仿宋_GB2312" w:hAnsi="仿宋_GB2312" w:eastAsia="仿宋_GB2312" w:cs="仿宋_GB2312"/>
          <w:sz w:val="32"/>
          <w:szCs w:val="32"/>
        </w:rPr>
        <w:t>坚持项目准入标准，围绕全县主导产业布局，重点引进现代农业、文化旅游、商贸物流、固废利用、现代煤化工和新能源新材料等产业项目，不断提升招商引资质量。建立驻点招商机制，选派专员到京津冀、长三角、粤港澳大湾区等地区常态化招商，采取“点对点”、“一对一”方式，进一步拓宽招商引资渠道。实施招大引强攻坚计划、高端制造业招引攻坚计划、高峰人才集聚攻坚计划，带动“双招双引”全面提升。持续优化“六最”营商环境，深化“放管服效”改革，全面推进“一枚印章管审批”、“多证合一”等改革事项落地实施，实现企业开办“一套标准、全程网办”，健全营商环境考核机制，以优化营商环境的新成效推动招商引资和项目建设实现新突破。</w:t>
      </w:r>
    </w:p>
    <w:p>
      <w:pPr>
        <w:pStyle w:val="5"/>
        <w:spacing w:beforeLines="0" w:afterLines="0" w:line="608" w:lineRule="exact"/>
        <w:rPr>
          <w:rFonts w:ascii="楷体_GB2312" w:hAnsi="楷体_GB2312" w:eastAsia="楷体_GB2312" w:cs="楷体_GB2312"/>
        </w:rPr>
      </w:pPr>
      <w:bookmarkStart w:id="530" w:name="_Toc21794"/>
      <w:bookmarkStart w:id="531" w:name="_Toc31567"/>
      <w:bookmarkStart w:id="532" w:name="_Toc26047"/>
      <w:bookmarkStart w:id="533" w:name="_Toc21962"/>
      <w:bookmarkStart w:id="534" w:name="_Toc15485"/>
      <w:bookmarkStart w:id="535" w:name="_Toc32045"/>
      <w:bookmarkStart w:id="536" w:name="_Toc11652"/>
      <w:bookmarkStart w:id="537" w:name="_Toc26668"/>
      <w:bookmarkStart w:id="538" w:name="_Toc17049"/>
      <w:bookmarkStart w:id="539" w:name="_Toc10136"/>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 xml:space="preserve">第三节  </w:t>
      </w:r>
      <w:r>
        <w:rPr>
          <w:rFonts w:hint="eastAsia" w:ascii="楷体_GB2312" w:hAnsi="楷体_GB2312" w:eastAsia="楷体_GB2312" w:cs="楷体_GB2312"/>
          <w:bCs/>
          <w:szCs w:val="32"/>
        </w:rPr>
        <w:t>稳定提升产业链供应链</w:t>
      </w:r>
      <w:bookmarkEnd w:id="530"/>
      <w:bookmarkEnd w:id="531"/>
      <w:bookmarkEnd w:id="532"/>
      <w:bookmarkEnd w:id="533"/>
      <w:bookmarkEnd w:id="534"/>
      <w:bookmarkEnd w:id="535"/>
      <w:bookmarkEnd w:id="536"/>
      <w:bookmarkEnd w:id="537"/>
      <w:bookmarkEnd w:id="538"/>
      <w:bookmarkEnd w:id="539"/>
    </w:p>
    <w:p>
      <w:pPr>
        <w:pStyle w:val="3"/>
        <w:spacing w:after="0" w:line="608" w:lineRule="exact"/>
        <w:ind w:left="0" w:leftChars="0" w:firstLine="640" w:firstLineChars="200"/>
        <w:outlineLvl w:val="2"/>
        <w:rPr>
          <w:rFonts w:ascii="仿宋_GB2312" w:hAnsi="仿宋_GB2312" w:eastAsia="仿宋_GB2312" w:cs="仿宋_GB2312"/>
          <w:sz w:val="32"/>
          <w:szCs w:val="32"/>
        </w:rPr>
      </w:pPr>
      <w:bookmarkStart w:id="540" w:name="_Toc31812"/>
      <w:bookmarkStart w:id="541" w:name="_Toc18484"/>
    </w:p>
    <w:p>
      <w:pPr>
        <w:pStyle w:val="3"/>
        <w:spacing w:after="0" w:line="608" w:lineRule="exact"/>
        <w:ind w:left="0" w:leftChars="0"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抓住全球产业链供应链调整的战略窗口期，加快培育我县内需体系、产业链体系、供应链体系、价值链体系、市场体系，建设支撑国内大循环、服务双循环的重要战略节点。</w:t>
      </w:r>
      <w:bookmarkEnd w:id="540"/>
      <w:bookmarkEnd w:id="541"/>
    </w:p>
    <w:p>
      <w:pPr>
        <w:pStyle w:val="3"/>
        <w:spacing w:after="0" w:line="608" w:lineRule="exact"/>
        <w:ind w:left="0" w:leftChars="0" w:firstLine="642" w:firstLineChars="200"/>
        <w:outlineLvl w:val="2"/>
        <w:rPr>
          <w:rFonts w:ascii="仿宋_GB2312" w:hAnsi="仿宋_GB2312" w:eastAsia="仿宋_GB2312" w:cs="仿宋_GB2312"/>
          <w:sz w:val="32"/>
          <w:szCs w:val="32"/>
        </w:rPr>
      </w:pPr>
      <w:bookmarkStart w:id="542" w:name="_Toc19670"/>
      <w:bookmarkStart w:id="543" w:name="_Toc22781"/>
      <w:r>
        <w:rPr>
          <w:rFonts w:hint="eastAsia" w:ascii="仿宋_GB2312" w:hAnsi="仿宋_GB2312" w:eastAsia="仿宋_GB2312" w:cs="仿宋_GB2312"/>
          <w:b/>
          <w:bCs/>
          <w:sz w:val="32"/>
          <w:szCs w:val="32"/>
        </w:rPr>
        <w:t>开展补链强链延链专项行动。</w:t>
      </w:r>
      <w:r>
        <w:rPr>
          <w:rFonts w:hint="eastAsia" w:ascii="仿宋_GB2312" w:hAnsi="仿宋_GB2312" w:eastAsia="仿宋_GB2312" w:cs="仿宋_GB2312"/>
          <w:sz w:val="32"/>
          <w:szCs w:val="32"/>
        </w:rPr>
        <w:t>推动煤炭、煤层气等优势主导产业提质增效，不断稳定供应链。鼓励发展煤化工、煤层气深加工等延伸产业，加快实现由燃料向原料的转化进程。谋划光伏发电、氢能与碳基新材料一体化项目，积极推动全产业链发展，抢占行业制高点。支持食品、医药、建材、糠醛、设备制造等企业技术创新，不断提升产品供给质量和竞争力。立足我县产业发展需要，精准对接上下游、产供销需求，用足用好国内消费市场，不断壮大本土产业链，培育一批行业头部企业、领军企业。</w:t>
      </w:r>
      <w:bookmarkEnd w:id="542"/>
      <w:bookmarkEnd w:id="543"/>
    </w:p>
    <w:p>
      <w:pPr>
        <w:pStyle w:val="2"/>
        <w:spacing w:before="0" w:beforeAutospacing="0" w:line="608" w:lineRule="exact"/>
        <w:ind w:left="0" w:leftChars="0" w:firstLine="643"/>
      </w:pPr>
      <w:r>
        <w:rPr>
          <w:rFonts w:hint="eastAsia" w:ascii="仿宋_GB2312" w:hAnsi="仿宋_GB2312" w:eastAsia="仿宋_GB2312" w:cs="仿宋_GB2312"/>
          <w:b/>
          <w:bCs/>
          <w:sz w:val="32"/>
          <w:szCs w:val="32"/>
        </w:rPr>
        <w:t>积极拓展国内国际市场。</w:t>
      </w:r>
      <w:r>
        <w:rPr>
          <w:rFonts w:hint="eastAsia" w:ascii="仿宋_GB2312" w:hAnsi="仿宋_GB2312" w:eastAsia="仿宋_GB2312" w:cs="仿宋_GB2312"/>
          <w:sz w:val="32"/>
          <w:szCs w:val="32"/>
        </w:rPr>
        <w:t>依托强大国内市场，积极发挥我县产品优势，优化供给结构，改善供给质量，提升供给体系对国内需求的适配性。用足用好国内消费市场，围绕新型基础设施、新型城镇化和重大工程建设需要，组织对接一批符合条件的产品，帮助企业融入国家、省市重大项目建设。研究国内市场布局、商品结构和贸易方式，开发进口替代产品，拓展国内市场。加大“一带一路”沿线国家等重点市场拓展力度，支持龙头企业整合产业链上下游企业“组团出海”，推进产品、技术、品牌、标准全方位“走出去”，提升企业国际市场开拓能力，不断提升出口贸易占比。</w:t>
      </w:r>
      <w:bookmarkStart w:id="544" w:name="_Toc9403"/>
      <w:bookmarkStart w:id="545" w:name="_Toc3008"/>
      <w:bookmarkStart w:id="546" w:name="_Toc4007"/>
      <w:bookmarkStart w:id="547" w:name="_Toc13477"/>
      <w:bookmarkStart w:id="548" w:name="_Toc12469"/>
      <w:bookmarkStart w:id="549" w:name="_Toc18855"/>
      <w:bookmarkStart w:id="550" w:name="_Toc13645"/>
      <w:bookmarkStart w:id="551" w:name="_Toc21724"/>
      <w:bookmarkStart w:id="552" w:name="_Toc2632"/>
      <w:bookmarkStart w:id="553" w:name="_Toc25549"/>
      <w:bookmarkStart w:id="554" w:name="_Toc6919"/>
      <w:bookmarkStart w:id="555" w:name="_Toc32167"/>
    </w:p>
    <w:p/>
    <w:p>
      <w:r>
        <w:rPr>
          <w:rFonts w:hint="eastAsia"/>
        </w:rPr>
        <w:br w:type="page"/>
      </w:r>
    </w:p>
    <w:p>
      <w:pPr>
        <w:pStyle w:val="4"/>
        <w:spacing w:beforeLines="0" w:afterLines="0" w:line="608" w:lineRule="exact"/>
        <w:ind w:firstLine="320" w:firstLineChars="100"/>
        <w:rPr>
          <w:b w:val="0"/>
          <w:bCs/>
        </w:rPr>
      </w:pPr>
      <w:bookmarkStart w:id="556" w:name="_Toc16654"/>
    </w:p>
    <w:p>
      <w:pPr>
        <w:pStyle w:val="4"/>
        <w:spacing w:beforeLines="0" w:afterLines="0" w:line="608" w:lineRule="exact"/>
        <w:ind w:firstLine="360" w:firstLineChars="100"/>
        <w:rPr>
          <w:b w:val="0"/>
          <w:bCs/>
        </w:rPr>
      </w:pPr>
      <w:r>
        <w:rPr>
          <w:rFonts w:hint="eastAsia"/>
          <w:b w:val="0"/>
          <w:bCs/>
          <w:sz w:val="36"/>
          <w:szCs w:val="36"/>
        </w:rPr>
        <w:t>第六章  推进全面深化改革，释放社会经济发展活力</w:t>
      </w:r>
      <w:bookmarkEnd w:id="544"/>
      <w:bookmarkEnd w:id="545"/>
      <w:bookmarkEnd w:id="546"/>
      <w:bookmarkEnd w:id="547"/>
      <w:bookmarkEnd w:id="548"/>
      <w:bookmarkEnd w:id="549"/>
      <w:bookmarkEnd w:id="550"/>
      <w:bookmarkEnd w:id="551"/>
      <w:bookmarkEnd w:id="552"/>
      <w:bookmarkEnd w:id="553"/>
      <w:bookmarkEnd w:id="554"/>
      <w:bookmarkEnd w:id="555"/>
      <w:bookmarkEnd w:id="556"/>
    </w:p>
    <w:p>
      <w:pPr>
        <w:spacing w:line="608" w:lineRule="exact"/>
        <w:ind w:firstLine="640" w:firstLineChars="200"/>
        <w:rPr>
          <w:rFonts w:ascii="仿宋_GB2312" w:hAnsi="仿宋_GB2312" w:eastAsia="仿宋_GB2312" w:cs="仿宋_GB2312"/>
          <w:sz w:val="32"/>
          <w:szCs w:val="32"/>
        </w:rPr>
      </w:pPr>
      <w:bookmarkStart w:id="557" w:name="_Toc21895"/>
    </w:p>
    <w:p>
      <w:pPr>
        <w:spacing w:line="608" w:lineRule="exact"/>
        <w:ind w:firstLine="640" w:firstLineChars="200"/>
        <w:rPr>
          <w:sz w:val="32"/>
          <w:szCs w:val="32"/>
        </w:rPr>
      </w:pPr>
      <w:r>
        <w:rPr>
          <w:rFonts w:hint="eastAsia" w:ascii="仿宋_GB2312" w:hAnsi="仿宋_GB2312" w:eastAsia="仿宋_GB2312" w:cs="仿宋_GB2312"/>
          <w:sz w:val="32"/>
          <w:szCs w:val="32"/>
        </w:rPr>
        <w:t>坚定不移推进全面深化改革，破除深层次体制机制障碍，充分发挥制度优势，持续优化营商环境，激发新发展活力，重塑高质量转型发展新动能，在蹚新路上迈出坚实步伐。</w:t>
      </w:r>
    </w:p>
    <w:p>
      <w:pPr>
        <w:pStyle w:val="5"/>
        <w:spacing w:beforeLines="0" w:afterLines="0" w:line="608" w:lineRule="exact"/>
        <w:rPr>
          <w:rFonts w:ascii="楷体_GB2312" w:hAnsi="楷体_GB2312" w:eastAsia="楷体_GB2312" w:cs="楷体_GB2312"/>
        </w:rPr>
      </w:pPr>
      <w:bookmarkStart w:id="558" w:name="_Toc4685"/>
      <w:bookmarkStart w:id="559" w:name="_Toc24449"/>
      <w:bookmarkStart w:id="560" w:name="_Toc4938"/>
      <w:bookmarkStart w:id="561" w:name="_Toc21796"/>
      <w:bookmarkStart w:id="562" w:name="_Toc8314"/>
      <w:bookmarkStart w:id="563" w:name="_Toc31841"/>
      <w:bookmarkStart w:id="564" w:name="_Toc5910"/>
      <w:bookmarkStart w:id="565" w:name="_Toc6892"/>
      <w:bookmarkStart w:id="566" w:name="_Toc15092"/>
      <w:bookmarkStart w:id="567" w:name="_Toc3180"/>
      <w:bookmarkStart w:id="568" w:name="_Toc22393"/>
      <w:bookmarkStart w:id="569" w:name="_Toc5099"/>
      <w:bookmarkStart w:id="570" w:name="_Toc21842"/>
      <w:bookmarkStart w:id="571" w:name="_Toc15735"/>
      <w:bookmarkStart w:id="572" w:name="_Toc11900"/>
      <w:bookmarkStart w:id="573" w:name="_Toc3192"/>
      <w:bookmarkStart w:id="574" w:name="_Toc1595"/>
      <w:bookmarkStart w:id="575" w:name="_Toc29900"/>
      <w:bookmarkStart w:id="576" w:name="_Toc8292"/>
      <w:bookmarkStart w:id="577" w:name="_Toc21802"/>
      <w:bookmarkStart w:id="578" w:name="_Toc3778"/>
      <w:bookmarkStart w:id="579" w:name="_Toc4377"/>
      <w:bookmarkStart w:id="580" w:name="_Toc18219"/>
      <w:bookmarkStart w:id="581" w:name="_Toc28246"/>
      <w:bookmarkStart w:id="582" w:name="_Toc29417"/>
      <w:bookmarkStart w:id="583" w:name="_Toc4371"/>
      <w:bookmarkStart w:id="584" w:name="_Toc19128"/>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第一节  深化重点领域改革</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坚持改革为要，全面承接好中央、省市全面深化改革重大决策部署，深入推进基础性、牵引性、战略性重大改革，推动更多改革挺进全市第一方阵。</w:t>
      </w:r>
    </w:p>
    <w:p>
      <w:pPr>
        <w:spacing w:line="608" w:lineRule="exact"/>
        <w:ind w:firstLine="642" w:firstLineChars="200"/>
        <w:outlineLvl w:val="2"/>
        <w:rPr>
          <w:rFonts w:ascii="仿宋_GB2312" w:hAnsi="仿宋_GB2312" w:eastAsia="仿宋_GB2312" w:cs="仿宋_GB2312"/>
          <w:sz w:val="32"/>
          <w:szCs w:val="32"/>
        </w:rPr>
      </w:pPr>
      <w:bookmarkStart w:id="585" w:name="_Toc24498"/>
      <w:bookmarkStart w:id="586" w:name="_Toc25635"/>
      <w:r>
        <w:rPr>
          <w:rFonts w:hint="eastAsia" w:ascii="仿宋_GB2312" w:hAnsi="仿宋_GB2312" w:eastAsia="仿宋_GB2312" w:cs="仿宋_GB2312"/>
          <w:b/>
          <w:bCs/>
          <w:sz w:val="32"/>
          <w:szCs w:val="32"/>
        </w:rPr>
        <w:t>深化国资国企改革。</w:t>
      </w:r>
      <w:r>
        <w:rPr>
          <w:rFonts w:hint="eastAsia" w:ascii="仿宋_GB2312" w:hAnsi="仿宋_GB2312" w:eastAsia="仿宋_GB2312" w:cs="仿宋_GB2312"/>
          <w:sz w:val="32"/>
          <w:szCs w:val="32"/>
        </w:rPr>
        <w:t>深入实施国企改革三年行动，进一步落实国企改革“1+N”政策体系和顶层设计，分批完成僵尸、空壳企业清理退出。通过市场化手段，探索国有股权公开转让或增资扩股，实现国有资本有序退出，引进优质社会资本，深化混合所有制改革，增强国有经济竞争力、创新力。深化国有资本投资、运营公司出资企业改革，推动国资监管机构职能转变，优化监管方式，将依法应由企业自主决策的事项归位于企业。推进劳动、人事、分配三项制度改革和定职数、定员额、定机构、定机制、定薪酬、定任期的“六定”改革，建立现代企业制度，实现管理人员能上能下、员工能进能出、收入能增能减。</w:t>
      </w:r>
      <w:bookmarkEnd w:id="585"/>
      <w:bookmarkEnd w:id="586"/>
    </w:p>
    <w:p>
      <w:pPr>
        <w:spacing w:line="608" w:lineRule="exact"/>
        <w:ind w:firstLine="642" w:firstLineChars="200"/>
        <w:outlineLvl w:val="2"/>
        <w:rPr>
          <w:rFonts w:ascii="仿宋_GB2312" w:hAnsi="仿宋_GB2312" w:eastAsia="仿宋_GB2312" w:cs="仿宋_GB2312"/>
          <w:b/>
          <w:bCs/>
          <w:sz w:val="32"/>
          <w:szCs w:val="32"/>
        </w:rPr>
      </w:pPr>
      <w:bookmarkStart w:id="587" w:name="_Toc30577"/>
      <w:bookmarkStart w:id="588" w:name="_Toc4287"/>
      <w:r>
        <w:rPr>
          <w:rFonts w:hint="eastAsia" w:ascii="仿宋_GB2312" w:hAnsi="仿宋_GB2312" w:eastAsia="仿宋_GB2312" w:cs="仿宋_GB2312"/>
          <w:b/>
          <w:bCs/>
          <w:sz w:val="32"/>
          <w:szCs w:val="32"/>
        </w:rPr>
        <w:t>大力发展民营经济。</w:t>
      </w:r>
      <w:r>
        <w:rPr>
          <w:rFonts w:hint="eastAsia" w:ascii="仿宋_GB2312" w:hAnsi="仿宋_GB2312" w:eastAsia="仿宋_GB2312" w:cs="仿宋_GB2312"/>
          <w:spacing w:val="-14"/>
          <w:sz w:val="32"/>
          <w:szCs w:val="32"/>
        </w:rPr>
        <w:t>认真落实省、市、县支持民营经济发展政策措施，优化民营经济发展环境，支持民营企业改革创新做优做强。构建“专精特新”企业梯次培育体系，持续推进“个转企、小升规、规改股、股上市”，积极用好资本市场。打造“亲”“清”政商关系，建立规范化、机制化政企沟通渠道，完善涉企政策制定和执行机制，切实维护民菅企业合法权益，让民营企业家安心谋发展</w:t>
      </w:r>
      <w:r>
        <w:rPr>
          <w:rFonts w:hint="eastAsia" w:ascii="仿宋_GB2312" w:hAnsi="仿宋_GB2312" w:eastAsia="仿宋_GB2312" w:cs="仿宋_GB2312"/>
          <w:sz w:val="32"/>
          <w:szCs w:val="32"/>
        </w:rPr>
        <w:t>。</w:t>
      </w:r>
      <w:bookmarkEnd w:id="587"/>
      <w:bookmarkEnd w:id="588"/>
    </w:p>
    <w:p>
      <w:pPr>
        <w:spacing w:line="608" w:lineRule="exact"/>
        <w:ind w:firstLine="642" w:firstLineChars="200"/>
        <w:outlineLvl w:val="2"/>
        <w:rPr>
          <w:rFonts w:ascii="仿宋_GB2312" w:hAnsi="仿宋_GB2312" w:eastAsia="仿宋_GB2312" w:cs="仿宋_GB2312"/>
          <w:sz w:val="32"/>
          <w:szCs w:val="32"/>
        </w:rPr>
      </w:pPr>
      <w:bookmarkStart w:id="589" w:name="_Toc149"/>
      <w:bookmarkStart w:id="590" w:name="_Toc26274"/>
      <w:r>
        <w:rPr>
          <w:rFonts w:hint="eastAsia" w:ascii="仿宋_GB2312" w:hAnsi="仿宋_GB2312" w:eastAsia="仿宋_GB2312" w:cs="仿宋_GB2312"/>
          <w:b/>
          <w:bCs/>
          <w:sz w:val="32"/>
          <w:szCs w:val="32"/>
        </w:rPr>
        <w:t>深化能源革命综合改革。</w:t>
      </w:r>
      <w:r>
        <w:rPr>
          <w:rFonts w:hint="eastAsia" w:ascii="仿宋_GB2312" w:hAnsi="仿宋_GB2312" w:eastAsia="仿宋_GB2312" w:cs="仿宋_GB2312"/>
          <w:sz w:val="32"/>
          <w:szCs w:val="32"/>
        </w:rPr>
        <w:t>围绕实现碳达峰、碳中和目标，加快发展清洁能源和新能源，改善能源供给结构，进一步优化光伏、风能开发布局，因地制宜开展天然气、生物质供热等试点示范，积极探索储能应用示范。改善能源消费结构，继续实施能源消费总量和</w:t>
      </w:r>
      <w:r>
        <w:rPr>
          <w:rFonts w:hint="eastAsia" w:ascii="仿宋_GB2312" w:hAnsi="仿宋_GB2312" w:eastAsia="仿宋_GB2312" w:cs="仿宋_GB2312"/>
          <w:spacing w:val="-9"/>
          <w:sz w:val="32"/>
          <w:szCs w:val="32"/>
        </w:rPr>
        <w:t>强度“双控行动”，推进煤炭减量替代工程，大力开发推广节能高效技术和产品，实现重点用能行业、设备节能标准全覆盖。加快能源科技创新，围绕煤炭清洁高效利用、能源互联网等先进能源技术领域，加强与国内一流科研机构、高等院校合作，培育带动产业升级，努力构建清洁低碳、安全高效能源体系。按照“风光水火”“源网荷储”多能互补发展思路，不断优化升级能源产</w:t>
      </w:r>
      <w:r>
        <w:rPr>
          <w:rFonts w:hint="eastAsia" w:ascii="仿宋_GB2312" w:hAnsi="仿宋_GB2312" w:eastAsia="仿宋_GB2312" w:cs="仿宋_GB2312"/>
          <w:sz w:val="32"/>
          <w:szCs w:val="32"/>
        </w:rPr>
        <w:t>业结构，大力发展能源领域新产业、新业态，积极探索新路径，加快构建绿色多元现代能源新体系。</w:t>
      </w:r>
      <w:bookmarkEnd w:id="589"/>
      <w:bookmarkEnd w:id="590"/>
    </w:p>
    <w:p>
      <w:pPr>
        <w:pStyle w:val="5"/>
        <w:keepNext w:val="0"/>
        <w:keepLines w:val="0"/>
        <w:spacing w:beforeLines="0" w:afterLines="0" w:line="608" w:lineRule="exact"/>
        <w:rPr>
          <w:rFonts w:ascii="楷体_GB2312" w:hAnsi="楷体_GB2312" w:eastAsia="楷体_GB2312" w:cs="楷体_GB2312"/>
        </w:rPr>
      </w:pPr>
      <w:bookmarkStart w:id="591" w:name="_Toc20616"/>
      <w:bookmarkStart w:id="592" w:name="_Toc21532"/>
      <w:bookmarkStart w:id="593" w:name="_Toc19834"/>
      <w:bookmarkStart w:id="594" w:name="_Toc22035"/>
      <w:bookmarkStart w:id="595" w:name="_Toc5110"/>
      <w:bookmarkStart w:id="596" w:name="_Toc15238"/>
      <w:bookmarkStart w:id="597" w:name="_Toc5000"/>
      <w:bookmarkStart w:id="598" w:name="_Toc2393"/>
      <w:bookmarkStart w:id="599" w:name="_Toc15456"/>
      <w:bookmarkStart w:id="600" w:name="_Toc16029"/>
      <w:bookmarkStart w:id="601" w:name="_Toc5895"/>
      <w:bookmarkStart w:id="602" w:name="_Toc27035"/>
      <w:bookmarkStart w:id="603" w:name="_Toc9346"/>
      <w:bookmarkStart w:id="604" w:name="_Toc30540"/>
      <w:bookmarkStart w:id="605" w:name="_Toc30834"/>
      <w:bookmarkStart w:id="606" w:name="_Toc23309"/>
      <w:bookmarkStart w:id="607" w:name="_Toc3939"/>
      <w:bookmarkStart w:id="608" w:name="_Toc25420"/>
    </w:p>
    <w:p>
      <w:pPr>
        <w:pStyle w:val="5"/>
        <w:keepNext w:val="0"/>
        <w:keepLines w:val="0"/>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 xml:space="preserve">第二节 </w:t>
      </w:r>
      <w:bookmarkEnd w:id="591"/>
      <w:bookmarkEnd w:id="592"/>
      <w:bookmarkEnd w:id="593"/>
      <w:bookmarkEnd w:id="594"/>
      <w:bookmarkEnd w:id="595"/>
      <w:bookmarkEnd w:id="596"/>
      <w:bookmarkEnd w:id="597"/>
      <w:bookmarkEnd w:id="598"/>
      <w:bookmarkEnd w:id="599"/>
      <w:r>
        <w:rPr>
          <w:rFonts w:hint="eastAsia" w:ascii="楷体_GB2312" w:hAnsi="楷体_GB2312" w:eastAsia="楷体_GB2312" w:cs="楷体_GB2312"/>
        </w:rPr>
        <w:t xml:space="preserve"> 持续提升政府经济治理能力</w:t>
      </w:r>
      <w:bookmarkEnd w:id="600"/>
      <w:bookmarkEnd w:id="601"/>
      <w:bookmarkEnd w:id="602"/>
      <w:bookmarkEnd w:id="603"/>
      <w:bookmarkEnd w:id="604"/>
      <w:bookmarkEnd w:id="605"/>
      <w:bookmarkEnd w:id="606"/>
      <w:bookmarkEnd w:id="607"/>
      <w:bookmarkEnd w:id="608"/>
    </w:p>
    <w:p>
      <w:pPr>
        <w:autoSpaceDE w:val="0"/>
        <w:spacing w:line="608" w:lineRule="exact"/>
        <w:ind w:firstLine="640" w:firstLineChars="200"/>
        <w:outlineLvl w:val="2"/>
        <w:rPr>
          <w:rFonts w:ascii="仿宋_GB2312" w:hAnsi="仿宋_GB2312" w:eastAsia="仿宋_GB2312" w:cs="仿宋_GB2312"/>
          <w:sz w:val="32"/>
          <w:szCs w:val="32"/>
        </w:rPr>
      </w:pPr>
      <w:bookmarkStart w:id="609" w:name="_Toc426"/>
      <w:bookmarkStart w:id="610" w:name="_Toc29790"/>
    </w:p>
    <w:p>
      <w:pPr>
        <w:autoSpaceDE w:val="0"/>
        <w:spacing w:line="608"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不断提高政务服务水平，提升政府经济治理能力，加强资源要素市场化配置，营造经济发展的优良环境。</w:t>
      </w:r>
      <w:bookmarkEnd w:id="609"/>
      <w:bookmarkEnd w:id="610"/>
    </w:p>
    <w:p>
      <w:pPr>
        <w:autoSpaceDE w:val="0"/>
        <w:spacing w:line="608" w:lineRule="exact"/>
        <w:ind w:firstLine="642" w:firstLineChars="200"/>
        <w:outlineLvl w:val="2"/>
        <w:rPr>
          <w:rFonts w:ascii="仿宋_GB2312" w:hAnsi="仿宋_GB2312" w:eastAsia="仿宋_GB2312" w:cs="仿宋_GB2312"/>
          <w:sz w:val="32"/>
          <w:szCs w:val="32"/>
        </w:rPr>
      </w:pPr>
      <w:bookmarkStart w:id="611" w:name="_Toc21381"/>
      <w:bookmarkStart w:id="612" w:name="_Toc8611"/>
      <w:r>
        <w:rPr>
          <w:rFonts w:hint="eastAsia" w:ascii="仿宋_GB2312" w:hAnsi="仿宋_GB2312" w:eastAsia="仿宋_GB2312" w:cs="仿宋_GB2312"/>
          <w:b/>
          <w:bCs/>
          <w:sz w:val="32"/>
          <w:szCs w:val="32"/>
        </w:rPr>
        <w:t>持续优化“六最”营商环境。</w:t>
      </w:r>
      <w:r>
        <w:rPr>
          <w:rFonts w:hint="eastAsia" w:ascii="仿宋_GB2312" w:hAnsi="仿宋_GB2312" w:eastAsia="仿宋_GB2312" w:cs="仿宋_GB2312"/>
          <w:sz w:val="32"/>
          <w:szCs w:val="32"/>
        </w:rPr>
        <w:t>坚持“三对”“六最”要求，以数字政府建设为牵引，深化“放管服效”改革，推动全县营商环境进入全省前列。</w:t>
      </w:r>
      <w:r>
        <w:rPr>
          <w:rFonts w:hint="eastAsia" w:ascii="仿宋_GB2312" w:hAnsi="仿宋_GB2312" w:eastAsia="仿宋_GB2312" w:cs="仿宋_GB2312"/>
          <w:sz w:val="32"/>
          <w:szCs w:val="32"/>
          <w:shd w:val="clear" w:color="auto" w:fill="FFFFFF"/>
        </w:rPr>
        <w:t>强化“一朵云、一张网、一平台、一系统、一城墙”支撑能力，</w:t>
      </w:r>
      <w:r>
        <w:rPr>
          <w:rFonts w:hint="eastAsia" w:ascii="仿宋_GB2312" w:hAnsi="仿宋_GB2312" w:eastAsia="仿宋_GB2312" w:cs="仿宋_GB2312"/>
          <w:sz w:val="32"/>
          <w:szCs w:val="32"/>
        </w:rPr>
        <w:t>加快推进投资审批制度、商事制度、工程建设项目审批制度改革，推行核准类项目承诺制改革，实现企业投资项目承诺制改革全覆盖，探索实行政府投资项目承诺制改革。全面推进“一枚印章管审批”、“多证合一”等改革事项落地实施。推进“证照分离”改革全覆盖。加快推进企业开办“一套标准、全程网办”，实施企业简易注销机制。健全营商环境考核机制，探索建立营商环境工作问责容错制度。</w:t>
      </w:r>
      <w:bookmarkEnd w:id="611"/>
      <w:bookmarkEnd w:id="612"/>
    </w:p>
    <w:p>
      <w:pPr>
        <w:spacing w:line="608" w:lineRule="exact"/>
        <w:ind w:firstLine="642" w:firstLineChars="200"/>
        <w:outlineLvl w:val="2"/>
        <w:rPr>
          <w:rFonts w:ascii="仿宋_GB2312" w:hAnsi="仿宋_GB2312" w:eastAsia="仿宋_GB2312" w:cs="仿宋_GB2312"/>
          <w:sz w:val="32"/>
          <w:szCs w:val="32"/>
        </w:rPr>
      </w:pPr>
      <w:bookmarkStart w:id="613" w:name="_Toc5535"/>
      <w:bookmarkStart w:id="614" w:name="_Toc22361"/>
      <w:r>
        <w:rPr>
          <w:rFonts w:hint="eastAsia" w:ascii="仿宋_GB2312" w:hAnsi="仿宋_GB2312" w:eastAsia="仿宋_GB2312" w:cs="仿宋_GB2312"/>
          <w:b/>
          <w:bCs/>
          <w:sz w:val="32"/>
          <w:szCs w:val="32"/>
        </w:rPr>
        <w:t>构建诚实守信的信用环境。</w:t>
      </w:r>
      <w:r>
        <w:rPr>
          <w:rFonts w:hint="eastAsia" w:ascii="仿宋_GB2312" w:hAnsi="仿宋_GB2312" w:eastAsia="仿宋_GB2312" w:cs="仿宋_GB2312"/>
          <w:sz w:val="32"/>
          <w:szCs w:val="32"/>
        </w:rPr>
        <w:t>加强社会信用体系建设，做好信用信息共享共建，加强信用监管，规范开展信用承诺，健全完善信用评价、联合奖惩机制，形成政府部门协同联动、行业组织自律管理、信用服务机构积极参与、社会舆论广泛监督的共同治理新格局和新体系。强化政府守信践诺，鼓励信用服务产品创新和应用场景创新。搭建社会信用平台，实施市场主体经营情况和信用等级评估制度。加强政务诚信公开，健全权力运行制约和监督体系。实施重点领域信用分级分类监管，构建以“双随机、一公开”监管和“互联网+监管”为基本手段、以重点监管为补充、以信用监管为基础的新型监管机制，推进线上线下一体化监管。实施诚信记录“红黑榜”制度，强化承诺事项兑现。加强诚信宣传，打造良好信用环境。</w:t>
      </w:r>
      <w:bookmarkEnd w:id="613"/>
      <w:bookmarkEnd w:id="614"/>
    </w:p>
    <w:p>
      <w:pPr>
        <w:spacing w:line="608" w:lineRule="exact"/>
        <w:ind w:firstLine="642" w:firstLineChars="200"/>
        <w:outlineLvl w:val="1"/>
        <w:rPr>
          <w:rFonts w:ascii="仿宋_GB2312" w:hAnsi="仿宋_GB2312" w:eastAsia="仿宋_GB2312" w:cs="仿宋_GB2312"/>
          <w:sz w:val="32"/>
          <w:szCs w:val="32"/>
        </w:rPr>
      </w:pPr>
      <w:bookmarkStart w:id="615" w:name="_Toc10662"/>
      <w:bookmarkStart w:id="616" w:name="_Toc16917"/>
      <w:bookmarkStart w:id="617" w:name="_Toc3629"/>
      <w:bookmarkStart w:id="618" w:name="_Toc18277"/>
      <w:bookmarkStart w:id="619" w:name="_Toc27332"/>
      <w:r>
        <w:rPr>
          <w:rFonts w:hint="eastAsia" w:ascii="仿宋_GB2312" w:hAnsi="仿宋_GB2312" w:eastAsia="仿宋_GB2312" w:cs="仿宋_GB2312"/>
          <w:b/>
          <w:bCs/>
          <w:sz w:val="32"/>
          <w:szCs w:val="32"/>
        </w:rPr>
        <w:t>深化地方财税金融体制改革。</w:t>
      </w:r>
      <w:r>
        <w:rPr>
          <w:rFonts w:hint="eastAsia" w:ascii="仿宋_GB2312" w:hAnsi="仿宋_GB2312" w:eastAsia="仿宋_GB2312" w:cs="仿宋_GB2312"/>
          <w:sz w:val="32"/>
          <w:szCs w:val="32"/>
        </w:rPr>
        <w:t>严格落实预算法，切实硬化预算约束，强化政府性基金预算、国有资本经营预算、社会保险基金预算与一般公共预算的统筹衔接。加快推进全口径政府预算管理，全面反映政府收支总量、结构和管理活动。积极引进和培育新型金融机构，不断丰富金融业态。着力推进机制创新，以市场需求为导向，切实降低金融服务门槛，有效发挥政府性融资担保政策作用，实现“金融要素资源跟着项目走”。创新金融服务考核激励机制，采取风险补偿、奖励、补贴等方式，鼓励金融机构创新金融产品和服务，提高办贷效率，降低融资成本，提升信贷获得。稳妥化解各类风险隐患，持续强化企业信贷和融资风险监测预警分析，推动银行机构加快不良贷款处置步伐，严控全县不良贷款规模，牢牢守住不发生系统性金融风险底线。</w:t>
      </w:r>
      <w:bookmarkEnd w:id="615"/>
      <w:bookmarkEnd w:id="616"/>
      <w:bookmarkEnd w:id="617"/>
      <w:bookmarkEnd w:id="618"/>
      <w:bookmarkEnd w:id="619"/>
    </w:p>
    <w:p>
      <w:pPr>
        <w:pStyle w:val="5"/>
        <w:spacing w:beforeLines="0" w:afterLines="0" w:line="608" w:lineRule="exact"/>
        <w:rPr>
          <w:rFonts w:ascii="楷体_GB2312" w:hAnsi="楷体_GB2312" w:eastAsia="楷体_GB2312" w:cs="楷体_GB2312"/>
        </w:rPr>
      </w:pPr>
      <w:bookmarkStart w:id="620" w:name="_Toc22793"/>
      <w:bookmarkStart w:id="621" w:name="_Toc23838"/>
      <w:bookmarkStart w:id="622" w:name="_Toc7509"/>
      <w:bookmarkStart w:id="623" w:name="_Toc17449"/>
      <w:bookmarkStart w:id="624" w:name="_Toc20252"/>
      <w:bookmarkStart w:id="625" w:name="_Toc16655"/>
      <w:bookmarkStart w:id="626" w:name="_Toc8081"/>
      <w:bookmarkStart w:id="627" w:name="_Toc19207"/>
      <w:bookmarkStart w:id="628" w:name="_Toc32592"/>
      <w:bookmarkStart w:id="629" w:name="_Toc25638"/>
      <w:bookmarkStart w:id="630" w:name="_Toc27001"/>
      <w:bookmarkStart w:id="631" w:name="_Toc26043"/>
      <w:bookmarkStart w:id="632" w:name="_Toc30204"/>
      <w:bookmarkStart w:id="633" w:name="_Toc20730"/>
      <w:bookmarkStart w:id="634" w:name="_Toc31314"/>
      <w:bookmarkStart w:id="635" w:name="_Toc19182"/>
    </w:p>
    <w:p>
      <w:pPr>
        <w:pStyle w:val="5"/>
        <w:spacing w:beforeLines="0" w:afterLines="0" w:line="608" w:lineRule="exact"/>
        <w:rPr>
          <w:rFonts w:ascii="楷体_GB2312" w:hAnsi="楷体_GB2312" w:eastAsia="楷体_GB2312" w:cs="楷体_GB2312"/>
          <w:szCs w:val="32"/>
        </w:rPr>
      </w:pPr>
      <w:r>
        <w:rPr>
          <w:rFonts w:hint="eastAsia" w:ascii="楷体_GB2312" w:hAnsi="楷体_GB2312" w:eastAsia="楷体_GB2312" w:cs="楷体_GB2312"/>
        </w:rPr>
        <w:t xml:space="preserve">第三节 </w:t>
      </w:r>
      <w:bookmarkEnd w:id="620"/>
      <w:bookmarkEnd w:id="621"/>
      <w:bookmarkEnd w:id="622"/>
      <w:bookmarkEnd w:id="623"/>
      <w:bookmarkEnd w:id="624"/>
      <w:r>
        <w:rPr>
          <w:rFonts w:hint="eastAsia" w:ascii="楷体_GB2312" w:hAnsi="楷体_GB2312" w:eastAsia="楷体_GB2312" w:cs="楷体_GB2312"/>
        </w:rPr>
        <w:t xml:space="preserve"> 构建全方位开放合作新格局</w:t>
      </w:r>
      <w:bookmarkEnd w:id="625"/>
      <w:bookmarkEnd w:id="626"/>
      <w:bookmarkEnd w:id="627"/>
      <w:bookmarkEnd w:id="628"/>
      <w:bookmarkEnd w:id="629"/>
      <w:bookmarkEnd w:id="630"/>
      <w:bookmarkEnd w:id="631"/>
      <w:bookmarkEnd w:id="632"/>
      <w:bookmarkEnd w:id="633"/>
      <w:bookmarkEnd w:id="634"/>
      <w:bookmarkEnd w:id="635"/>
    </w:p>
    <w:p>
      <w:pPr>
        <w:pStyle w:val="10"/>
        <w:tabs>
          <w:tab w:val="right" w:leader="dot" w:pos="8306"/>
        </w:tabs>
        <w:spacing w:line="608" w:lineRule="exact"/>
        <w:ind w:left="0" w:leftChars="0" w:firstLine="640" w:firstLineChars="200"/>
        <w:rPr>
          <w:rFonts w:ascii="仿宋_GB2312" w:hAnsi="仿宋_GB2312" w:eastAsia="仿宋_GB2312" w:cs="仿宋_GB2312"/>
          <w:sz w:val="32"/>
          <w:szCs w:val="32"/>
        </w:rPr>
      </w:pPr>
    </w:p>
    <w:p>
      <w:pPr>
        <w:pStyle w:val="10"/>
        <w:tabs>
          <w:tab w:val="right" w:leader="dot" w:pos="8306"/>
        </w:tabs>
        <w:spacing w:line="608"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深刻把握全省全市战略定位，主动融入省市重要战略部署和战略节点，建设高效协同的供应链体系、互利共赢的价值链体系、内外融合的市场体系。</w:t>
      </w:r>
    </w:p>
    <w:p>
      <w:pPr>
        <w:snapToGrid w:val="0"/>
        <w:spacing w:line="608"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积极融入重大国家战略。</w:t>
      </w:r>
      <w:r>
        <w:rPr>
          <w:rFonts w:hint="eastAsia" w:ascii="仿宋_GB2312" w:hAnsi="仿宋_GB2312" w:eastAsia="仿宋_GB2312" w:cs="仿宋_GB2312"/>
          <w:sz w:val="32"/>
          <w:szCs w:val="32"/>
        </w:rPr>
        <w:t>主动融入“一带一路”大商圈建设，深度对接京津冀协同发展、长三角一体化发展、粤港澳大湾区建设、促进中部崛起、黄河流域生态保护和高质量发展等重大国家战略，充分发挥我县资源优势、地缘优势、生态优势、历史文化优势，着力推动生态环境联防联治、清洁能源保障供应、科技创新通力合作、产业发展分工协作、基础设施互联互通、医疗教育资源共享。主动承接东部新兴产业转移，实施产业链精准招商，引进产业链关键企业和上下游配套企业，吸引一批先进制造业项目在我县落地。</w:t>
      </w:r>
    </w:p>
    <w:p>
      <w:pPr>
        <w:pStyle w:val="3"/>
        <w:spacing w:after="0" w:line="608" w:lineRule="exact"/>
        <w:ind w:left="0" w:leftChars="0" w:firstLine="642" w:firstLineChars="200"/>
        <w:outlineLvl w:val="2"/>
        <w:rPr>
          <w:rFonts w:ascii="仿宋_GB2312" w:hAnsi="仿宋_GB2312" w:eastAsia="仿宋_GB2312" w:cs="仿宋_GB2312"/>
          <w:sz w:val="32"/>
          <w:szCs w:val="32"/>
        </w:rPr>
      </w:pPr>
      <w:bookmarkStart w:id="636" w:name="_Toc27195"/>
      <w:bookmarkStart w:id="637" w:name="_Toc7919"/>
      <w:r>
        <w:rPr>
          <w:rFonts w:hint="eastAsia" w:ascii="仿宋_GB2312" w:hAnsi="仿宋_GB2312" w:eastAsia="仿宋_GB2312" w:cs="仿宋_GB2312"/>
          <w:b/>
          <w:bCs/>
          <w:sz w:val="32"/>
          <w:szCs w:val="32"/>
        </w:rPr>
        <w:t>建设外向型开放城市。</w:t>
      </w:r>
      <w:r>
        <w:rPr>
          <w:rFonts w:hint="eastAsia" w:ascii="仿宋_GB2312" w:hAnsi="仿宋_GB2312" w:eastAsia="仿宋_GB2312" w:cs="仿宋_GB2312"/>
          <w:sz w:val="32"/>
          <w:szCs w:val="32"/>
        </w:rPr>
        <w:t>充分发挥开发区对外开放“桥头堡”作用，统筹推进园区规划、土地收储、机制创新、基础设施建设等各项工作，完善“一区三园”生产力布局，加快经济技术开发区获批。依托中南铁路主动脉，促进能投产能释放，加快口岸作业区和陆地无水港规划进程，打造对外贸易和向东开放新高地。加快与郑太高铁长治东站、长治南站直连直通，建设更加开放的外向型城市。</w:t>
      </w:r>
      <w:bookmarkEnd w:id="636"/>
      <w:bookmarkEnd w:id="637"/>
    </w:p>
    <w:p>
      <w:pPr>
        <w:pStyle w:val="3"/>
        <w:spacing w:after="0" w:line="608" w:lineRule="exact"/>
        <w:ind w:left="0" w:leftChars="0" w:firstLine="642" w:firstLineChars="200"/>
        <w:outlineLvl w:val="2"/>
        <w:rPr>
          <w:rFonts w:ascii="仿宋_GB2312" w:hAnsi="仿宋_GB2312" w:eastAsia="仿宋_GB2312" w:cs="仿宋_GB2312"/>
          <w:sz w:val="32"/>
          <w:szCs w:val="32"/>
        </w:rPr>
      </w:pPr>
      <w:bookmarkStart w:id="638" w:name="_Toc5161"/>
      <w:bookmarkStart w:id="639" w:name="_Toc19794"/>
      <w:r>
        <w:rPr>
          <w:rFonts w:hint="eastAsia" w:ascii="仿宋_GB2312" w:hAnsi="仿宋_GB2312" w:eastAsia="仿宋_GB2312" w:cs="仿宋_GB2312"/>
          <w:b/>
          <w:bCs/>
          <w:sz w:val="32"/>
          <w:szCs w:val="32"/>
        </w:rPr>
        <w:t>加大对外开放力度。</w:t>
      </w:r>
      <w:r>
        <w:rPr>
          <w:rFonts w:hint="eastAsia" w:ascii="仿宋_GB2312" w:hAnsi="仿宋_GB2312" w:eastAsia="仿宋_GB2312" w:cs="仿宋_GB2312"/>
          <w:sz w:val="32"/>
          <w:szCs w:val="32"/>
        </w:rPr>
        <w:t>积极参与山西自由贸易试验区和跨境电商综合试验区建设，推动农业、制造业、服务业全方位开放。以进博会、深圳高交会、厦门投洽会等为平台，不断优化对外环境，全力引进一批优质外资项目，实现利用外资新突破。持续提升民间对外交往水平，深化经贸、科技、文化、教育、医疗等领域交流与合作，不断扩大长子“朋友圈”。</w:t>
      </w:r>
      <w:bookmarkEnd w:id="638"/>
      <w:bookmarkEnd w:id="639"/>
    </w:p>
    <w:p>
      <w:bookmarkStart w:id="640" w:name="_Toc18573"/>
      <w:bookmarkStart w:id="641" w:name="_Toc19390"/>
      <w:bookmarkStart w:id="642" w:name="_Toc24328"/>
      <w:bookmarkStart w:id="643" w:name="_Toc20915"/>
      <w:bookmarkStart w:id="644" w:name="_Toc6378"/>
      <w:bookmarkStart w:id="645" w:name="_Toc1320"/>
      <w:bookmarkStart w:id="646" w:name="_Toc8804"/>
      <w:bookmarkStart w:id="647" w:name="_Toc28465"/>
      <w:bookmarkStart w:id="648" w:name="_Toc2474"/>
      <w:bookmarkStart w:id="649" w:name="_Toc15402"/>
      <w:bookmarkStart w:id="650" w:name="_Toc2833"/>
      <w:bookmarkStart w:id="651" w:name="_Toc8402"/>
      <w:bookmarkStart w:id="652" w:name="_Toc27486"/>
      <w:r>
        <w:br w:type="page"/>
      </w:r>
    </w:p>
    <w:p>
      <w:pPr>
        <w:pStyle w:val="4"/>
        <w:keepNext w:val="0"/>
        <w:keepLines w:val="0"/>
        <w:spacing w:beforeLines="0" w:afterLines="0" w:line="608" w:lineRule="exact"/>
        <w:rPr>
          <w:b w:val="0"/>
          <w:bCs/>
        </w:rPr>
      </w:pPr>
      <w:bookmarkStart w:id="653" w:name="_Toc18475"/>
    </w:p>
    <w:p>
      <w:pPr>
        <w:pStyle w:val="4"/>
        <w:keepNext w:val="0"/>
        <w:keepLines w:val="0"/>
        <w:spacing w:beforeLines="0" w:afterLines="0" w:line="608" w:lineRule="exact"/>
        <w:rPr>
          <w:b w:val="0"/>
          <w:bCs/>
        </w:rPr>
      </w:pPr>
      <w:r>
        <w:rPr>
          <w:b w:val="0"/>
          <w:bCs/>
          <w:sz w:val="36"/>
          <w:szCs w:val="36"/>
        </w:rPr>
        <w:t>第</w:t>
      </w:r>
      <w:r>
        <w:rPr>
          <w:rFonts w:hint="eastAsia"/>
          <w:b w:val="0"/>
          <w:bCs/>
          <w:sz w:val="36"/>
          <w:szCs w:val="36"/>
        </w:rPr>
        <w:t>七</w:t>
      </w:r>
      <w:r>
        <w:rPr>
          <w:b w:val="0"/>
          <w:bCs/>
          <w:sz w:val="36"/>
          <w:szCs w:val="36"/>
        </w:rPr>
        <w:t>章</w:t>
      </w:r>
      <w:r>
        <w:rPr>
          <w:rFonts w:hint="eastAsia"/>
          <w:b w:val="0"/>
          <w:bCs/>
          <w:sz w:val="36"/>
          <w:szCs w:val="36"/>
        </w:rPr>
        <w:t xml:space="preserve"> </w:t>
      </w:r>
      <w:r>
        <w:rPr>
          <w:b w:val="0"/>
          <w:bCs/>
          <w:sz w:val="36"/>
          <w:szCs w:val="36"/>
        </w:rPr>
        <w:t xml:space="preserve"> </w:t>
      </w:r>
      <w:r>
        <w:rPr>
          <w:rFonts w:hint="eastAsia"/>
          <w:b w:val="0"/>
          <w:bCs/>
          <w:sz w:val="36"/>
          <w:szCs w:val="36"/>
        </w:rPr>
        <w:t>推进新型城镇化建设，打造一流县级宜居城市</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pPr>
        <w:pStyle w:val="7"/>
        <w:spacing w:line="608" w:lineRule="exact"/>
        <w:ind w:left="0" w:leftChars="0" w:firstLine="640" w:firstLineChars="200"/>
        <w:rPr>
          <w:rFonts w:ascii="仿宋_GB2312" w:hAnsi="仿宋_GB2312" w:eastAsia="仿宋_GB2312" w:cs="仿宋_GB2312"/>
          <w:sz w:val="32"/>
          <w:szCs w:val="32"/>
        </w:rPr>
      </w:pPr>
    </w:p>
    <w:p>
      <w:pPr>
        <w:pStyle w:val="7"/>
        <w:spacing w:line="608" w:lineRule="exact"/>
        <w:ind w:left="0" w:leftChars="0"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主动融入长治省域副中心城市建设，推动更高水平的新型城镇化和更加开放的现代综合交通运输体系，不断巩固全国文明城市创建成果，努力建设宜居宜业宜游的魅力城市。</w:t>
      </w:r>
    </w:p>
    <w:p>
      <w:pPr>
        <w:pStyle w:val="5"/>
        <w:keepNext w:val="0"/>
        <w:keepLines w:val="0"/>
        <w:spacing w:beforeLines="0" w:afterLines="0" w:line="608" w:lineRule="exact"/>
        <w:rPr>
          <w:rFonts w:ascii="楷体_GB2312" w:hAnsi="楷体_GB2312" w:eastAsia="楷体_GB2312" w:cs="楷体_GB2312"/>
        </w:rPr>
      </w:pPr>
      <w:bookmarkStart w:id="654" w:name="_Toc10783"/>
      <w:bookmarkStart w:id="655" w:name="_Toc24224"/>
      <w:bookmarkStart w:id="656" w:name="_Toc12808"/>
      <w:bookmarkStart w:id="657" w:name="_Toc6224"/>
      <w:bookmarkStart w:id="658" w:name="_Toc3310"/>
      <w:bookmarkStart w:id="659" w:name="_Toc20973"/>
      <w:bookmarkStart w:id="660" w:name="_Toc30327"/>
      <w:bookmarkStart w:id="661" w:name="_Toc10029"/>
      <w:bookmarkStart w:id="662" w:name="_Toc31099"/>
      <w:bookmarkStart w:id="663" w:name="_Toc25195"/>
      <w:bookmarkStart w:id="664" w:name="_Toc24714"/>
      <w:bookmarkStart w:id="665" w:name="_Toc27240"/>
      <w:bookmarkStart w:id="666" w:name="_Toc11233"/>
      <w:bookmarkStart w:id="667" w:name="_Toc21515"/>
      <w:bookmarkStart w:id="668" w:name="_Toc31887"/>
      <w:bookmarkStart w:id="669" w:name="_Toc30915"/>
      <w:bookmarkStart w:id="670" w:name="_Toc26454"/>
      <w:bookmarkStart w:id="671" w:name="_Toc22648"/>
      <w:bookmarkStart w:id="672" w:name="_Toc32722"/>
      <w:bookmarkStart w:id="673" w:name="_Toc21901"/>
      <w:bookmarkStart w:id="674" w:name="_Toc19000"/>
      <w:bookmarkStart w:id="675" w:name="_Toc21958"/>
      <w:bookmarkStart w:id="676" w:name="_Toc14621"/>
      <w:bookmarkStart w:id="677" w:name="_Toc28215"/>
      <w:bookmarkStart w:id="678" w:name="_Toc21518"/>
      <w:bookmarkStart w:id="679" w:name="_Toc14495"/>
      <w:bookmarkStart w:id="680" w:name="_Toc13042"/>
    </w:p>
    <w:p>
      <w:pPr>
        <w:pStyle w:val="5"/>
        <w:keepNext w:val="0"/>
        <w:keepLines w:val="0"/>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第一节  高质量建设大县城</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pStyle w:val="3"/>
        <w:spacing w:after="0" w:line="608" w:lineRule="exact"/>
        <w:ind w:left="0" w:leftChars="0" w:firstLine="640" w:firstLineChars="200"/>
        <w:rPr>
          <w:rFonts w:ascii="仿宋_GB2312" w:hAnsi="仿宋_GB2312" w:eastAsia="仿宋_GB2312" w:cs="仿宋_GB2312"/>
          <w:sz w:val="32"/>
          <w:szCs w:val="32"/>
          <w:shd w:val="clear" w:color="auto" w:fill="FFFFFF"/>
        </w:rPr>
      </w:pPr>
    </w:p>
    <w:p>
      <w:pPr>
        <w:pStyle w:val="3"/>
        <w:spacing w:after="0" w:line="608"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进一步优化国土空间保护开发格局，统筹推进安居工程，改造提升老旧小区，不断完善服务功能，提升服务承载能力，</w:t>
      </w:r>
      <w:r>
        <w:rPr>
          <w:rFonts w:hint="eastAsia" w:ascii="仿宋_GB2312" w:hAnsi="仿宋_GB2312" w:eastAsia="仿宋_GB2312" w:cs="仿宋_GB2312"/>
          <w:sz w:val="32"/>
          <w:szCs w:val="32"/>
        </w:rPr>
        <w:t>促进新型城镇化和区域协调发展。</w:t>
      </w:r>
    </w:p>
    <w:p>
      <w:pPr>
        <w:spacing w:line="608" w:lineRule="exact"/>
        <w:ind w:firstLine="642" w:firstLineChars="200"/>
        <w:outlineLvl w:val="2"/>
        <w:rPr>
          <w:rFonts w:ascii="仿宋_GB2312" w:hAnsi="仿宋_GB2312" w:eastAsia="仿宋_GB2312" w:cs="仿宋_GB2312"/>
          <w:sz w:val="32"/>
          <w:szCs w:val="32"/>
        </w:rPr>
      </w:pPr>
      <w:bookmarkStart w:id="681" w:name="_Toc15195"/>
      <w:bookmarkStart w:id="682" w:name="_Toc5141"/>
      <w:r>
        <w:rPr>
          <w:rFonts w:hint="eastAsia" w:ascii="仿宋_GB2312" w:hAnsi="仿宋_GB2312" w:eastAsia="仿宋_GB2312" w:cs="仿宋_GB2312"/>
          <w:b/>
          <w:bCs/>
          <w:sz w:val="32"/>
          <w:szCs w:val="32"/>
        </w:rPr>
        <w:t>优化城镇空间布局。</w:t>
      </w:r>
      <w:r>
        <w:rPr>
          <w:rFonts w:hint="eastAsia" w:ascii="仿宋_GB2312" w:hAnsi="仿宋_GB2312" w:eastAsia="仿宋_GB2312" w:cs="仿宋_GB2312"/>
          <w:sz w:val="32"/>
          <w:szCs w:val="32"/>
        </w:rPr>
        <w:t>以</w:t>
      </w:r>
      <w:r>
        <w:rPr>
          <w:rFonts w:hint="eastAsia" w:ascii="仿宋_GB2312" w:hAnsi="仿宋_GB2312" w:eastAsia="仿宋_GB2312" w:cs="仿宋_GB2312"/>
          <w:spacing w:val="-7"/>
          <w:sz w:val="32"/>
          <w:szCs w:val="32"/>
        </w:rPr>
        <w:t>东进、西优、南控、北展的空间发展方向为引领，构建以丹朱大街、东西大街为城镇发展主轴，以老城县政府所在地、新城区中部行政服务设施、城东片区为城镇功能核心，以城中、城东、城西三大片区为城镇发展板块的“一轴三核，三区联动”城市空间结构。强化国土空间规划和用途管控，科学划定城市化地区、农产品主产区、生态功能区三大空间格局。有序实施城镇扩容提质战略，“十四五”期间，逐步将南刘、泊里、背山、河东四村纳入县城建成区，完善各类城镇综合配套功能，进一步优化调整空间布局。高质量开展城东新区规划编制工作，明确主体功能和产业定位。加快推进全县乡村规划编制工作，突出产业引领和乡村特色，用三年左右时间完成全县乡村规划的编制工作</w:t>
      </w:r>
      <w:r>
        <w:rPr>
          <w:rFonts w:hint="eastAsia" w:ascii="仿宋_GB2312" w:hAnsi="仿宋_GB2312" w:eastAsia="仿宋_GB2312" w:cs="仿宋_GB2312"/>
          <w:sz w:val="32"/>
          <w:szCs w:val="32"/>
        </w:rPr>
        <w:t>。</w:t>
      </w:r>
      <w:bookmarkEnd w:id="681"/>
      <w:bookmarkEnd w:id="682"/>
    </w:p>
    <w:p>
      <w:pPr>
        <w:spacing w:line="608" w:lineRule="exact"/>
        <w:ind w:firstLine="642" w:firstLineChars="200"/>
        <w:outlineLvl w:val="2"/>
        <w:rPr>
          <w:rFonts w:ascii="仿宋_GB2312" w:hAnsi="仿宋_GB2312" w:eastAsia="仿宋_GB2312" w:cs="仿宋_GB2312"/>
          <w:sz w:val="32"/>
          <w:szCs w:val="32"/>
        </w:rPr>
      </w:pPr>
      <w:bookmarkStart w:id="683" w:name="_Toc24059"/>
      <w:bookmarkStart w:id="684" w:name="_Toc17818"/>
      <w:r>
        <w:rPr>
          <w:rFonts w:hint="eastAsia" w:ascii="仿宋_GB2312" w:hAnsi="仿宋_GB2312" w:eastAsia="仿宋_GB2312" w:cs="仿宋_GB2312"/>
          <w:b/>
          <w:bCs/>
          <w:sz w:val="32"/>
          <w:szCs w:val="32"/>
        </w:rPr>
        <w:t>统筹推进安居工程。</w:t>
      </w:r>
      <w:r>
        <w:rPr>
          <w:rFonts w:hint="eastAsia" w:ascii="仿宋_GB2312" w:hAnsi="仿宋_GB2312" w:eastAsia="仿宋_GB2312" w:cs="仿宋_GB2312"/>
          <w:sz w:val="32"/>
          <w:szCs w:val="32"/>
        </w:rPr>
        <w:t>以老城改造提升为抓手，坚持高起</w:t>
      </w:r>
      <w:bookmarkEnd w:id="683"/>
      <w:bookmarkEnd w:id="684"/>
    </w:p>
    <w:p>
      <w:pPr>
        <w:spacing w:line="608"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点规划设计、高标准改造建设，将旧城区改造建设成特色鲜明、功能齐全、环境优美、质量优良的现代化街区。积极推进“圆梦安居”工程，</w:t>
      </w:r>
      <w:r>
        <w:rPr>
          <w:rFonts w:hint="eastAsia" w:ascii="仿宋_GB2312" w:hAnsi="仿宋_GB2312" w:eastAsia="仿宋_GB2312" w:cs="仿宋_GB2312"/>
          <w:sz w:val="32"/>
          <w:szCs w:val="32"/>
          <w:shd w:val="clear" w:color="auto" w:fill="FFFFFF"/>
        </w:rPr>
        <w:t>加快推进东大街、气象站</w:t>
      </w:r>
      <w:r>
        <w:rPr>
          <w:rFonts w:hint="eastAsia" w:ascii="仿宋_GB2312" w:hAnsi="仿宋_GB2312" w:eastAsia="仿宋_GB2312" w:cs="仿宋_GB2312"/>
          <w:sz w:val="32"/>
          <w:szCs w:val="32"/>
        </w:rPr>
        <w:t>、同昱E区等片区工程进度，落实好“一快六好”还迁安置目标等保障</w:t>
      </w:r>
      <w:r>
        <w:rPr>
          <w:rFonts w:hint="eastAsia" w:ascii="仿宋_GB2312" w:hAnsi="仿宋_GB2312" w:eastAsia="仿宋_GB2312" w:cs="仿宋_GB2312"/>
          <w:sz w:val="32"/>
          <w:szCs w:val="32"/>
          <w:shd w:val="clear" w:color="auto" w:fill="FFFFFF"/>
        </w:rPr>
        <w:t>措施。抓好重点房地产项目建设，</w:t>
      </w:r>
      <w:r>
        <w:rPr>
          <w:rFonts w:hint="eastAsia" w:ascii="仿宋_GB2312" w:hAnsi="仿宋_GB2312" w:eastAsia="仿宋_GB2312" w:cs="仿宋_GB2312"/>
          <w:sz w:val="32"/>
          <w:szCs w:val="32"/>
        </w:rPr>
        <w:t>不断改善城市人居环境，提升市民生活品质。加强保障性住房建设，完成配建公租房回购工作，推进保障性住房动态管理，让群众住有所居、居有所安</w:t>
      </w:r>
      <w:r>
        <w:rPr>
          <w:rFonts w:hint="eastAsia" w:ascii="仿宋_GB2312" w:hAnsi="仿宋_GB2312" w:eastAsia="仿宋_GB2312" w:cs="仿宋_GB2312"/>
          <w:sz w:val="32"/>
          <w:szCs w:val="32"/>
          <w:shd w:val="clear" w:color="auto" w:fill="FFFFFF"/>
        </w:rPr>
        <w:t>。</w:t>
      </w:r>
    </w:p>
    <w:p>
      <w:pPr>
        <w:adjustRightInd w:val="0"/>
        <w:spacing w:line="608" w:lineRule="exact"/>
        <w:ind w:firstLine="642" w:firstLineChars="200"/>
        <w:outlineLvl w:val="2"/>
        <w:rPr>
          <w:rFonts w:ascii="仿宋_GB2312" w:hAnsi="仿宋_GB2312" w:eastAsia="仿宋_GB2312" w:cs="仿宋_GB2312"/>
          <w:sz w:val="32"/>
          <w:szCs w:val="32"/>
        </w:rPr>
      </w:pPr>
      <w:bookmarkStart w:id="685" w:name="_Toc4488"/>
      <w:bookmarkStart w:id="686" w:name="_Toc23749"/>
      <w:r>
        <w:rPr>
          <w:rFonts w:hint="eastAsia" w:ascii="仿宋_GB2312" w:hAnsi="仿宋_GB2312" w:eastAsia="仿宋_GB2312" w:cs="仿宋_GB2312"/>
          <w:b/>
          <w:bCs/>
          <w:sz w:val="32"/>
          <w:szCs w:val="32"/>
        </w:rPr>
        <w:t>提升服务承载能力。</w:t>
      </w:r>
      <w:r>
        <w:rPr>
          <w:rFonts w:hint="eastAsia" w:ascii="仿宋_GB2312" w:hAnsi="仿宋_GB2312" w:eastAsia="仿宋_GB2312" w:cs="仿宋_GB2312"/>
          <w:sz w:val="32"/>
          <w:szCs w:val="32"/>
        </w:rPr>
        <w:t>优</w:t>
      </w:r>
      <w:r>
        <w:rPr>
          <w:rFonts w:hint="eastAsia" w:ascii="仿宋_GB2312" w:hAnsi="仿宋_GB2312" w:eastAsia="仿宋_GB2312" w:cs="仿宋_GB2312"/>
          <w:spacing w:val="-6"/>
          <w:sz w:val="32"/>
          <w:szCs w:val="32"/>
        </w:rPr>
        <w:t>化市政交通设施，实施慈林街、熨台街、神农路、崇庆路、广场西路等道路延伸工程，打通断头路。翻修改造漳源路、鹿谷街东段、西环路南段，优化主干网。新建文化馆东路、同昱一路、支四路、支五路、引水西路、福源街，畅通微循环。完善市政公用设施，推进东大关水源地项目落地开工，切实保障城镇居民生活用水。实施电力线路增容改造，满足城市发展需求。加快县城供气管网全覆盖，大幅提升城镇居民接入率。延伸县城供热一次管网，逐步扩大集中供热辐射范围。大力推进5G基站、室内楼宇站及管线、电力等配套设施建设。实施县城排水系统雨污分流改造，梯次推进建制镇生活污水处理设施建设。积极响应</w:t>
      </w:r>
      <w:r>
        <w:rPr>
          <w:rFonts w:hint="eastAsia" w:ascii="仿宋_GB2312" w:hAnsi="仿宋_GB2312" w:eastAsia="仿宋_GB2312" w:cs="仿宋_GB2312"/>
          <w:spacing w:val="-9"/>
          <w:sz w:val="32"/>
          <w:szCs w:val="32"/>
        </w:rPr>
        <w:t>疫情防控需求，优先支持公共卫生防控救治设施建设。持续增加优质教育资源供给，满足群众对高质量教育的新需求。不断改善养老托育设施，提高养老服务质量和婴幼儿托育水平。加大</w:t>
      </w:r>
      <w:r>
        <w:rPr>
          <w:rFonts w:hint="eastAsia" w:ascii="仿宋_GB2312" w:hAnsi="仿宋_GB2312" w:eastAsia="仿宋_GB2312" w:cs="仿宋_GB2312"/>
          <w:sz w:val="32"/>
          <w:szCs w:val="32"/>
        </w:rPr>
        <w:t>文旅体育设施建设步伐和开放力度，满足多元化民生需求。</w:t>
      </w:r>
      <w:bookmarkEnd w:id="685"/>
      <w:bookmarkEnd w:id="686"/>
    </w:p>
    <w:p>
      <w:pPr>
        <w:pStyle w:val="5"/>
        <w:keepNext w:val="0"/>
        <w:keepLines w:val="0"/>
        <w:spacing w:beforeLines="0" w:afterLines="0" w:line="608" w:lineRule="exact"/>
        <w:rPr>
          <w:rFonts w:ascii="楷体_GB2312" w:hAnsi="楷体_GB2312" w:eastAsia="楷体_GB2312" w:cs="楷体_GB2312"/>
        </w:rPr>
      </w:pPr>
      <w:bookmarkStart w:id="687" w:name="_Toc12363"/>
      <w:bookmarkStart w:id="688" w:name="_Toc14641"/>
      <w:bookmarkStart w:id="689" w:name="_Toc5716"/>
      <w:bookmarkStart w:id="690" w:name="_Toc16413"/>
      <w:bookmarkStart w:id="691" w:name="_Toc15766"/>
      <w:bookmarkStart w:id="692" w:name="_Toc20786"/>
      <w:bookmarkStart w:id="693" w:name="_Toc28333"/>
      <w:bookmarkStart w:id="694" w:name="_Toc7075"/>
      <w:bookmarkStart w:id="695" w:name="_Toc21773"/>
      <w:bookmarkStart w:id="696" w:name="_Toc22546"/>
      <w:bookmarkStart w:id="697" w:name="_Toc28945"/>
      <w:bookmarkStart w:id="698" w:name="_Toc9448"/>
      <w:bookmarkStart w:id="699" w:name="_Toc4364"/>
      <w:bookmarkStart w:id="700" w:name="_Toc11247"/>
      <w:bookmarkStart w:id="701" w:name="_Toc17839"/>
      <w:bookmarkStart w:id="702" w:name="_Toc17487"/>
      <w:bookmarkStart w:id="703" w:name="_Toc11041"/>
      <w:bookmarkStart w:id="704" w:name="_Toc25617"/>
      <w:bookmarkStart w:id="705" w:name="_Toc8384"/>
      <w:bookmarkStart w:id="706" w:name="_Toc24306"/>
      <w:bookmarkStart w:id="707" w:name="_Toc8536"/>
      <w:bookmarkStart w:id="708" w:name="_Toc9269"/>
      <w:bookmarkStart w:id="709" w:name="_Toc25243"/>
      <w:bookmarkStart w:id="710" w:name="_Toc22576"/>
      <w:bookmarkStart w:id="711" w:name="_Toc10689"/>
      <w:bookmarkStart w:id="712" w:name="_Toc9421"/>
      <w:bookmarkStart w:id="713" w:name="_Toc31033"/>
    </w:p>
    <w:p>
      <w:pPr>
        <w:pStyle w:val="5"/>
        <w:keepNext w:val="0"/>
        <w:keepLines w:val="0"/>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第二节  加强和创新城市管理</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pPr>
        <w:pStyle w:val="10"/>
        <w:tabs>
          <w:tab w:val="right" w:leader="dot" w:pos="8306"/>
        </w:tabs>
        <w:spacing w:line="608" w:lineRule="exact"/>
        <w:ind w:left="0" w:leftChars="0" w:firstLine="640" w:firstLineChars="200"/>
        <w:outlineLvl w:val="2"/>
        <w:rPr>
          <w:rFonts w:ascii="仿宋_GB2312" w:hAnsi="仿宋_GB2312" w:eastAsia="仿宋_GB2312" w:cs="仿宋_GB2312"/>
          <w:sz w:val="32"/>
          <w:szCs w:val="32"/>
        </w:rPr>
      </w:pPr>
      <w:bookmarkStart w:id="714" w:name="_Toc20900"/>
      <w:bookmarkStart w:id="715" w:name="_Toc31562"/>
    </w:p>
    <w:p>
      <w:pPr>
        <w:pStyle w:val="10"/>
        <w:tabs>
          <w:tab w:val="right" w:leader="dot" w:pos="8306"/>
        </w:tabs>
        <w:spacing w:line="608" w:lineRule="exact"/>
        <w:ind w:left="0" w:leftChars="0"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巩固文明城市创建成果，不断优化城市管理模式，创新长效管理手段，落实主体管理责任，着力提升城市“科学化、精细化、智能化”管理水平。</w:t>
      </w:r>
      <w:bookmarkEnd w:id="714"/>
      <w:bookmarkEnd w:id="715"/>
    </w:p>
    <w:p>
      <w:pPr>
        <w:pStyle w:val="10"/>
        <w:tabs>
          <w:tab w:val="right" w:leader="dot" w:pos="8306"/>
        </w:tabs>
        <w:spacing w:line="608" w:lineRule="exact"/>
        <w:ind w:left="0" w:leftChars="0" w:firstLine="642" w:firstLineChars="200"/>
        <w:outlineLvl w:val="2"/>
        <w:rPr>
          <w:rFonts w:ascii="仿宋_GB2312" w:hAnsi="仿宋_GB2312" w:eastAsia="仿宋_GB2312" w:cs="仿宋_GB2312"/>
          <w:b/>
          <w:bCs/>
          <w:sz w:val="32"/>
          <w:szCs w:val="32"/>
        </w:rPr>
      </w:pPr>
      <w:bookmarkStart w:id="716" w:name="_Toc16888"/>
      <w:bookmarkStart w:id="717" w:name="_Toc24005"/>
      <w:r>
        <w:rPr>
          <w:rFonts w:hint="eastAsia" w:ascii="仿宋_GB2312" w:hAnsi="仿宋_GB2312" w:eastAsia="仿宋_GB2312" w:cs="仿宋_GB2312"/>
          <w:b/>
          <w:bCs/>
          <w:sz w:val="32"/>
          <w:szCs w:val="32"/>
        </w:rPr>
        <w:t>实施城市精细化治理工程。</w:t>
      </w:r>
      <w:r>
        <w:rPr>
          <w:rFonts w:hint="eastAsia" w:ascii="仿宋_GB2312" w:hAnsi="仿宋_GB2312" w:eastAsia="仿宋_GB2312" w:cs="仿宋_GB2312"/>
          <w:spacing w:val="-9"/>
          <w:sz w:val="32"/>
          <w:szCs w:val="32"/>
        </w:rPr>
        <w:t>以问题为导向，突出城市治理重点领域和关键环节，落实相关职能部门责任，加大监督检查力度，积极开展沟通协作，确保城市精细化管理工作常态化开展。推动智能交通管理系统建设，打造城市交通“大脑”，构建城市点、线、面综合动态管控网络，实现重点领域、重点路段、重点节点视频监控全覆盖，扎实推进“雪亮工程”建设，全面提升人民群众安全感。推动城市运行自动感知、自动分析、自动研判、自动预警、自动调控，完善长临高速连接线、鹿谷大街的红绿灯和电子警察违法抓拍系统。拓展户外广告牌匾管理、智能停车引导、城市卫生管理、道路交通管理、路灯亮化管理、投诉举报系统、市政设施巡查、广场游园监管、违章建筑管理等功能。持续优化工作及管理流程，推进信息服务和公众参与城市管理，着力打造服务一张网、管理一张屏的数字化管理体系，全面提升城市精细化管理水平。</w:t>
      </w:r>
      <w:bookmarkEnd w:id="716"/>
      <w:bookmarkEnd w:id="717"/>
    </w:p>
    <w:p>
      <w:pPr>
        <w:spacing w:line="580" w:lineRule="exact"/>
        <w:ind w:firstLine="642" w:firstLineChars="200"/>
        <w:outlineLvl w:val="2"/>
        <w:rPr>
          <w:rFonts w:ascii="仿宋_GB2312" w:hAnsi="仿宋_GB2312" w:eastAsia="仿宋_GB2312" w:cs="仿宋_GB2312"/>
          <w:sz w:val="32"/>
          <w:szCs w:val="32"/>
        </w:rPr>
      </w:pPr>
      <w:bookmarkStart w:id="718" w:name="_Toc28529"/>
      <w:bookmarkStart w:id="719" w:name="_Toc19455"/>
      <w:r>
        <w:rPr>
          <w:rFonts w:hint="eastAsia" w:ascii="仿宋_GB2312" w:hAnsi="仿宋_GB2312" w:eastAsia="仿宋_GB2312" w:cs="仿宋_GB2312"/>
          <w:b/>
          <w:bCs/>
          <w:sz w:val="32"/>
          <w:szCs w:val="32"/>
        </w:rPr>
        <w:t>实施智慧城市创建工程。</w:t>
      </w:r>
      <w:r>
        <w:rPr>
          <w:rFonts w:hint="eastAsia" w:ascii="仿宋_GB2312" w:hAnsi="仿宋_GB2312" w:eastAsia="仿宋_GB2312" w:cs="仿宋_GB2312"/>
          <w:sz w:val="32"/>
          <w:szCs w:val="32"/>
        </w:rPr>
        <w:t>加强智慧城市顶层设计，推进智慧停车、智慧水务、智慧环卫、智慧管网、智慧园林等项目建设，完善城市硬件、基础数据库、城市管理监督员、视频监控系统等市政管理基础要素，打造</w:t>
      </w:r>
      <w:r>
        <w:rPr>
          <w:rFonts w:hint="eastAsia" w:ascii="仿宋_GB2312" w:hAnsi="仿宋_GB2312" w:eastAsia="仿宋_GB2312" w:cs="仿宋_GB2312"/>
          <w:spacing w:val="-9"/>
          <w:sz w:val="32"/>
          <w:szCs w:val="32"/>
        </w:rPr>
        <w:t>“干净、整洁、有序、安全、群众满意”的城市综合管理服务平台。构建以市政公用、市容环卫、园林绿化、综合执法为主要业务的行业应用系统，完善城市照明、城市停车、工地渣土监管、户外广告、违法建筑、门前三包拓展系统。建立智慧城市应用市场，确保针对“政务、产业、民生”的智慧应用顺利落地，构建起“以安全建设为前提、以数据汇聚与计算为先导、以广泛</w:t>
      </w:r>
      <w:r>
        <w:rPr>
          <w:rFonts w:hint="eastAsia" w:ascii="仿宋_GB2312" w:hAnsi="仿宋_GB2312" w:eastAsia="仿宋_GB2312" w:cs="仿宋_GB2312"/>
          <w:sz w:val="32"/>
          <w:szCs w:val="32"/>
        </w:rPr>
        <w:t>智慧应用为驱动”的新型智慧城市。</w:t>
      </w:r>
      <w:bookmarkEnd w:id="718"/>
      <w:bookmarkEnd w:id="719"/>
    </w:p>
    <w:p>
      <w:pPr>
        <w:pStyle w:val="10"/>
        <w:tabs>
          <w:tab w:val="right" w:leader="dot" w:pos="8306"/>
        </w:tabs>
        <w:spacing w:line="580" w:lineRule="exact"/>
        <w:ind w:left="0" w:leftChars="0" w:firstLine="642" w:firstLineChars="200"/>
        <w:outlineLvl w:val="2"/>
        <w:rPr>
          <w:rFonts w:ascii="仿宋_GB2312" w:hAnsi="仿宋_GB2312" w:eastAsia="仿宋_GB2312" w:cs="仿宋_GB2312"/>
          <w:spacing w:val="-11"/>
          <w:sz w:val="32"/>
          <w:szCs w:val="32"/>
        </w:rPr>
      </w:pPr>
      <w:bookmarkStart w:id="720" w:name="_Toc26837"/>
      <w:bookmarkStart w:id="721" w:name="_Toc5827"/>
      <w:r>
        <w:rPr>
          <w:rFonts w:hint="eastAsia" w:ascii="仿宋_GB2312" w:hAnsi="仿宋_GB2312" w:eastAsia="仿宋_GB2312" w:cs="仿宋_GB2312"/>
          <w:b/>
          <w:bCs/>
          <w:sz w:val="32"/>
          <w:szCs w:val="32"/>
        </w:rPr>
        <w:t>巩固提升全国文明城市创建成果。</w:t>
      </w:r>
      <w:r>
        <w:rPr>
          <w:rFonts w:hint="eastAsia" w:ascii="仿宋_GB2312" w:hAnsi="仿宋_GB2312" w:eastAsia="仿宋_GB2312" w:cs="仿宋_GB2312"/>
          <w:spacing w:val="-11"/>
          <w:sz w:val="32"/>
          <w:szCs w:val="32"/>
        </w:rPr>
        <w:t>坚持以创建全国文明城市为引领，示范带动文明村镇、文明单位、文明校园、文明家庭等创建活动，深入推进全域创建、全民创建、常态化创建。积极开展道德模范、身边好人、美德少年、“最美人物”等推荐评选活动，不断激发广大群众参与文明创建的动力与活力。深化拓展新时代文明实践中心（所、站）建设，健全完善县乡村三级新时代文明实践工作运行机制，不断完善“1+6”文明实践格局，充分发挥阵地功能，真正打通宣传群众、教育群众、关心群众、服务群众的“最后一公里”。深入推进志愿服务，开展“志愿长子”建设，科学构建志愿服务体系，以志愿服务精神为引领，精心策划打造志愿服务品牌项目，推动志愿服务项目化、长效化、品牌化。</w:t>
      </w:r>
      <w:bookmarkEnd w:id="720"/>
      <w:bookmarkEnd w:id="721"/>
    </w:p>
    <w:p>
      <w:pPr>
        <w:pStyle w:val="5"/>
        <w:keepNext w:val="0"/>
        <w:keepLines w:val="0"/>
        <w:spacing w:beforeLines="0" w:afterLines="0" w:line="580" w:lineRule="exact"/>
        <w:rPr>
          <w:rFonts w:ascii="楷体_GB2312" w:hAnsi="楷体_GB2312" w:eastAsia="楷体_GB2312" w:cs="楷体_GB2312"/>
        </w:rPr>
      </w:pPr>
      <w:bookmarkStart w:id="722" w:name="_Toc59459016"/>
      <w:bookmarkStart w:id="723" w:name="_Toc24127"/>
      <w:bookmarkStart w:id="724" w:name="_Toc25286"/>
      <w:bookmarkStart w:id="725" w:name="_Toc32562"/>
      <w:bookmarkStart w:id="726" w:name="_Toc16356"/>
      <w:bookmarkStart w:id="727" w:name="_Toc18701"/>
      <w:bookmarkStart w:id="728" w:name="_Toc23061"/>
      <w:bookmarkStart w:id="729" w:name="_Toc3383"/>
      <w:bookmarkStart w:id="730" w:name="_Toc9647"/>
      <w:bookmarkStart w:id="731" w:name="_Toc2937"/>
      <w:bookmarkStart w:id="732" w:name="_Toc32520"/>
      <w:bookmarkStart w:id="733" w:name="_Toc28502"/>
      <w:bookmarkStart w:id="734" w:name="_Toc31545"/>
      <w:bookmarkStart w:id="735" w:name="_Toc11114"/>
      <w:bookmarkStart w:id="736" w:name="_Toc14300"/>
      <w:bookmarkStart w:id="737" w:name="_Toc27347"/>
      <w:bookmarkStart w:id="738" w:name="_Toc529"/>
      <w:bookmarkStart w:id="739" w:name="_Toc8120"/>
      <w:bookmarkStart w:id="740" w:name="_Toc6277"/>
      <w:bookmarkStart w:id="741" w:name="_Toc30444"/>
      <w:bookmarkStart w:id="742" w:name="_Toc5942"/>
      <w:bookmarkStart w:id="743" w:name="_Toc27437"/>
      <w:bookmarkStart w:id="744" w:name="_Toc27925"/>
      <w:bookmarkStart w:id="745" w:name="_Toc15813"/>
      <w:bookmarkStart w:id="746" w:name="_Toc13500"/>
      <w:bookmarkStart w:id="747" w:name="_Toc23840"/>
      <w:bookmarkStart w:id="748" w:name="_Toc20869"/>
    </w:p>
    <w:p>
      <w:pPr>
        <w:pStyle w:val="5"/>
        <w:keepNext w:val="0"/>
        <w:keepLines w:val="0"/>
        <w:spacing w:beforeLines="0" w:afterLines="0" w:line="580" w:lineRule="exact"/>
        <w:rPr>
          <w:rFonts w:ascii="楷体_GB2312" w:hAnsi="楷体_GB2312" w:eastAsia="楷体_GB2312" w:cs="楷体_GB2312"/>
        </w:rPr>
      </w:pPr>
      <w:r>
        <w:rPr>
          <w:rFonts w:hint="eastAsia" w:ascii="楷体_GB2312" w:hAnsi="楷体_GB2312" w:eastAsia="楷体_GB2312" w:cs="楷体_GB2312"/>
        </w:rPr>
        <w:t xml:space="preserve">第三节 </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Pr>
          <w:rFonts w:hint="eastAsia" w:ascii="楷体_GB2312" w:hAnsi="楷体_GB2312" w:eastAsia="楷体_GB2312" w:cs="楷体_GB2312"/>
        </w:rPr>
        <w:t xml:space="preserve"> 构建现代综合交通运输体系</w:t>
      </w:r>
      <w:bookmarkEnd w:id="745"/>
      <w:bookmarkEnd w:id="746"/>
      <w:bookmarkEnd w:id="747"/>
      <w:bookmarkEnd w:id="748"/>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加强交通基础设施建设，打通出境通道，畅通内部循环，构建“两系统、五循环、十二出境通道”综合交通运输体系，不断提高运输服务水平。</w:t>
      </w:r>
    </w:p>
    <w:p>
      <w:pPr>
        <w:pStyle w:val="7"/>
        <w:spacing w:line="608" w:lineRule="exact"/>
        <w:ind w:left="0" w:leftChars="0" w:firstLine="642" w:firstLineChars="200"/>
        <w:outlineLvl w:val="2"/>
        <w:rPr>
          <w:rFonts w:ascii="仿宋_GB2312" w:hAnsi="仿宋_GB2312" w:eastAsia="仿宋_GB2312" w:cs="仿宋_GB2312"/>
          <w:sz w:val="32"/>
          <w:szCs w:val="32"/>
        </w:rPr>
      </w:pPr>
      <w:bookmarkStart w:id="749" w:name="_Toc26633"/>
      <w:bookmarkStart w:id="750" w:name="_Toc25651"/>
      <w:r>
        <w:rPr>
          <w:rFonts w:hint="eastAsia" w:ascii="仿宋_GB2312" w:hAnsi="仿宋_GB2312" w:eastAsia="仿宋_GB2312" w:cs="仿宋_GB2312"/>
          <w:b/>
          <w:bCs/>
          <w:sz w:val="32"/>
          <w:szCs w:val="32"/>
        </w:rPr>
        <w:t>构建综合交通体系。</w:t>
      </w:r>
      <w:r>
        <w:rPr>
          <w:rFonts w:hint="eastAsia" w:ascii="仿宋_GB2312" w:hAnsi="仿宋_GB2312" w:eastAsia="仿宋_GB2312" w:cs="仿宋_GB2312"/>
          <w:sz w:val="32"/>
          <w:szCs w:val="32"/>
        </w:rPr>
        <w:t>依托我县交通区位优势，打通出境通道，畅通内部循环，构建内畅外联的“两系统、五循环、十二出境通道”综合交通体系。两系统</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联通发鸠山—仙翁山—精卫湖—树化石等山水景观板块和法兴寺—崇庆寺—羊头山文物古迹板块，构建新型旅游公路系统。以省道S228南段、县道长韩线、五长线、运煤专线为骨干，连接拓宽改造省道S227，打造快速畅通煤炭通道系统。五循环</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依托现有县乡村公路，优化网络布局，打通断头路，联通乡镇道路，构建从县城至乡镇至县域外缘的五环交通体系。十二出境通道，在现有七个出境通道基础上，打通县城至长治高铁南站专线通道；建设北接屯留丰宜道路，与长临高速实现互通；建设南至沁水端氏道路，与陵侯高速实现互通；打通鲍店至二广高速、长治迎宾大道互通道路；新建东环和南环东段，拓宽改造县城至丹朱岭段出境道路，全县外出通道增加至十</w:t>
      </w:r>
      <w:bookmarkEnd w:id="749"/>
      <w:bookmarkEnd w:id="750"/>
      <w:r>
        <w:rPr>
          <w:rFonts w:hint="eastAsia" w:ascii="仿宋_GB2312" w:hAnsi="仿宋_GB2312" w:eastAsia="仿宋_GB2312" w:cs="仿宋_GB2312"/>
          <w:sz w:val="32"/>
          <w:szCs w:val="32"/>
        </w:rPr>
        <w:t>二处，实现区域路网互联互通。</w:t>
      </w:r>
    </w:p>
    <w:p>
      <w:pPr>
        <w:spacing w:line="608" w:lineRule="exact"/>
        <w:ind w:firstLine="642" w:firstLineChars="200"/>
        <w:outlineLvl w:val="2"/>
        <w:rPr>
          <w:rFonts w:ascii="仿宋_GB2312" w:hAnsi="仿宋_GB2312" w:eastAsia="仿宋_GB2312" w:cs="仿宋_GB2312"/>
          <w:sz w:val="32"/>
          <w:szCs w:val="32"/>
        </w:rPr>
      </w:pPr>
      <w:bookmarkStart w:id="751" w:name="_Toc11187"/>
      <w:bookmarkStart w:id="752" w:name="_Toc10778"/>
      <w:r>
        <w:rPr>
          <w:rFonts w:hint="eastAsia" w:ascii="仿宋_GB2312" w:hAnsi="仿宋_GB2312" w:eastAsia="仿宋_GB2312" w:cs="仿宋_GB2312"/>
          <w:b/>
          <w:bCs/>
          <w:sz w:val="32"/>
          <w:szCs w:val="32"/>
        </w:rPr>
        <w:t>提升交通安全保障能力。</w:t>
      </w:r>
      <w:r>
        <w:rPr>
          <w:rFonts w:hint="eastAsia" w:ascii="仿宋_GB2312" w:hAnsi="仿宋_GB2312" w:eastAsia="仿宋_GB2312" w:cs="仿宋_GB2312"/>
          <w:sz w:val="32"/>
          <w:szCs w:val="32"/>
        </w:rPr>
        <w:t>以“主体在县、管理在乡、延伸到村”的交通安全管理模式为基本路径，充分发挥“两站两员”作用，依托全县11个乡镇和2个管理中心设置的14个管理站、14个警保合作劝导站，提升协同共治能力，实现全县交通安全社会化管理无缝对接、广泛辐射。加大道路交通隐患排查力度，加强对重点企业、重点车</w:t>
      </w:r>
      <w:r>
        <w:rPr>
          <w:rFonts w:hint="eastAsia" w:ascii="仿宋_GB2312" w:hAnsi="仿宋_GB2312" w:eastAsia="仿宋_GB2312" w:cs="仿宋_GB2312"/>
          <w:spacing w:val="-9"/>
          <w:sz w:val="32"/>
          <w:szCs w:val="32"/>
        </w:rPr>
        <w:t>辆、重点安全隐患的整改，推动全县辖区内省、县、乡三级道路标志标牌、临水临崖防护设施、减速提醒等交通设施提档升级，提升隐患治理能力，保障全县道路交通形势安全稳定。以“公安大数据智慧交通管理大脑”为基本依托，加强对交通事故多发路段的全面排查，坚持发现一起，整治一起，从源头上预防和减少道路交通事故。积极探索新形势下事故处理新方法、新途径，加强中队民警业务技能培训，在出警速度、便民效果等方面实现新突破。充分发挥交通事故救助基金的作用，化解由交通事故引起的社会矛盾，促进社会和谐稳</w:t>
      </w:r>
      <w:r>
        <w:rPr>
          <w:rFonts w:hint="eastAsia" w:ascii="仿宋_GB2312" w:hAnsi="仿宋_GB2312" w:eastAsia="仿宋_GB2312" w:cs="仿宋_GB2312"/>
          <w:sz w:val="32"/>
          <w:szCs w:val="32"/>
        </w:rPr>
        <w:t>定。</w:t>
      </w:r>
      <w:bookmarkEnd w:id="751"/>
      <w:bookmarkEnd w:id="752"/>
    </w:p>
    <w:p>
      <w:pPr>
        <w:pStyle w:val="2"/>
        <w:spacing w:before="0" w:beforeAutospacing="0"/>
      </w:pPr>
    </w:p>
    <w:tbl>
      <w:tblPr>
        <w:tblStyle w:val="18"/>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8693" w:type="dxa"/>
          </w:tcPr>
          <w:p>
            <w:pPr>
              <w:spacing w:line="600" w:lineRule="exact"/>
              <w:jc w:val="center"/>
            </w:pPr>
            <w:r>
              <w:rPr>
                <w:rFonts w:hint="eastAsia" w:ascii="黑体" w:hAnsi="宋体" w:eastAsia="黑体" w:cs="黑体"/>
                <w:kern w:val="0"/>
                <w:sz w:val="28"/>
                <w:szCs w:val="28"/>
              </w:rPr>
              <w:t>专栏9 新型城镇化基础设施重大工程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93" w:type="dxa"/>
          </w:tcPr>
          <w:p>
            <w:pPr>
              <w:numPr>
                <w:ilvl w:val="0"/>
                <w:numId w:val="9"/>
              </w:numPr>
              <w:spacing w:line="340" w:lineRule="exact"/>
              <w:rPr>
                <w:rFonts w:asciiTheme="minorEastAsia" w:hAnsiTheme="minorEastAsia" w:cstheme="minorEastAsia"/>
                <w:kern w:val="0"/>
                <w:szCs w:val="21"/>
              </w:rPr>
            </w:pPr>
            <w:r>
              <w:rPr>
                <w:rFonts w:hint="eastAsia" w:asciiTheme="minorEastAsia" w:hAnsiTheme="minorEastAsia" w:cstheme="minorEastAsia"/>
                <w:b/>
                <w:bCs/>
                <w:kern w:val="0"/>
                <w:szCs w:val="21"/>
              </w:rPr>
              <w:t>市政道路改造提升工程。</w:t>
            </w:r>
            <w:r>
              <w:rPr>
                <w:rFonts w:hint="eastAsia" w:asciiTheme="minorEastAsia" w:hAnsiTheme="minorEastAsia" w:cstheme="minorEastAsia"/>
                <w:kern w:val="0"/>
                <w:szCs w:val="21"/>
              </w:rPr>
              <w:t>推进熨台大街道路工程（东段）、神农路北延伸工程、崇庆路道路工程（中段）、府前路（南大街回迁房西侧段）。谋划推进慈林大街延伸改造工程（东段）、漳源路翻新改造工程、文化馆东路工程（南段）、神农路南延伸工程、广场西路南延伸段建设工程、同昱一路（圣泰祥和湾项目）、精卫中路（同旺城中村改造段）、支四街、支五路（民生嘉园项目）等建设工程。</w:t>
            </w:r>
          </w:p>
          <w:p>
            <w:pPr>
              <w:numPr>
                <w:ilvl w:val="0"/>
                <w:numId w:val="9"/>
              </w:numPr>
              <w:spacing w:line="340" w:lineRule="exact"/>
              <w:rPr>
                <w:rFonts w:asciiTheme="minorEastAsia" w:hAnsiTheme="minorEastAsia" w:cstheme="minorEastAsia"/>
                <w:kern w:val="0"/>
                <w:szCs w:val="21"/>
              </w:rPr>
            </w:pPr>
            <w:r>
              <w:rPr>
                <w:rFonts w:hint="eastAsia" w:asciiTheme="minorEastAsia" w:hAnsiTheme="minorEastAsia" w:cstheme="minorEastAsia"/>
                <w:b/>
                <w:bCs/>
                <w:kern w:val="0"/>
                <w:szCs w:val="21"/>
              </w:rPr>
              <w:t>四好农村路建设项目。</w:t>
            </w:r>
            <w:r>
              <w:rPr>
                <w:rFonts w:hint="eastAsia" w:asciiTheme="minorEastAsia" w:hAnsiTheme="minorEastAsia" w:cstheme="minorEastAsia"/>
                <w:kern w:val="0"/>
                <w:szCs w:val="21"/>
              </w:rPr>
              <w:t>建设四好农村道路60公里。</w:t>
            </w:r>
          </w:p>
          <w:p>
            <w:pPr>
              <w:numPr>
                <w:ilvl w:val="0"/>
                <w:numId w:val="9"/>
              </w:numPr>
              <w:spacing w:line="340" w:lineRule="exact"/>
              <w:rPr>
                <w:rFonts w:asciiTheme="minorEastAsia" w:hAnsiTheme="minorEastAsia" w:cstheme="minorEastAsia"/>
                <w:kern w:val="0"/>
                <w:szCs w:val="21"/>
              </w:rPr>
            </w:pPr>
            <w:r>
              <w:rPr>
                <w:rFonts w:hint="eastAsia" w:asciiTheme="minorEastAsia" w:hAnsiTheme="minorEastAsia" w:cstheme="minorEastAsia"/>
                <w:b/>
                <w:bCs/>
                <w:kern w:val="0"/>
                <w:szCs w:val="21"/>
              </w:rPr>
              <w:t>城乡公交一体化建设项目。</w:t>
            </w:r>
            <w:r>
              <w:rPr>
                <w:rFonts w:hint="eastAsia" w:asciiTheme="minorEastAsia" w:hAnsiTheme="minorEastAsia" w:cstheme="minorEastAsia"/>
                <w:kern w:val="0"/>
                <w:szCs w:val="21"/>
              </w:rPr>
              <w:t>新建公交场站，城乡客运车辆全部更新为纯电动公交车辆。</w:t>
            </w:r>
          </w:p>
          <w:p>
            <w:pPr>
              <w:numPr>
                <w:ilvl w:val="0"/>
                <w:numId w:val="9"/>
              </w:numPr>
              <w:spacing w:line="340" w:lineRule="exact"/>
              <w:rPr>
                <w:rFonts w:asciiTheme="minorEastAsia" w:hAnsiTheme="minorEastAsia" w:cstheme="minorEastAsia"/>
                <w:kern w:val="0"/>
                <w:szCs w:val="21"/>
              </w:rPr>
            </w:pPr>
            <w:r>
              <w:rPr>
                <w:rFonts w:hint="eastAsia" w:asciiTheme="minorEastAsia" w:hAnsiTheme="minorEastAsia" w:cstheme="minorEastAsia"/>
                <w:b/>
                <w:bCs/>
                <w:kern w:val="0"/>
                <w:szCs w:val="21"/>
              </w:rPr>
              <w:t>长治西互通至鲍店互通连接线。</w:t>
            </w:r>
            <w:r>
              <w:rPr>
                <w:rFonts w:hint="eastAsia" w:asciiTheme="minorEastAsia" w:hAnsiTheme="minorEastAsia" w:cstheme="minorEastAsia"/>
                <w:kern w:val="0"/>
                <w:szCs w:val="21"/>
              </w:rPr>
              <w:t>路线全长11.5公里，其中长子境内7公里，屯留区境内4.5公里。按一级公路技术标准建设，路基宽度26.5m，设计速度80km/h。</w:t>
            </w:r>
          </w:p>
          <w:p>
            <w:pPr>
              <w:numPr>
                <w:ilvl w:val="0"/>
                <w:numId w:val="9"/>
              </w:numPr>
              <w:spacing w:line="340" w:lineRule="exact"/>
              <w:rPr>
                <w:rFonts w:asciiTheme="minorEastAsia" w:hAnsiTheme="minorEastAsia" w:cstheme="minorEastAsia"/>
                <w:kern w:val="0"/>
                <w:szCs w:val="21"/>
              </w:rPr>
            </w:pPr>
            <w:r>
              <w:rPr>
                <w:rFonts w:hint="eastAsia" w:asciiTheme="minorEastAsia" w:hAnsiTheme="minorEastAsia" w:cstheme="minorEastAsia"/>
                <w:b/>
                <w:bCs/>
                <w:kern w:val="0"/>
                <w:szCs w:val="21"/>
              </w:rPr>
              <w:t>法兴寺-崇庆寺-羊头山旅游公路。</w:t>
            </w:r>
            <w:r>
              <w:rPr>
                <w:rFonts w:hint="eastAsia" w:asciiTheme="minorEastAsia" w:hAnsiTheme="minorEastAsia" w:cstheme="minorEastAsia"/>
                <w:kern w:val="0"/>
                <w:szCs w:val="21"/>
              </w:rPr>
              <w:t>路线全长16.5km，其中起点对县道八慈线改线段长0.65km，其他利用旧路改造段长3.8km，新建路段12.05km。</w:t>
            </w:r>
          </w:p>
          <w:p>
            <w:pPr>
              <w:numPr>
                <w:ilvl w:val="0"/>
                <w:numId w:val="9"/>
              </w:numPr>
              <w:spacing w:line="340" w:lineRule="exact"/>
              <w:rPr>
                <w:rFonts w:asciiTheme="minorEastAsia" w:hAnsiTheme="minorEastAsia" w:cstheme="minorEastAsia"/>
                <w:kern w:val="0"/>
                <w:szCs w:val="21"/>
              </w:rPr>
            </w:pPr>
            <w:r>
              <w:rPr>
                <w:rFonts w:hint="eastAsia" w:asciiTheme="minorEastAsia" w:hAnsiTheme="minorEastAsia" w:cstheme="minorEastAsia"/>
                <w:b/>
                <w:bCs/>
                <w:kern w:val="0"/>
                <w:szCs w:val="21"/>
              </w:rPr>
              <w:t>黄龙线过境公路改建项目。</w:t>
            </w:r>
            <w:r>
              <w:rPr>
                <w:rFonts w:hint="eastAsia" w:asciiTheme="minorEastAsia" w:hAnsiTheme="minorEastAsia" w:cstheme="minorEastAsia"/>
                <w:kern w:val="0"/>
                <w:szCs w:val="21"/>
              </w:rPr>
              <w:t>道路全长7.3km，包括东环路和南环路东段，一级公路标准，路基宽度25.5m。</w:t>
            </w:r>
          </w:p>
          <w:p>
            <w:pPr>
              <w:numPr>
                <w:ilvl w:val="0"/>
                <w:numId w:val="9"/>
              </w:numPr>
              <w:spacing w:line="340" w:lineRule="exact"/>
              <w:rPr>
                <w:rFonts w:asciiTheme="minorEastAsia" w:hAnsiTheme="minorEastAsia" w:cstheme="minorEastAsia"/>
                <w:kern w:val="0"/>
                <w:szCs w:val="21"/>
              </w:rPr>
            </w:pPr>
            <w:r>
              <w:rPr>
                <w:rFonts w:hint="eastAsia" w:asciiTheme="minorEastAsia" w:hAnsiTheme="minorEastAsia" w:cstheme="minorEastAsia"/>
                <w:b/>
                <w:bCs/>
                <w:kern w:val="0"/>
                <w:szCs w:val="21"/>
              </w:rPr>
              <w:t>国道341线长子县城至太焦高铁长治南站（上党区）快速路。</w:t>
            </w:r>
            <w:r>
              <w:rPr>
                <w:rFonts w:hint="eastAsia" w:asciiTheme="minorEastAsia" w:hAnsiTheme="minorEastAsia" w:cstheme="minorEastAsia"/>
                <w:kern w:val="0"/>
                <w:szCs w:val="21"/>
              </w:rPr>
              <w:t>路线全长10.755公里，其中长子县境内6.493公里，上党区境内4.262公里，按一级公路标准建设。</w:t>
            </w:r>
          </w:p>
          <w:p>
            <w:pPr>
              <w:numPr>
                <w:ilvl w:val="0"/>
                <w:numId w:val="9"/>
              </w:numPr>
              <w:spacing w:line="340" w:lineRule="exact"/>
            </w:pPr>
            <w:r>
              <w:rPr>
                <w:rFonts w:hint="eastAsia" w:asciiTheme="minorEastAsia" w:hAnsiTheme="minorEastAsia" w:cstheme="minorEastAsia"/>
                <w:b/>
                <w:bCs/>
                <w:kern w:val="0"/>
                <w:szCs w:val="21"/>
              </w:rPr>
              <w:t>省道黄龙线县城至丹朱岭一级公路。</w:t>
            </w:r>
            <w:r>
              <w:rPr>
                <w:rFonts w:hint="eastAsia" w:asciiTheme="minorEastAsia" w:hAnsiTheme="minorEastAsia" w:cstheme="minorEastAsia"/>
                <w:kern w:val="0"/>
                <w:szCs w:val="21"/>
              </w:rPr>
              <w:t>路线全长17.5km，按一级公路技术标准建设，设计速度80km/h，路基宽度25.5m。</w:t>
            </w:r>
          </w:p>
        </w:tc>
      </w:tr>
      <w:bookmarkEnd w:id="470"/>
      <w:bookmarkEnd w:id="471"/>
      <w:bookmarkEnd w:id="472"/>
      <w:bookmarkEnd w:id="473"/>
      <w:bookmarkEnd w:id="474"/>
      <w:bookmarkEnd w:id="475"/>
      <w:bookmarkEnd w:id="476"/>
      <w:bookmarkEnd w:id="477"/>
      <w:bookmarkEnd w:id="478"/>
      <w:bookmarkEnd w:id="479"/>
    </w:tbl>
    <w:p>
      <w:pPr>
        <w:pStyle w:val="2"/>
        <w:spacing w:before="0" w:beforeAutospacing="0"/>
        <w:ind w:left="0" w:leftChars="0" w:firstLine="0" w:firstLineChars="0"/>
      </w:pPr>
      <w:bookmarkStart w:id="753" w:name="_Toc2695"/>
      <w:bookmarkStart w:id="754" w:name="_Toc26575"/>
      <w:bookmarkStart w:id="755" w:name="_Toc31286"/>
      <w:bookmarkStart w:id="756" w:name="_Toc28851"/>
      <w:bookmarkStart w:id="757" w:name="_Toc8870"/>
      <w:bookmarkStart w:id="758" w:name="_Toc28574"/>
      <w:bookmarkStart w:id="759" w:name="_Toc9308"/>
      <w:bookmarkStart w:id="760" w:name="_Toc5513"/>
      <w:bookmarkStart w:id="761" w:name="_Toc18217"/>
      <w:bookmarkStart w:id="762" w:name="_Toc4981"/>
      <w:bookmarkStart w:id="763" w:name="_Toc4714"/>
      <w:bookmarkStart w:id="764" w:name="_Toc24181"/>
      <w:bookmarkStart w:id="765" w:name="_Toc13833"/>
      <w:bookmarkStart w:id="766" w:name="_Toc23375"/>
      <w:bookmarkStart w:id="767" w:name="_Toc21262"/>
      <w:bookmarkStart w:id="768" w:name="_Toc9038"/>
      <w:bookmarkStart w:id="769" w:name="_Toc8036"/>
      <w:bookmarkStart w:id="770" w:name="_Toc15906"/>
      <w:bookmarkStart w:id="771" w:name="_Toc19776"/>
      <w:bookmarkStart w:id="772" w:name="_Toc31884"/>
      <w:bookmarkStart w:id="773" w:name="_Toc27607"/>
      <w:bookmarkStart w:id="774" w:name="_Toc3173"/>
      <w:bookmarkStart w:id="775" w:name="_Toc30184"/>
      <w:bookmarkStart w:id="776" w:name="_Toc3025"/>
      <w:bookmarkStart w:id="777" w:name="_Toc10974"/>
      <w:bookmarkStart w:id="778" w:name="_Toc29513"/>
      <w:bookmarkStart w:id="779" w:name="_Toc20299"/>
      <w:bookmarkStart w:id="780" w:name="_Toc7272"/>
      <w:bookmarkStart w:id="781" w:name="_Toc31708"/>
      <w:bookmarkStart w:id="782" w:name="_Toc23409"/>
      <w:bookmarkStart w:id="783" w:name="_Toc1340"/>
      <w:bookmarkStart w:id="784" w:name="_Toc21915"/>
    </w:p>
    <w:p>
      <w:bookmarkStart w:id="785" w:name="_Toc12037"/>
      <w:bookmarkStart w:id="786" w:name="_Toc8263"/>
      <w:bookmarkStart w:id="787" w:name="_Toc18993"/>
      <w:r>
        <w:rPr>
          <w:rFonts w:hint="eastAsia"/>
        </w:rPr>
        <w:br w:type="page"/>
      </w:r>
    </w:p>
    <w:p>
      <w:pPr>
        <w:pStyle w:val="4"/>
        <w:spacing w:beforeLines="0" w:afterLines="0" w:line="608" w:lineRule="exact"/>
        <w:jc w:val="both"/>
        <w:rPr>
          <w:b w:val="0"/>
          <w:bCs/>
        </w:rPr>
      </w:pPr>
      <w:bookmarkStart w:id="788" w:name="_Toc7974"/>
    </w:p>
    <w:p>
      <w:pPr>
        <w:pStyle w:val="4"/>
        <w:spacing w:beforeLines="0" w:afterLines="0" w:line="608" w:lineRule="exact"/>
        <w:rPr>
          <w:b w:val="0"/>
          <w:bCs/>
        </w:rPr>
      </w:pPr>
      <w:r>
        <w:rPr>
          <w:rFonts w:hint="eastAsia"/>
          <w:b w:val="0"/>
          <w:bCs/>
          <w:spacing w:val="-9"/>
          <w:sz w:val="36"/>
          <w:szCs w:val="36"/>
        </w:rPr>
        <w:t>第八章 推动文旅深度融合，打造全省文化名县、旅游强县</w:t>
      </w:r>
      <w:bookmarkEnd w:id="753"/>
      <w:bookmarkEnd w:id="754"/>
      <w:bookmarkEnd w:id="755"/>
      <w:bookmarkEnd w:id="785"/>
      <w:bookmarkEnd w:id="786"/>
      <w:bookmarkEnd w:id="787"/>
      <w:bookmarkEnd w:id="788"/>
    </w:p>
    <w:p>
      <w:pPr>
        <w:spacing w:line="608" w:lineRule="exact"/>
        <w:ind w:firstLine="640" w:firstLineChars="200"/>
        <w:rPr>
          <w:rFonts w:ascii="仿宋_GB2312" w:hAnsi="仿宋_GB2312" w:eastAsia="仿宋_GB2312" w:cs="仿宋_GB2312"/>
          <w:sz w:val="32"/>
          <w:szCs w:val="32"/>
        </w:rPr>
      </w:pPr>
      <w:bookmarkStart w:id="789" w:name="_Toc15323"/>
      <w:bookmarkStart w:id="790" w:name="_Toc22944"/>
      <w:bookmarkStart w:id="791" w:name="_Toc21002"/>
      <w:bookmarkStart w:id="792" w:name="_Toc9705"/>
      <w:bookmarkStart w:id="793" w:name="_Toc23112"/>
      <w:bookmarkStart w:id="794" w:name="_Toc22908"/>
      <w:bookmarkStart w:id="795" w:name="_Toc30713"/>
      <w:bookmarkStart w:id="796" w:name="_Toc23726"/>
      <w:bookmarkStart w:id="797" w:name="_Toc16588"/>
      <w:bookmarkStart w:id="798" w:name="_Toc18876"/>
      <w:bookmarkStart w:id="799" w:name="_Toc21627"/>
      <w:bookmarkStart w:id="800" w:name="_Toc12017"/>
      <w:bookmarkStart w:id="801" w:name="_Toc3269"/>
      <w:bookmarkStart w:id="802" w:name="_Toc16471"/>
      <w:bookmarkStart w:id="803" w:name="_Toc15465"/>
      <w:bookmarkStart w:id="804" w:name="_Toc24097"/>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聚焦文化自信、文旅融合，深度挖掘长子历史文化资源，叫响长子文化大品牌，持续推进公共文化服务体系建设，实现城乡文化均衡、一体化发展，抓好龙头景区乡村旅游示范点建设，着力构建全域旅游新格局。</w:t>
      </w:r>
    </w:p>
    <w:p>
      <w:pPr>
        <w:pStyle w:val="5"/>
        <w:spacing w:beforeLines="0" w:afterLines="0" w:line="608" w:lineRule="exact"/>
      </w:pPr>
      <w:bookmarkStart w:id="805" w:name="_Toc31922"/>
      <w:bookmarkStart w:id="806" w:name="_Toc1963"/>
      <w:bookmarkStart w:id="807" w:name="_Toc20221"/>
      <w:bookmarkStart w:id="808" w:name="_Toc16264"/>
      <w:bookmarkStart w:id="809" w:name="_Toc16074"/>
      <w:bookmarkStart w:id="810" w:name="_Toc3974"/>
      <w:bookmarkStart w:id="811" w:name="_Toc9550"/>
      <w:bookmarkStart w:id="812" w:name="_Toc29648"/>
      <w:bookmarkStart w:id="813" w:name="_Toc22564"/>
      <w:bookmarkStart w:id="814" w:name="_Toc14965"/>
      <w:bookmarkStart w:id="815" w:name="_Toc21293"/>
      <w:bookmarkStart w:id="816" w:name="_Toc25940"/>
      <w:bookmarkStart w:id="817" w:name="_Toc5496"/>
      <w:bookmarkStart w:id="818" w:name="_Toc15254"/>
      <w:bookmarkStart w:id="819" w:name="_Toc14522"/>
      <w:bookmarkStart w:id="820" w:name="_Toc9651"/>
      <w:bookmarkStart w:id="821" w:name="_Toc16597"/>
      <w:bookmarkStart w:id="822" w:name="_Toc27343"/>
      <w:bookmarkStart w:id="823" w:name="_Toc11128"/>
      <w:bookmarkStart w:id="824" w:name="_Toc25227"/>
      <w:bookmarkStart w:id="825" w:name="_Toc20219"/>
      <w:bookmarkStart w:id="826" w:name="_Toc6493"/>
      <w:bookmarkStart w:id="827" w:name="_Toc12040"/>
      <w:bookmarkStart w:id="828" w:name="_Toc2168"/>
      <w:bookmarkStart w:id="829" w:name="_Toc13415"/>
      <w:bookmarkStart w:id="830" w:name="_Toc27399"/>
    </w:p>
    <w:p>
      <w:pPr>
        <w:pStyle w:val="5"/>
        <w:spacing w:beforeLines="0" w:afterLines="0" w:line="608" w:lineRule="exact"/>
      </w:pPr>
      <w:r>
        <w:rPr>
          <w:rFonts w:hint="eastAsia"/>
        </w:rPr>
        <w:t xml:space="preserve">第一节  </w:t>
      </w:r>
      <w:r>
        <w:t>完善公共文化服务体系</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pPr>
        <w:widowControl/>
        <w:spacing w:line="608" w:lineRule="exact"/>
        <w:ind w:firstLine="640" w:firstLineChars="200"/>
        <w:rPr>
          <w:rFonts w:ascii="仿宋" w:hAnsi="仿宋" w:eastAsia="仿宋_GB2312"/>
          <w:bCs/>
          <w:sz w:val="32"/>
          <w:szCs w:val="32"/>
        </w:rPr>
      </w:pPr>
    </w:p>
    <w:p>
      <w:pPr>
        <w:widowControl/>
        <w:spacing w:line="608" w:lineRule="exact"/>
        <w:ind w:firstLine="640" w:firstLineChars="200"/>
        <w:rPr>
          <w:sz w:val="32"/>
          <w:szCs w:val="32"/>
        </w:rPr>
      </w:pPr>
      <w:r>
        <w:rPr>
          <w:rFonts w:hint="eastAsia" w:ascii="仿宋" w:hAnsi="仿宋" w:eastAsia="仿宋_GB2312"/>
          <w:bCs/>
          <w:sz w:val="32"/>
          <w:szCs w:val="32"/>
        </w:rPr>
        <w:t>持续推进“文化惠民工程”，加强基础设施建设，注重发挥现有阵地作用，强化服务功能，积极为群众提供基本的公共文化服务。</w:t>
      </w:r>
    </w:p>
    <w:p>
      <w:pPr>
        <w:spacing w:line="608" w:lineRule="exact"/>
        <w:ind w:firstLine="642" w:firstLineChars="200"/>
        <w:outlineLvl w:val="2"/>
        <w:rPr>
          <w:sz w:val="32"/>
          <w:szCs w:val="32"/>
        </w:rPr>
      </w:pPr>
      <w:bookmarkStart w:id="831" w:name="_Toc31678"/>
      <w:bookmarkStart w:id="832" w:name="_Toc22064"/>
      <w:r>
        <w:rPr>
          <w:rFonts w:hint="eastAsia" w:ascii="仿宋" w:hAnsi="仿宋" w:eastAsia="仿宋_GB2312" w:cs="仿宋"/>
          <w:b/>
          <w:sz w:val="32"/>
          <w:szCs w:val="32"/>
        </w:rPr>
        <w:t>优化城乡文化资源配置。</w:t>
      </w:r>
      <w:r>
        <w:rPr>
          <w:rFonts w:hint="eastAsia" w:ascii="仿宋_GB2312" w:hAnsi="仿宋_GB2312" w:eastAsia="仿宋_GB2312" w:cs="仿宋_GB2312"/>
          <w:sz w:val="32"/>
          <w:szCs w:val="32"/>
        </w:rPr>
        <w:t>统筹推进城乡公共文化阵地建设，不断丰富服务内容，完善设施设备，提高服务水平，缩小城乡公共文化服务差距。实施</w:t>
      </w:r>
      <w:r>
        <w:rPr>
          <w:rFonts w:hint="eastAsia" w:ascii="仿宋_GB2312" w:hAnsi="仿宋_GB2312" w:eastAsia="仿宋_GB2312" w:cs="仿宋_GB2312"/>
          <w:bCs/>
          <w:sz w:val="32"/>
          <w:szCs w:val="32"/>
        </w:rPr>
        <w:t>基层</w:t>
      </w:r>
      <w:r>
        <w:rPr>
          <w:rFonts w:hint="eastAsia" w:ascii="仿宋_GB2312" w:hAnsi="仿宋_GB2312" w:eastAsia="仿宋_GB2312" w:cs="仿宋_GB2312"/>
          <w:sz w:val="32"/>
          <w:szCs w:val="32"/>
        </w:rPr>
        <w:t>文化活动场所提升工程，</w:t>
      </w:r>
      <w:r>
        <w:rPr>
          <w:rFonts w:hint="eastAsia" w:ascii="仿宋_GB2312" w:hAnsi="仿宋_GB2312" w:eastAsia="仿宋_GB2312" w:cs="仿宋_GB2312"/>
          <w:bCs/>
          <w:sz w:val="32"/>
          <w:szCs w:val="32"/>
        </w:rPr>
        <w:t>重点加快文化馆、图书馆、博物馆“三馆”建设，</w:t>
      </w:r>
      <w:r>
        <w:rPr>
          <w:rFonts w:hint="eastAsia" w:ascii="仿宋_GB2312" w:hAnsi="仿宋_GB2312" w:eastAsia="仿宋_GB2312" w:cs="仿宋_GB2312"/>
          <w:sz w:val="32"/>
          <w:szCs w:val="32"/>
        </w:rPr>
        <w:t>打造全省县级公共文化阵地建设新标杆。持续推进乡镇综合文化站提升工程，满足群众日益提高的精神文化需求。继续开展村级文化活动场所提升试点工作，全力推动城乡公共文化服务体系一体化建设。</w:t>
      </w:r>
      <w:bookmarkEnd w:id="831"/>
      <w:bookmarkEnd w:id="832"/>
    </w:p>
    <w:p>
      <w:pPr>
        <w:widowControl/>
        <w:spacing w:line="608" w:lineRule="exact"/>
        <w:ind w:firstLine="642" w:firstLineChars="200"/>
        <w:outlineLvl w:val="2"/>
        <w:rPr>
          <w:sz w:val="32"/>
          <w:szCs w:val="32"/>
        </w:rPr>
      </w:pPr>
      <w:bookmarkStart w:id="833" w:name="_Toc26317"/>
      <w:bookmarkStart w:id="834" w:name="_Toc12128"/>
      <w:r>
        <w:rPr>
          <w:rFonts w:hint="eastAsia" w:ascii="仿宋" w:hAnsi="仿宋" w:eastAsia="仿宋_GB2312" w:cs="仿宋"/>
          <w:b/>
          <w:sz w:val="32"/>
          <w:szCs w:val="32"/>
        </w:rPr>
        <w:t>提升公共文化服务水平。</w:t>
      </w:r>
      <w:r>
        <w:rPr>
          <w:rFonts w:hint="eastAsia" w:ascii="仿宋" w:hAnsi="仿宋" w:eastAsia="仿宋_GB2312" w:cs="仿宋"/>
          <w:bCs/>
          <w:sz w:val="32"/>
          <w:szCs w:val="32"/>
        </w:rPr>
        <w:t>坚持为人民服务、为社会主义服务方向，坚持百花齐放、百家争鸣方针，全面繁荣新闻出版、广播影视、文学艺术、哲学社会科学事业，着力提升公共文化服务水平。</w:t>
      </w:r>
      <w:r>
        <w:rPr>
          <w:rFonts w:ascii="仿宋" w:hAnsi="仿宋" w:eastAsia="仿宋_GB2312" w:cs="仿宋"/>
          <w:bCs/>
          <w:sz w:val="32"/>
          <w:szCs w:val="32"/>
        </w:rPr>
        <w:t>加快成立县戏曲家协会、舞蹈家协会、餐饮文化协会，提升县作家协</w:t>
      </w:r>
      <w:r>
        <w:rPr>
          <w:rFonts w:hint="eastAsia" w:ascii="仿宋" w:hAnsi="仿宋" w:eastAsia="仿宋_GB2312" w:cs="仿宋"/>
          <w:bCs/>
          <w:sz w:val="32"/>
          <w:szCs w:val="32"/>
        </w:rPr>
        <w:t>会</w:t>
      </w:r>
      <w:r>
        <w:rPr>
          <w:rFonts w:ascii="仿宋" w:hAnsi="仿宋" w:eastAsia="仿宋_GB2312" w:cs="仿宋"/>
          <w:bCs/>
          <w:sz w:val="32"/>
          <w:szCs w:val="32"/>
        </w:rPr>
        <w:t>、书画协会、摄影家协会工作水平，依托丰厚</w:t>
      </w:r>
      <w:r>
        <w:rPr>
          <w:rFonts w:hint="eastAsia" w:ascii="仿宋" w:hAnsi="仿宋" w:eastAsia="仿宋_GB2312" w:cs="仿宋"/>
          <w:bCs/>
          <w:sz w:val="32"/>
          <w:szCs w:val="32"/>
        </w:rPr>
        <w:t>的历史和现代文化资源，努力创作一批文化底蕴深厚、时代气息浓郁，具有长子特色的文学、戏剧、电影、电视、音乐、舞蹈、美术、摄影、书</w:t>
      </w:r>
      <w:r>
        <w:rPr>
          <w:rFonts w:hint="eastAsia" w:ascii="仿宋" w:hAnsi="仿宋" w:eastAsia="仿宋_GB2312" w:cs="仿宋"/>
          <w:bCs/>
          <w:spacing w:val="9"/>
          <w:sz w:val="32"/>
          <w:szCs w:val="32"/>
        </w:rPr>
        <w:t>法、曲艺、民间文艺等精品力作，努力跨入全省先进县区行列。</w:t>
      </w:r>
      <w:r>
        <w:rPr>
          <w:rFonts w:ascii="仿宋" w:hAnsi="仿宋" w:eastAsia="仿宋_GB2312" w:cs="仿宋"/>
          <w:bCs/>
          <w:spacing w:val="9"/>
          <w:sz w:val="32"/>
          <w:szCs w:val="32"/>
        </w:rPr>
        <w:t>完善文化产品评价激励机制</w:t>
      </w:r>
      <w:r>
        <w:rPr>
          <w:rFonts w:hint="eastAsia" w:ascii="仿宋" w:hAnsi="仿宋" w:eastAsia="仿宋_GB2312" w:cs="仿宋"/>
          <w:bCs/>
          <w:spacing w:val="9"/>
          <w:sz w:val="32"/>
          <w:szCs w:val="32"/>
        </w:rPr>
        <w:t>，</w:t>
      </w:r>
      <w:r>
        <w:rPr>
          <w:rFonts w:ascii="仿宋" w:hAnsi="仿宋" w:eastAsia="仿宋_GB2312" w:cs="仿宋"/>
          <w:bCs/>
          <w:spacing w:val="9"/>
          <w:sz w:val="32"/>
          <w:szCs w:val="32"/>
        </w:rPr>
        <w:t>坚持把遵循先进文化前进方向、人民群众满意作为评价产品的最高标准，形成群众评价、专家评价和市场检验相统一的科学评价标准。设立专项艺术基金和重点文艺作品扶持基金，</w:t>
      </w:r>
      <w:r>
        <w:rPr>
          <w:rFonts w:hint="eastAsia" w:ascii="仿宋" w:hAnsi="仿宋" w:eastAsia="仿宋_GB2312" w:cs="仿宋"/>
          <w:bCs/>
          <w:spacing w:val="9"/>
          <w:sz w:val="32"/>
          <w:szCs w:val="32"/>
        </w:rPr>
        <w:t>加</w:t>
      </w:r>
      <w:r>
        <w:rPr>
          <w:rFonts w:ascii="仿宋" w:hAnsi="仿宋" w:eastAsia="仿宋_GB2312" w:cs="仿宋"/>
          <w:bCs/>
          <w:spacing w:val="9"/>
          <w:sz w:val="32"/>
          <w:szCs w:val="32"/>
        </w:rPr>
        <w:t>大对重点文艺创作项目的扶持力度</w:t>
      </w:r>
      <w:r>
        <w:rPr>
          <w:rFonts w:hint="eastAsia" w:ascii="仿宋" w:hAnsi="仿宋" w:eastAsia="仿宋_GB2312" w:cs="仿宋"/>
          <w:bCs/>
          <w:spacing w:val="9"/>
          <w:sz w:val="32"/>
          <w:szCs w:val="32"/>
        </w:rPr>
        <w:t>，推动物质文</w:t>
      </w:r>
      <w:r>
        <w:rPr>
          <w:rFonts w:hint="eastAsia" w:ascii="仿宋" w:hAnsi="仿宋" w:eastAsia="仿宋_GB2312" w:cs="仿宋"/>
          <w:bCs/>
          <w:sz w:val="32"/>
          <w:szCs w:val="32"/>
        </w:rPr>
        <w:t>明和精神文明协调发展。</w:t>
      </w:r>
      <w:bookmarkEnd w:id="833"/>
      <w:bookmarkEnd w:id="834"/>
    </w:p>
    <w:p>
      <w:pPr>
        <w:widowControl/>
        <w:spacing w:line="608" w:lineRule="exact"/>
        <w:ind w:firstLine="642" w:firstLineChars="200"/>
        <w:outlineLvl w:val="2"/>
        <w:rPr>
          <w:sz w:val="32"/>
          <w:szCs w:val="32"/>
        </w:rPr>
      </w:pPr>
      <w:bookmarkStart w:id="835" w:name="_Toc19799"/>
      <w:bookmarkStart w:id="836" w:name="_Toc31006"/>
      <w:r>
        <w:rPr>
          <w:rFonts w:hint="eastAsia" w:ascii="仿宋" w:hAnsi="仿宋" w:eastAsia="仿宋_GB2312" w:cs="仿宋"/>
          <w:b/>
          <w:sz w:val="32"/>
          <w:szCs w:val="32"/>
        </w:rPr>
        <w:t>深入推进文化惠民工程。</w:t>
      </w:r>
      <w:r>
        <w:rPr>
          <w:rFonts w:hint="eastAsia" w:ascii="仿宋_GB2312" w:hAnsi="仿宋_GB2312" w:eastAsia="仿宋_GB2312" w:cs="仿宋_GB2312"/>
          <w:sz w:val="32"/>
          <w:szCs w:val="32"/>
        </w:rPr>
        <w:t>坚持“文化活县”战略，持续做大节庆文化，做实群众文化，做强历史文化，提高文化服务群众能力。大力实施文艺精品创作工程，建立文艺创作奖励机制，激励支持文艺精品创作，强化文化产品与群众文化需求精准对接。深入推进文化惠民工程，打破城乡文化服务界限，继续开展免费送戏下乡和文艺小分队送文化、种文化活动，不断提高公共文化服务效能。深入开展特色文化宣讲活动，讲好群众身边故事，营造更加积极向上的社会风气。积极培养文艺人才，打造具有较高专业水平、品德优秀、综合素质全面的青年文化艺术人才队伍。</w:t>
      </w:r>
      <w:bookmarkEnd w:id="835"/>
      <w:bookmarkEnd w:id="836"/>
    </w:p>
    <w:p>
      <w:pPr>
        <w:pStyle w:val="5"/>
        <w:spacing w:beforeLines="0" w:afterLines="0" w:line="608" w:lineRule="exact"/>
        <w:ind w:firstLine="642" w:firstLineChars="200"/>
        <w:rPr>
          <w:rFonts w:ascii="楷体_GB2312" w:hAnsi="楷体_GB2312" w:eastAsia="楷体_GB2312" w:cs="楷体_GB2312"/>
        </w:rPr>
      </w:pPr>
      <w:bookmarkStart w:id="837" w:name="_Toc12653"/>
      <w:bookmarkStart w:id="838" w:name="_Toc22085"/>
      <w:bookmarkStart w:id="839" w:name="_Toc5411"/>
      <w:bookmarkStart w:id="840" w:name="_Toc32226"/>
      <w:bookmarkStart w:id="841" w:name="_Toc31213"/>
      <w:bookmarkStart w:id="842" w:name="_Toc16932"/>
      <w:bookmarkStart w:id="843" w:name="_Toc140"/>
      <w:bookmarkStart w:id="844" w:name="_Toc19470"/>
      <w:bookmarkStart w:id="845" w:name="_Toc18658"/>
      <w:bookmarkStart w:id="846" w:name="_Toc6182"/>
      <w:bookmarkStart w:id="847" w:name="_Toc32651"/>
      <w:bookmarkStart w:id="848" w:name="_Toc18112"/>
      <w:bookmarkStart w:id="849" w:name="_Toc262"/>
    </w:p>
    <w:p>
      <w:pPr>
        <w:pStyle w:val="5"/>
        <w:spacing w:beforeLines="0" w:afterLines="0" w:line="608" w:lineRule="exact"/>
        <w:ind w:firstLine="642" w:firstLineChars="200"/>
        <w:rPr>
          <w:rFonts w:ascii="楷体_GB2312" w:hAnsi="楷体_GB2312" w:eastAsia="楷体_GB2312" w:cs="楷体_GB2312"/>
        </w:rPr>
      </w:pPr>
      <w:r>
        <w:rPr>
          <w:rFonts w:hint="eastAsia" w:ascii="楷体_GB2312" w:hAnsi="楷体_GB2312" w:eastAsia="楷体_GB2312" w:cs="楷体_GB2312"/>
        </w:rPr>
        <w:t xml:space="preserve">第二节 </w:t>
      </w:r>
      <w:bookmarkEnd w:id="789"/>
      <w:r>
        <w:rPr>
          <w:rFonts w:hint="eastAsia" w:ascii="楷体_GB2312" w:hAnsi="楷体_GB2312" w:eastAsia="楷体_GB2312" w:cs="楷体_GB2312"/>
        </w:rPr>
        <w:t xml:space="preserve"> 构建全域旅游发展新格局</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bookmarkEnd w:id="844"/>
      <w:bookmarkEnd w:id="845"/>
      <w:bookmarkEnd w:id="846"/>
      <w:bookmarkEnd w:id="847"/>
      <w:bookmarkEnd w:id="848"/>
      <w:bookmarkEnd w:id="849"/>
    </w:p>
    <w:p>
      <w:pPr>
        <w:pStyle w:val="2"/>
        <w:spacing w:before="0" w:beforeAutospacing="0" w:line="608" w:lineRule="exact"/>
        <w:ind w:left="0" w:leftChars="0" w:firstLine="640"/>
        <w:outlineLvl w:val="2"/>
        <w:rPr>
          <w:rFonts w:ascii="仿宋_GB2312" w:hAnsi="仿宋_GB2312" w:eastAsia="仿宋_GB2312" w:cs="仿宋_GB2312"/>
          <w:sz w:val="32"/>
          <w:szCs w:val="32"/>
        </w:rPr>
      </w:pPr>
    </w:p>
    <w:p>
      <w:pPr>
        <w:pStyle w:val="2"/>
        <w:spacing w:before="0" w:beforeAutospacing="0" w:line="608" w:lineRule="exact"/>
        <w:ind w:left="0" w:leftChars="0"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加强规划引领，健全文旅开发体制机制，深入挖掘我县旅游资源，加大整合力度，不断创新旅游产品供给类型和供给方式，努力打造全省旅游强县。</w:t>
      </w:r>
    </w:p>
    <w:p>
      <w:pPr>
        <w:pStyle w:val="2"/>
        <w:spacing w:before="0" w:beforeAutospacing="0" w:line="608" w:lineRule="exact"/>
        <w:ind w:left="0" w:leftChars="0" w:firstLine="643"/>
        <w:outlineLvl w:val="2"/>
        <w:rPr>
          <w:rFonts w:ascii="仿宋_GB2312" w:hAnsi="仿宋_GB2312" w:eastAsia="仿宋_GB2312" w:cs="仿宋_GB2312"/>
          <w:sz w:val="32"/>
          <w:szCs w:val="32"/>
        </w:rPr>
      </w:pPr>
      <w:bookmarkStart w:id="850" w:name="_Toc1975"/>
      <w:bookmarkStart w:id="851" w:name="_Toc27302"/>
      <w:r>
        <w:rPr>
          <w:rFonts w:hint="eastAsia" w:ascii="仿宋_GB2312" w:hAnsi="仿宋_GB2312" w:eastAsia="仿宋_GB2312" w:cs="仿宋_GB2312"/>
          <w:b/>
          <w:sz w:val="32"/>
          <w:szCs w:val="32"/>
        </w:rPr>
        <w:t>打造城市休闲旅游核心区。</w:t>
      </w:r>
      <w:r>
        <w:rPr>
          <w:rFonts w:hint="eastAsia" w:ascii="仿宋_GB2312" w:hAnsi="仿宋_GB2312" w:eastAsia="仿宋_GB2312" w:cs="仿宋_GB2312"/>
          <w:sz w:val="32"/>
          <w:szCs w:val="32"/>
        </w:rPr>
        <w:t>以历史文化街区为中心，依托长子会堂、市民广场、丹朱大街中心区、购物街区，重点建设提升城东新区、长子城东森林公园、城市雕塑、文庙、崔府君庙、城隍庙、关帝庙、天王寺、北高庙水上生态园、精卫城市艺术喷泉，集中布局游客服务中心、旅游宣传中心、旅游协会、旅行社等旅游服务机构，形成旅游宣传、旅游导览、智慧中心、旅游咨询、旅游监管等联合服务窗口，努力打造集景观休闲、旅游集散、旅游管理、旅游文创等复合功能为一体的城市休闲核心区。</w:t>
      </w:r>
      <w:bookmarkEnd w:id="850"/>
      <w:bookmarkEnd w:id="851"/>
    </w:p>
    <w:p>
      <w:pPr>
        <w:pStyle w:val="2"/>
        <w:spacing w:before="0" w:beforeAutospacing="0" w:line="608" w:lineRule="exact"/>
        <w:ind w:left="0" w:leftChars="0" w:firstLine="643"/>
        <w:outlineLvl w:val="2"/>
        <w:rPr>
          <w:rFonts w:ascii="仿宋_GB2312" w:hAnsi="仿宋_GB2312" w:eastAsia="仿宋_GB2312" w:cs="仿宋_GB2312"/>
          <w:b/>
          <w:bCs/>
          <w:sz w:val="32"/>
          <w:szCs w:val="32"/>
        </w:rPr>
      </w:pPr>
      <w:bookmarkStart w:id="852" w:name="_Toc20148"/>
      <w:bookmarkStart w:id="853" w:name="_Toc19104"/>
      <w:r>
        <w:rPr>
          <w:rFonts w:hint="eastAsia" w:ascii="仿宋_GB2312" w:hAnsi="仿宋_GB2312" w:eastAsia="仿宋_GB2312" w:cs="仿宋_GB2312"/>
          <w:b/>
          <w:sz w:val="32"/>
          <w:szCs w:val="32"/>
        </w:rPr>
        <w:t>构建神话山水、古城交通景观轴。</w:t>
      </w:r>
      <w:r>
        <w:rPr>
          <w:rFonts w:hint="eastAsia" w:ascii="仿宋_GB2312" w:hAnsi="仿宋_GB2312" w:eastAsia="仿宋_GB2312" w:cs="仿宋_GB2312"/>
          <w:sz w:val="32"/>
          <w:szCs w:val="32"/>
        </w:rPr>
        <w:t>以S326省道为横向主轴，深度挖掘浊漳河两岸的水域风光资源和神话传说文化资源，加强河道治理和水质提升工作，依托自然景观和人文景观，加大对森林、山谷、湖泊、湿地的保护，建设一批小镇、村落、田园特色景点，构建起神话山水轴。以S228省道为纵向主轴，提升沿线道路、街、镇、村、田、林、桥等景观风貌，重点加强古城和历史文化街区的修复和改造，构建古城交通景观轴。</w:t>
      </w:r>
      <w:bookmarkEnd w:id="852"/>
      <w:bookmarkEnd w:id="853"/>
    </w:p>
    <w:p>
      <w:pPr>
        <w:pStyle w:val="2"/>
        <w:spacing w:before="0" w:beforeAutospacing="0" w:line="608" w:lineRule="exact"/>
        <w:ind w:left="0" w:leftChars="0" w:firstLine="643"/>
        <w:outlineLvl w:val="2"/>
        <w:rPr>
          <w:rFonts w:ascii="仿宋_GB2312" w:hAnsi="仿宋_GB2312" w:eastAsia="仿宋_GB2312" w:cs="仿宋_GB2312"/>
          <w:sz w:val="32"/>
          <w:szCs w:val="32"/>
        </w:rPr>
      </w:pPr>
      <w:bookmarkStart w:id="854" w:name="_Toc1440"/>
      <w:bookmarkStart w:id="855" w:name="_Toc4992"/>
      <w:r>
        <w:rPr>
          <w:rFonts w:hint="eastAsia" w:ascii="仿宋_GB2312" w:hAnsi="仿宋_GB2312" w:eastAsia="仿宋_GB2312" w:cs="仿宋_GB2312"/>
          <w:b/>
          <w:bCs/>
          <w:sz w:val="32"/>
          <w:szCs w:val="32"/>
        </w:rPr>
        <w:t>着力布局“三大板块”旅游景区。</w:t>
      </w:r>
      <w:r>
        <w:rPr>
          <w:rFonts w:hint="eastAsia" w:ascii="仿宋_GB2312" w:hAnsi="仿宋_GB2312" w:eastAsia="仿宋_GB2312" w:cs="仿宋_GB2312"/>
          <w:sz w:val="32"/>
          <w:szCs w:val="32"/>
        </w:rPr>
        <w:t>依托法兴寺、崇庆寺、布村玉皇庙、中漳伏羲庙、下霍护国灵贶王庙、韩村尧王庙、义合三教堂等十三处国保单位，整合全域古建旅游资源，加强对古建的保护和修复，开展多种形式古建彩塑研学主题活动，打造古建文化旅游板块。以发鸠山为核心，重点加强精卫冢、精卫寺、南崖宫、北崖宫、医祖庙、黑虎庙、四星池、灵湫庙等遗迹的保护和修复，重点开发打造避风塘、阎王鼻、双乳峰、跑马坪等景点，持续优化精卫湖湿地生态环境，将精卫文化和传奇故事以标识牌、旅游活动等形式融入到景区，打造精卫传奇旅游板块。以羊头山为核心，重点推进五谷田园风光景观带和神农文化风情景观带建设，加强神农城遗址、羊头石刻、谷关、祭天坛等文化遗址的保护，深入挖掘农耕文化内涵，融合农耕文化元素塑造人文景观，打造农耕文明旅游板块。</w:t>
      </w:r>
      <w:bookmarkEnd w:id="854"/>
      <w:bookmarkEnd w:id="855"/>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重点推出“四大主题”旅游产品。</w:t>
      </w:r>
      <w:r>
        <w:rPr>
          <w:rFonts w:hint="eastAsia" w:ascii="仿宋_GB2312" w:hAnsi="仿宋_GB2312" w:eastAsia="仿宋_GB2312" w:cs="仿宋_GB2312"/>
          <w:sz w:val="32"/>
          <w:szCs w:val="32"/>
          <w:lang w:val="zh-CN"/>
        </w:rPr>
        <w:t>组建旅游团队，细化旅游市场，分析游客构成，提供个性化、定制化旅游产品。</w:t>
      </w:r>
      <w:r>
        <w:rPr>
          <w:rFonts w:hint="eastAsia" w:ascii="仿宋_GB2312" w:hAnsi="仿宋_GB2312" w:eastAsia="仿宋_GB2312" w:cs="仿宋_GB2312"/>
          <w:sz w:val="32"/>
          <w:szCs w:val="32"/>
        </w:rPr>
        <w:t>古韵新城城际主题游。依托以北高庙为核心的旅游资源集聚区和以天王寺、虎西街为核心的旅游资源集聚区，通过北高庙文化公园、历史文化街区、关帝庙、文庙、城隍庙、崔府君庙等旅游区建设，重现长子县城城水相依、古建院落鳞次栉比的千年古县历史风貌。依托城东新区建设，整合长子会堂、市民广场、城东森林公园、神农公园等资源，完善城市休闲元素聚集和公共服务设施，打造集精品购物、时尚休闲、生活展示、文化艺术体验为一体的复合型城市中央休闲区。古建文化主题游。依托法兴寺—崇庆寺宗教文化旅游区、羊头山五谷源头旅游区、九连环大夫第旅游区、尧王文化体验园区、西南呈西周古墓群旅游区，整合法兴寺、崇庆寺、布村玉皇庙、中漳伏羲庙、下霍护国灵贶王庙、韩坊村尧王庙、义合三教堂等七个国宝级文物，推动古建科考、寻根祭祖、古文化体验、宗教崇拜、山地生态休闲等旅游功能一体化。生态山水主题游。以发鸠山、仙翁山、精卫湖、皇明湖景区为依托，整合慕容村慕容永墓地、房头村灵湫庙、仙翁山树化石公园、石哲、横水、碾张连翘种植基地、团城乡村旅游示范点等旅游资源，大力发展精卫文化、道教文化、养生文化体验、山地户外休闲运动、中医药养生保健、地质科普体验、森林田园休闲度假等旅游活动。园区体验主题游。整合县域内工业企业资源，充分发挥“旅游+工业”模式优势，有序组织旅游参观活动，拓展园区旅游价值空间。</w:t>
      </w:r>
    </w:p>
    <w:p>
      <w:pPr>
        <w:pStyle w:val="5"/>
        <w:spacing w:beforeLines="0" w:afterLines="0" w:line="608" w:lineRule="exact"/>
        <w:rPr>
          <w:rFonts w:ascii="楷体_GB2312" w:hAnsi="楷体_GB2312" w:eastAsia="楷体_GB2312" w:cs="楷体_GB2312"/>
        </w:rPr>
      </w:pPr>
      <w:bookmarkStart w:id="856" w:name="_Toc26035"/>
      <w:bookmarkStart w:id="857" w:name="_Toc15427"/>
      <w:bookmarkStart w:id="858" w:name="_Toc7129"/>
      <w:bookmarkStart w:id="859" w:name="_Toc16583"/>
      <w:bookmarkStart w:id="860" w:name="_Toc24231"/>
      <w:bookmarkStart w:id="861" w:name="_Toc24614"/>
      <w:bookmarkStart w:id="862" w:name="_Toc14822"/>
      <w:bookmarkStart w:id="863" w:name="_Toc29802"/>
      <w:bookmarkStart w:id="864" w:name="_Toc4528"/>
      <w:bookmarkStart w:id="865" w:name="_Toc19907"/>
      <w:bookmarkStart w:id="866" w:name="_Toc20537"/>
      <w:bookmarkStart w:id="867" w:name="_Toc25297"/>
      <w:bookmarkStart w:id="868" w:name="_Toc9881"/>
      <w:bookmarkStart w:id="869" w:name="_Toc5682"/>
      <w:bookmarkStart w:id="870" w:name="_Toc7172"/>
      <w:bookmarkStart w:id="871" w:name="_Toc1941"/>
      <w:bookmarkStart w:id="872" w:name="_Toc19365"/>
      <w:bookmarkStart w:id="873" w:name="_Toc28902"/>
      <w:bookmarkStart w:id="874" w:name="_Toc13103"/>
      <w:bookmarkStart w:id="875" w:name="_Toc3102"/>
      <w:bookmarkStart w:id="876" w:name="_Toc285"/>
      <w:bookmarkStart w:id="877" w:name="_Toc22009"/>
      <w:bookmarkStart w:id="878" w:name="_Toc5695"/>
      <w:bookmarkStart w:id="879" w:name="_Toc20171"/>
      <w:bookmarkStart w:id="880" w:name="_Toc6793"/>
      <w:bookmarkStart w:id="881" w:name="_Toc21154"/>
      <w:bookmarkStart w:id="882" w:name="_Toc19032"/>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第三节  推进文旅深度融合发展</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rFonts w:hint="eastAsia" w:ascii="楷体_GB2312" w:hAnsi="楷体_GB2312" w:eastAsia="楷体_GB2312" w:cs="楷体_GB2312"/>
        </w:rPr>
        <w:t xml:space="preserve"> </w:t>
      </w:r>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依托我县深厚的文化底蕴和丰富的旅游资源，推进理念融合、职能融合、产业融合、市场融合、服务融合、交流融合，不断创新旅游业态，提高旅游产品质量。</w:t>
      </w:r>
    </w:p>
    <w:p>
      <w:pPr>
        <w:spacing w:line="608" w:lineRule="exact"/>
        <w:ind w:firstLine="642" w:firstLineChars="200"/>
        <w:outlineLvl w:val="2"/>
        <w:rPr>
          <w:rFonts w:ascii="仿宋_GB2312" w:hAnsi="仿宋_GB2312" w:eastAsia="仿宋_GB2312" w:cs="仿宋_GB2312"/>
          <w:sz w:val="32"/>
          <w:szCs w:val="32"/>
        </w:rPr>
      </w:pPr>
      <w:bookmarkStart w:id="883" w:name="_Toc17344"/>
      <w:bookmarkStart w:id="884" w:name="_Toc21054"/>
      <w:r>
        <w:rPr>
          <w:rFonts w:hint="eastAsia" w:ascii="仿宋_GB2312" w:hAnsi="仿宋_GB2312" w:eastAsia="仿宋_GB2312" w:cs="仿宋_GB2312"/>
          <w:b/>
          <w:bCs/>
          <w:sz w:val="32"/>
          <w:szCs w:val="32"/>
        </w:rPr>
        <w:t>充分挖掘历史文化资源。</w:t>
      </w:r>
      <w:r>
        <w:rPr>
          <w:rFonts w:hint="eastAsia" w:ascii="仿宋_GB2312" w:hAnsi="仿宋_GB2312" w:eastAsia="仿宋_GB2312" w:cs="仿宋_GB2312"/>
          <w:sz w:val="32"/>
          <w:szCs w:val="32"/>
        </w:rPr>
        <w:t>全面落实《黄河国家文化公园（山西省）建设保护规划》相关部署，加大对本土</w:t>
      </w:r>
      <w:r>
        <w:rPr>
          <w:rFonts w:hint="eastAsia" w:ascii="仿宋_GB2312" w:hAnsi="仿宋_GB2312" w:eastAsia="仿宋_GB2312" w:cs="仿宋_GB2312"/>
          <w:sz w:val="32"/>
          <w:szCs w:val="32"/>
          <w:lang w:val="zh-CN"/>
        </w:rPr>
        <w:t>炎帝文化、红色文化、古建文化、饮食文化等主题文化和文化遗产</w:t>
      </w:r>
      <w:r>
        <w:rPr>
          <w:rFonts w:hint="eastAsia" w:ascii="仿宋_GB2312" w:hAnsi="仿宋_GB2312" w:eastAsia="仿宋_GB2312" w:cs="仿宋_GB2312"/>
          <w:sz w:val="32"/>
          <w:szCs w:val="32"/>
        </w:rPr>
        <w:t>的发掘力度。抓好上党梆子、上党落子、长子鼓书、长子八音会、长子道情等本土剧种的传承和创新，扶持具有长子特色的小剧种，鼓励以八音会为代表的文艺演出团体参加重要活动和商业演出。加强乡村文化资源保护和利用，着眼各乡镇文化特色，持续拓展使用功能，积极举办以南漳镇八音会、响铜乐器制作文化、鲍店镇集镇文化、石哲镇发鸠山文化为主要内容的多种形式主题活动。</w:t>
      </w:r>
      <w:bookmarkEnd w:id="883"/>
      <w:bookmarkEnd w:id="884"/>
    </w:p>
    <w:p>
      <w:pPr>
        <w:spacing w:line="608" w:lineRule="exact"/>
        <w:ind w:firstLine="642" w:firstLineChars="200"/>
        <w:outlineLvl w:val="2"/>
        <w:rPr>
          <w:rFonts w:ascii="仿宋_GB2312" w:hAnsi="仿宋_GB2312" w:eastAsia="仿宋_GB2312" w:cs="仿宋_GB2312"/>
          <w:sz w:val="32"/>
          <w:szCs w:val="32"/>
        </w:rPr>
      </w:pPr>
      <w:bookmarkStart w:id="885" w:name="_Toc31127"/>
      <w:bookmarkStart w:id="886" w:name="_Toc1278"/>
      <w:bookmarkStart w:id="887" w:name="_Toc16959"/>
      <w:r>
        <w:rPr>
          <w:rFonts w:hint="eastAsia" w:ascii="仿宋_GB2312" w:hAnsi="仿宋_GB2312" w:eastAsia="仿宋_GB2312" w:cs="仿宋_GB2312"/>
          <w:b/>
          <w:bCs/>
          <w:sz w:val="32"/>
          <w:szCs w:val="32"/>
        </w:rPr>
        <w:t>深入推进文物保护利用。</w:t>
      </w:r>
      <w:r>
        <w:rPr>
          <w:rFonts w:hint="eastAsia" w:ascii="仿宋_GB2312" w:hAnsi="仿宋_GB2312" w:eastAsia="仿宋_GB2312" w:cs="仿宋_GB2312"/>
          <w:sz w:val="32"/>
          <w:szCs w:val="32"/>
        </w:rPr>
        <w:t>积极开展文物抢救性、数字性、社会性保护修缮，完成现存元代以前木结构古建筑修复工作。试点推进“文明守望工程”，吸引社会资本参与文物保护工作。加快推进法兴寺、崇庆寺 “两权分离”改革，逐步实现文物活化利用和正式对外开放。加强非物质文化遗产保护和传承，推进非遗传承人素质提升工程。持续开展非遗文化进校园、进农村、进景区、进企业“四进”活动，提高非遗文化的普及率和知晓率。加大宣传推介和市场化运作，有效促进非遗产品转化利用，不断提升文化产业化水平。</w:t>
      </w:r>
      <w:bookmarkEnd w:id="885"/>
      <w:bookmarkEnd w:id="886"/>
      <w:bookmarkEnd w:id="887"/>
    </w:p>
    <w:p>
      <w:pPr>
        <w:spacing w:line="608" w:lineRule="exact"/>
        <w:ind w:firstLine="642" w:firstLineChars="200"/>
        <w:outlineLvl w:val="2"/>
        <w:rPr>
          <w:rFonts w:ascii="仿宋_GB2312" w:hAnsi="仿宋_GB2312" w:eastAsia="仿宋_GB2312" w:cs="仿宋_GB2312"/>
          <w:sz w:val="32"/>
          <w:szCs w:val="32"/>
          <w:lang w:val="zh-CN"/>
        </w:rPr>
      </w:pPr>
      <w:bookmarkStart w:id="888" w:name="_Toc11855"/>
      <w:bookmarkStart w:id="889" w:name="_Toc22052"/>
      <w:r>
        <w:rPr>
          <w:rFonts w:hint="eastAsia" w:ascii="仿宋_GB2312" w:hAnsi="仿宋_GB2312" w:eastAsia="仿宋_GB2312" w:cs="仿宋_GB2312"/>
          <w:b/>
          <w:bCs/>
          <w:sz w:val="32"/>
          <w:szCs w:val="32"/>
        </w:rPr>
        <w:t>精心打造特色文旅品牌。</w:t>
      </w:r>
      <w:r>
        <w:rPr>
          <w:rFonts w:hint="eastAsia" w:ascii="仿宋_GB2312" w:hAnsi="仿宋_GB2312" w:eastAsia="仿宋_GB2312" w:cs="仿宋_GB2312"/>
          <w:sz w:val="32"/>
          <w:szCs w:val="32"/>
        </w:rPr>
        <w:t>依托仙翁山30万亩连翘花海和仙翁山万亩梨园资源优势，办好“金山银山文化旅游节”，叫响长子文化旅游品牌。围绕“一环两带四区多点”空间布局，不断创新景区各节点文化表现形式，将新颖的文化创意应用于旅游全过程，打造“品长子文化、读千年历史”标志性文旅品牌。着力塑造响铜乐器、长子炒饼、长子理发和长子猪头肉等具有长子特色的地域形象名片。继续推进乡村旅游建设，</w:t>
      </w:r>
      <w:r>
        <w:rPr>
          <w:rFonts w:hint="eastAsia" w:ascii="仿宋_GB2312" w:hAnsi="仿宋_GB2312" w:eastAsia="仿宋_GB2312" w:cs="仿宋_GB2312"/>
          <w:sz w:val="32"/>
          <w:szCs w:val="32"/>
          <w:lang w:val="zh-CN"/>
        </w:rPr>
        <w:t>坚持“适度增加、原有提升、质量为先”原则，结合乡村振兴战略，加快乡村农家乐、特色民宿建设，为构建全域旅游格局提供坚强支撑。</w:t>
      </w:r>
      <w:bookmarkEnd w:id="888"/>
      <w:bookmarkEnd w:id="889"/>
    </w:p>
    <w:p>
      <w:pPr>
        <w:pStyle w:val="3"/>
        <w:spacing w:after="0" w:line="608" w:lineRule="exact"/>
        <w:ind w:left="0" w:leftChars="0" w:firstLine="642" w:firstLineChars="200"/>
        <w:outlineLvl w:val="2"/>
        <w:rPr>
          <w:rFonts w:ascii="仿宋_GB2312" w:hAnsi="仿宋_GB2312" w:eastAsia="仿宋_GB2312" w:cs="仿宋_GB2312"/>
          <w:sz w:val="32"/>
          <w:szCs w:val="32"/>
        </w:rPr>
      </w:pPr>
      <w:bookmarkStart w:id="890" w:name="_Toc3417"/>
      <w:bookmarkStart w:id="891" w:name="_Toc13804"/>
      <w:r>
        <w:rPr>
          <w:rFonts w:hint="eastAsia" w:ascii="仿宋_GB2312" w:hAnsi="仿宋_GB2312" w:eastAsia="仿宋_GB2312" w:cs="仿宋_GB2312"/>
          <w:b/>
          <w:bCs/>
          <w:sz w:val="32"/>
          <w:szCs w:val="32"/>
        </w:rPr>
        <w:t>推动文化旅游深度融合。</w:t>
      </w:r>
      <w:r>
        <w:rPr>
          <w:rFonts w:hint="eastAsia" w:ascii="仿宋_GB2312" w:hAnsi="仿宋_GB2312" w:eastAsia="仿宋_GB2312" w:cs="仿宋_GB2312"/>
          <w:sz w:val="32"/>
          <w:szCs w:val="32"/>
        </w:rPr>
        <w:t>坚持以文塑旅、以旅彰文，推动文化和旅游深度融合。整合以法兴寺、崇庆寺为主的彩塑文化和十三处国保单位为主的古建文化，扎实推进以慈林镇崔庄村彩塑文化艺术研学小镇为突破口的古建彩塑研学基地建设，积极与省内外各大研学团队对接，全面打造古建彩塑研学游精品游线路。整合北高庙、常张乡岭上村红色文化园、横水小坪头抗日政府旧址、王峪抗日战地医院旧址等红色文化资源，推出红色文化游精品旅游线路。整合以八音会、响铜乐器为代表的民俗艺术、器乐文化，重点研发和推出以炎帝文创、精卫文创、尧帝文创、丹朱文创、彩塑文创、宗教古建类文创、农业类文创、非遗类文创、地质类文创、医药类文创为内容的十大“长子文创”系列产品。积极发展参与式、体验式等新型旅游业态，开发特色鲜明、类型多样、可满足不同群体需求的经典文化产品，促进文化和旅游全方位、深层次融合发展格局的形成。</w:t>
      </w:r>
      <w:r>
        <w:rPr>
          <w:rFonts w:hint="eastAsia" w:ascii="仿宋_GB2312" w:hAnsi="仿宋_GB2312" w:eastAsia="仿宋_GB2312" w:cs="仿宋_GB2312"/>
          <w:color w:val="000000" w:themeColor="text1"/>
          <w:sz w:val="32"/>
          <w:szCs w:val="32"/>
        </w:rPr>
        <w:t>充分利用国内举办的各大旅游宣传推介活动，全方位宣传长子、推介长子，吸引外来资本和有识之士投资我县旅游开发。实施旅游人才队伍建设，建立旅游志愿者导游队伍，进一步补齐短板，提升旅游服务业务水平。</w:t>
      </w:r>
      <w:r>
        <w:rPr>
          <w:rFonts w:hint="eastAsia" w:ascii="仿宋_GB2312" w:hAnsi="仿宋_GB2312" w:eastAsia="仿宋_GB2312" w:cs="仿宋_GB2312"/>
          <w:sz w:val="32"/>
          <w:szCs w:val="32"/>
        </w:rPr>
        <w:t>不断丰富旅游产品的供给类型、供给渠道、供给方式，大力扶持响铜乐器、麦秆画、根雕等艺术品制造业发展，形成“观景、看戏、商务”一体化的文化旅游产业链。</w:t>
      </w:r>
    </w:p>
    <w:p>
      <w:pPr>
        <w:pStyle w:val="2"/>
        <w:spacing w:before="0" w:beforeAutospacing="0"/>
      </w:pPr>
    </w:p>
    <w:bookmarkEnd w:id="890"/>
    <w:bookmarkEnd w:id="891"/>
    <w:tbl>
      <w:tblPr>
        <w:tblStyle w:val="18"/>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93" w:type="dxa"/>
          </w:tcPr>
          <w:p>
            <w:pPr>
              <w:spacing w:line="600" w:lineRule="exact"/>
              <w:jc w:val="center"/>
            </w:pPr>
            <w:bookmarkStart w:id="892" w:name="_Toc9804"/>
            <w:bookmarkStart w:id="893" w:name="_Toc27849"/>
            <w:bookmarkStart w:id="894" w:name="_Toc11933"/>
            <w:bookmarkStart w:id="895" w:name="_Toc14549"/>
            <w:bookmarkStart w:id="896" w:name="_Toc1144"/>
            <w:bookmarkStart w:id="897" w:name="_Toc1498"/>
            <w:bookmarkStart w:id="898" w:name="_Toc16919"/>
            <w:r>
              <w:rPr>
                <w:rFonts w:hint="eastAsia" w:ascii="黑体" w:hAnsi="宋体" w:eastAsia="黑体" w:cs="黑体"/>
                <w:kern w:val="0"/>
                <w:sz w:val="28"/>
                <w:szCs w:val="28"/>
              </w:rPr>
              <w:t>专栏10 文化资源保护和利用工程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jc w:val="center"/>
        </w:trPr>
        <w:tc>
          <w:tcPr>
            <w:tcW w:w="8693" w:type="dxa"/>
            <w:vAlign w:val="center"/>
          </w:tcPr>
          <w:p>
            <w:pPr>
              <w:pStyle w:val="2"/>
              <w:numPr>
                <w:ilvl w:val="0"/>
                <w:numId w:val="10"/>
              </w:numPr>
              <w:spacing w:before="0" w:beforeAutospacing="0" w:line="360" w:lineRule="exact"/>
              <w:ind w:leftChars="0" w:firstLineChars="0"/>
            </w:pPr>
            <w:r>
              <w:rPr>
                <w:rFonts w:hint="eastAsia"/>
                <w:b/>
                <w:bCs/>
              </w:rPr>
              <w:t>文化惠民工程</w:t>
            </w:r>
            <w:r>
              <w:rPr>
                <w:rFonts w:hint="eastAsia"/>
              </w:rPr>
              <w:t>。打破城乡文化服务界限，继续开展免费送戏下乡和文艺小分队送文化、种文化活动，不断提高公共文化服务效能。</w:t>
            </w:r>
          </w:p>
          <w:p>
            <w:pPr>
              <w:pStyle w:val="2"/>
              <w:numPr>
                <w:ilvl w:val="0"/>
                <w:numId w:val="10"/>
              </w:numPr>
              <w:spacing w:before="0" w:beforeAutospacing="0" w:line="360" w:lineRule="exact"/>
              <w:ind w:leftChars="0" w:firstLineChars="0"/>
            </w:pPr>
            <w:r>
              <w:rPr>
                <w:rFonts w:hint="eastAsia"/>
                <w:b/>
                <w:bCs/>
              </w:rPr>
              <w:t>文化品牌工程。</w:t>
            </w:r>
            <w:r>
              <w:rPr>
                <w:rFonts w:hint="eastAsia"/>
              </w:rPr>
              <w:t>深度挖掘炎帝文化、精卫文化、尧文化、西燕文化精髓，抓好长子鼓书、长子八音会、长子道情等本土剧种的传承和创新，叫响长子文化大品牌。</w:t>
            </w:r>
          </w:p>
          <w:p>
            <w:pPr>
              <w:numPr>
                <w:ilvl w:val="0"/>
                <w:numId w:val="11"/>
              </w:numPr>
              <w:spacing w:line="360" w:lineRule="exact"/>
            </w:pPr>
            <w:r>
              <w:rPr>
                <w:rFonts w:hint="eastAsia"/>
                <w:b/>
                <w:bCs/>
              </w:rPr>
              <w:t>文物保护利用工程</w:t>
            </w:r>
            <w:r>
              <w:rPr>
                <w:rFonts w:hint="eastAsia"/>
              </w:rPr>
              <w:t>。积极开展文物抢救性、数字性、社会性保护修缮，完成现存元代以前木结构古建筑修复工作。</w:t>
            </w:r>
          </w:p>
          <w:p>
            <w:pPr>
              <w:numPr>
                <w:ilvl w:val="0"/>
                <w:numId w:val="11"/>
              </w:numPr>
              <w:spacing w:line="360" w:lineRule="exact"/>
            </w:pPr>
            <w:r>
              <w:rPr>
                <w:rFonts w:hint="eastAsia"/>
                <w:b/>
                <w:bCs/>
              </w:rPr>
              <w:t>文旅融合工程。</w:t>
            </w:r>
            <w:r>
              <w:rPr>
                <w:rFonts w:hint="eastAsia"/>
              </w:rPr>
              <w:t>全面打造古建彩塑研学游精品游线路、推出红色文化游精品旅游线路和十大“长子文创”系列产品，促进文化和旅游全方位、深层次融合发展格局的形成。</w:t>
            </w:r>
          </w:p>
        </w:tc>
      </w:tr>
    </w:tbl>
    <w:p>
      <w:pPr>
        <w:pStyle w:val="3"/>
        <w:spacing w:after="0"/>
        <w:ind w:left="0" w:leftChars="0"/>
        <w:outlineLvl w:val="2"/>
        <w:rPr>
          <w:b/>
          <w:spacing w:val="-6"/>
        </w:rPr>
      </w:pPr>
      <w:r>
        <w:rPr>
          <w:rFonts w:hint="eastAsia"/>
          <w:b/>
          <w:spacing w:val="-6"/>
        </w:rPr>
        <w:br w:type="page"/>
      </w:r>
    </w:p>
    <w:p>
      <w:pPr>
        <w:pStyle w:val="4"/>
        <w:spacing w:beforeLines="0" w:afterLines="0" w:line="608" w:lineRule="exact"/>
        <w:rPr>
          <w:b w:val="0"/>
          <w:bCs/>
          <w:spacing w:val="-6"/>
        </w:rPr>
      </w:pPr>
      <w:bookmarkStart w:id="899" w:name="_Toc9188"/>
    </w:p>
    <w:p>
      <w:pPr>
        <w:pStyle w:val="4"/>
        <w:spacing w:beforeLines="0" w:afterLines="0" w:line="608" w:lineRule="exact"/>
        <w:rPr>
          <w:b w:val="0"/>
          <w:bCs/>
          <w:spacing w:val="-14"/>
          <w:sz w:val="36"/>
          <w:szCs w:val="36"/>
        </w:rPr>
      </w:pPr>
      <w:r>
        <w:rPr>
          <w:rFonts w:hint="eastAsia"/>
          <w:b w:val="0"/>
          <w:bCs/>
          <w:spacing w:val="-14"/>
          <w:sz w:val="36"/>
          <w:szCs w:val="36"/>
        </w:rPr>
        <w:t>第九章 坚定推进生态立县，打造山清水秀天蓝地净美丽长子</w:t>
      </w:r>
      <w:bookmarkEnd w:id="756"/>
      <w:bookmarkEnd w:id="757"/>
      <w:bookmarkEnd w:id="758"/>
      <w:bookmarkEnd w:id="759"/>
      <w:bookmarkEnd w:id="760"/>
      <w:bookmarkEnd w:id="761"/>
      <w:bookmarkEnd w:id="762"/>
      <w:bookmarkEnd w:id="892"/>
      <w:bookmarkEnd w:id="893"/>
      <w:bookmarkEnd w:id="894"/>
      <w:bookmarkEnd w:id="895"/>
      <w:bookmarkEnd w:id="896"/>
      <w:bookmarkEnd w:id="897"/>
      <w:bookmarkEnd w:id="898"/>
      <w:bookmarkEnd w:id="899"/>
    </w:p>
    <w:p>
      <w:pPr>
        <w:pStyle w:val="5"/>
        <w:spacing w:beforeLines="0" w:afterLines="0" w:line="608" w:lineRule="exact"/>
        <w:ind w:firstLine="640" w:firstLineChars="200"/>
        <w:jc w:val="left"/>
        <w:rPr>
          <w:rFonts w:ascii="仿宋_GB2312" w:hAnsi="仿宋_GB2312" w:eastAsia="仿宋_GB2312" w:cs="仿宋_GB2312"/>
          <w:b w:val="0"/>
          <w:szCs w:val="32"/>
        </w:rPr>
      </w:pPr>
      <w:bookmarkStart w:id="900" w:name="_Toc12392"/>
      <w:bookmarkStart w:id="901" w:name="_Toc59459020"/>
      <w:bookmarkStart w:id="902" w:name="_Toc21215"/>
      <w:bookmarkStart w:id="903" w:name="_Toc12582"/>
      <w:bookmarkStart w:id="904" w:name="_Toc12923"/>
      <w:bookmarkStart w:id="905" w:name="_Toc15956"/>
      <w:bookmarkStart w:id="906" w:name="_Toc795"/>
      <w:bookmarkStart w:id="907" w:name="_Toc12189"/>
      <w:bookmarkStart w:id="908" w:name="_Toc9097"/>
      <w:bookmarkStart w:id="909" w:name="_Toc29718"/>
      <w:bookmarkStart w:id="910" w:name="_Toc7050"/>
      <w:bookmarkStart w:id="911" w:name="_Toc11919"/>
      <w:bookmarkStart w:id="912" w:name="_Toc26320"/>
      <w:bookmarkStart w:id="913" w:name="_Toc17073"/>
      <w:bookmarkStart w:id="914" w:name="_Toc3182"/>
      <w:bookmarkStart w:id="915" w:name="_Toc25684"/>
      <w:bookmarkStart w:id="916" w:name="_Toc19166"/>
      <w:bookmarkStart w:id="917" w:name="_Toc28110"/>
      <w:bookmarkStart w:id="918" w:name="_Toc27082"/>
      <w:bookmarkStart w:id="919" w:name="_Toc32032"/>
      <w:bookmarkStart w:id="920" w:name="_Toc23558"/>
      <w:bookmarkStart w:id="921" w:name="_Toc17177"/>
      <w:bookmarkStart w:id="922" w:name="_Toc3051"/>
      <w:bookmarkStart w:id="923" w:name="_Toc4332"/>
      <w:bookmarkStart w:id="924" w:name="_Toc993"/>
      <w:bookmarkStart w:id="925" w:name="_Toc5862"/>
      <w:bookmarkStart w:id="926" w:name="_Toc4123"/>
      <w:bookmarkStart w:id="927" w:name="_Toc2946"/>
      <w:bookmarkStart w:id="928" w:name="_Toc22227"/>
      <w:bookmarkStart w:id="929" w:name="_Toc17858"/>
      <w:bookmarkStart w:id="930" w:name="_Toc31828"/>
      <w:bookmarkStart w:id="931" w:name="_Toc16019"/>
      <w:bookmarkStart w:id="932" w:name="_Toc3732"/>
      <w:bookmarkStart w:id="933" w:name="_Toc19725"/>
    </w:p>
    <w:p>
      <w:pPr>
        <w:pStyle w:val="5"/>
        <w:spacing w:beforeLines="0" w:afterLines="0" w:line="608" w:lineRule="exact"/>
        <w:ind w:firstLine="640" w:firstLineChars="200"/>
        <w:jc w:val="left"/>
        <w:rPr>
          <w:rFonts w:ascii="仿宋_GB2312" w:hAnsi="仿宋_GB2312" w:eastAsia="仿宋_GB2312" w:cs="仿宋_GB2312"/>
          <w:b w:val="0"/>
          <w:szCs w:val="32"/>
        </w:rPr>
      </w:pPr>
      <w:r>
        <w:rPr>
          <w:rFonts w:hint="eastAsia" w:ascii="仿宋_GB2312" w:hAnsi="仿宋_GB2312" w:eastAsia="仿宋_GB2312" w:cs="仿宋_GB2312"/>
          <w:b w:val="0"/>
          <w:szCs w:val="32"/>
        </w:rPr>
        <w:t>坚持绿水青山就是金山银山理念，加强污染防治和生态建设，全面提升生态环境质量，持续打好污染防治保卫战，加快形成绿色生产生活方式，努力建设山清水秀天蓝地净美丽长子。</w:t>
      </w:r>
      <w:bookmarkEnd w:id="900"/>
    </w:p>
    <w:p>
      <w:pPr>
        <w:pStyle w:val="5"/>
        <w:spacing w:beforeLines="0" w:afterLines="0" w:line="608" w:lineRule="exact"/>
        <w:rPr>
          <w:rFonts w:ascii="楷体_GB2312" w:hAnsi="楷体_GB2312" w:eastAsia="楷体_GB2312" w:cs="楷体_GB2312"/>
        </w:rPr>
      </w:pPr>
      <w:bookmarkStart w:id="934" w:name="_Toc21075"/>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第一节  优化生态空间布局</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34"/>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优化生态空间布局，保护生态功能区、通风廊道、清水通道等生态空间，优化山水结构，为优化生产生活生态空间布局提供环境空间指引，保障全县生态环境安全。</w:t>
      </w:r>
    </w:p>
    <w:p>
      <w:pPr>
        <w:spacing w:line="608" w:lineRule="exact"/>
        <w:ind w:firstLine="642" w:firstLineChars="200"/>
        <w:outlineLvl w:val="2"/>
        <w:rPr>
          <w:rFonts w:ascii="仿宋_GB2312" w:hAnsi="仿宋_GB2312" w:eastAsia="仿宋_GB2312" w:cs="仿宋_GB2312"/>
          <w:sz w:val="32"/>
          <w:szCs w:val="32"/>
        </w:rPr>
      </w:pPr>
      <w:bookmarkStart w:id="935" w:name="_Toc17205"/>
      <w:bookmarkStart w:id="936" w:name="_Toc9668"/>
      <w:r>
        <w:rPr>
          <w:rFonts w:hint="eastAsia" w:ascii="仿宋_GB2312" w:hAnsi="仿宋_GB2312" w:eastAsia="仿宋_GB2312" w:cs="仿宋_GB2312"/>
          <w:b/>
          <w:sz w:val="32"/>
          <w:szCs w:val="32"/>
        </w:rPr>
        <w:t>构建生态保护空间格局。</w:t>
      </w:r>
      <w:r>
        <w:rPr>
          <w:rFonts w:hint="eastAsia" w:ascii="仿宋_GB2312" w:hAnsi="仿宋_GB2312" w:eastAsia="仿宋_GB2312" w:cs="仿宋_GB2312"/>
          <w:sz w:val="32"/>
          <w:szCs w:val="32"/>
        </w:rPr>
        <w:t>依托两山九水六库，构建“一屏一网两廊道多节点”山水相连的生态空间保护格局，构筑山水林田湖草城生命共同体。依托西部发鸠山和南部羊头山连片林地，形成县域重要的生态涵养区域，构筑西南部生态屏障区。以岚水河、雍河、浊漳河沿线上下游水系为基础，整合周边防护绿地、林地保护区等，串联各重要生态节点，构建县域生态蓝绿网络。依托S326、S228两条交通走廊，打造贯穿全域的两条景观绿廊。构建精卫湖国家湿地公园、木化石保护区、鲍家河水库、羊头山景区、崇庆寺景区等重要生态保护节点，提升生态系统服务能力。</w:t>
      </w:r>
      <w:bookmarkEnd w:id="935"/>
      <w:bookmarkEnd w:id="936"/>
    </w:p>
    <w:p>
      <w:pPr>
        <w:spacing w:line="608" w:lineRule="exact"/>
        <w:ind w:firstLine="642" w:firstLineChars="200"/>
        <w:outlineLvl w:val="2"/>
        <w:rPr>
          <w:rFonts w:ascii="仿宋_GB2312" w:hAnsi="仿宋_GB2312" w:eastAsia="仿宋_GB2312" w:cs="仿宋_GB2312"/>
          <w:sz w:val="32"/>
          <w:szCs w:val="32"/>
        </w:rPr>
      </w:pPr>
      <w:bookmarkStart w:id="937" w:name="_Toc5714"/>
      <w:bookmarkStart w:id="938" w:name="_Toc30084"/>
      <w:r>
        <w:rPr>
          <w:rFonts w:hint="eastAsia" w:ascii="仿宋_GB2312" w:hAnsi="仿宋_GB2312" w:eastAsia="仿宋_GB2312" w:cs="仿宋_GB2312"/>
          <w:b/>
          <w:bCs/>
          <w:sz w:val="32"/>
          <w:szCs w:val="32"/>
        </w:rPr>
        <w:t>建立区域生态保护体系。</w:t>
      </w:r>
      <w:r>
        <w:rPr>
          <w:rFonts w:hint="eastAsia" w:ascii="仿宋_GB2312" w:hAnsi="仿宋_GB2312" w:eastAsia="仿宋_GB2312" w:cs="仿宋_GB2312"/>
          <w:sz w:val="32"/>
          <w:szCs w:val="32"/>
        </w:rPr>
        <w:t>持续抓好精卫湖国家湿地公园、仙翁山木化石地质公园、皇明湖景区、精卫湖景区等自然公园生态体系建设，全力守护湿地资源。加强生态功能区保护，整合交叉重叠保护地，连通分割破碎保护地，调整矛盾冲突保护地，优化保护地边界区划，建立布局合理、保护有力、管理有效的自然保护地体系。实施全域增绿计划，在城镇空间中增加小游园、微绿地、城市绿道、公园等生态载体，实现县城和重点乡镇同步绿化。</w:t>
      </w:r>
      <w:bookmarkEnd w:id="937"/>
      <w:bookmarkEnd w:id="938"/>
    </w:p>
    <w:p>
      <w:pPr>
        <w:spacing w:line="608" w:lineRule="exact"/>
        <w:ind w:firstLine="642" w:firstLineChars="200"/>
        <w:outlineLvl w:val="2"/>
        <w:rPr>
          <w:rFonts w:ascii="仿宋_GB2312" w:hAnsi="仿宋_GB2312" w:eastAsia="仿宋_GB2312" w:cs="仿宋_GB2312"/>
          <w:sz w:val="32"/>
          <w:szCs w:val="32"/>
        </w:rPr>
      </w:pPr>
      <w:bookmarkStart w:id="939" w:name="_Toc22188"/>
      <w:bookmarkStart w:id="940" w:name="_Toc21038"/>
      <w:r>
        <w:rPr>
          <w:rFonts w:hint="eastAsia" w:ascii="仿宋_GB2312" w:hAnsi="仿宋_GB2312" w:eastAsia="仿宋_GB2312" w:cs="仿宋_GB2312"/>
          <w:b/>
          <w:bCs/>
          <w:sz w:val="32"/>
          <w:szCs w:val="32"/>
        </w:rPr>
        <w:t>完善区域生态保护机制。</w:t>
      </w:r>
      <w:r>
        <w:rPr>
          <w:rFonts w:hint="eastAsia" w:ascii="仿宋_GB2312" w:hAnsi="仿宋_GB2312" w:eastAsia="仿宋_GB2312" w:cs="仿宋_GB2312"/>
          <w:bCs/>
          <w:sz w:val="32"/>
          <w:szCs w:val="32"/>
        </w:rPr>
        <w:t>加强生态空间资源开发利用宏观调控，建立空间准入机制，合理安排产业、城镇、乡村及生态保护区域的空间开发强度和开发次序，实行分类引导，促进区域有序健康发展。坚持精准治污、科学治污、依法治污，实行最严格的生态环境保护制度，不断提高生态环境保护的系统化、科学化、法治化、信息化水平。“十四五”末，全县优良天数比例力争达到85%，空气污染指数下降15.5%，森林覆盖率达到17.35以上，绿化覆盖率达到35%以上，绿地率达到33%以上，人均公共绿地面积达到9平方米以上，全面建成</w:t>
      </w:r>
      <w:r>
        <w:rPr>
          <w:rFonts w:hint="eastAsia" w:ascii="仿宋_GB2312" w:hAnsi="仿宋_GB2312" w:eastAsia="仿宋_GB2312" w:cs="仿宋_GB2312"/>
          <w:sz w:val="32"/>
          <w:szCs w:val="32"/>
        </w:rPr>
        <w:t>山清水秀天蓝地净美丽长子</w:t>
      </w:r>
      <w:r>
        <w:rPr>
          <w:rFonts w:hint="eastAsia" w:ascii="仿宋_GB2312" w:hAnsi="仿宋_GB2312" w:eastAsia="仿宋_GB2312" w:cs="仿宋_GB2312"/>
          <w:bCs/>
          <w:sz w:val="32"/>
          <w:szCs w:val="32"/>
        </w:rPr>
        <w:t>。</w:t>
      </w:r>
      <w:bookmarkEnd w:id="939"/>
      <w:bookmarkEnd w:id="940"/>
    </w:p>
    <w:p>
      <w:pPr>
        <w:pStyle w:val="5"/>
        <w:spacing w:beforeLines="0" w:afterLines="0" w:line="608" w:lineRule="exact"/>
        <w:rPr>
          <w:rFonts w:ascii="楷体_GB2312" w:hAnsi="楷体_GB2312" w:eastAsia="楷体_GB2312" w:cs="楷体_GB2312"/>
        </w:rPr>
      </w:pPr>
      <w:bookmarkStart w:id="941" w:name="_Toc21347"/>
      <w:bookmarkStart w:id="942" w:name="_Toc850"/>
      <w:bookmarkStart w:id="943" w:name="_Toc17799"/>
      <w:bookmarkStart w:id="944" w:name="_Toc5432"/>
      <w:bookmarkStart w:id="945" w:name="_Toc25682"/>
      <w:bookmarkStart w:id="946" w:name="_Toc24120"/>
      <w:bookmarkStart w:id="947" w:name="_Toc5799"/>
      <w:bookmarkStart w:id="948" w:name="_Toc27624"/>
      <w:bookmarkStart w:id="949" w:name="_Toc13979"/>
      <w:bookmarkStart w:id="950" w:name="_Toc19521"/>
      <w:bookmarkStart w:id="951" w:name="_Toc14359"/>
      <w:bookmarkStart w:id="952" w:name="_Toc21977"/>
      <w:bookmarkStart w:id="953" w:name="_Toc15668"/>
      <w:bookmarkStart w:id="954" w:name="_Toc2088"/>
      <w:bookmarkStart w:id="955" w:name="_Toc31143"/>
      <w:bookmarkStart w:id="956" w:name="_Toc20852"/>
      <w:bookmarkStart w:id="957" w:name="_Toc6843"/>
      <w:bookmarkStart w:id="958" w:name="_Toc7515"/>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第二节  持续推进生态保护修复</w:t>
      </w:r>
      <w:bookmarkEnd w:id="926"/>
      <w:bookmarkEnd w:id="927"/>
      <w:bookmarkEnd w:id="928"/>
      <w:bookmarkEnd w:id="929"/>
      <w:bookmarkEnd w:id="930"/>
      <w:bookmarkEnd w:id="931"/>
      <w:bookmarkEnd w:id="932"/>
      <w:bookmarkEnd w:id="933"/>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pPr>
        <w:spacing w:line="608" w:lineRule="exact"/>
        <w:ind w:firstLine="640" w:firstLineChars="200"/>
        <w:rPr>
          <w:rFonts w:ascii="仿宋_GB2312" w:hAnsi="仿宋_GB2312" w:eastAsia="仿宋_GB2312" w:cs="仿宋_GB2312"/>
          <w:bCs/>
          <w:sz w:val="32"/>
          <w:szCs w:val="32"/>
        </w:rPr>
      </w:pPr>
    </w:p>
    <w:p>
      <w:pPr>
        <w:spacing w:line="608"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以生态保护修复为</w:t>
      </w:r>
      <w:r>
        <w:rPr>
          <w:rFonts w:hint="eastAsia" w:ascii="仿宋_GB2312" w:hAnsi="仿宋_GB2312" w:eastAsia="仿宋_GB2312" w:cs="仿宋_GB2312"/>
          <w:bCs/>
          <w:spacing w:val="-6"/>
          <w:sz w:val="32"/>
          <w:szCs w:val="32"/>
        </w:rPr>
        <w:t>目标，以重点生态工程为抓手，</w:t>
      </w:r>
      <w:r>
        <w:rPr>
          <w:rFonts w:hint="eastAsia" w:ascii="仿宋_GB2312" w:hAnsi="仿宋_GB2312" w:eastAsia="仿宋_GB2312" w:cs="仿宋_GB2312"/>
          <w:spacing w:val="-6"/>
          <w:sz w:val="32"/>
          <w:szCs w:val="32"/>
          <w:lang w:val="zh-CN"/>
        </w:rPr>
        <w:t>正确把握经济发展和生态保护辩</w:t>
      </w:r>
      <w:r>
        <w:rPr>
          <w:rFonts w:hint="eastAsia" w:ascii="仿宋_GB2312" w:hAnsi="仿宋_GB2312" w:eastAsia="仿宋_GB2312" w:cs="仿宋_GB2312"/>
          <w:sz w:val="32"/>
          <w:szCs w:val="32"/>
          <w:lang w:val="zh-CN"/>
        </w:rPr>
        <w:t>证关系，坚持生态优先，推动绿色发展。</w:t>
      </w:r>
    </w:p>
    <w:p>
      <w:pPr>
        <w:spacing w:line="608" w:lineRule="exact"/>
        <w:ind w:firstLine="642" w:firstLineChars="200"/>
        <w:outlineLvl w:val="2"/>
        <w:rPr>
          <w:rFonts w:ascii="仿宋_GB2312" w:hAnsi="仿宋_GB2312" w:eastAsia="仿宋_GB2312" w:cs="仿宋_GB2312"/>
          <w:b/>
          <w:bCs/>
          <w:sz w:val="32"/>
          <w:szCs w:val="32"/>
        </w:rPr>
      </w:pPr>
      <w:bookmarkStart w:id="959" w:name="_Toc963"/>
      <w:bookmarkStart w:id="960" w:name="_Toc22098"/>
      <w:r>
        <w:rPr>
          <w:rFonts w:hint="eastAsia" w:ascii="仿宋_GB2312" w:hAnsi="仿宋_GB2312" w:eastAsia="仿宋_GB2312" w:cs="仿宋_GB2312"/>
          <w:b/>
          <w:bCs/>
          <w:sz w:val="32"/>
          <w:szCs w:val="32"/>
        </w:rPr>
        <w:t>推进河流综合整治修复。</w:t>
      </w:r>
      <w:r>
        <w:rPr>
          <w:rFonts w:hint="eastAsia" w:ascii="仿宋_GB2312" w:hAnsi="仿宋_GB2312" w:eastAsia="仿宋_GB2312" w:cs="仿宋_GB2312"/>
          <w:bCs/>
          <w:sz w:val="32"/>
          <w:szCs w:val="32"/>
        </w:rPr>
        <w:t>认真谋划、系统治理，推进山水林田湖草一体化综合治理，实现河湖长治久清。</w:t>
      </w:r>
      <w:r>
        <w:rPr>
          <w:rFonts w:hint="eastAsia" w:ascii="仿宋_GB2312" w:hAnsi="仿宋_GB2312" w:eastAsia="仿宋_GB2312" w:cs="仿宋_GB2312"/>
          <w:sz w:val="32"/>
          <w:szCs w:val="32"/>
          <w:lang w:val="zh-CN"/>
        </w:rPr>
        <w:t>强化河湖长制，建立责任明确、协调有序、监管严格、保护有力的组织管理机制。</w:t>
      </w:r>
      <w:r>
        <w:rPr>
          <w:rFonts w:hint="eastAsia" w:ascii="仿宋_GB2312" w:hAnsi="仿宋_GB2312" w:eastAsia="仿宋_GB2312" w:cs="仿宋_GB2312"/>
          <w:bCs/>
          <w:sz w:val="32"/>
          <w:szCs w:val="32"/>
        </w:rPr>
        <w:t>构建党政负责、水利牵头、部门协调、社会参与的工作机制，形成一级抓一级、层层抓落实的河流整治工作格局。常态化规范化开展河湖“清四乱”，</w:t>
      </w:r>
      <w:r>
        <w:rPr>
          <w:rFonts w:hint="eastAsia" w:ascii="仿宋_GB2312" w:hAnsi="仿宋_GB2312" w:eastAsia="仿宋_GB2312" w:cs="仿宋_GB2312"/>
          <w:sz w:val="32"/>
          <w:szCs w:val="32"/>
          <w:lang w:val="zh-CN"/>
        </w:rPr>
        <w:t>系统实施山体生态修复工程，有效治理水土流失，</w:t>
      </w:r>
      <w:r>
        <w:rPr>
          <w:rFonts w:hint="eastAsia" w:ascii="仿宋_GB2312" w:hAnsi="仿宋_GB2312" w:eastAsia="仿宋_GB2312" w:cs="仿宋_GB2312"/>
          <w:sz w:val="32"/>
          <w:szCs w:val="32"/>
        </w:rPr>
        <w:t>促进生态修复价值提升。</w:t>
      </w:r>
      <w:bookmarkEnd w:id="959"/>
      <w:bookmarkEnd w:id="960"/>
    </w:p>
    <w:p>
      <w:pPr>
        <w:pStyle w:val="10"/>
        <w:tabs>
          <w:tab w:val="right" w:leader="dot" w:pos="8306"/>
        </w:tabs>
        <w:spacing w:line="608" w:lineRule="exact"/>
        <w:ind w:left="0" w:leftChars="0" w:firstLine="642" w:firstLineChars="200"/>
        <w:outlineLvl w:val="2"/>
        <w:rPr>
          <w:rFonts w:ascii="仿宋_GB2312" w:hAnsi="仿宋_GB2312" w:eastAsia="仿宋_GB2312" w:cs="仿宋_GB2312"/>
          <w:sz w:val="32"/>
          <w:szCs w:val="32"/>
          <w:shd w:val="clear" w:color="auto" w:fill="FFFFFF"/>
        </w:rPr>
      </w:pPr>
      <w:bookmarkStart w:id="961" w:name="_Toc25773"/>
      <w:bookmarkStart w:id="962" w:name="_Toc16994"/>
      <w:r>
        <w:rPr>
          <w:rFonts w:hint="eastAsia" w:ascii="仿宋_GB2312" w:hAnsi="仿宋_GB2312" w:eastAsia="仿宋_GB2312" w:cs="仿宋_GB2312"/>
          <w:b/>
          <w:bCs/>
          <w:sz w:val="32"/>
          <w:szCs w:val="32"/>
        </w:rPr>
        <w:t>推进绿色生态廊道建设。</w:t>
      </w:r>
      <w:r>
        <w:rPr>
          <w:rFonts w:hint="eastAsia" w:ascii="仿宋_GB2312" w:hAnsi="仿宋_GB2312" w:eastAsia="仿宋_GB2312" w:cs="仿宋_GB2312"/>
          <w:sz w:val="32"/>
          <w:szCs w:val="32"/>
        </w:rPr>
        <w:t>构建纵横成网、连续完整、景观优美、结构稳定、功能完备的生态廊道和生物多样性保护体系。实施生态林保护工程、重点防护林工程、退耕还林工程、环京津生态屏障区建设工程、森林植被恢复造林工程、经济林提质增效工程等一批生态建设工程，扎实管好现有林、扩大新造林，持续优化林业结构，为全县经济快速稳定发展提供良好生态环境。</w:t>
      </w:r>
      <w:r>
        <w:rPr>
          <w:rFonts w:hint="eastAsia" w:ascii="仿宋_GB2312" w:hAnsi="仿宋_GB2312" w:eastAsia="仿宋_GB2312" w:cs="仿宋_GB2312"/>
          <w:sz w:val="32"/>
          <w:szCs w:val="32"/>
          <w:shd w:val="clear" w:color="auto" w:fill="FFFFFF"/>
        </w:rPr>
        <w:t>“十四五”期间，全力创建国家森林县城，宜林地造林1000公顷，灌木林地造林334公顷，</w:t>
      </w:r>
      <w:r>
        <w:rPr>
          <w:rFonts w:hint="eastAsia" w:ascii="仿宋_GB2312" w:hAnsi="仿宋_GB2312" w:eastAsia="仿宋_GB2312" w:cs="仿宋_GB2312"/>
          <w:sz w:val="32"/>
          <w:szCs w:val="32"/>
        </w:rPr>
        <w:t>无立木林</w:t>
      </w:r>
      <w:r>
        <w:rPr>
          <w:rFonts w:hint="eastAsia" w:ascii="仿宋_GB2312" w:hAnsi="仿宋_GB2312" w:eastAsia="仿宋_GB2312" w:cs="仿宋_GB2312"/>
          <w:sz w:val="32"/>
          <w:szCs w:val="32"/>
          <w:shd w:val="clear" w:color="auto" w:fill="FFFFFF"/>
        </w:rPr>
        <w:t>地造林100公顷，灌木林地修复与改造400公顷。</w:t>
      </w:r>
      <w:bookmarkEnd w:id="961"/>
      <w:bookmarkEnd w:id="962"/>
    </w:p>
    <w:p>
      <w:pPr>
        <w:pStyle w:val="10"/>
        <w:tabs>
          <w:tab w:val="right" w:leader="dot" w:pos="8306"/>
        </w:tabs>
        <w:spacing w:line="608" w:lineRule="exact"/>
        <w:ind w:left="0" w:leftChars="0" w:firstLine="642" w:firstLineChars="200"/>
        <w:outlineLvl w:val="2"/>
        <w:rPr>
          <w:rFonts w:ascii="仿宋_GB2312" w:hAnsi="仿宋_GB2312" w:eastAsia="仿宋_GB2312" w:cs="仿宋_GB2312"/>
          <w:b/>
          <w:bCs/>
          <w:sz w:val="32"/>
          <w:szCs w:val="32"/>
        </w:rPr>
      </w:pPr>
      <w:bookmarkStart w:id="963" w:name="_Toc5132"/>
      <w:bookmarkStart w:id="964" w:name="_Toc11508"/>
      <w:r>
        <w:rPr>
          <w:rFonts w:hint="eastAsia" w:ascii="仿宋_GB2312" w:hAnsi="仿宋_GB2312" w:eastAsia="仿宋_GB2312" w:cs="仿宋_GB2312"/>
          <w:b/>
          <w:bCs/>
          <w:sz w:val="32"/>
          <w:szCs w:val="32"/>
        </w:rPr>
        <w:t>加强山体破坏面生态修复。</w:t>
      </w:r>
      <w:r>
        <w:rPr>
          <w:rFonts w:hint="eastAsia" w:ascii="仿宋_GB2312" w:hAnsi="仿宋_GB2312" w:eastAsia="仿宋_GB2312" w:cs="仿宋_GB2312"/>
          <w:sz w:val="32"/>
          <w:szCs w:val="32"/>
          <w:shd w:val="clear" w:color="auto" w:fill="FFFFFF"/>
        </w:rPr>
        <w:t>坚持绿化彩化财化同步推进，</w:t>
      </w:r>
      <w:r>
        <w:rPr>
          <w:rFonts w:hint="eastAsia" w:ascii="仿宋_GB2312" w:hAnsi="仿宋_GB2312" w:eastAsia="仿宋_GB2312" w:cs="仿宋_GB2312"/>
          <w:sz w:val="32"/>
          <w:szCs w:val="32"/>
        </w:rPr>
        <w:t>系统实施山体生态修复工程，有效治理水土流失，促进</w:t>
      </w:r>
      <w:r>
        <w:rPr>
          <w:rFonts w:hint="eastAsia" w:ascii="仿宋_GB2312" w:hAnsi="仿宋_GB2312" w:eastAsia="仿宋_GB2312" w:cs="仿宋_GB2312"/>
          <w:sz w:val="32"/>
          <w:szCs w:val="32"/>
          <w:shd w:val="clear" w:color="auto" w:fill="FFFFFF"/>
        </w:rPr>
        <w:t>生态修复价值提升，</w:t>
      </w:r>
      <w:r>
        <w:rPr>
          <w:rFonts w:hint="eastAsia" w:ascii="仿宋_GB2312" w:hAnsi="仿宋_GB2312" w:eastAsia="仿宋_GB2312" w:cs="仿宋_GB2312"/>
          <w:sz w:val="32"/>
          <w:szCs w:val="32"/>
        </w:rPr>
        <w:t>实现“青山常绿、绿水长清”。加强</w:t>
      </w:r>
      <w:r>
        <w:rPr>
          <w:rFonts w:hint="eastAsia" w:ascii="仿宋_GB2312" w:hAnsi="仿宋_GB2312" w:eastAsia="仿宋_GB2312" w:cs="仿宋_GB2312"/>
          <w:bCs/>
          <w:sz w:val="32"/>
          <w:szCs w:val="32"/>
        </w:rPr>
        <w:t>重点区域地质灾害险情监测，加大隐患排查力度。推行新兴生态修复技术，提升生态修复能力。坚持因地制宜、一地一策、一矿一措、分类施策，把损毁山体治理成生态防护、休闲观光与经济效益相结合的样板工程。加强矿山损毁山体修复，推进霍尔辛赫煤业公司、凌志达煤业公司和李村煤矿煤矸石填沟造地项目。建立矿山治理长效机制，加大矿山修复治理项目建设力度。</w:t>
      </w:r>
      <w:bookmarkEnd w:id="963"/>
      <w:bookmarkEnd w:id="964"/>
    </w:p>
    <w:p>
      <w:pPr>
        <w:pStyle w:val="5"/>
        <w:spacing w:beforeLines="0" w:afterLines="0" w:line="608" w:lineRule="exact"/>
        <w:rPr>
          <w:rFonts w:ascii="楷体_GB2312" w:hAnsi="楷体_GB2312" w:eastAsia="楷体_GB2312" w:cs="楷体_GB2312"/>
        </w:rPr>
      </w:pPr>
      <w:bookmarkStart w:id="965" w:name="_Toc16083"/>
      <w:bookmarkStart w:id="966" w:name="_Toc20041"/>
      <w:bookmarkStart w:id="967" w:name="_Toc8400"/>
      <w:bookmarkStart w:id="968" w:name="_Toc13530"/>
      <w:bookmarkStart w:id="969" w:name="_Toc24653"/>
      <w:bookmarkStart w:id="970" w:name="_Toc3537"/>
      <w:bookmarkStart w:id="971" w:name="_Toc411"/>
      <w:bookmarkStart w:id="972" w:name="_Toc15606"/>
      <w:bookmarkStart w:id="973" w:name="_Toc23077"/>
      <w:bookmarkStart w:id="974" w:name="_Toc18683"/>
      <w:bookmarkStart w:id="975" w:name="_Toc23412"/>
      <w:bookmarkStart w:id="976" w:name="_Toc14432"/>
      <w:bookmarkStart w:id="977" w:name="_Toc1994"/>
      <w:bookmarkStart w:id="978" w:name="_Toc27524"/>
      <w:bookmarkStart w:id="979" w:name="_Toc10794"/>
      <w:bookmarkStart w:id="980" w:name="_Toc23961"/>
      <w:bookmarkStart w:id="981" w:name="_Toc29923"/>
      <w:bookmarkStart w:id="982" w:name="_Toc3298"/>
      <w:bookmarkStart w:id="983" w:name="_Toc31916"/>
      <w:bookmarkStart w:id="984" w:name="_Toc12865"/>
      <w:bookmarkStart w:id="985" w:name="_Toc29269"/>
      <w:bookmarkStart w:id="986" w:name="_Toc15194"/>
      <w:bookmarkStart w:id="987" w:name="_Toc6345"/>
      <w:bookmarkStart w:id="988" w:name="_Toc3052"/>
      <w:bookmarkStart w:id="989" w:name="_Toc26996"/>
      <w:bookmarkStart w:id="990" w:name="_Toc21594"/>
      <w:bookmarkStart w:id="991" w:name="_Toc25146"/>
      <w:bookmarkStart w:id="992" w:name="_Toc12251"/>
      <w:bookmarkStart w:id="993" w:name="_Toc30665"/>
      <w:bookmarkStart w:id="994" w:name="_Toc1531"/>
      <w:bookmarkStart w:id="995" w:name="_Toc30969"/>
      <w:bookmarkStart w:id="996" w:name="_Toc22075"/>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第三节  持续攻坚“三大战役”</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spacing w:line="608" w:lineRule="exact"/>
        <w:ind w:firstLine="640" w:firstLineChars="200"/>
        <w:rPr>
          <w:rFonts w:ascii="仿宋_GB2312" w:hAnsi="仿宋_GB2312" w:eastAsia="仿宋_GB2312" w:cs="仿宋_GB2312"/>
          <w:sz w:val="32"/>
          <w:szCs w:val="32"/>
          <w:lang w:val="zh-CN"/>
        </w:rPr>
      </w:pPr>
    </w:p>
    <w:p>
      <w:pPr>
        <w:spacing w:line="608"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lang w:val="zh-CN"/>
        </w:rPr>
        <w:t>严格落实生态保护红线，环境质量底线，资源利用上线和生态环境准入清单，持续打好“蓝天碧水净土”保卫战。</w:t>
      </w:r>
    </w:p>
    <w:p>
      <w:pPr>
        <w:spacing w:line="608" w:lineRule="exact"/>
        <w:ind w:firstLine="642" w:firstLineChars="200"/>
        <w:outlineLvl w:val="2"/>
        <w:rPr>
          <w:sz w:val="32"/>
          <w:szCs w:val="32"/>
        </w:rPr>
      </w:pPr>
      <w:bookmarkStart w:id="997" w:name="_Toc23911"/>
      <w:bookmarkStart w:id="998" w:name="_Toc27456"/>
      <w:r>
        <w:rPr>
          <w:rFonts w:ascii="Times New Roman" w:hAnsi="Times New Roman" w:eastAsia="仿宋_GB2312"/>
          <w:b/>
          <w:bCs/>
          <w:sz w:val="32"/>
          <w:szCs w:val="32"/>
        </w:rPr>
        <w:t>持续打好蓝天保卫战</w:t>
      </w:r>
      <w:r>
        <w:rPr>
          <w:rFonts w:hint="eastAsia" w:ascii="Times New Roman" w:hAnsi="Times New Roman" w:eastAsia="仿宋_GB2312"/>
          <w:b/>
          <w:bCs/>
          <w:sz w:val="32"/>
          <w:szCs w:val="32"/>
        </w:rPr>
        <w:t>。</w:t>
      </w:r>
      <w:r>
        <w:rPr>
          <w:rFonts w:hint="eastAsia" w:ascii="仿宋_GB2312" w:hAnsi="宋体" w:eastAsia="仿宋_GB2312"/>
          <w:sz w:val="32"/>
          <w:szCs w:val="32"/>
        </w:rPr>
        <w:t>深入实施大气污染防治行动计划，</w:t>
      </w:r>
      <w:r>
        <w:rPr>
          <w:rFonts w:hint="eastAsia" w:ascii="仿宋_GB2312" w:hAnsi="仿宋_GB2312" w:eastAsia="仿宋_GB2312" w:cs="仿宋_GB2312"/>
          <w:sz w:val="32"/>
          <w:szCs w:val="32"/>
        </w:rPr>
        <w:t>坚持“治企、减煤、控车、降尘、禁烧”多管齐下，减少挥发性有机物排放，有效防控臭氧污染，严格落实施工工地“六个百分百”要求，严控扬尘污染，严禁秸秆垃圾焚烧，科学治霾、精准治污。鼓励清洁能源车辆推广使用，城市公共交通全部更新为新能源车辆。</w:t>
      </w:r>
      <w:r>
        <w:rPr>
          <w:rFonts w:hint="eastAsia" w:ascii="仿宋_GB2312" w:hAnsi="宋体" w:eastAsia="仿宋_GB2312"/>
          <w:sz w:val="32"/>
          <w:szCs w:val="32"/>
        </w:rPr>
        <w:t>建立“天眼”系统工程，构建多部门联合执法机制，增强监管能力和服务水平。</w:t>
      </w:r>
      <w:r>
        <w:rPr>
          <w:rFonts w:hint="eastAsia" w:ascii="仿宋_GB2312" w:hAnsi="仿宋_GB2312" w:eastAsia="仿宋_GB2312" w:cs="仿宋_GB2312"/>
          <w:sz w:val="32"/>
          <w:szCs w:val="32"/>
          <w:shd w:val="clear" w:color="auto" w:fill="FFFFFF"/>
        </w:rPr>
        <w:t>到“十四五”末，实现严重污染天气基本消除。</w:t>
      </w:r>
      <w:bookmarkEnd w:id="997"/>
      <w:bookmarkEnd w:id="998"/>
    </w:p>
    <w:p>
      <w:pPr>
        <w:spacing w:line="608" w:lineRule="exact"/>
        <w:ind w:firstLine="642" w:firstLineChars="200"/>
        <w:outlineLvl w:val="2"/>
        <w:rPr>
          <w:rFonts w:ascii="仿宋_GB2312" w:hAnsi="仿宋_GB2312" w:eastAsia="仿宋_GB2312" w:cs="仿宋_GB2312"/>
          <w:sz w:val="32"/>
          <w:szCs w:val="32"/>
        </w:rPr>
      </w:pPr>
      <w:bookmarkStart w:id="999" w:name="_Toc32404"/>
      <w:bookmarkStart w:id="1000" w:name="_Toc17958"/>
      <w:r>
        <w:rPr>
          <w:rFonts w:ascii="Times New Roman" w:hAnsi="Times New Roman" w:eastAsia="仿宋_GB2312"/>
          <w:b/>
          <w:bCs/>
          <w:sz w:val="32"/>
          <w:szCs w:val="32"/>
        </w:rPr>
        <w:t>持续打好碧水保卫战</w:t>
      </w:r>
      <w:r>
        <w:rPr>
          <w:rFonts w:hint="eastAsia" w:ascii="Times New Roman" w:hAnsi="Times New Roman" w:eastAsia="仿宋_GB2312"/>
          <w:b/>
          <w:bCs/>
          <w:sz w:val="32"/>
          <w:szCs w:val="32"/>
        </w:rPr>
        <w:t>。</w:t>
      </w:r>
      <w:r>
        <w:rPr>
          <w:rFonts w:hint="eastAsia" w:ascii="仿宋_GB2312" w:hAnsi="宋体" w:eastAsia="仿宋_GB2312"/>
          <w:sz w:val="32"/>
          <w:szCs w:val="32"/>
        </w:rPr>
        <w:t>深化水污染防治，围绕四类水体水质目标，</w:t>
      </w:r>
      <w:r>
        <w:rPr>
          <w:rFonts w:hint="eastAsia" w:ascii="仿宋_GB2312" w:hAnsi="仿宋_GB2312" w:eastAsia="仿宋_GB2312" w:cs="仿宋_GB2312"/>
          <w:sz w:val="32"/>
          <w:szCs w:val="32"/>
        </w:rPr>
        <w:t>实施污水处理和收集管网工程，提高</w:t>
      </w:r>
      <w:r>
        <w:rPr>
          <w:rFonts w:hint="eastAsia" w:ascii="仿宋_GB2312" w:hAnsi="宋体" w:eastAsia="仿宋_GB2312"/>
          <w:sz w:val="32"/>
          <w:szCs w:val="32"/>
        </w:rPr>
        <w:t>污水处理能力，推进水环境质量改善。提高</w:t>
      </w:r>
      <w:r>
        <w:rPr>
          <w:rFonts w:ascii="仿宋_GB2312" w:hAnsi="宋体" w:eastAsia="仿宋_GB2312"/>
          <w:sz w:val="32"/>
          <w:szCs w:val="32"/>
        </w:rPr>
        <w:t>县城污水收集管网覆盖率</w:t>
      </w:r>
      <w:r>
        <w:rPr>
          <w:rFonts w:hint="eastAsia" w:ascii="仿宋_GB2312" w:hAnsi="宋体" w:eastAsia="仿宋_GB2312"/>
          <w:sz w:val="32"/>
          <w:szCs w:val="32"/>
        </w:rPr>
        <w:t>，实现县城管网雨污分流，</w:t>
      </w:r>
      <w:r>
        <w:rPr>
          <w:rFonts w:hint="eastAsia" w:ascii="仿宋_GB2312" w:hAnsi="仿宋_GB2312" w:eastAsia="仿宋_GB2312" w:cs="仿宋_GB2312"/>
          <w:sz w:val="32"/>
          <w:szCs w:val="32"/>
        </w:rPr>
        <w:t>加快推进农村生活污水治理。开展河流违法排污专项整治，确保河流水质稳定达标。加强饮用水源地保护，确保水质稳定达标。加快重点行业废水深度处理和工业集聚区污水集中处理，加强回用设施改造，促进工业污水循环利用。实施人工湿地水质净化工程，修复水生态系统脆弱问题。</w:t>
      </w:r>
      <w:bookmarkEnd w:id="999"/>
      <w:bookmarkEnd w:id="1000"/>
    </w:p>
    <w:p>
      <w:pPr>
        <w:spacing w:line="608" w:lineRule="exact"/>
        <w:ind w:firstLine="642" w:firstLineChars="200"/>
        <w:outlineLvl w:val="2"/>
        <w:rPr>
          <w:rFonts w:eastAsia="仿宋_GB2312"/>
          <w:sz w:val="32"/>
          <w:szCs w:val="32"/>
        </w:rPr>
      </w:pPr>
      <w:bookmarkStart w:id="1001" w:name="_Toc22372"/>
      <w:bookmarkStart w:id="1002" w:name="_Toc16900"/>
      <w:r>
        <w:rPr>
          <w:rFonts w:ascii="Times New Roman" w:hAnsi="Times New Roman" w:eastAsia="仿宋_GB2312"/>
          <w:b/>
          <w:bCs/>
          <w:sz w:val="32"/>
          <w:szCs w:val="32"/>
        </w:rPr>
        <w:t>统筹打好净土保卫战</w:t>
      </w:r>
      <w:r>
        <w:rPr>
          <w:rFonts w:hint="eastAsia" w:ascii="Times New Roman" w:hAnsi="Times New Roman" w:eastAsia="仿宋_GB2312"/>
          <w:b/>
          <w:bCs/>
          <w:sz w:val="32"/>
          <w:szCs w:val="32"/>
        </w:rPr>
        <w:t>。</w:t>
      </w:r>
      <w:r>
        <w:rPr>
          <w:rFonts w:hint="eastAsia" w:ascii="仿宋_GB2312" w:hAnsi="仿宋_GB2312" w:eastAsia="仿宋_GB2312" w:cs="仿宋_GB2312"/>
          <w:sz w:val="32"/>
          <w:szCs w:val="32"/>
        </w:rPr>
        <w:t>强化土壤污染管控和修复，加强耕地土壤环境分类管理，推进农业面源污染防治，不断减少化肥、农药使用量，加大固体废物污染防治和综合利用力度，推动企业清洁生产。加强固废堆场监管，督促企业加快固废堆场“三防”设施建设，全面清理历史遗留固废堆场。加大环保执法力度，严厉打击随意倾倒固废等环境违法行为。</w:t>
      </w:r>
      <w:r>
        <w:rPr>
          <w:rFonts w:hint="eastAsia" w:ascii="仿宋_GB2312" w:hAnsi="仿宋_GB2312" w:eastAsia="仿宋_GB2312" w:cs="仿宋_GB2312"/>
          <w:sz w:val="32"/>
          <w:szCs w:val="32"/>
          <w:lang w:val="zh-CN"/>
        </w:rPr>
        <w:t>统筹实施采煤沉陷区土地复垦治理、矿山地质灾害和生态环境恢复治理。</w:t>
      </w:r>
      <w:bookmarkEnd w:id="1001"/>
      <w:bookmarkEnd w:id="1002"/>
    </w:p>
    <w:p>
      <w:pPr>
        <w:pStyle w:val="5"/>
        <w:spacing w:beforeLines="0" w:afterLines="0" w:line="608" w:lineRule="exact"/>
        <w:rPr>
          <w:rFonts w:ascii="楷体_GB2312" w:hAnsi="楷体_GB2312" w:eastAsia="楷体_GB2312" w:cs="楷体_GB2312"/>
        </w:rPr>
      </w:pPr>
      <w:bookmarkStart w:id="1003" w:name="_Toc27770"/>
      <w:bookmarkStart w:id="1004" w:name="_Toc32293"/>
      <w:bookmarkStart w:id="1005" w:name="_Toc23155"/>
      <w:bookmarkStart w:id="1006" w:name="_Toc22601"/>
      <w:bookmarkStart w:id="1007" w:name="_Toc25980"/>
      <w:bookmarkStart w:id="1008" w:name="_Toc22591"/>
      <w:bookmarkStart w:id="1009" w:name="_Toc25566"/>
      <w:bookmarkStart w:id="1010" w:name="_Toc20699"/>
      <w:bookmarkStart w:id="1011" w:name="_Toc43649349"/>
      <w:bookmarkStart w:id="1012" w:name="_Toc3332"/>
      <w:bookmarkStart w:id="1013" w:name="_Toc2270"/>
      <w:bookmarkStart w:id="1014" w:name="_Toc2625"/>
      <w:bookmarkStart w:id="1015" w:name="_Toc32556"/>
      <w:bookmarkStart w:id="1016" w:name="_Toc6274"/>
      <w:bookmarkStart w:id="1017" w:name="_Toc25024"/>
      <w:bookmarkStart w:id="1018" w:name="_Toc6034"/>
      <w:bookmarkStart w:id="1019" w:name="_Toc2118"/>
      <w:bookmarkStart w:id="1020" w:name="_Toc29571"/>
      <w:bookmarkStart w:id="1021" w:name="_Toc25580"/>
      <w:bookmarkStart w:id="1022" w:name="_Toc1791"/>
      <w:bookmarkStart w:id="1023" w:name="_Toc11956"/>
      <w:bookmarkStart w:id="1024" w:name="_Toc22572"/>
      <w:bookmarkStart w:id="1025" w:name="_Toc19340"/>
      <w:bookmarkStart w:id="1026" w:name="_Toc24167"/>
      <w:bookmarkStart w:id="1027" w:name="_Toc24670"/>
      <w:bookmarkStart w:id="1028" w:name="_Toc3040"/>
      <w:bookmarkStart w:id="1029" w:name="_Toc10180"/>
      <w:bookmarkStart w:id="1030" w:name="_Toc12453"/>
      <w:bookmarkStart w:id="1031" w:name="_Toc13230"/>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第四节  提升资源综合利用水平</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坚持以市场为导向，以产品为切入点，依靠科技进步，大力发展循环经济，推进资源开发规模化和集约化高效利用。</w:t>
      </w:r>
    </w:p>
    <w:p>
      <w:pPr>
        <w:spacing w:line="608" w:lineRule="exact"/>
        <w:ind w:firstLine="642" w:firstLineChars="200"/>
        <w:outlineLvl w:val="2"/>
        <w:rPr>
          <w:rFonts w:ascii="仿宋_GB2312" w:hAnsi="仿宋_GB2312" w:eastAsia="仿宋_GB2312" w:cs="仿宋_GB2312"/>
          <w:spacing w:val="-9"/>
          <w:sz w:val="32"/>
          <w:szCs w:val="32"/>
        </w:rPr>
      </w:pPr>
      <w:bookmarkStart w:id="1032" w:name="_Toc30781"/>
      <w:bookmarkStart w:id="1033" w:name="_Toc29155"/>
      <w:r>
        <w:rPr>
          <w:rFonts w:hint="eastAsia" w:ascii="仿宋_GB2312" w:hAnsi="仿宋_GB2312" w:eastAsia="仿宋_GB2312" w:cs="仿宋_GB2312"/>
          <w:b/>
          <w:bCs/>
          <w:sz w:val="32"/>
          <w:szCs w:val="32"/>
        </w:rPr>
        <w:t>促进能源资源节约利用</w:t>
      </w:r>
      <w:r>
        <w:rPr>
          <w:rFonts w:hint="eastAsia" w:ascii="仿宋_GB2312" w:hAnsi="仿宋_GB2312" w:eastAsia="仿宋_GB2312" w:cs="仿宋_GB2312"/>
          <w:b/>
          <w:bCs/>
          <w:spacing w:val="-9"/>
          <w:sz w:val="32"/>
          <w:szCs w:val="32"/>
        </w:rPr>
        <w:t>。</w:t>
      </w:r>
      <w:r>
        <w:rPr>
          <w:rFonts w:hint="eastAsia" w:ascii="仿宋_GB2312" w:hAnsi="仿宋_GB2312" w:eastAsia="仿宋_GB2312" w:cs="仿宋_GB2312"/>
          <w:spacing w:val="-9"/>
          <w:sz w:val="32"/>
          <w:szCs w:val="32"/>
        </w:rPr>
        <w:t>实施能源消费“双控”工程，强化能源消费总量、强度指标的约束性引领作用，推动形成经济转型升级的倒逼机制。构建</w:t>
      </w:r>
      <w:r>
        <w:rPr>
          <w:rFonts w:hint="eastAsia" w:ascii="仿宋_GB2312" w:hAnsi="仿宋_GB2312" w:eastAsia="仿宋_GB2312" w:cs="仿宋_GB2312"/>
          <w:spacing w:val="-9"/>
          <w:kern w:val="0"/>
          <w:sz w:val="32"/>
          <w:szCs w:val="32"/>
        </w:rPr>
        <w:t>以政府为主导、以企业为主体，社会组织和公众共同参与的节能机制，加强工业、建筑、交通运输等重点领域节能降耗。</w:t>
      </w:r>
      <w:r>
        <w:rPr>
          <w:rFonts w:hint="eastAsia" w:ascii="仿宋_GB2312" w:hAnsi="仿宋_GB2312" w:eastAsia="仿宋_GB2312" w:cs="仿宋_GB2312"/>
          <w:spacing w:val="-9"/>
          <w:sz w:val="32"/>
          <w:szCs w:val="32"/>
        </w:rPr>
        <w:t>探索建立用能权有偿使用和交易制度，保障优质增量用能，淘汰劣质低效用能。加大节能新技术、新产品推广应用力度，推动新能源汽车的推广和应用，加快电动汽车充电桩建设。</w:t>
      </w:r>
      <w:bookmarkEnd w:id="1032"/>
      <w:bookmarkEnd w:id="1033"/>
    </w:p>
    <w:p>
      <w:pPr>
        <w:spacing w:line="608" w:lineRule="exact"/>
        <w:ind w:firstLine="642" w:firstLineChars="200"/>
        <w:outlineLvl w:val="2"/>
        <w:rPr>
          <w:rFonts w:ascii="仿宋_GB2312" w:hAnsi="仿宋_GB2312" w:eastAsia="仿宋_GB2312" w:cs="仿宋_GB2312"/>
          <w:bCs/>
          <w:sz w:val="32"/>
          <w:szCs w:val="32"/>
        </w:rPr>
      </w:pPr>
      <w:bookmarkStart w:id="1034" w:name="_Toc17388"/>
      <w:bookmarkStart w:id="1035" w:name="_Toc15032"/>
      <w:r>
        <w:rPr>
          <w:rFonts w:hint="eastAsia" w:ascii="仿宋_GB2312" w:hAnsi="仿宋_GB2312" w:eastAsia="仿宋_GB2312" w:cs="仿宋_GB2312"/>
          <w:b/>
          <w:bCs/>
          <w:sz w:val="32"/>
          <w:szCs w:val="32"/>
        </w:rPr>
        <w:t>提升固废综合利用水平。</w:t>
      </w:r>
      <w:r>
        <w:rPr>
          <w:rFonts w:hint="eastAsia" w:ascii="仿宋_GB2312" w:hAnsi="仿宋_GB2312" w:eastAsia="仿宋_GB2312" w:cs="仿宋_GB2312"/>
          <w:bCs/>
          <w:sz w:val="32"/>
          <w:szCs w:val="32"/>
        </w:rPr>
        <w:t>培育固废资源综合利用产业，谋划一批固废综合利用项目，推进黑色资源绿色发展，不断提高资源利用率。加强技术创新，提升固废综合利用能力，加快重大关键技术突破和推广，提升固废利用产品附加值。推进废机油废润滑油再生基础油建设项目、废旧轮胎加工处理项目、危固废处置及资源循环利用项目和建筑废弃物资源化利用等项目建设。力争到“十四五”末，全县工业固废综合利用量达到500万吨，主要再生资源回收利用量达到20万吨。</w:t>
      </w:r>
      <w:bookmarkEnd w:id="1034"/>
      <w:bookmarkEnd w:id="1035"/>
    </w:p>
    <w:p>
      <w:pPr>
        <w:spacing w:line="608" w:lineRule="exact"/>
        <w:ind w:firstLine="642" w:firstLineChars="200"/>
        <w:outlineLvl w:val="2"/>
        <w:rPr>
          <w:rFonts w:ascii="仿宋_GB2312" w:hAnsi="仿宋_GB2312" w:eastAsia="仿宋_GB2312" w:cs="仿宋_GB2312"/>
          <w:bCs/>
          <w:sz w:val="32"/>
          <w:szCs w:val="32"/>
        </w:rPr>
      </w:pPr>
      <w:bookmarkStart w:id="1036" w:name="_Toc20093"/>
      <w:bookmarkStart w:id="1037" w:name="_Toc22069"/>
      <w:r>
        <w:rPr>
          <w:rFonts w:hint="eastAsia" w:ascii="仿宋_GB2312" w:hAnsi="仿宋_GB2312" w:eastAsia="仿宋_GB2312" w:cs="仿宋_GB2312"/>
          <w:b/>
          <w:bCs/>
          <w:sz w:val="32"/>
          <w:szCs w:val="32"/>
        </w:rPr>
        <w:t>加快实施生活垃圾分类。</w:t>
      </w:r>
      <w:r>
        <w:rPr>
          <w:rFonts w:hint="eastAsia" w:ascii="仿宋_GB2312" w:hAnsi="仿宋_GB2312" w:eastAsia="仿宋_GB2312" w:cs="仿宋_GB2312"/>
          <w:bCs/>
          <w:sz w:val="32"/>
          <w:szCs w:val="32"/>
        </w:rPr>
        <w:t>按照“巩固试点、成片推进、完善体系、规范运行”要求，深入推进垃圾分类，实现垃圾分类全覆盖。开展宣传引导，不断提升居民垃圾分类知晓率、参与率和正确投放率。</w:t>
      </w:r>
      <w:r>
        <w:rPr>
          <w:rFonts w:hint="eastAsia" w:ascii="仿宋_GB2312" w:hAnsi="仿宋_GB2312" w:eastAsia="仿宋_GB2312" w:cs="仿宋_GB2312"/>
          <w:sz w:val="32"/>
          <w:szCs w:val="32"/>
        </w:rPr>
        <w:t>完善垃圾分类收集、转运和处理体系，实现城乡生活垃圾零填埋。</w:t>
      </w:r>
      <w:r>
        <w:rPr>
          <w:rFonts w:hint="eastAsia" w:ascii="仿宋_GB2312" w:hAnsi="仿宋_GB2312" w:eastAsia="仿宋_GB2312" w:cs="仿宋_GB2312"/>
          <w:sz w:val="32"/>
          <w:szCs w:val="32"/>
          <w:lang w:val="zh-CN"/>
        </w:rPr>
        <w:t>有效杜绝白色污染，2021年7月1日起全面禁止生产、销售和使用不可降解一次性塑料制品。</w:t>
      </w:r>
      <w:r>
        <w:rPr>
          <w:rFonts w:hint="eastAsia" w:ascii="仿宋_GB2312" w:hAnsi="仿宋_GB2312" w:eastAsia="仿宋_GB2312" w:cs="仿宋_GB2312"/>
          <w:bCs/>
          <w:sz w:val="32"/>
          <w:szCs w:val="32"/>
        </w:rPr>
        <w:t>完善垃圾转运体系，加快垃圾转运站建设，落实密闭运输车辆和专业转运人员，完成城乡生活垃圾转运及焚烧处理。加强对生活垃圾管理工作的组织、协调、指导和监督，促进生活垃圾源头减量、资源化利用及无害化处置。</w:t>
      </w:r>
      <w:bookmarkEnd w:id="1036"/>
      <w:bookmarkEnd w:id="1037"/>
    </w:p>
    <w:p>
      <w:pPr>
        <w:spacing w:line="608" w:lineRule="exact"/>
        <w:ind w:firstLine="642" w:firstLineChars="200"/>
        <w:outlineLvl w:val="2"/>
        <w:rPr>
          <w:rFonts w:ascii="仿宋_GB2312" w:hAnsi="仿宋_GB2312" w:eastAsia="仿宋_GB2312" w:cs="仿宋_GB2312"/>
          <w:sz w:val="32"/>
          <w:szCs w:val="32"/>
        </w:rPr>
      </w:pPr>
      <w:bookmarkStart w:id="1038" w:name="_Toc22946"/>
      <w:bookmarkStart w:id="1039" w:name="_Toc29087"/>
      <w:r>
        <w:rPr>
          <w:rFonts w:hint="eastAsia" w:ascii="仿宋_GB2312" w:hAnsi="仿宋_GB2312" w:eastAsia="仿宋_GB2312" w:cs="仿宋_GB2312"/>
          <w:b/>
          <w:bCs/>
          <w:sz w:val="32"/>
          <w:szCs w:val="32"/>
        </w:rPr>
        <w:t>倡导绿色低碳生活方式。</w:t>
      </w:r>
      <w:r>
        <w:rPr>
          <w:rFonts w:hint="eastAsia" w:ascii="仿宋_GB2312" w:hAnsi="仿宋_GB2312" w:eastAsia="仿宋_GB2312" w:cs="仿宋_GB2312"/>
          <w:bCs/>
          <w:sz w:val="32"/>
          <w:szCs w:val="32"/>
        </w:rPr>
        <w:t>强化宣传引导，营造良好氛围，提升居民生态环境素养。</w:t>
      </w:r>
      <w:r>
        <w:rPr>
          <w:rFonts w:hint="eastAsia" w:ascii="仿宋_GB2312" w:hAnsi="仿宋_GB2312" w:eastAsia="仿宋_GB2312" w:cs="仿宋_GB2312"/>
          <w:sz w:val="32"/>
          <w:szCs w:val="32"/>
        </w:rPr>
        <w:t>实施多样化绿色低碳生活行动，开展节约型机关、绿色家庭、绿色学校、绿色社会创建行动</w:t>
      </w:r>
      <w:bookmarkEnd w:id="1038"/>
      <w:bookmarkEnd w:id="1039"/>
      <w:bookmarkStart w:id="1040" w:name="_Toc18186"/>
      <w:bookmarkStart w:id="1041" w:name="_Toc9797"/>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发展绿色交通，加快构建低碳交通运输体系，实行公共交通优先，公共交通出行分担率达到40%以上。</w:t>
      </w:r>
      <w:r>
        <w:rPr>
          <w:rFonts w:hint="eastAsia" w:ascii="仿宋_GB2312" w:hAnsi="仿宋_GB2312" w:eastAsia="仿宋_GB2312" w:cs="仿宋_GB2312"/>
          <w:sz w:val="32"/>
          <w:szCs w:val="32"/>
        </w:rPr>
        <w:t>推进废金属、废电子产品、报废汽车、建筑垃圾、厨余垃圾等再生资源回收利用</w:t>
      </w:r>
      <w:r>
        <w:rPr>
          <w:rFonts w:hint="eastAsia" w:ascii="仿宋_GB2312" w:hAnsi="仿宋_GB2312" w:eastAsia="仿宋_GB2312" w:cs="仿宋_GB2312"/>
          <w:bCs/>
          <w:sz w:val="32"/>
          <w:szCs w:val="32"/>
        </w:rPr>
        <w:t>。实行最严格的水资源管理制度，实施水资源开发利用控制、用水效率控制、水功能区限制纳污三条红线管理，建设节水型社会。</w:t>
      </w:r>
      <w:bookmarkEnd w:id="1030"/>
      <w:bookmarkEnd w:id="1031"/>
      <w:bookmarkEnd w:id="1040"/>
      <w:bookmarkEnd w:id="1041"/>
      <w:r>
        <w:rPr>
          <w:rFonts w:hint="eastAsia" w:ascii="仿宋_GB2312" w:hAnsi="仿宋_GB2312" w:eastAsia="仿宋_GB2312" w:cs="仿宋_GB2312"/>
          <w:bCs/>
          <w:sz w:val="32"/>
          <w:szCs w:val="32"/>
        </w:rPr>
        <w:t>巩固提升农村地区清洁取暖、持续推进既有建筑节能改造，</w:t>
      </w:r>
      <w:r>
        <w:rPr>
          <w:rFonts w:hint="eastAsia" w:ascii="仿宋_GB2312" w:hAnsi="仿宋_GB2312" w:eastAsia="仿宋_GB2312" w:cs="仿宋_GB2312"/>
          <w:sz w:val="32"/>
          <w:szCs w:val="32"/>
        </w:rPr>
        <w:t>加快城乡居民和工矿企业集中供热管线建设力度，推进有条件的公建单位和乡村实施集中供暖改造。</w:t>
      </w:r>
    </w:p>
    <w:p>
      <w:pPr>
        <w:pStyle w:val="5"/>
        <w:spacing w:beforeLines="0" w:afterLines="0" w:line="608" w:lineRule="exact"/>
        <w:rPr>
          <w:rFonts w:ascii="楷体_GB2312" w:hAnsi="楷体_GB2312" w:eastAsia="楷体_GB2312" w:cs="楷体_GB2312"/>
        </w:rPr>
      </w:pPr>
      <w:bookmarkStart w:id="1042" w:name="_Toc19943"/>
      <w:bookmarkStart w:id="1043" w:name="_Toc2409"/>
      <w:bookmarkStart w:id="1044" w:name="_Toc13842"/>
      <w:bookmarkStart w:id="1045" w:name="_Toc7990"/>
      <w:bookmarkStart w:id="1046" w:name="_Toc10054"/>
      <w:bookmarkStart w:id="1047" w:name="_Toc22210"/>
      <w:bookmarkStart w:id="1048" w:name="_Toc16963"/>
      <w:bookmarkStart w:id="1049" w:name="_Toc2690"/>
      <w:bookmarkStart w:id="1050" w:name="_Toc27579"/>
      <w:bookmarkStart w:id="1051" w:name="_Toc14994"/>
      <w:bookmarkStart w:id="1052" w:name="_Toc24464"/>
      <w:bookmarkStart w:id="1053" w:name="_Toc26401"/>
      <w:bookmarkStart w:id="1054" w:name="_Toc22348"/>
      <w:bookmarkStart w:id="1055" w:name="_Toc7854"/>
      <w:bookmarkStart w:id="1056" w:name="_Toc30587"/>
      <w:bookmarkStart w:id="1057" w:name="_Toc7826"/>
      <w:bookmarkStart w:id="1058" w:name="_Toc7575"/>
      <w:bookmarkStart w:id="1059" w:name="_Toc12474"/>
      <w:bookmarkStart w:id="1060" w:name="_Toc10143"/>
      <w:bookmarkStart w:id="1061" w:name="_Toc27847"/>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第五节  建立健全生态文明制度体系</w:t>
      </w:r>
      <w:bookmarkEnd w:id="991"/>
      <w:bookmarkEnd w:id="992"/>
      <w:bookmarkEnd w:id="993"/>
      <w:bookmarkEnd w:id="994"/>
      <w:bookmarkEnd w:id="995"/>
      <w:bookmarkEnd w:id="996"/>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pPr>
        <w:pStyle w:val="3"/>
        <w:spacing w:after="0" w:line="608" w:lineRule="exact"/>
        <w:ind w:left="0" w:leftChars="0" w:firstLine="640" w:firstLineChars="200"/>
        <w:rPr>
          <w:rFonts w:ascii="仿宋_GB2312" w:hAnsi="仿宋_GB2312" w:eastAsia="仿宋_GB2312" w:cs="仿宋_GB2312"/>
          <w:sz w:val="32"/>
          <w:szCs w:val="32"/>
        </w:rPr>
      </w:pPr>
    </w:p>
    <w:p>
      <w:pPr>
        <w:pStyle w:val="3"/>
        <w:spacing w:after="0" w:line="608"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秉持“生态兴则文明兴”价值理念，建立健全产权清晰、多元参与、激励约束并重、系统完整、科学规范、运行有效的生态文明制度体系。</w:t>
      </w:r>
    </w:p>
    <w:p>
      <w:pPr>
        <w:pStyle w:val="3"/>
        <w:spacing w:after="0" w:line="608" w:lineRule="exact"/>
        <w:ind w:left="0" w:leftChars="0" w:firstLine="642" w:firstLineChars="200"/>
        <w:outlineLvl w:val="2"/>
        <w:rPr>
          <w:rFonts w:ascii="仿宋_GB2312" w:hAnsi="仿宋_GB2312" w:eastAsia="仿宋_GB2312" w:cs="仿宋_GB2312"/>
          <w:spacing w:val="-6"/>
          <w:sz w:val="32"/>
          <w:szCs w:val="32"/>
        </w:rPr>
      </w:pPr>
      <w:bookmarkStart w:id="1062" w:name="_Toc10908"/>
      <w:bookmarkStart w:id="1063" w:name="_Toc21016"/>
      <w:r>
        <w:rPr>
          <w:rFonts w:hint="eastAsia" w:ascii="仿宋_GB2312" w:hAnsi="仿宋_GB2312" w:eastAsia="仿宋_GB2312" w:cs="仿宋_GB2312"/>
          <w:b/>
          <w:bCs/>
          <w:sz w:val="32"/>
          <w:szCs w:val="32"/>
        </w:rPr>
        <w:t>加快建立生态补偿机制。</w:t>
      </w:r>
      <w:r>
        <w:rPr>
          <w:rFonts w:hint="eastAsia" w:ascii="仿宋_GB2312" w:hAnsi="仿宋_GB2312" w:eastAsia="仿宋_GB2312" w:cs="仿宋_GB2312"/>
          <w:sz w:val="32"/>
          <w:szCs w:val="32"/>
        </w:rPr>
        <w:t>加强生</w:t>
      </w:r>
      <w:r>
        <w:rPr>
          <w:rFonts w:hint="eastAsia" w:ascii="仿宋_GB2312" w:hAnsi="仿宋_GB2312" w:eastAsia="仿宋_GB2312" w:cs="仿宋_GB2312"/>
          <w:spacing w:val="-6"/>
          <w:sz w:val="32"/>
          <w:szCs w:val="32"/>
        </w:rPr>
        <w:t>态补偿制度建设，明确补偿原则、领域、范围、对象、标准、资金来源及相关利益主体的权利义务。发挥财政资金主渠道作用，适度增加对禁止和限制开发区域财政转移支付，加强项目实施及资金使用监管，提高生态补偿综合效益。推行排污权、碳排放权、水权、林权等市场化交易，探索建立“生态银行”体系，引入“特许经营权”拍卖制度，打通“绿水青山”向“金山银山”的转化通道。强化补偿资金整合，加强跨区域生态补偿统筹协调。健全生态资源动态监测体系和生态系统价值核算指标体系，客观科学评估生态资产价值和生态保护成本，为建立生态补偿机制奠定坚实基础。</w:t>
      </w:r>
      <w:bookmarkEnd w:id="1062"/>
      <w:bookmarkEnd w:id="1063"/>
    </w:p>
    <w:p>
      <w:pPr>
        <w:pStyle w:val="15"/>
        <w:spacing w:beforeAutospacing="0" w:afterAutospacing="0" w:line="608" w:lineRule="exact"/>
        <w:ind w:firstLine="618" w:firstLineChars="200"/>
        <w:outlineLvl w:val="2"/>
        <w:rPr>
          <w:rFonts w:ascii="仿宋_GB2312" w:hAnsi="仿宋_GB2312" w:eastAsia="仿宋_GB2312" w:cs="仿宋_GB2312"/>
          <w:sz w:val="32"/>
          <w:szCs w:val="32"/>
          <w:lang w:bidi="en-US"/>
        </w:rPr>
      </w:pPr>
      <w:bookmarkStart w:id="1064" w:name="_Toc3249"/>
      <w:bookmarkStart w:id="1065" w:name="_Toc19469"/>
      <w:r>
        <w:rPr>
          <w:rFonts w:hint="eastAsia" w:ascii="仿宋_GB2312" w:hAnsi="仿宋_GB2312" w:eastAsia="仿宋_GB2312" w:cs="仿宋_GB2312"/>
          <w:b/>
          <w:spacing w:val="-6"/>
          <w:sz w:val="32"/>
          <w:szCs w:val="32"/>
        </w:rPr>
        <w:t>健全生态环境保护体系</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bidi="en-US"/>
        </w:rPr>
        <w:t>构建政府监管、企业治理、公众监督三大责任主体的环境保护制度框架，健全源头预防、过程控制、损害赔偿、责任追究的生态环境保护体系。建立联合执法监督机制，严格落实企业环境保护主体责任，建立企业环境损害赔偿制度，坚决制止和惩处破坏生</w:t>
      </w:r>
      <w:r>
        <w:rPr>
          <w:rFonts w:hint="eastAsia" w:ascii="仿宋_GB2312" w:hAnsi="仿宋_GB2312" w:eastAsia="仿宋_GB2312" w:cs="仿宋_GB2312"/>
          <w:sz w:val="32"/>
          <w:szCs w:val="32"/>
          <w:lang w:bidi="en-US"/>
        </w:rPr>
        <w:t>态环境行为。完善环境保护税费机制和价值补偿机制。健全环境标准体系，加强生态环境保护能力标准化建设。建立环境信息公开制度，完善环境信息公开监督和保障机制。建立环境违法行为公众监督制度，拓宽公众监督渠道，完善环境信访制度，调动公众参与环境保护的积极性。</w:t>
      </w:r>
      <w:bookmarkEnd w:id="1064"/>
      <w:bookmarkEnd w:id="1065"/>
    </w:p>
    <w:p>
      <w:pPr>
        <w:pStyle w:val="15"/>
        <w:spacing w:beforeAutospacing="0" w:afterAutospacing="0" w:line="608" w:lineRule="exact"/>
        <w:ind w:firstLine="642" w:firstLineChars="200"/>
        <w:jc w:val="left"/>
        <w:outlineLvl w:val="2"/>
        <w:rPr>
          <w:rFonts w:ascii="仿宋_GB2312" w:hAnsi="仿宋_GB2312" w:eastAsia="仿宋_GB2312" w:cs="仿宋_GB2312"/>
          <w:sz w:val="32"/>
          <w:szCs w:val="32"/>
        </w:rPr>
      </w:pPr>
      <w:bookmarkStart w:id="1066" w:name="_Toc7706"/>
      <w:bookmarkStart w:id="1067" w:name="_Toc24241"/>
      <w:r>
        <w:rPr>
          <w:rFonts w:hint="eastAsia" w:ascii="仿宋_GB2312" w:hAnsi="仿宋_GB2312" w:eastAsia="仿宋_GB2312" w:cs="仿宋_GB2312"/>
          <w:b/>
          <w:bCs/>
          <w:sz w:val="32"/>
          <w:szCs w:val="32"/>
        </w:rPr>
        <w:t>完善生态环境治理体系。</w:t>
      </w:r>
      <w:r>
        <w:rPr>
          <w:rFonts w:hint="eastAsia" w:ascii="仿宋_GB2312" w:hAnsi="仿宋_GB2312" w:eastAsia="仿宋_GB2312" w:cs="仿宋_GB2312"/>
          <w:sz w:val="32"/>
          <w:szCs w:val="32"/>
        </w:rPr>
        <w:t>强化生态保护修复和污染防治统一监管，建立健全生态环境治理体系、激励约束制度体系、政府企业公众共治体系。探索绿水青山就是金山银山实践创新基地建设，推动生态文明示范创建。健全生态环境保护经济政策体系，加大财政投入力度，资金投入向污染防治攻坚战倾斜，实现投入同攻坚任务相匹配。建立环境污染强制责任保险制度。建立风险监测网络及风险评估体系，开展重点区域、流域、行业环境调查。健全环境应急协调联动机制。</w:t>
      </w:r>
      <w:bookmarkEnd w:id="1066"/>
      <w:bookmarkEnd w:id="1067"/>
    </w:p>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43" w:type="dxa"/>
          </w:tcPr>
          <w:p>
            <w:pPr>
              <w:jc w:val="center"/>
            </w:pPr>
            <w:bookmarkStart w:id="1068" w:name="_Toc6130"/>
            <w:r>
              <w:rPr>
                <w:rFonts w:hint="eastAsia" w:ascii="黑体" w:hAnsi="宋体" w:eastAsia="黑体" w:cs="黑体"/>
                <w:color w:val="000000"/>
                <w:kern w:val="0"/>
                <w:sz w:val="28"/>
                <w:szCs w:val="28"/>
              </w:rPr>
              <w:t>专栏11 生态文明建设工程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jc w:val="center"/>
        </w:trPr>
        <w:tc>
          <w:tcPr>
            <w:tcW w:w="8343" w:type="dxa"/>
          </w:tcPr>
          <w:p>
            <w:pPr>
              <w:numPr>
                <w:ilvl w:val="0"/>
                <w:numId w:val="11"/>
              </w:numPr>
              <w:spacing w:line="360" w:lineRule="exact"/>
            </w:pPr>
            <w:r>
              <w:rPr>
                <w:rFonts w:hint="eastAsia"/>
                <w:b/>
                <w:bCs/>
              </w:rPr>
              <w:t>生态修复工程</w:t>
            </w:r>
            <w:r>
              <w:rPr>
                <w:rFonts w:hint="eastAsia"/>
              </w:rPr>
              <w:t>。推进浊漳南源人工湿地水质净化工程项目。</w:t>
            </w:r>
          </w:p>
          <w:p>
            <w:pPr>
              <w:numPr>
                <w:ilvl w:val="0"/>
                <w:numId w:val="11"/>
              </w:numPr>
              <w:spacing w:line="360" w:lineRule="exact"/>
            </w:pPr>
            <w:r>
              <w:rPr>
                <w:rFonts w:hint="eastAsia"/>
                <w:b/>
                <w:bCs/>
              </w:rPr>
              <w:t>环境保护工程</w:t>
            </w:r>
            <w:r>
              <w:rPr>
                <w:rFonts w:hint="eastAsia"/>
              </w:rPr>
              <w:t>。推进东大关水源地保护项目、农村供水应急水源及周边环境整治工程。</w:t>
            </w:r>
          </w:p>
          <w:p>
            <w:pPr>
              <w:numPr>
                <w:ilvl w:val="0"/>
                <w:numId w:val="11"/>
              </w:numPr>
              <w:spacing w:line="360" w:lineRule="exact"/>
            </w:pPr>
            <w:r>
              <w:rPr>
                <w:rFonts w:hint="eastAsia"/>
                <w:b/>
                <w:bCs/>
              </w:rPr>
              <w:t>流域治理工程。</w:t>
            </w:r>
            <w:r>
              <w:rPr>
                <w:rFonts w:hint="eastAsia"/>
              </w:rPr>
              <w:t>谋划建设浊漳河南源源头治理保护项目、金丰河河道综合治理工程。</w:t>
            </w:r>
          </w:p>
        </w:tc>
      </w:tr>
    </w:tbl>
    <w:p>
      <w:bookmarkStart w:id="1069" w:name="_Toc20043"/>
      <w:bookmarkStart w:id="1070" w:name="_Toc30324"/>
      <w:bookmarkStart w:id="1071" w:name="_Toc20459"/>
      <w:bookmarkStart w:id="1072" w:name="_Toc26586"/>
      <w:bookmarkStart w:id="1073" w:name="_Toc19198"/>
      <w:bookmarkStart w:id="1074" w:name="_Toc13850"/>
      <w:bookmarkStart w:id="1075" w:name="_Toc6196"/>
      <w:r>
        <w:rPr>
          <w:rFonts w:hint="eastAsia"/>
        </w:rPr>
        <w:br w:type="page"/>
      </w:r>
    </w:p>
    <w:p>
      <w:pPr>
        <w:pStyle w:val="4"/>
        <w:spacing w:beforeLines="0" w:afterLines="0" w:line="608" w:lineRule="exact"/>
        <w:rPr>
          <w:b w:val="0"/>
          <w:bCs/>
        </w:rPr>
      </w:pPr>
      <w:bookmarkStart w:id="1076" w:name="_Toc31426"/>
    </w:p>
    <w:p>
      <w:pPr>
        <w:pStyle w:val="4"/>
        <w:spacing w:beforeLines="0" w:afterLines="0" w:line="608" w:lineRule="exact"/>
        <w:rPr>
          <w:b w:val="0"/>
          <w:bCs/>
        </w:rPr>
      </w:pPr>
      <w:r>
        <w:rPr>
          <w:rFonts w:hint="eastAsia"/>
          <w:b w:val="0"/>
          <w:bCs/>
          <w:spacing w:val="-9"/>
          <w:sz w:val="36"/>
          <w:szCs w:val="36"/>
        </w:rPr>
        <w:t xml:space="preserve">第十章 </w:t>
      </w:r>
      <w:r>
        <w:rPr>
          <w:b w:val="0"/>
          <w:bCs/>
          <w:spacing w:val="-9"/>
          <w:sz w:val="36"/>
          <w:szCs w:val="36"/>
        </w:rPr>
        <w:t xml:space="preserve"> 切实增进民生福祉，使人民共享高质量发展成果</w:t>
      </w:r>
      <w:bookmarkEnd w:id="1068"/>
      <w:bookmarkEnd w:id="1069"/>
      <w:bookmarkEnd w:id="1070"/>
      <w:bookmarkEnd w:id="1071"/>
      <w:bookmarkEnd w:id="1072"/>
      <w:bookmarkEnd w:id="1073"/>
      <w:bookmarkEnd w:id="1074"/>
      <w:bookmarkEnd w:id="1075"/>
      <w:bookmarkEnd w:id="1076"/>
    </w:p>
    <w:p>
      <w:pPr>
        <w:spacing w:line="608" w:lineRule="exact"/>
        <w:ind w:firstLine="640" w:firstLineChars="200"/>
        <w:rPr>
          <w:rFonts w:ascii="仿宋_GB2312" w:hAnsi="仿宋_GB2312" w:eastAsia="仿宋_GB2312" w:cs="仿宋_GB2312"/>
          <w:sz w:val="32"/>
          <w:szCs w:val="32"/>
        </w:rPr>
      </w:pPr>
      <w:bookmarkStart w:id="1077" w:name="_Toc14779"/>
      <w:bookmarkStart w:id="1078" w:name="_Toc7665"/>
      <w:bookmarkStart w:id="1079" w:name="_Toc1947"/>
      <w:bookmarkStart w:id="1080" w:name="_Toc26917"/>
      <w:bookmarkStart w:id="1081" w:name="_Toc1848"/>
      <w:bookmarkStart w:id="1082" w:name="_Toc27242"/>
      <w:bookmarkStart w:id="1083" w:name="_Toc32417"/>
      <w:bookmarkStart w:id="1084" w:name="_Toc1267"/>
      <w:bookmarkStart w:id="1085" w:name="_Toc1009"/>
      <w:bookmarkStart w:id="1086" w:name="_Toc31094"/>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坚持以人民为中心，织密基本民生网底，筑牢民生保障基石，积极顺应人民群众对美好生活的向往和期待，推动高质量发展与创造高品质生活有机结合，坚定不移增进民生福祉。</w:t>
      </w:r>
    </w:p>
    <w:p>
      <w:pPr>
        <w:pStyle w:val="5"/>
        <w:spacing w:beforeLines="0" w:afterLines="0" w:line="608" w:lineRule="exact"/>
        <w:rPr>
          <w:rFonts w:ascii="楷体_GB2312" w:hAnsi="楷体_GB2312" w:eastAsia="楷体_GB2312" w:cs="楷体_GB2312"/>
        </w:rPr>
      </w:pPr>
      <w:bookmarkStart w:id="1087" w:name="_Toc28805"/>
      <w:bookmarkStart w:id="1088" w:name="_Toc414"/>
      <w:bookmarkStart w:id="1089" w:name="_Toc8933"/>
      <w:bookmarkStart w:id="1090" w:name="_Toc21871"/>
      <w:bookmarkStart w:id="1091" w:name="_Toc13818"/>
      <w:bookmarkStart w:id="1092" w:name="_Toc2838"/>
      <w:bookmarkStart w:id="1093" w:name="_Toc26765"/>
      <w:bookmarkStart w:id="1094" w:name="_Toc14976"/>
      <w:bookmarkStart w:id="1095" w:name="_Toc6371"/>
      <w:bookmarkStart w:id="1096" w:name="_Toc29186"/>
      <w:bookmarkStart w:id="1097" w:name="_Toc29884"/>
      <w:bookmarkStart w:id="1098" w:name="_Toc19223"/>
      <w:bookmarkStart w:id="1099" w:name="_Toc9114"/>
      <w:bookmarkStart w:id="1100" w:name="_Toc2329"/>
      <w:bookmarkStart w:id="1101" w:name="_Toc25418"/>
      <w:bookmarkStart w:id="1102" w:name="_Toc6664"/>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第一节  促进更充分更高质量就业</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pPr>
        <w:pStyle w:val="3"/>
        <w:widowControl/>
        <w:spacing w:after="0" w:line="608" w:lineRule="exact"/>
        <w:ind w:left="0" w:leftChars="0" w:firstLine="640" w:firstLineChars="200"/>
        <w:rPr>
          <w:rFonts w:ascii="仿宋_GB2312" w:hAnsi="仿宋_GB2312" w:eastAsia="仿宋_GB2312" w:cs="仿宋_GB2312"/>
          <w:bCs/>
          <w:sz w:val="32"/>
          <w:szCs w:val="32"/>
        </w:rPr>
      </w:pPr>
    </w:p>
    <w:p>
      <w:pPr>
        <w:pStyle w:val="3"/>
        <w:widowControl/>
        <w:spacing w:after="0" w:line="608"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坚持就业优先战略，实施积极的就业政策，不断扩大就业规模，持续改善就业环境，促进就业结构与产业结构协调发展，实现更高质量和更充分就业。</w:t>
      </w:r>
    </w:p>
    <w:p>
      <w:pPr>
        <w:pStyle w:val="3"/>
        <w:spacing w:after="0" w:line="608" w:lineRule="exact"/>
        <w:ind w:left="0" w:leftChars="0" w:firstLine="642" w:firstLineChars="200"/>
        <w:outlineLvl w:val="2"/>
        <w:rPr>
          <w:rFonts w:ascii="仿宋_GB2312" w:hAnsi="仿宋_GB2312" w:eastAsia="仿宋_GB2312" w:cs="仿宋_GB2312"/>
          <w:sz w:val="32"/>
          <w:szCs w:val="32"/>
        </w:rPr>
      </w:pPr>
      <w:bookmarkStart w:id="1103" w:name="_Toc10059"/>
      <w:bookmarkStart w:id="1104" w:name="_Toc6725"/>
      <w:r>
        <w:rPr>
          <w:rFonts w:hint="eastAsia" w:ascii="仿宋_GB2312" w:hAnsi="仿宋_GB2312" w:eastAsia="仿宋_GB2312" w:cs="仿宋_GB2312"/>
          <w:b/>
          <w:sz w:val="32"/>
          <w:szCs w:val="32"/>
        </w:rPr>
        <w:t>建设人人持证技能社会。</w:t>
      </w:r>
      <w:r>
        <w:rPr>
          <w:rFonts w:hint="eastAsia" w:ascii="仿宋_GB2312" w:hAnsi="仿宋_GB2312" w:eastAsia="仿宋_GB2312" w:cs="仿宋_GB2312"/>
          <w:sz w:val="32"/>
          <w:szCs w:val="32"/>
        </w:rPr>
        <w:t>突出职业技能培训量质并举，大力实施全民技能提升行动，推行终身职业技能培训制度，造就一支知识型、技能型、创新型劳动者大军，重点打造“长子理发”品牌，将“长子理发”培育为全省乃至全国叫得响的特色劳务品牌。坚持以赛促培、以赛促训，通过举办各类职业技能大赛，及时发掘和选拔高技能人才，充分发挥职业技能大赛在培养和选拔技能人才中的示范引领作用和激励作用。探索适合企业在岗职工、技能大赛、职校、重点就业人员的多种取证方式、激励办法，提高取证比例。“十四五”末，全县从业人员持证率力争达到60%以上，全社会劳动力持证率达到30%以上。</w:t>
      </w:r>
      <w:bookmarkEnd w:id="1103"/>
      <w:bookmarkEnd w:id="1104"/>
    </w:p>
    <w:p>
      <w:pPr>
        <w:pStyle w:val="3"/>
        <w:spacing w:after="0" w:line="608" w:lineRule="exact"/>
        <w:ind w:left="0" w:leftChars="0" w:firstLine="642" w:firstLineChars="200"/>
        <w:outlineLvl w:val="2"/>
        <w:rPr>
          <w:rFonts w:ascii="仿宋_GB2312" w:hAnsi="仿宋_GB2312" w:eastAsia="仿宋_GB2312" w:cs="仿宋_GB2312"/>
          <w:bCs/>
          <w:sz w:val="32"/>
          <w:szCs w:val="32"/>
        </w:rPr>
      </w:pPr>
      <w:bookmarkStart w:id="1105" w:name="_Toc395"/>
      <w:bookmarkStart w:id="1106" w:name="_Toc30431"/>
      <w:r>
        <w:rPr>
          <w:rFonts w:hint="eastAsia" w:ascii="仿宋_GB2312" w:hAnsi="仿宋_GB2312" w:eastAsia="仿宋_GB2312" w:cs="仿宋_GB2312"/>
          <w:b/>
          <w:sz w:val="32"/>
          <w:szCs w:val="32"/>
        </w:rPr>
        <w:t>统筹做好重点群体就业。</w:t>
      </w:r>
      <w:r>
        <w:rPr>
          <w:rFonts w:hint="eastAsia" w:ascii="仿宋_GB2312" w:hAnsi="仿宋_GB2312" w:eastAsia="仿宋_GB2312" w:cs="仿宋_GB2312"/>
          <w:sz w:val="32"/>
          <w:szCs w:val="32"/>
        </w:rPr>
        <w:t>统筹</w:t>
      </w:r>
      <w:r>
        <w:rPr>
          <w:rFonts w:hint="eastAsia" w:ascii="仿宋_GB2312" w:hAnsi="仿宋_GB2312" w:eastAsia="仿宋_GB2312" w:cs="仿宋_GB2312"/>
          <w:sz w:val="32"/>
          <w:szCs w:val="32"/>
          <w:shd w:val="clear" w:color="auto" w:fill="FFFFFF"/>
        </w:rPr>
        <w:t>抓好高校毕业生、农民工、退役军人、城镇困难人员等重点群体就业，加强困难群体和特定群体就业服务和援助。</w:t>
      </w:r>
      <w:r>
        <w:rPr>
          <w:rFonts w:hint="eastAsia" w:ascii="仿宋_GB2312" w:hAnsi="仿宋_GB2312" w:eastAsia="仿宋_GB2312" w:cs="仿宋_GB2312"/>
          <w:bCs/>
          <w:sz w:val="32"/>
          <w:szCs w:val="32"/>
        </w:rPr>
        <w:t>扎实开展“春风行动”“民营企业招聘周”“金秋招聘”“就业援助月”等各类就业活动，持续开展线上招聘和培训，打造线上线下一体化就业服务平台。引导、扶持、促进人力资源服务业发展，优化创业环境，落实税费减免、创业担保贷款支持等配套政策，积极鼓励企业和用人单位吸纳就业。“十四五”时期，农村剩余劳动力转移就业1.5万人次，实现零就业家庭“基数归零、动态归零”。</w:t>
      </w:r>
      <w:bookmarkEnd w:id="1105"/>
      <w:bookmarkEnd w:id="1106"/>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支持灵活就业和新业态创业就业。</w:t>
      </w:r>
      <w:r>
        <w:rPr>
          <w:rFonts w:hint="eastAsia" w:ascii="仿宋_GB2312" w:hAnsi="仿宋_GB2312" w:eastAsia="仿宋_GB2312" w:cs="仿宋_GB2312"/>
          <w:bCs/>
          <w:sz w:val="32"/>
          <w:szCs w:val="32"/>
        </w:rPr>
        <w:t>出台减负、稳岗、扩就业的支持性政策措施，织密就业保障网，</w:t>
      </w:r>
      <w:r>
        <w:rPr>
          <w:rFonts w:hint="eastAsia" w:ascii="仿宋_GB2312" w:hAnsi="仿宋_GB2312" w:eastAsia="仿宋_GB2312" w:cs="仿宋_GB2312"/>
          <w:sz w:val="32"/>
          <w:szCs w:val="32"/>
          <w:shd w:val="clear" w:color="auto" w:fill="FFFFFF"/>
        </w:rPr>
        <w:t>完善就业托底保障，全力防范化解规模性失业风险。</w:t>
      </w:r>
      <w:r>
        <w:rPr>
          <w:rFonts w:hint="eastAsia" w:ascii="仿宋_GB2312" w:hAnsi="仿宋_GB2312" w:eastAsia="仿宋_GB2312" w:cs="仿宋_GB2312"/>
          <w:bCs/>
          <w:sz w:val="32"/>
          <w:szCs w:val="32"/>
        </w:rPr>
        <w:t>围绕双创示范基地、众创空间等创新创业载体建设，发挥创业带动就业的倍增效应。支持发展网络零售、移动出行、线上教育培训、在线医疗等新就业形态，激励互联网平台创造更多灵活就业岗位。大力发展微经济，鼓励“副业创新”，引导“宅经济”合理发展，着力激发各类主体的创新动力和创造活力，促进兼职就业、副业创业等多种形式蓬勃发展。</w:t>
      </w:r>
    </w:p>
    <w:p>
      <w:pPr>
        <w:widowControl/>
        <w:spacing w:line="608" w:lineRule="exact"/>
        <w:ind w:firstLine="642" w:firstLineChars="200"/>
        <w:outlineLvl w:val="2"/>
        <w:rPr>
          <w:rFonts w:ascii="仿宋_GB2312" w:hAnsi="仿宋_GB2312" w:eastAsia="仿宋_GB2312" w:cs="仿宋_GB2312"/>
          <w:bCs/>
          <w:sz w:val="32"/>
          <w:szCs w:val="32"/>
        </w:rPr>
      </w:pPr>
      <w:bookmarkStart w:id="1107" w:name="_Toc12860"/>
      <w:bookmarkStart w:id="1108" w:name="_Toc15781"/>
      <w:r>
        <w:rPr>
          <w:rFonts w:hint="eastAsia" w:ascii="仿宋_GB2312" w:hAnsi="仿宋_GB2312" w:eastAsia="仿宋_GB2312" w:cs="仿宋_GB2312"/>
          <w:b/>
          <w:sz w:val="32"/>
          <w:szCs w:val="32"/>
        </w:rPr>
        <w:t>完善县乡村就业创业服务体系。</w:t>
      </w:r>
      <w:r>
        <w:rPr>
          <w:rFonts w:hint="eastAsia" w:ascii="仿宋_GB2312" w:hAnsi="仿宋_GB2312" w:eastAsia="仿宋_GB2312" w:cs="仿宋_GB2312"/>
          <w:sz w:val="32"/>
          <w:szCs w:val="32"/>
          <w:shd w:val="clear" w:color="auto" w:fill="FFFFFF"/>
        </w:rPr>
        <w:t>建立公共就业服务网点，努力提供覆盖全民、贯穿全程、辐射全域、便捷高效的全方位公共就业服务。</w:t>
      </w:r>
      <w:r>
        <w:rPr>
          <w:rFonts w:hint="eastAsia" w:ascii="仿宋_GB2312" w:hAnsi="仿宋_GB2312" w:eastAsia="仿宋_GB2312" w:cs="仿宋_GB2312"/>
          <w:bCs/>
          <w:sz w:val="32"/>
          <w:szCs w:val="32"/>
        </w:rPr>
        <w:t>积极落实劳动合同制度，抓好劳动合同签订工作，构建和谐稳定劳动关系。加大规范用工检查力度，开展劳动用工书面审查，主动帮助企业规范用工行为，规避用工风险。坚持预防、调解为主，引导群众理性维权，有效化解社会矛盾，坚持“快立、快审、快结”，依法仲裁、柔性调处，及时化解各类劳动人事争议案件，提高劳动人事争议调解成功率。</w:t>
      </w:r>
      <w:bookmarkEnd w:id="1107"/>
      <w:bookmarkEnd w:id="1108"/>
    </w:p>
    <w:p>
      <w:pPr>
        <w:pStyle w:val="5"/>
        <w:spacing w:beforeLines="0" w:afterLines="0" w:line="608" w:lineRule="exact"/>
        <w:rPr>
          <w:rFonts w:ascii="楷体_GB2312" w:hAnsi="楷体_GB2312" w:eastAsia="楷体_GB2312" w:cs="楷体_GB2312"/>
        </w:rPr>
      </w:pPr>
      <w:bookmarkStart w:id="1109" w:name="_Toc29063"/>
      <w:bookmarkStart w:id="1110" w:name="_Toc3856"/>
      <w:bookmarkStart w:id="1111" w:name="_Toc10959"/>
      <w:bookmarkStart w:id="1112" w:name="_Toc3499"/>
      <w:bookmarkStart w:id="1113" w:name="_Toc16486"/>
      <w:bookmarkStart w:id="1114" w:name="_Toc31233"/>
      <w:bookmarkStart w:id="1115" w:name="_Toc22942"/>
      <w:bookmarkStart w:id="1116" w:name="_Toc20865"/>
      <w:bookmarkStart w:id="1117" w:name="_Toc8518"/>
      <w:bookmarkStart w:id="1118" w:name="_Toc9214"/>
      <w:bookmarkStart w:id="1119" w:name="_Toc27834"/>
      <w:bookmarkStart w:id="1120" w:name="_Toc27880"/>
      <w:bookmarkStart w:id="1121" w:name="_Toc16741"/>
      <w:bookmarkStart w:id="1122" w:name="_Toc16539"/>
      <w:bookmarkStart w:id="1123" w:name="_Toc654"/>
      <w:bookmarkStart w:id="1124" w:name="_Toc4773"/>
      <w:bookmarkStart w:id="1125" w:name="_Toc19672"/>
      <w:bookmarkStart w:id="1126" w:name="_Toc28532"/>
      <w:bookmarkStart w:id="1127" w:name="_Toc25012"/>
      <w:bookmarkStart w:id="1128" w:name="_Toc22303"/>
      <w:bookmarkStart w:id="1129" w:name="_Toc6372"/>
      <w:bookmarkStart w:id="1130" w:name="_Toc16518"/>
      <w:bookmarkStart w:id="1131" w:name="_Toc21384"/>
      <w:bookmarkStart w:id="1132" w:name="_Toc27845"/>
      <w:bookmarkStart w:id="1133" w:name="_Toc6408"/>
      <w:bookmarkStart w:id="1134" w:name="_Toc17172"/>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第二节  全力办好人民满意教育</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pPr>
        <w:spacing w:line="608" w:lineRule="exact"/>
        <w:ind w:firstLine="640" w:firstLineChars="200"/>
        <w:rPr>
          <w:rFonts w:ascii="仿宋_GB2312" w:hAnsi="仿宋_GB2312" w:eastAsia="仿宋_GB2312" w:cs="仿宋_GB2312"/>
          <w:bCs/>
          <w:sz w:val="32"/>
          <w:szCs w:val="32"/>
        </w:rPr>
      </w:pPr>
    </w:p>
    <w:p>
      <w:pPr>
        <w:spacing w:line="608"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坚持教育优先发展战略，做好“拓面”“提质”“改革”，加快形成人人重视教育、人人关心教育、人人支持教育的浓厚氛围和强大合力，努力打造长子教育品牌，跻身全市教育前列。</w:t>
      </w:r>
    </w:p>
    <w:p>
      <w:pPr>
        <w:pStyle w:val="3"/>
        <w:spacing w:after="0" w:line="608" w:lineRule="exact"/>
        <w:ind w:left="0" w:leftChars="0" w:firstLine="642" w:firstLineChars="200"/>
        <w:outlineLvl w:val="2"/>
        <w:rPr>
          <w:rFonts w:ascii="仿宋_GB2312" w:hAnsi="仿宋_GB2312" w:eastAsia="仿宋_GB2312" w:cs="仿宋_GB2312"/>
          <w:bCs/>
          <w:sz w:val="32"/>
          <w:szCs w:val="32"/>
        </w:rPr>
      </w:pPr>
      <w:bookmarkStart w:id="1135" w:name="_Toc18814"/>
      <w:bookmarkStart w:id="1136" w:name="_Toc16508"/>
      <w:r>
        <w:rPr>
          <w:rFonts w:hint="eastAsia" w:ascii="仿宋_GB2312" w:hAnsi="仿宋_GB2312" w:eastAsia="仿宋_GB2312" w:cs="仿宋_GB2312"/>
          <w:b/>
          <w:bCs/>
          <w:sz w:val="32"/>
          <w:szCs w:val="32"/>
        </w:rPr>
        <w:t>统筹推进城乡教育一体化发展。</w:t>
      </w:r>
      <w:r>
        <w:rPr>
          <w:rFonts w:hint="eastAsia" w:ascii="仿宋_GB2312" w:hAnsi="仿宋_GB2312" w:eastAsia="仿宋_GB2312" w:cs="仿宋_GB2312"/>
          <w:bCs/>
          <w:sz w:val="32"/>
          <w:szCs w:val="32"/>
        </w:rPr>
        <w:t>牢固树立“以人为本”教育理念，</w:t>
      </w:r>
      <w:r>
        <w:rPr>
          <w:rFonts w:hint="eastAsia" w:ascii="仿宋_GB2312" w:hAnsi="仿宋_GB2312" w:eastAsia="仿宋_GB2312" w:cs="仿宋_GB2312"/>
          <w:sz w:val="32"/>
          <w:szCs w:val="32"/>
          <w:shd w:val="clear" w:color="auto" w:fill="FFFFFF"/>
        </w:rPr>
        <w:t>落实立德树人根本任务，</w:t>
      </w:r>
      <w:r>
        <w:rPr>
          <w:rFonts w:hint="eastAsia" w:ascii="仿宋_GB2312" w:hAnsi="仿宋_GB2312" w:eastAsia="仿宋_GB2312" w:cs="仿宋_GB2312"/>
          <w:bCs/>
          <w:sz w:val="32"/>
          <w:szCs w:val="32"/>
        </w:rPr>
        <w:t>实施素质教育，促进教育公平。加大公共资源配置对义务教育的倾斜，坚持城乡并重和软硬件并重，积极推进中小学校基础设施改造，调整城乡学校布局，促进城乡教育一体化发展。实施学校布局结构调整，整合优化全县教育资源，消除县城学校大班额现象，建立城乡一体化的义务教育发展机制，有效推进城乡义务教育优质均衡发展。持续完善家庭经济困难群体资助全覆盖制度，充分考虑残疾儿童教育需求，不断健全外来务工人员随迁子女接受义务教育的保障机制，着力将公共教育资源向农村地区、薄弱学校和弱势群体倾斜。</w:t>
      </w:r>
      <w:bookmarkEnd w:id="1135"/>
      <w:bookmarkEnd w:id="1136"/>
    </w:p>
    <w:p>
      <w:pPr>
        <w:pStyle w:val="3"/>
        <w:spacing w:after="0" w:line="608" w:lineRule="exact"/>
        <w:ind w:left="0" w:leftChars="0" w:firstLine="642" w:firstLineChars="200"/>
        <w:outlineLvl w:val="2"/>
        <w:rPr>
          <w:rFonts w:ascii="仿宋_GB2312" w:hAnsi="仿宋_GB2312" w:eastAsia="仿宋_GB2312" w:cs="仿宋_GB2312"/>
          <w:sz w:val="32"/>
          <w:szCs w:val="32"/>
        </w:rPr>
      </w:pPr>
      <w:bookmarkStart w:id="1137" w:name="_Toc20800"/>
      <w:bookmarkStart w:id="1138" w:name="_Toc22456"/>
      <w:r>
        <w:rPr>
          <w:rFonts w:hint="eastAsia" w:ascii="仿宋_GB2312" w:hAnsi="仿宋_GB2312" w:eastAsia="仿宋_GB2312" w:cs="仿宋_GB2312"/>
          <w:b/>
          <w:bCs/>
          <w:sz w:val="32"/>
          <w:szCs w:val="32"/>
        </w:rPr>
        <w:t>全面提升各类教育水平。</w:t>
      </w:r>
      <w:r>
        <w:rPr>
          <w:rFonts w:hint="eastAsia" w:ascii="仿宋_GB2312" w:hAnsi="仿宋_GB2312" w:eastAsia="仿宋_GB2312" w:cs="仿宋_GB2312"/>
          <w:bCs/>
          <w:sz w:val="32"/>
          <w:szCs w:val="32"/>
        </w:rPr>
        <w:t>大力实施教育强基工程，着力改善幼儿园办园条件，扩大普惠性学前教育资源。</w:t>
      </w:r>
      <w:r>
        <w:rPr>
          <w:rFonts w:hint="eastAsia" w:ascii="仿宋_GB2312" w:hAnsi="仿宋_GB2312" w:eastAsia="仿宋_GB2312" w:cs="仿宋_GB2312"/>
          <w:sz w:val="32"/>
          <w:szCs w:val="32"/>
          <w:shd w:val="clear" w:color="auto" w:fill="FFFFFF"/>
        </w:rPr>
        <w:t>按照就近就便服从就优原则，推动义务教育优质均衡发展，</w:t>
      </w:r>
      <w:r>
        <w:rPr>
          <w:rFonts w:hint="eastAsia" w:ascii="仿宋_GB2312" w:hAnsi="仿宋_GB2312" w:eastAsia="仿宋_GB2312" w:cs="仿宋_GB2312"/>
          <w:sz w:val="32"/>
          <w:szCs w:val="32"/>
        </w:rPr>
        <w:t>新建2所小学，缓解城内小学就读压力。</w:t>
      </w:r>
      <w:r>
        <w:rPr>
          <w:rFonts w:hint="eastAsia" w:ascii="仿宋_GB2312" w:hAnsi="仿宋_GB2312" w:eastAsia="仿宋_GB2312" w:cs="仿宋_GB2312"/>
          <w:bCs/>
          <w:sz w:val="32"/>
          <w:szCs w:val="32"/>
        </w:rPr>
        <w:t>加大乡镇所在地中心小学建设力度，增加城内中小学校优质资源供给，加快“中学向县城集聚、小学向乡镇集中”进度。实施普通高中提升计划，优化发展高中教育，谋划推进新高中建设项目，扎实推进高中课程改革，全面提升普通高中办学水平。积极培养“双师型”队伍，提升职业教育办学水平。办好特殊教育，规范民办教育。</w:t>
      </w:r>
      <w:bookmarkEnd w:id="1137"/>
      <w:bookmarkEnd w:id="1138"/>
    </w:p>
    <w:p>
      <w:pPr>
        <w:spacing w:line="608" w:lineRule="exact"/>
        <w:ind w:firstLine="642" w:firstLineChars="200"/>
        <w:outlineLvl w:val="2"/>
        <w:rPr>
          <w:rFonts w:ascii="仿宋_GB2312" w:hAnsi="仿宋_GB2312" w:eastAsia="仿宋_GB2312" w:cs="仿宋_GB2312"/>
          <w:sz w:val="32"/>
          <w:szCs w:val="32"/>
        </w:rPr>
      </w:pPr>
      <w:bookmarkStart w:id="1139" w:name="_Toc5092"/>
      <w:bookmarkStart w:id="1140" w:name="_Toc22474"/>
      <w:r>
        <w:rPr>
          <w:rFonts w:hint="eastAsia" w:ascii="仿宋_GB2312" w:hAnsi="仿宋_GB2312" w:eastAsia="仿宋_GB2312" w:cs="仿宋_GB2312"/>
          <w:b/>
          <w:bCs/>
          <w:sz w:val="32"/>
          <w:szCs w:val="32"/>
        </w:rPr>
        <w:t>加快推进智慧教育建设。</w:t>
      </w:r>
      <w:r>
        <w:rPr>
          <w:rFonts w:hint="eastAsia" w:ascii="仿宋_GB2312" w:hAnsi="仿宋_GB2312" w:eastAsia="仿宋_GB2312" w:cs="仿宋_GB2312"/>
          <w:sz w:val="32"/>
          <w:szCs w:val="32"/>
        </w:rPr>
        <w:t>积极推进教育智能化发展，开展学校管理和教育教学活动的智能化试点工作，提升教育教学质量。加强智慧教育信息化平台建设和应用，补充职业教育、学前教育、特殊教育教师能力提升等方面数字化资源，优化教育信息化公共服务平台各系统间的融合对接。积极引入优质教学资源，结合实际认真研究新型教学模式、挖掘名师打造精品课程。加快打造高效智慧课堂，加强智慧教育与学科的融合应用，不断提高教育治理能力和治理水平。完善技术标准、运营模式和安全管理，构建安全网络、绿色网络、诚信网络，推进农村学校教育信息化。</w:t>
      </w:r>
      <w:bookmarkEnd w:id="1139"/>
      <w:bookmarkEnd w:id="1140"/>
    </w:p>
    <w:p>
      <w:pPr>
        <w:pStyle w:val="3"/>
        <w:spacing w:after="0" w:line="608" w:lineRule="exact"/>
        <w:ind w:left="0" w:leftChars="0" w:firstLine="642" w:firstLineChars="200"/>
        <w:outlineLvl w:val="2"/>
        <w:rPr>
          <w:rFonts w:ascii="仿宋_GB2312" w:hAnsi="仿宋_GB2312" w:eastAsia="仿宋_GB2312" w:cs="仿宋_GB2312"/>
          <w:sz w:val="32"/>
          <w:szCs w:val="32"/>
        </w:rPr>
      </w:pPr>
      <w:bookmarkStart w:id="1141" w:name="_Toc14193"/>
      <w:bookmarkStart w:id="1142" w:name="_Toc20356"/>
      <w:r>
        <w:rPr>
          <w:rFonts w:hint="eastAsia" w:ascii="仿宋_GB2312" w:hAnsi="仿宋_GB2312" w:eastAsia="仿宋_GB2312" w:cs="仿宋_GB2312"/>
          <w:b/>
          <w:bCs/>
          <w:sz w:val="32"/>
          <w:szCs w:val="32"/>
        </w:rPr>
        <w:t>深入推进教育领域综合改革。</w:t>
      </w:r>
      <w:r>
        <w:rPr>
          <w:rFonts w:hint="eastAsia" w:ascii="仿宋_GB2312" w:hAnsi="仿宋_GB2312" w:eastAsia="仿宋_GB2312" w:cs="仿宋_GB2312"/>
          <w:sz w:val="32"/>
          <w:szCs w:val="32"/>
          <w:lang w:val="zh-CN"/>
        </w:rPr>
        <w:t>深化基础教育改革十大行动，</w:t>
      </w:r>
      <w:r>
        <w:rPr>
          <w:rFonts w:hint="eastAsia" w:ascii="仿宋_GB2312" w:hAnsi="仿宋_GB2312" w:eastAsia="仿宋_GB2312" w:cs="仿宋_GB2312"/>
          <w:sz w:val="32"/>
          <w:szCs w:val="32"/>
        </w:rPr>
        <w:t>进一步完善配套机制，盘活校长教师资源，激发教书育人活力。推进课堂教学改革，深化课改模式，夯实课改效果，提升教学质量，力争在中高考上实现新突破。优化城乡学校布局，加大设施设备投入力度，通过名师引领、联盟办学、联片教研、结对帮扶、优课下乡等一系列举措，构建城乡教育一体化格局。全力抓好学校安全“三个百分百”建设，全面提升学校人防、物防、技防水平，打造平安校园。加强校园周边环境治理，坚决守好教育净土。</w:t>
      </w:r>
      <w:bookmarkEnd w:id="1141"/>
      <w:bookmarkEnd w:id="1142"/>
    </w:p>
    <w:p>
      <w:pPr>
        <w:pStyle w:val="2"/>
        <w:spacing w:before="0" w:beforeAutospacing="0"/>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9" w:type="dxa"/>
          </w:tcPr>
          <w:p>
            <w:pPr>
              <w:jc w:val="center"/>
            </w:pPr>
            <w:r>
              <w:rPr>
                <w:rFonts w:hint="eastAsia" w:ascii="黑体" w:hAnsi="宋体" w:eastAsia="黑体" w:cs="黑体"/>
                <w:color w:val="000000"/>
                <w:kern w:val="0"/>
                <w:sz w:val="28"/>
                <w:szCs w:val="28"/>
              </w:rPr>
              <w:t>专栏12 教育强基重大工程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jc w:val="center"/>
        </w:trPr>
        <w:tc>
          <w:tcPr>
            <w:tcW w:w="8659" w:type="dxa"/>
          </w:tcPr>
          <w:p>
            <w:pPr>
              <w:numPr>
                <w:ilvl w:val="0"/>
                <w:numId w:val="12"/>
              </w:numPr>
              <w:spacing w:line="360" w:lineRule="exact"/>
              <w:rPr>
                <w:rFonts w:asciiTheme="minorEastAsia" w:hAnsiTheme="minorEastAsia" w:cstheme="minorEastAsia"/>
              </w:rPr>
            </w:pPr>
            <w:r>
              <w:rPr>
                <w:rFonts w:hint="eastAsia" w:asciiTheme="minorEastAsia" w:hAnsiTheme="minorEastAsia" w:cstheme="minorEastAsia"/>
                <w:b/>
                <w:bCs/>
              </w:rPr>
              <w:t>学前教育。</w:t>
            </w:r>
            <w:r>
              <w:rPr>
                <w:rFonts w:hint="eastAsia" w:asciiTheme="minorEastAsia" w:hAnsiTheme="minorEastAsia" w:cstheme="minorEastAsia"/>
              </w:rPr>
              <w:t>推进漳源路幼儿园项目建设，新建两所幼儿园，着力改善幼儿园办园条件，扩大普惠性学前教育资源。</w:t>
            </w:r>
          </w:p>
          <w:p>
            <w:pPr>
              <w:numPr>
                <w:ilvl w:val="0"/>
                <w:numId w:val="12"/>
              </w:numPr>
              <w:spacing w:line="360" w:lineRule="exact"/>
              <w:rPr>
                <w:rFonts w:asciiTheme="minorEastAsia" w:hAnsiTheme="minorEastAsia" w:cstheme="minorEastAsia"/>
              </w:rPr>
            </w:pPr>
            <w:r>
              <w:rPr>
                <w:rFonts w:hint="eastAsia" w:asciiTheme="minorEastAsia" w:hAnsiTheme="minorEastAsia" w:cstheme="minorEastAsia"/>
                <w:b/>
                <w:bCs/>
              </w:rPr>
              <w:t>义务教育。</w:t>
            </w:r>
            <w:r>
              <w:rPr>
                <w:rFonts w:hint="eastAsia" w:asciiTheme="minorEastAsia" w:hAnsiTheme="minorEastAsia" w:cstheme="minorEastAsia"/>
              </w:rPr>
              <w:t>新建2所小学，缓解城内小学就读压力，加大乡镇所在地中心小学建设力度。新建一所初中，增加城内中小学校优质资源供给，加快“中学向县城集聚、小学向乡镇集中”进度，推动义务教育优质均衡发展。</w:t>
            </w:r>
          </w:p>
          <w:p>
            <w:pPr>
              <w:numPr>
                <w:ilvl w:val="0"/>
                <w:numId w:val="12"/>
              </w:numPr>
              <w:spacing w:line="360" w:lineRule="exact"/>
              <w:rPr>
                <w:rFonts w:asciiTheme="minorEastAsia" w:hAnsiTheme="minorEastAsia" w:cstheme="minorEastAsia"/>
              </w:rPr>
            </w:pPr>
            <w:r>
              <w:rPr>
                <w:rFonts w:hint="eastAsia" w:asciiTheme="minorEastAsia" w:hAnsiTheme="minorEastAsia" w:cstheme="minorEastAsia"/>
                <w:b/>
                <w:bCs/>
              </w:rPr>
              <w:t>高中教育。</w:t>
            </w:r>
            <w:r>
              <w:rPr>
                <w:rFonts w:hint="eastAsia" w:asciiTheme="minorEastAsia" w:hAnsiTheme="minorEastAsia" w:cstheme="minorEastAsia"/>
              </w:rPr>
              <w:t>谋划推进新高中建设项目。实施普通高中提升计划，优化发展高中教育，扎实推进高中课程改革，全面提升普通高中办学水平。</w:t>
            </w:r>
          </w:p>
          <w:p>
            <w:pPr>
              <w:numPr>
                <w:ilvl w:val="0"/>
                <w:numId w:val="12"/>
              </w:numPr>
              <w:spacing w:line="360" w:lineRule="exact"/>
              <w:rPr>
                <w:rFonts w:asciiTheme="minorEastAsia" w:hAnsiTheme="minorEastAsia" w:cstheme="minorEastAsia"/>
              </w:rPr>
            </w:pPr>
            <w:r>
              <w:rPr>
                <w:rFonts w:hint="eastAsia" w:asciiTheme="minorEastAsia" w:hAnsiTheme="minorEastAsia" w:cstheme="minorEastAsia"/>
                <w:b/>
                <w:bCs/>
              </w:rPr>
              <w:t>职业教育。</w:t>
            </w:r>
            <w:r>
              <w:rPr>
                <w:rFonts w:hint="eastAsia" w:asciiTheme="minorEastAsia" w:hAnsiTheme="minorEastAsia" w:cstheme="minorEastAsia"/>
              </w:rPr>
              <w:t>积极培养“双师型”队伍，提升职业教育办学水平。大力发展职业教育，依托长治太行高技能人才发展工作联盟，推进校企对接、订单培养。</w:t>
            </w:r>
          </w:p>
          <w:p>
            <w:pPr>
              <w:numPr>
                <w:ilvl w:val="0"/>
                <w:numId w:val="12"/>
              </w:numPr>
              <w:spacing w:line="360" w:lineRule="exact"/>
              <w:rPr>
                <w:rFonts w:asciiTheme="minorEastAsia" w:hAnsiTheme="minorEastAsia" w:cstheme="minorEastAsia"/>
              </w:rPr>
            </w:pPr>
            <w:r>
              <w:rPr>
                <w:rFonts w:hint="eastAsia" w:asciiTheme="minorEastAsia" w:hAnsiTheme="minorEastAsia" w:cstheme="minorEastAsia"/>
                <w:b/>
                <w:bCs/>
              </w:rPr>
              <w:t>特殊教育。</w:t>
            </w:r>
            <w:r>
              <w:rPr>
                <w:rFonts w:hint="eastAsia" w:asciiTheme="minorEastAsia" w:hAnsiTheme="minorEastAsia" w:cstheme="minorEastAsia"/>
              </w:rPr>
              <w:t>提升特殊教育教师能力，办好特殊教育。</w:t>
            </w:r>
          </w:p>
          <w:p>
            <w:pPr>
              <w:numPr>
                <w:ilvl w:val="0"/>
                <w:numId w:val="12"/>
              </w:numPr>
              <w:spacing w:line="360" w:lineRule="exact"/>
            </w:pPr>
            <w:r>
              <w:rPr>
                <w:rFonts w:hint="eastAsia" w:asciiTheme="minorEastAsia" w:hAnsiTheme="minorEastAsia" w:cstheme="minorEastAsia"/>
                <w:b/>
                <w:bCs/>
              </w:rPr>
              <w:t>智慧教育。</w:t>
            </w:r>
            <w:r>
              <w:rPr>
                <w:rFonts w:hint="eastAsia" w:asciiTheme="minorEastAsia" w:hAnsiTheme="minorEastAsia" w:cstheme="minorEastAsia"/>
              </w:rPr>
              <w:t>加强智慧教育信息化平台建设和应用，开展学校管理和教育教学活动智能化试点工作，提升教育教学质量。</w:t>
            </w:r>
          </w:p>
        </w:tc>
      </w:tr>
    </w:tbl>
    <w:p>
      <w:pPr>
        <w:pStyle w:val="5"/>
        <w:spacing w:beforeLines="0" w:afterLines="0" w:line="608" w:lineRule="exact"/>
        <w:rPr>
          <w:rFonts w:ascii="楷体_GB2312" w:hAnsi="楷体_GB2312" w:eastAsia="楷体_GB2312" w:cs="楷体_GB2312"/>
        </w:rPr>
      </w:pPr>
      <w:bookmarkStart w:id="1143" w:name="_Toc19133"/>
      <w:bookmarkStart w:id="1144" w:name="_Toc18789"/>
      <w:bookmarkStart w:id="1145" w:name="_Toc28693"/>
      <w:bookmarkStart w:id="1146" w:name="_Toc32750"/>
      <w:bookmarkStart w:id="1147" w:name="_Toc23646"/>
      <w:bookmarkStart w:id="1148" w:name="_Toc4480"/>
      <w:bookmarkStart w:id="1149" w:name="_Toc15745"/>
      <w:bookmarkStart w:id="1150" w:name="_Toc10489"/>
      <w:bookmarkStart w:id="1151" w:name="_Toc26027"/>
      <w:bookmarkStart w:id="1152" w:name="_Toc2257"/>
      <w:bookmarkStart w:id="1153" w:name="_Toc28651"/>
      <w:bookmarkStart w:id="1154" w:name="_Toc8914"/>
      <w:bookmarkStart w:id="1155" w:name="_Toc24382"/>
      <w:bookmarkStart w:id="1156" w:name="_Toc16987"/>
      <w:bookmarkStart w:id="1157" w:name="_Toc27300"/>
      <w:bookmarkStart w:id="1158" w:name="_Toc3959"/>
      <w:bookmarkStart w:id="1159" w:name="_Toc32013"/>
      <w:bookmarkStart w:id="1160" w:name="_Toc1502"/>
      <w:bookmarkStart w:id="1161" w:name="_Toc6355"/>
      <w:bookmarkStart w:id="1162" w:name="_Toc10041"/>
      <w:bookmarkStart w:id="1163" w:name="_Toc16816"/>
      <w:bookmarkStart w:id="1164" w:name="_Toc2129"/>
      <w:bookmarkStart w:id="1165" w:name="_Toc10085"/>
      <w:bookmarkStart w:id="1166" w:name="_Toc22520"/>
      <w:bookmarkStart w:id="1167" w:name="_Toc6225"/>
      <w:bookmarkStart w:id="1168" w:name="_Toc8524"/>
    </w:p>
    <w:p>
      <w:pPr>
        <w:pStyle w:val="5"/>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第三节  提高全民卫生健康水平</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pPr>
        <w:spacing w:line="608" w:lineRule="exact"/>
        <w:ind w:firstLine="640" w:firstLineChars="200"/>
        <w:rPr>
          <w:rFonts w:ascii="仿宋_GB2312" w:hAnsi="仿宋_GB2312" w:eastAsia="仿宋_GB2312" w:cs="仿宋_GB2312"/>
          <w:sz w:val="32"/>
          <w:szCs w:val="32"/>
        </w:rPr>
      </w:pPr>
    </w:p>
    <w:p>
      <w:pPr>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把人民健康放在优先发展战略位置，坚持预防为主方针，完善全生命周期健康服务链，全面提升卫生健康与体育事业发展水平。</w:t>
      </w:r>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大力实施健康行动</w:t>
      </w:r>
      <w:r>
        <w:rPr>
          <w:rFonts w:hint="eastAsia" w:ascii="仿宋_GB2312" w:hAnsi="仿宋_GB2312" w:eastAsia="仿宋_GB2312" w:cs="仿宋_GB2312"/>
          <w:sz w:val="32"/>
          <w:szCs w:val="32"/>
        </w:rPr>
        <w:t>。持续</w:t>
      </w:r>
      <w:r>
        <w:rPr>
          <w:rFonts w:hint="eastAsia" w:ascii="仿宋_GB2312" w:hAnsi="仿宋_GB2312" w:eastAsia="仿宋_GB2312" w:cs="仿宋_GB2312"/>
          <w:sz w:val="32"/>
          <w:szCs w:val="32"/>
          <w:lang w:val="zh-CN"/>
        </w:rPr>
        <w:t>深化医药卫生体制改革十大行动，</w:t>
      </w:r>
      <w:r>
        <w:rPr>
          <w:rFonts w:hint="eastAsia" w:ascii="仿宋_GB2312" w:hAnsi="仿宋_GB2312" w:eastAsia="仿宋_GB2312" w:cs="仿宋_GB2312"/>
          <w:bCs/>
          <w:sz w:val="32"/>
          <w:szCs w:val="32"/>
        </w:rPr>
        <w:t>巩固县乡医疗卫生机构一</w:t>
      </w:r>
      <w:r>
        <w:rPr>
          <w:rFonts w:hint="eastAsia" w:ascii="仿宋_GB2312" w:hAnsi="仿宋_GB2312" w:eastAsia="仿宋_GB2312" w:cs="仿宋_GB2312"/>
          <w:sz w:val="32"/>
          <w:szCs w:val="32"/>
        </w:rPr>
        <w:t>体化改革成果，开展健康中国长子行动，推动体育同医疗深度融合，构建“县强、乡活、村稳”医疗卫生服务体系。深化三医联动改革，推动基本医保、大病保险、医疗救助、商业健康保险、社会慈善等衔接配合，构建多层次医疗保障网。建立健全健康教育体系，实施健康知识普及、合理膳食、全民健身、控烟、心理健康促进、健康环境促进、中医药健康促进、妇幼健康促进、中小学健康促进、职业健康保护、老年健康促进、心脑血管疾病防治、癌症防治、慢性呼吸系统疾病防治、糖尿病防治、传染病及地方病防控等16项具体行动，健全全社会落实预防为主的制度体系。引导群众建立正确健康观，加强早期干预，形成有利于健康的生活方式、生态环境和社会环境，延长健康寿命。</w:t>
      </w:r>
    </w:p>
    <w:p>
      <w:pPr>
        <w:spacing w:line="608" w:lineRule="exact"/>
        <w:ind w:firstLine="642" w:firstLineChars="200"/>
        <w:outlineLvl w:val="2"/>
        <w:rPr>
          <w:rFonts w:ascii="仿宋_GB2312" w:hAnsi="仿宋_GB2312" w:eastAsia="仿宋_GB2312" w:cs="仿宋_GB2312"/>
          <w:sz w:val="32"/>
          <w:szCs w:val="32"/>
        </w:rPr>
      </w:pPr>
      <w:bookmarkStart w:id="1169" w:name="_Toc1040"/>
      <w:bookmarkStart w:id="1170" w:name="_Toc10597"/>
      <w:r>
        <w:rPr>
          <w:rFonts w:hint="eastAsia" w:ascii="仿宋_GB2312" w:hAnsi="仿宋_GB2312" w:eastAsia="仿宋_GB2312" w:cs="仿宋_GB2312"/>
          <w:b/>
          <w:sz w:val="32"/>
          <w:szCs w:val="32"/>
        </w:rPr>
        <w:t>加强医疗卫生基础设施建设。</w:t>
      </w:r>
      <w:r>
        <w:rPr>
          <w:rFonts w:hint="eastAsia" w:ascii="仿宋_GB2312" w:hAnsi="仿宋_GB2312" w:eastAsia="仿宋_GB2312" w:cs="仿宋_GB2312"/>
          <w:sz w:val="32"/>
          <w:szCs w:val="32"/>
        </w:rPr>
        <w:t>加快推进医疗卫生重点项目建设，积极推进公共卫生及重大疫情防控救治体系能力提升项目。做好县中医院住院大楼及二次配套工程建设及竣工验收工作，加快推进县人民医院卒中、创伤、胸痛、新生儿救治、孕产妇救治等中心建设。发展智慧医疗，提升医疗信息化建设水平，部署安装智医助理系统和票据管理等，推进互联网+健康建设进程。启动大堡头镇卫生院危房改造、南漳镇卫生院综合大楼建设项目，加强社区卫生服务机构、乡镇卫生院和村卫生室标准化建设，“十四五”期间，创建国家级“优质服务基层行”标准卫生院3所。</w:t>
      </w:r>
      <w:bookmarkEnd w:id="1169"/>
      <w:bookmarkEnd w:id="1170"/>
    </w:p>
    <w:p>
      <w:pPr>
        <w:spacing w:line="608" w:lineRule="exact"/>
        <w:ind w:firstLine="642" w:firstLineChars="200"/>
        <w:outlineLvl w:val="2"/>
        <w:rPr>
          <w:rFonts w:ascii="仿宋_GB2312" w:hAnsi="仿宋_GB2312" w:eastAsia="仿宋_GB2312" w:cs="仿宋_GB2312"/>
          <w:bCs/>
          <w:sz w:val="32"/>
          <w:szCs w:val="32"/>
        </w:rPr>
      </w:pPr>
      <w:bookmarkStart w:id="1171" w:name="_Toc1974"/>
      <w:bookmarkStart w:id="1172" w:name="_Toc13145"/>
      <w:r>
        <w:rPr>
          <w:rFonts w:hint="eastAsia" w:ascii="仿宋_GB2312" w:hAnsi="仿宋_GB2312" w:eastAsia="仿宋_GB2312" w:cs="仿宋_GB2312"/>
          <w:b/>
          <w:sz w:val="32"/>
          <w:szCs w:val="32"/>
        </w:rPr>
        <w:t>健全公共卫生体系。</w:t>
      </w:r>
      <w:r>
        <w:rPr>
          <w:rFonts w:hint="eastAsia" w:ascii="仿宋_GB2312" w:hAnsi="仿宋_GB2312" w:eastAsia="仿宋_GB2312" w:cs="仿宋_GB2312"/>
          <w:bCs/>
          <w:sz w:val="32"/>
          <w:szCs w:val="32"/>
        </w:rPr>
        <w:t>完善基本医疗保险制度，加快城乡一体化医保体系建设，推动保障更加公平、管理服务更加规范、医疗资源利用更加有效。加强卫生健康服务体系建设，通过资源整合与持续投入，优化医疗卫生资源配置，完善疾病预防控制服务体系。开展慢性病综合防控示范区建设，强化PCR重点实验室能力提升。</w:t>
      </w:r>
      <w:r>
        <w:rPr>
          <w:rFonts w:hint="eastAsia" w:ascii="仿宋_GB2312" w:hAnsi="仿宋_GB2312" w:eastAsia="仿宋_GB2312" w:cs="仿宋_GB2312"/>
          <w:sz w:val="32"/>
          <w:szCs w:val="32"/>
        </w:rPr>
        <w:t>推动县妇幼计生服务中心门诊住院大楼项目建设，</w:t>
      </w:r>
      <w:r>
        <w:rPr>
          <w:rFonts w:hint="eastAsia" w:ascii="仿宋_GB2312" w:hAnsi="仿宋_GB2312" w:eastAsia="仿宋_GB2312" w:cs="仿宋_GB2312"/>
          <w:bCs/>
          <w:sz w:val="32"/>
          <w:szCs w:val="32"/>
        </w:rPr>
        <w:t>健全完善妇幼健康服务体系，构建覆盖城乡，涵盖婚前、孕前、孕期、新生儿和儿童各阶段的出生缺陷综合防治体系，提高出生人口素质，促进人口长期均衡发展。持续实施母婴安全行动，提升孕产妇、儿童健康管理中心服务能力。建立老年健康服务体系，提高老年人生活质量和健康水平。加强公共卫生队伍建设，完善公共卫生重大风险研判、评估、决策、防控协同机制。</w:t>
      </w:r>
      <w:bookmarkEnd w:id="1171"/>
      <w:bookmarkEnd w:id="1172"/>
    </w:p>
    <w:p>
      <w:pPr>
        <w:adjustRightInd w:val="0"/>
        <w:spacing w:line="608" w:lineRule="exact"/>
        <w:ind w:firstLine="642" w:firstLineChars="200"/>
        <w:outlineLvl w:val="2"/>
        <w:rPr>
          <w:rFonts w:ascii="仿宋_GB2312" w:hAnsi="仿宋_GB2312" w:eastAsia="仿宋_GB2312" w:cs="仿宋_GB2312"/>
          <w:bCs/>
          <w:sz w:val="32"/>
          <w:szCs w:val="32"/>
        </w:rPr>
      </w:pPr>
      <w:bookmarkStart w:id="1173" w:name="_Toc721"/>
      <w:bookmarkStart w:id="1174" w:name="_Toc31785"/>
      <w:r>
        <w:rPr>
          <w:rFonts w:hint="eastAsia" w:ascii="仿宋_GB2312" w:hAnsi="仿宋_GB2312" w:eastAsia="仿宋_GB2312" w:cs="仿宋_GB2312"/>
          <w:b/>
          <w:sz w:val="32"/>
          <w:szCs w:val="32"/>
        </w:rPr>
        <w:t>增强卫生应急能力。</w:t>
      </w:r>
      <w:r>
        <w:rPr>
          <w:rFonts w:hint="eastAsia" w:ascii="仿宋_GB2312" w:hAnsi="仿宋_GB2312" w:eastAsia="仿宋_GB2312" w:cs="仿宋_GB2312"/>
          <w:bCs/>
          <w:sz w:val="32"/>
          <w:szCs w:val="32"/>
        </w:rPr>
        <w:t>树立防范化解重大风险底线思维，增强卫生应急能力，做好新冠疫情常态化疫情防控工作，落实全省常态化疫情防控“十项措施”。采取多种手段途径扩大宣传教育，提高群众疫情防控意识和科学认知水平。组建急性传染病、中毒、自然灾害等突发公共卫生事件的专业应急工作队，重点加强对幼托机构、学校医疗卫生处、社区卫生服务机构的技术指导，</w:t>
      </w:r>
      <w:r>
        <w:rPr>
          <w:rFonts w:hint="eastAsia" w:ascii="仿宋_GB2312" w:hAnsi="仿宋_GB2312" w:eastAsia="仿宋_GB2312" w:cs="仿宋_GB2312"/>
          <w:sz w:val="32"/>
          <w:szCs w:val="32"/>
        </w:rPr>
        <w:t>常态化开展重点传染病督查工作，为全县经济社会发展保驾护航。</w:t>
      </w:r>
      <w:bookmarkEnd w:id="1173"/>
      <w:bookmarkEnd w:id="1174"/>
    </w:p>
    <w:p>
      <w:pPr>
        <w:widowControl/>
        <w:spacing w:line="608" w:lineRule="exact"/>
        <w:ind w:firstLine="642" w:firstLineChars="200"/>
        <w:outlineLvl w:val="2"/>
        <w:rPr>
          <w:rFonts w:ascii="仿宋_GB2312" w:hAnsi="仿宋_GB2312" w:eastAsia="仿宋_GB2312" w:cs="仿宋_GB2312"/>
          <w:bCs/>
          <w:sz w:val="32"/>
          <w:szCs w:val="32"/>
        </w:rPr>
      </w:pPr>
      <w:bookmarkStart w:id="1175" w:name="_Toc6921"/>
      <w:bookmarkStart w:id="1176" w:name="_Toc13535"/>
      <w:r>
        <w:rPr>
          <w:rFonts w:hint="eastAsia" w:ascii="仿宋_GB2312" w:hAnsi="仿宋_GB2312" w:eastAsia="仿宋_GB2312" w:cs="仿宋_GB2312"/>
          <w:b/>
          <w:sz w:val="32"/>
          <w:szCs w:val="32"/>
        </w:rPr>
        <w:t>广泛开展全民健身。</w:t>
      </w:r>
      <w:r>
        <w:rPr>
          <w:rFonts w:hint="eastAsia" w:ascii="仿宋_GB2312" w:hAnsi="仿宋_GB2312" w:eastAsia="仿宋_GB2312" w:cs="仿宋_GB2312"/>
          <w:bCs/>
          <w:sz w:val="32"/>
          <w:szCs w:val="32"/>
        </w:rPr>
        <w:t>大力发展体育产业，不断满足人民群众日益增长的体育需求。树立全民大健康理念，鼓励支持全民参与各类健身活动，发挥健身在提高人民生活质量中的作用。</w:t>
      </w:r>
      <w:r>
        <w:rPr>
          <w:rFonts w:hint="eastAsia" w:ascii="仿宋_GB2312" w:hAnsi="仿宋_GB2312" w:eastAsia="仿宋_GB2312" w:cs="仿宋_GB2312"/>
          <w:sz w:val="32"/>
          <w:szCs w:val="32"/>
        </w:rPr>
        <w:t>加强宣传教育，倡导健康生活方式与“终身体育”理念。加大全民健身事业财政投入，</w:t>
      </w:r>
      <w:r>
        <w:rPr>
          <w:rFonts w:hint="eastAsia" w:ascii="仿宋_GB2312" w:hAnsi="仿宋_GB2312" w:eastAsia="仿宋_GB2312" w:cs="仿宋_GB2312"/>
          <w:bCs/>
          <w:sz w:val="32"/>
          <w:szCs w:val="32"/>
        </w:rPr>
        <w:t>健全各类体育组织，</w:t>
      </w:r>
      <w:r>
        <w:rPr>
          <w:rFonts w:hint="eastAsia" w:ascii="仿宋_GB2312" w:hAnsi="仿宋_GB2312" w:eastAsia="仿宋_GB2312" w:cs="仿宋_GB2312"/>
          <w:sz w:val="32"/>
          <w:szCs w:val="32"/>
        </w:rPr>
        <w:t>有计划增加健身设施，满足居民日常健身和开展健身活动需要。</w:t>
      </w:r>
      <w:r>
        <w:rPr>
          <w:rFonts w:hint="eastAsia" w:ascii="仿宋_GB2312" w:hAnsi="仿宋_GB2312" w:eastAsia="仿宋_GB2312" w:cs="仿宋_GB2312"/>
          <w:bCs/>
          <w:sz w:val="32"/>
          <w:szCs w:val="32"/>
        </w:rPr>
        <w:t>依托县城广场、公园等公共场所，广泛开展群众性体育活动。加快推进竞技体育、体育产业、全民健身协同发展，引导全体人民自觉健身、便利健身、科学健身、文明健身，开创健身事业发展新局面。</w:t>
      </w:r>
      <w:bookmarkEnd w:id="1175"/>
      <w:bookmarkEnd w:id="1176"/>
    </w:p>
    <w:p>
      <w:pPr>
        <w:pStyle w:val="2"/>
        <w:spacing w:before="0" w:beforeAutospacing="0"/>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4" w:type="dxa"/>
          </w:tcPr>
          <w:p>
            <w:pPr>
              <w:jc w:val="center"/>
            </w:pPr>
            <w:r>
              <w:rPr>
                <w:rFonts w:hint="eastAsia" w:ascii="黑体" w:hAnsi="宋体" w:eastAsia="黑体" w:cs="黑体"/>
                <w:kern w:val="0"/>
                <w:sz w:val="28"/>
                <w:szCs w:val="28"/>
              </w:rPr>
              <w:t>专栏13 公共卫生防控救治能力提升工程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2" w:hRule="atLeast"/>
          <w:jc w:val="center"/>
        </w:trPr>
        <w:tc>
          <w:tcPr>
            <w:tcW w:w="8504" w:type="dxa"/>
            <w:vAlign w:val="center"/>
          </w:tcPr>
          <w:p>
            <w:pPr>
              <w:numPr>
                <w:ilvl w:val="0"/>
                <w:numId w:val="13"/>
              </w:numPr>
              <w:spacing w:line="360" w:lineRule="exact"/>
              <w:rPr>
                <w:rFonts w:asciiTheme="minorEastAsia" w:hAnsiTheme="minorEastAsia" w:cstheme="minorEastAsia"/>
                <w:b/>
                <w:bCs/>
                <w:kern w:val="0"/>
                <w:szCs w:val="21"/>
              </w:rPr>
            </w:pPr>
            <w:r>
              <w:rPr>
                <w:rFonts w:hint="eastAsia" w:asciiTheme="minorEastAsia" w:hAnsiTheme="minorEastAsia" w:cstheme="minorEastAsia"/>
                <w:b/>
                <w:bCs/>
                <w:kern w:val="0"/>
                <w:szCs w:val="21"/>
              </w:rPr>
              <w:t>卫生健康基础设施建设工程。</w:t>
            </w:r>
            <w:r>
              <w:rPr>
                <w:rFonts w:hint="eastAsia" w:asciiTheme="minorEastAsia" w:hAnsiTheme="minorEastAsia" w:cstheme="minorEastAsia"/>
                <w:kern w:val="0"/>
                <w:szCs w:val="21"/>
              </w:rPr>
              <w:t>重点推进妇幼保健计划生育服务中心门诊住院大楼建设项目，谋划推进丹朱镇卫生院住院大楼扩建项目、色头镇卫生院门诊住院大楼建设项目、南漳镇卫生院综合大楼建设项目、大堡头镇卫生院综合楼改造项目等乡镇卫生院基础设施建设项目。</w:t>
            </w:r>
          </w:p>
          <w:p>
            <w:pPr>
              <w:numPr>
                <w:ilvl w:val="0"/>
                <w:numId w:val="13"/>
              </w:numPr>
              <w:spacing w:line="360" w:lineRule="exact"/>
            </w:pPr>
            <w:r>
              <w:rPr>
                <w:rFonts w:hint="eastAsia" w:asciiTheme="minorEastAsia" w:hAnsiTheme="minorEastAsia" w:cstheme="minorEastAsia"/>
                <w:b/>
                <w:bCs/>
                <w:kern w:val="0"/>
                <w:szCs w:val="21"/>
              </w:rPr>
              <w:t>公共卫生及重大疫情防控救治体系建设能力提升工程。</w:t>
            </w:r>
            <w:r>
              <w:rPr>
                <w:rFonts w:hint="eastAsia" w:asciiTheme="minorEastAsia" w:hAnsiTheme="minorEastAsia" w:cstheme="minorEastAsia"/>
                <w:kern w:val="0"/>
                <w:szCs w:val="21"/>
              </w:rPr>
              <w:t>推进县人民医院传染区病房改造、县中医院检验科和PCR实验室能力提升、急救体系指挥平台系统建设。</w:t>
            </w:r>
          </w:p>
        </w:tc>
      </w:tr>
    </w:tbl>
    <w:p>
      <w:pPr>
        <w:pStyle w:val="5"/>
        <w:keepNext w:val="0"/>
        <w:keepLines w:val="0"/>
        <w:spacing w:beforeLines="0" w:afterLines="0" w:line="608" w:lineRule="exact"/>
        <w:rPr>
          <w:rFonts w:ascii="楷体_GB2312" w:hAnsi="楷体_GB2312" w:eastAsia="楷体_GB2312" w:cs="楷体_GB2312"/>
        </w:rPr>
      </w:pPr>
      <w:bookmarkStart w:id="1177" w:name="_Toc25047"/>
      <w:bookmarkStart w:id="1178" w:name="_Toc20172"/>
      <w:bookmarkStart w:id="1179" w:name="_Toc10033"/>
      <w:bookmarkStart w:id="1180" w:name="_Toc916"/>
      <w:bookmarkStart w:id="1181" w:name="_Toc28717"/>
      <w:bookmarkStart w:id="1182" w:name="_Toc28245"/>
      <w:bookmarkStart w:id="1183" w:name="_Toc24587"/>
      <w:bookmarkStart w:id="1184" w:name="_Toc9557"/>
      <w:bookmarkStart w:id="1185" w:name="_Toc17972"/>
      <w:bookmarkStart w:id="1186" w:name="_Toc3822"/>
      <w:bookmarkStart w:id="1187" w:name="_Toc10654"/>
      <w:bookmarkStart w:id="1188" w:name="_Toc21257"/>
      <w:bookmarkStart w:id="1189" w:name="_Toc29305"/>
      <w:bookmarkStart w:id="1190" w:name="_Toc10023"/>
      <w:bookmarkStart w:id="1191" w:name="_Toc30283"/>
      <w:bookmarkStart w:id="1192" w:name="_Toc18958"/>
      <w:bookmarkStart w:id="1193" w:name="_Toc14588"/>
      <w:bookmarkStart w:id="1194" w:name="_Toc6272"/>
      <w:bookmarkStart w:id="1195" w:name="_Toc23373"/>
      <w:bookmarkStart w:id="1196" w:name="_Toc3636"/>
      <w:bookmarkStart w:id="1197" w:name="_Toc29031"/>
      <w:bookmarkStart w:id="1198" w:name="_Toc6388"/>
      <w:bookmarkStart w:id="1199" w:name="_Toc21507"/>
      <w:bookmarkStart w:id="1200" w:name="_Toc2673"/>
      <w:bookmarkStart w:id="1201" w:name="_Toc11991"/>
      <w:bookmarkStart w:id="1202" w:name="_Toc15643"/>
    </w:p>
    <w:p>
      <w:pPr>
        <w:pStyle w:val="5"/>
        <w:keepNext w:val="0"/>
        <w:keepLines w:val="0"/>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 xml:space="preserve">第四节  </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r>
        <w:rPr>
          <w:rFonts w:hint="eastAsia" w:ascii="楷体_GB2312" w:hAnsi="楷体_GB2312" w:eastAsia="楷体_GB2312" w:cs="楷体_GB2312"/>
        </w:rPr>
        <w:t>完善社会保障体系</w:t>
      </w:r>
      <w:bookmarkEnd w:id="1199"/>
      <w:bookmarkEnd w:id="1200"/>
      <w:bookmarkEnd w:id="1201"/>
      <w:bookmarkEnd w:id="1202"/>
    </w:p>
    <w:p>
      <w:pPr>
        <w:pStyle w:val="3"/>
        <w:spacing w:after="0" w:line="608" w:lineRule="exact"/>
        <w:ind w:left="0" w:leftChars="0" w:firstLine="640" w:firstLineChars="200"/>
        <w:rPr>
          <w:rFonts w:ascii="仿宋_GB2312" w:hAnsi="仿宋_GB2312" w:eastAsia="仿宋_GB2312" w:cs="仿宋_GB2312"/>
          <w:bCs/>
          <w:sz w:val="32"/>
          <w:szCs w:val="32"/>
        </w:rPr>
      </w:pPr>
    </w:p>
    <w:p>
      <w:pPr>
        <w:pStyle w:val="3"/>
        <w:spacing w:after="0" w:line="608"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紧紧围绕“发展民生保稳定，服务民生促和谐”，巩固提升社会保障能力，切实做好保障兜底工作，努力在“病有所医、老有所养，住有所居”上取得新进展。</w:t>
      </w:r>
    </w:p>
    <w:p>
      <w:pPr>
        <w:pStyle w:val="3"/>
        <w:spacing w:after="0" w:line="608" w:lineRule="exact"/>
        <w:ind w:left="0" w:leftChars="0"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扎实推进社保制度改革。</w:t>
      </w:r>
      <w:r>
        <w:rPr>
          <w:rFonts w:hint="eastAsia" w:ascii="仿宋_GB2312" w:hAnsi="仿宋_GB2312" w:eastAsia="仿宋_GB2312" w:cs="仿宋_GB2312"/>
          <w:kern w:val="0"/>
          <w:sz w:val="32"/>
          <w:szCs w:val="32"/>
        </w:rPr>
        <w:t>加大参保扩面工作力度，大力推行全民参保计划。实施城乡居民补充养老保险制度，扩大医保跨省异地就医直接结算范围。按照国家和省市统筹部署，调整职工退休金、城乡居民基础养老金、工伤津贴等各项保险待遇标准。</w:t>
      </w:r>
    </w:p>
    <w:p>
      <w:pPr>
        <w:pStyle w:val="3"/>
        <w:spacing w:after="0" w:line="608" w:lineRule="exact"/>
        <w:ind w:left="0" w:leftChars="0"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加强社会救助体系建设。</w:t>
      </w:r>
      <w:r>
        <w:rPr>
          <w:rFonts w:hint="eastAsia" w:ascii="仿宋_GB2312" w:hAnsi="仿宋_GB2312" w:eastAsia="仿宋_GB2312" w:cs="仿宋_GB2312"/>
          <w:sz w:val="32"/>
          <w:szCs w:val="32"/>
          <w:lang w:val="zh-CN"/>
        </w:rPr>
        <w:t>完善社会救助机制，推进城乡最低生活保障制度统筹发展，健全救助标准和物价上涨挂钩联动机制，切实解决好特困群体的基本生活。</w:t>
      </w:r>
      <w:r>
        <w:rPr>
          <w:rFonts w:hint="eastAsia" w:ascii="仿宋_GB2312" w:hAnsi="仿宋_GB2312" w:eastAsia="仿宋_GB2312" w:cs="仿宋_GB2312"/>
          <w:kern w:val="0"/>
          <w:sz w:val="32"/>
          <w:szCs w:val="32"/>
        </w:rPr>
        <w:t>深入开展农村特殊群体关爱、孤残儿童生活保障工作，建立健全退役军人、老年、儿童、残疾人基本福利制度，积极引导社会力量参与社会救助。加大退役军人优待力度，加强对困难退役军人的帮扶救助。</w:t>
      </w:r>
    </w:p>
    <w:p>
      <w:pPr>
        <w:pStyle w:val="3"/>
        <w:spacing w:after="0" w:line="608" w:lineRule="exact"/>
        <w:ind w:left="0" w:leftChars="0"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完善城镇住房保障体系。</w:t>
      </w:r>
      <w:r>
        <w:rPr>
          <w:rFonts w:hint="eastAsia" w:ascii="仿宋_GB2312" w:hAnsi="仿宋_GB2312" w:eastAsia="仿宋_GB2312" w:cs="仿宋_GB2312"/>
          <w:kern w:val="0"/>
          <w:sz w:val="32"/>
          <w:szCs w:val="32"/>
        </w:rPr>
        <w:t>坚持“房住不炒”定位，完善不动产登记管理制度，加强房地产市场监管，促进房地产市场平稳健康发展。加快建立多主体供给、多渠道保障、租购并举的住房保障制度，着力解决好中低收入家庭和外来务工人员住房困难。稳步推进城镇老旧小区改造、农村危房改造和公共服务配套设施建设。</w:t>
      </w:r>
    </w:p>
    <w:p>
      <w:pPr>
        <w:pStyle w:val="3"/>
        <w:spacing w:after="0" w:line="608" w:lineRule="exact"/>
        <w:ind w:left="0" w:leftChars="0" w:firstLine="642" w:firstLineChars="200"/>
        <w:outlineLvl w:val="2"/>
        <w:rPr>
          <w:rFonts w:ascii="仿宋_GB2312" w:hAnsi="仿宋_GB2312" w:eastAsia="仿宋_GB2312" w:cs="仿宋_GB2312"/>
          <w:kern w:val="0"/>
          <w:sz w:val="32"/>
          <w:szCs w:val="32"/>
        </w:rPr>
      </w:pPr>
      <w:bookmarkStart w:id="1203" w:name="_Toc22036"/>
      <w:bookmarkStart w:id="1204" w:name="_Toc21149"/>
      <w:r>
        <w:rPr>
          <w:rFonts w:hint="eastAsia" w:ascii="仿宋_GB2312" w:hAnsi="仿宋_GB2312" w:eastAsia="仿宋_GB2312" w:cs="仿宋_GB2312"/>
          <w:b/>
          <w:sz w:val="32"/>
          <w:szCs w:val="32"/>
        </w:rPr>
        <w:t>推进公益性殡葬改革。</w:t>
      </w:r>
      <w:r>
        <w:rPr>
          <w:rFonts w:hint="eastAsia" w:ascii="仿宋_GB2312" w:hAnsi="仿宋_GB2312" w:eastAsia="仿宋_GB2312" w:cs="仿宋_GB2312"/>
          <w:kern w:val="0"/>
          <w:sz w:val="32"/>
          <w:szCs w:val="32"/>
        </w:rPr>
        <w:t>推进移风易俗，引导群众文明治丧、低碳祭扫，减轻群众丧葬负担。“十四五”期间，建成长子县殡仪馆和城乡公益性公墓，建成全域范围服务半径5公里内的联村公益性公墓(骨灰安放设施），实现全县火化区内公民死亡后遗体火化、公墓安葬、集中治丧全覆盖。</w:t>
      </w:r>
    </w:p>
    <w:bookmarkEnd w:id="1203"/>
    <w:bookmarkEnd w:id="1204"/>
    <w:p>
      <w:pPr>
        <w:pStyle w:val="3"/>
        <w:spacing w:after="0" w:line="608" w:lineRule="exact"/>
        <w:ind w:left="0" w:leftChars="0" w:firstLine="642" w:firstLineChars="200"/>
        <w:outlineLvl w:val="2"/>
        <w:rPr>
          <w:rFonts w:ascii="仿宋_GB2312" w:hAnsi="仿宋_GB2312" w:eastAsia="仿宋_GB2312" w:cs="仿宋_GB2312"/>
          <w:bCs/>
          <w:sz w:val="32"/>
          <w:szCs w:val="32"/>
        </w:rPr>
      </w:pPr>
      <w:bookmarkStart w:id="1205" w:name="_Toc3823"/>
      <w:bookmarkStart w:id="1206" w:name="_Toc27592"/>
      <w:r>
        <w:rPr>
          <w:rFonts w:hint="eastAsia" w:ascii="仿宋_GB2312" w:hAnsi="仿宋_GB2312" w:eastAsia="仿宋_GB2312" w:cs="仿宋_GB2312"/>
          <w:b/>
          <w:sz w:val="32"/>
          <w:szCs w:val="32"/>
        </w:rPr>
        <w:t>强化养老保障能力。</w:t>
      </w:r>
      <w:r>
        <w:rPr>
          <w:rFonts w:hint="eastAsia" w:ascii="仿宋_GB2312" w:hAnsi="仿宋_GB2312" w:eastAsia="仿宋_GB2312" w:cs="仿宋_GB2312"/>
          <w:sz w:val="32"/>
          <w:szCs w:val="32"/>
          <w:lang w:val="zh-CN"/>
        </w:rPr>
        <w:t>完善养老保障制度体系，不断</w:t>
      </w:r>
      <w:r>
        <w:rPr>
          <w:rFonts w:hint="eastAsia" w:ascii="仿宋_GB2312" w:hAnsi="仿宋_GB2312" w:eastAsia="仿宋_GB2312" w:cs="仿宋_GB2312"/>
          <w:sz w:val="32"/>
          <w:szCs w:val="32"/>
          <w:shd w:val="clear" w:color="auto" w:fill="FFFFFF"/>
        </w:rPr>
        <w:t>扩大养老服务面，增加养老床位数。</w:t>
      </w:r>
      <w:r>
        <w:rPr>
          <w:rFonts w:hint="eastAsia" w:ascii="仿宋_GB2312" w:hAnsi="仿宋_GB2312" w:eastAsia="仿宋_GB2312" w:cs="仿宋_GB2312"/>
          <w:sz w:val="32"/>
          <w:szCs w:val="32"/>
          <w:lang w:val="zh-CN"/>
        </w:rPr>
        <w:t>采取政府主导、公建民营、民办公助、医养结合等多种形式推动社会化养老工作，第一养老院投入运营，筹备建设第二养老院，探索推进城乡居家养老服务</w:t>
      </w:r>
      <w:r>
        <w:rPr>
          <w:rFonts w:hint="eastAsia" w:ascii="仿宋_GB2312" w:hAnsi="仿宋_GB2312" w:eastAsia="仿宋_GB2312" w:cs="仿宋_GB2312"/>
          <w:bCs/>
          <w:sz w:val="32"/>
          <w:szCs w:val="32"/>
        </w:rPr>
        <w:t>。</w:t>
      </w:r>
      <w:bookmarkEnd w:id="1205"/>
      <w:bookmarkEnd w:id="1206"/>
    </w:p>
    <w:p>
      <w:pPr>
        <w:pStyle w:val="2"/>
        <w:spacing w:before="0" w:beforeAutospacing="0" w:line="608" w:lineRule="exact"/>
        <w:ind w:left="0" w:leftChars="0" w:firstLine="643"/>
        <w:outlineLvl w:val="2"/>
        <w:rPr>
          <w:rFonts w:ascii="仿宋_GB2312" w:hAnsi="仿宋_GB2312" w:eastAsia="仿宋_GB2312" w:cs="仿宋_GB2312"/>
          <w:bCs/>
          <w:sz w:val="32"/>
          <w:szCs w:val="32"/>
        </w:rPr>
      </w:pPr>
      <w:bookmarkStart w:id="1207" w:name="_Toc3336"/>
      <w:bookmarkStart w:id="1208" w:name="_Toc21420"/>
      <w:r>
        <w:rPr>
          <w:rFonts w:hint="eastAsia" w:ascii="仿宋_GB2312" w:hAnsi="仿宋_GB2312" w:eastAsia="仿宋_GB2312" w:cs="仿宋_GB2312"/>
          <w:b/>
          <w:sz w:val="32"/>
          <w:szCs w:val="32"/>
        </w:rPr>
        <w:t>推进人口自身均衡发展。</w:t>
      </w:r>
      <w:r>
        <w:rPr>
          <w:rFonts w:hint="eastAsia" w:ascii="仿宋_GB2312" w:hAnsi="仿宋_GB2312" w:eastAsia="仿宋_GB2312" w:cs="仿宋_GB2312"/>
          <w:bCs/>
          <w:sz w:val="32"/>
          <w:szCs w:val="32"/>
        </w:rPr>
        <w:t>完善生育支持、幼儿养育、青少年发展、老人赡养、病残照料、善后服务等全过程家庭发展政策。加强老年人权益保护，重视妇女、儿童和青少年身心健康，维护妇女儿童合法权益，提高群众反家暴、反社会欺凌的法律意识。创新医疗卫生和养老服务紧密结合的体制机制，积极应对人口老龄化，大力发展居家、社区和护理服务，着力构建健康教育、预防保健、疾病诊治、康复护理、长期照护、安宁疗护等综合连续、覆盖城乡的老年健康服务体系。</w:t>
      </w:r>
      <w:bookmarkEnd w:id="1207"/>
      <w:bookmarkEnd w:id="1208"/>
    </w:p>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1" w:type="dxa"/>
          </w:tcPr>
          <w:p>
            <w:pPr>
              <w:jc w:val="center"/>
            </w:pPr>
            <w:r>
              <w:rPr>
                <w:rFonts w:hint="eastAsia" w:ascii="黑体" w:hAnsi="宋体" w:eastAsia="黑体" w:cs="黑体"/>
                <w:kern w:val="0"/>
                <w:sz w:val="28"/>
                <w:szCs w:val="28"/>
              </w:rPr>
              <w:t>专栏14民生事业重点工程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1" w:type="dxa"/>
          </w:tcPr>
          <w:p>
            <w:pPr>
              <w:numPr>
                <w:ilvl w:val="0"/>
                <w:numId w:val="1"/>
              </w:numPr>
              <w:spacing w:line="360" w:lineRule="exact"/>
              <w:rPr>
                <w:rFonts w:asciiTheme="minorEastAsia" w:hAnsiTheme="minorEastAsia" w:cstheme="minorEastAsia"/>
                <w:szCs w:val="21"/>
              </w:rPr>
            </w:pPr>
            <w:r>
              <w:rPr>
                <w:rFonts w:hint="eastAsia" w:asciiTheme="minorEastAsia" w:hAnsiTheme="minorEastAsia" w:cstheme="minorEastAsia"/>
                <w:b/>
                <w:bCs/>
                <w:szCs w:val="21"/>
              </w:rPr>
              <w:t>社保扩面工程。</w:t>
            </w:r>
            <w:r>
              <w:rPr>
                <w:rFonts w:hint="eastAsia" w:asciiTheme="minorEastAsia" w:hAnsiTheme="minorEastAsia" w:cstheme="minorEastAsia"/>
                <w:szCs w:val="21"/>
              </w:rPr>
              <w:t>大力推行全民参保计划，实施城乡居民补充养老保险制度，扩大医保跨省异地就医直接结算范围。</w:t>
            </w:r>
          </w:p>
          <w:p>
            <w:pPr>
              <w:numPr>
                <w:ilvl w:val="0"/>
                <w:numId w:val="1"/>
              </w:numPr>
              <w:spacing w:line="360" w:lineRule="exact"/>
              <w:rPr>
                <w:rFonts w:asciiTheme="minorEastAsia" w:hAnsiTheme="minorEastAsia" w:cstheme="minorEastAsia"/>
                <w:szCs w:val="21"/>
              </w:rPr>
            </w:pPr>
            <w:r>
              <w:rPr>
                <w:rFonts w:hint="eastAsia" w:asciiTheme="minorEastAsia" w:hAnsiTheme="minorEastAsia" w:cstheme="minorEastAsia"/>
                <w:b/>
                <w:bCs/>
                <w:kern w:val="0"/>
                <w:szCs w:val="21"/>
              </w:rPr>
              <w:t>养老事业提升工程。</w:t>
            </w:r>
            <w:r>
              <w:rPr>
                <w:rFonts w:hint="eastAsia" w:asciiTheme="minorEastAsia" w:hAnsiTheme="minorEastAsia" w:cstheme="minorEastAsia"/>
                <w:kern w:val="0"/>
                <w:szCs w:val="21"/>
              </w:rPr>
              <w:t>谋划推进长子县第二养老院、丹朱养老院、老年人日间照料中心项目建设。</w:t>
            </w:r>
          </w:p>
          <w:p>
            <w:pPr>
              <w:numPr>
                <w:ilvl w:val="0"/>
                <w:numId w:val="1"/>
              </w:numPr>
              <w:spacing w:line="360" w:lineRule="exact"/>
            </w:pPr>
            <w:r>
              <w:rPr>
                <w:rFonts w:hint="eastAsia" w:asciiTheme="minorEastAsia" w:hAnsiTheme="minorEastAsia" w:cstheme="minorEastAsia"/>
                <w:b/>
                <w:bCs/>
                <w:kern w:val="0"/>
                <w:szCs w:val="21"/>
              </w:rPr>
              <w:t>殡葬改革推进工程。</w:t>
            </w:r>
            <w:r>
              <w:rPr>
                <w:rFonts w:hint="eastAsia" w:asciiTheme="minorEastAsia" w:hAnsiTheme="minorEastAsia" w:cstheme="minorEastAsia"/>
                <w:kern w:val="0"/>
                <w:szCs w:val="21"/>
              </w:rPr>
              <w:t>引导群众文明治丧、低碳祭扫，完善殡葬基础设施服务功能，满足广大群众基本需求，重点推进殡仪馆、城乡公益性公墓建设。</w:t>
            </w:r>
          </w:p>
        </w:tc>
      </w:tr>
    </w:tbl>
    <w:p>
      <w:pPr>
        <w:rPr>
          <w:rFonts w:ascii="黑体" w:hAnsi="黑体" w:eastAsia="黑体" w:cs="Times New Roman"/>
          <w:b/>
          <w:bCs/>
          <w:kern w:val="44"/>
          <w:sz w:val="32"/>
          <w:szCs w:val="32"/>
        </w:rPr>
      </w:pPr>
      <w:bookmarkStart w:id="1209" w:name="_Toc10047"/>
      <w:bookmarkStart w:id="1210" w:name="_Toc3553"/>
      <w:bookmarkStart w:id="1211" w:name="_Toc30149"/>
      <w:bookmarkStart w:id="1212" w:name="_Toc14322"/>
      <w:bookmarkStart w:id="1213" w:name="_Toc22919"/>
      <w:bookmarkStart w:id="1214" w:name="_Toc24703"/>
      <w:bookmarkStart w:id="1215" w:name="_Toc3152"/>
      <w:bookmarkStart w:id="1216" w:name="_Toc1795"/>
      <w:r>
        <w:rPr>
          <w:rFonts w:ascii="黑体" w:hAnsi="黑体" w:eastAsia="黑体" w:cs="Times New Roman"/>
          <w:b/>
          <w:bCs/>
          <w:kern w:val="44"/>
          <w:sz w:val="32"/>
          <w:szCs w:val="32"/>
        </w:rPr>
        <w:br w:type="page"/>
      </w:r>
    </w:p>
    <w:p>
      <w:pPr>
        <w:pStyle w:val="4"/>
        <w:keepNext w:val="0"/>
        <w:keepLines w:val="0"/>
        <w:spacing w:beforeLines="0" w:afterLines="0" w:line="608" w:lineRule="exact"/>
        <w:rPr>
          <w:rFonts w:ascii="黑体" w:hAnsi="黑体" w:cs="Times New Roman"/>
          <w:b w:val="0"/>
          <w:szCs w:val="32"/>
        </w:rPr>
      </w:pPr>
      <w:bookmarkStart w:id="1217" w:name="_Toc27190"/>
    </w:p>
    <w:p>
      <w:pPr>
        <w:pStyle w:val="4"/>
        <w:keepNext w:val="0"/>
        <w:keepLines w:val="0"/>
        <w:spacing w:beforeLines="0" w:afterLines="0" w:line="608" w:lineRule="exact"/>
        <w:rPr>
          <w:rFonts w:ascii="黑体" w:hAnsi="黑体" w:cs="黑体"/>
          <w:b w:val="0"/>
          <w:szCs w:val="32"/>
        </w:rPr>
      </w:pPr>
      <w:r>
        <w:rPr>
          <w:rFonts w:ascii="黑体" w:hAnsi="黑体" w:cs="Times New Roman"/>
          <w:b w:val="0"/>
          <w:sz w:val="36"/>
          <w:szCs w:val="36"/>
        </w:rPr>
        <w:t>第十</w:t>
      </w:r>
      <w:r>
        <w:rPr>
          <w:rFonts w:hint="eastAsia" w:ascii="黑体" w:hAnsi="黑体" w:cs="Times New Roman"/>
          <w:b w:val="0"/>
          <w:sz w:val="36"/>
          <w:szCs w:val="36"/>
        </w:rPr>
        <w:t>一</w:t>
      </w:r>
      <w:r>
        <w:rPr>
          <w:rFonts w:ascii="黑体" w:hAnsi="黑体" w:cs="Times New Roman"/>
          <w:b w:val="0"/>
          <w:sz w:val="36"/>
          <w:szCs w:val="36"/>
        </w:rPr>
        <w:t>章</w:t>
      </w:r>
      <w:bookmarkStart w:id="1218" w:name="_Toc4171"/>
      <w:bookmarkStart w:id="1219" w:name="_Toc16309"/>
      <w:bookmarkStart w:id="1220" w:name="_Toc2148"/>
      <w:bookmarkStart w:id="1221" w:name="_Toc29729"/>
      <w:bookmarkStart w:id="1222" w:name="_Toc32257"/>
      <w:bookmarkStart w:id="1223" w:name="_Toc1379"/>
      <w:bookmarkStart w:id="1224" w:name="_Toc6685"/>
      <w:bookmarkStart w:id="1225" w:name="_Toc1706"/>
      <w:bookmarkStart w:id="1226" w:name="_Toc22797"/>
      <w:bookmarkStart w:id="1227" w:name="_Toc2174"/>
      <w:bookmarkStart w:id="1228" w:name="_Toc4365"/>
      <w:bookmarkStart w:id="1229" w:name="_Toc15472"/>
      <w:bookmarkStart w:id="1230" w:name="_Toc8445"/>
      <w:bookmarkStart w:id="1231" w:name="_Toc3480"/>
      <w:r>
        <w:rPr>
          <w:rFonts w:hint="eastAsia" w:ascii="黑体" w:hAnsi="黑体" w:cs="Times New Roman"/>
          <w:b w:val="0"/>
          <w:sz w:val="36"/>
          <w:szCs w:val="36"/>
        </w:rPr>
        <w:t xml:space="preserve"> </w:t>
      </w:r>
      <w:r>
        <w:rPr>
          <w:rFonts w:hint="eastAsia" w:ascii="黑体" w:hAnsi="黑体" w:cs="黑体"/>
          <w:b w:val="0"/>
          <w:sz w:val="36"/>
          <w:szCs w:val="36"/>
        </w:rPr>
        <w:t>统筹发展和安全，平安长子建设再上新水平</w:t>
      </w:r>
      <w:bookmarkEnd w:id="1209"/>
      <w:bookmarkEnd w:id="1210"/>
      <w:bookmarkEnd w:id="1211"/>
      <w:bookmarkEnd w:id="1212"/>
      <w:bookmarkEnd w:id="1213"/>
      <w:bookmarkEnd w:id="1214"/>
      <w:bookmarkEnd w:id="1215"/>
      <w:bookmarkEnd w:id="1216"/>
      <w:bookmarkEnd w:id="1217"/>
    </w:p>
    <w:p>
      <w:pPr>
        <w:spacing w:line="608" w:lineRule="exact"/>
        <w:ind w:firstLine="640" w:firstLineChars="200"/>
        <w:rPr>
          <w:rFonts w:ascii="仿宋_GB2312" w:hAnsi="Times New Roman" w:eastAsia="仿宋_GB2312"/>
          <w:bCs/>
          <w:sz w:val="32"/>
          <w:szCs w:val="32"/>
        </w:rPr>
      </w:pPr>
    </w:p>
    <w:p>
      <w:pPr>
        <w:spacing w:line="608"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坚持国家总体安全观，以人民安全为宗旨、以政治安全为根本、以经济安全为基础，加快完善安全发展体制机制。坚持社会治理法治化，推进扫黑除恶常态化机制化，打击一切违法犯罪，统筹推进安全生产，保障人民生命健康安全，建设平安长子。</w:t>
      </w:r>
    </w:p>
    <w:p>
      <w:pPr>
        <w:pStyle w:val="5"/>
        <w:keepNext w:val="0"/>
        <w:keepLines w:val="0"/>
        <w:spacing w:beforeLines="0" w:afterLines="0" w:line="608" w:lineRule="exact"/>
        <w:rPr>
          <w:rFonts w:ascii="楷体_GB2312" w:hAnsi="楷体_GB2312" w:eastAsia="楷体_GB2312" w:cs="楷体_GB2312"/>
        </w:rPr>
      </w:pPr>
      <w:bookmarkStart w:id="1232" w:name="_Toc4384"/>
      <w:bookmarkStart w:id="1233" w:name="_Toc10801"/>
      <w:bookmarkStart w:id="1234" w:name="_Toc12257"/>
      <w:bookmarkStart w:id="1235" w:name="_Toc12755"/>
      <w:bookmarkStart w:id="1236" w:name="_Toc27659"/>
      <w:bookmarkStart w:id="1237" w:name="_Toc2562"/>
      <w:bookmarkStart w:id="1238" w:name="_Toc24065"/>
      <w:bookmarkStart w:id="1239" w:name="_Toc6630"/>
      <w:bookmarkStart w:id="1240" w:name="_Toc14590"/>
      <w:bookmarkStart w:id="1241" w:name="_Toc5205"/>
      <w:bookmarkStart w:id="1242" w:name="_Toc24190"/>
      <w:bookmarkStart w:id="1243" w:name="_Toc8719"/>
      <w:bookmarkStart w:id="1244" w:name="_Toc15190"/>
      <w:bookmarkStart w:id="1245" w:name="_Toc32274"/>
      <w:bookmarkStart w:id="1246" w:name="_Toc29906"/>
      <w:bookmarkStart w:id="1247" w:name="_Toc16366"/>
      <w:bookmarkStart w:id="1248" w:name="_Toc5384"/>
      <w:bookmarkStart w:id="1249" w:name="_Toc154"/>
      <w:bookmarkStart w:id="1250" w:name="_Toc30438"/>
      <w:bookmarkStart w:id="1251" w:name="_Toc24335"/>
      <w:bookmarkStart w:id="1252" w:name="_Toc29944"/>
      <w:bookmarkStart w:id="1253" w:name="_Toc148"/>
      <w:bookmarkStart w:id="1254" w:name="_Toc3527"/>
      <w:bookmarkStart w:id="1255" w:name="_Toc16703"/>
      <w:bookmarkStart w:id="1256" w:name="_Toc13697"/>
    </w:p>
    <w:p>
      <w:pPr>
        <w:pStyle w:val="5"/>
        <w:keepNext w:val="0"/>
        <w:keepLines w:val="0"/>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第一节  加快</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Pr>
          <w:rFonts w:hint="eastAsia" w:ascii="楷体_GB2312" w:hAnsi="楷体_GB2312" w:eastAsia="楷体_GB2312" w:cs="楷体_GB2312"/>
        </w:rPr>
        <w:t>安全体系和能力建设</w:t>
      </w:r>
      <w:bookmarkEnd w:id="1248"/>
      <w:bookmarkEnd w:id="1249"/>
      <w:bookmarkEnd w:id="1250"/>
      <w:bookmarkEnd w:id="1251"/>
      <w:bookmarkEnd w:id="1252"/>
      <w:bookmarkEnd w:id="1253"/>
      <w:bookmarkEnd w:id="1254"/>
      <w:bookmarkEnd w:id="1255"/>
      <w:bookmarkEnd w:id="1256"/>
    </w:p>
    <w:p>
      <w:pPr>
        <w:pStyle w:val="3"/>
        <w:spacing w:after="0" w:line="608" w:lineRule="exact"/>
        <w:ind w:left="0" w:leftChars="0" w:firstLine="640" w:firstLineChars="200"/>
        <w:outlineLvl w:val="2"/>
        <w:rPr>
          <w:rFonts w:ascii="仿宋_GB2312" w:hAnsi="仿宋_GB2312" w:eastAsia="仿宋_GB2312" w:cs="仿宋_GB2312"/>
          <w:sz w:val="32"/>
          <w:szCs w:val="32"/>
        </w:rPr>
      </w:pPr>
      <w:bookmarkStart w:id="1257" w:name="_Toc27465"/>
      <w:bookmarkStart w:id="1258" w:name="_Toc22181"/>
    </w:p>
    <w:p>
      <w:pPr>
        <w:pStyle w:val="3"/>
        <w:spacing w:after="0" w:line="608" w:lineRule="exact"/>
        <w:ind w:left="0" w:leftChars="0"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牢固树立安全发展理念，坚持人民至上、生命至上，把保护人民生命安全摆在首位，深入开展平安长子建设，为全县各项事业发展提供安全稳定保障。</w:t>
      </w:r>
      <w:bookmarkEnd w:id="1257"/>
      <w:bookmarkEnd w:id="1258"/>
    </w:p>
    <w:p>
      <w:pPr>
        <w:pStyle w:val="3"/>
        <w:spacing w:after="0" w:line="608" w:lineRule="exact"/>
        <w:ind w:left="0" w:leftChars="0" w:firstLine="642" w:firstLineChars="200"/>
        <w:outlineLvl w:val="2"/>
        <w:rPr>
          <w:rFonts w:ascii="仿宋_GB2312" w:hAnsi="仿宋_GB2312" w:eastAsia="仿宋_GB2312" w:cs="仿宋_GB2312"/>
          <w:bCs/>
          <w:sz w:val="32"/>
          <w:szCs w:val="32"/>
        </w:rPr>
      </w:pPr>
      <w:bookmarkStart w:id="1259" w:name="_Toc9218"/>
      <w:bookmarkStart w:id="1260" w:name="_Toc6603"/>
      <w:r>
        <w:rPr>
          <w:rFonts w:hint="eastAsia" w:ascii="仿宋_GB2312" w:hAnsi="仿宋_GB2312" w:eastAsia="仿宋_GB2312" w:cs="仿宋_GB2312"/>
          <w:b/>
          <w:bCs/>
          <w:sz w:val="32"/>
          <w:szCs w:val="32"/>
          <w:lang w:val="zh-CN"/>
        </w:rPr>
        <w:t>深化平安</w:t>
      </w:r>
      <w:r>
        <w:rPr>
          <w:rFonts w:hint="eastAsia" w:ascii="仿宋_GB2312" w:hAnsi="仿宋_GB2312" w:eastAsia="仿宋_GB2312" w:cs="仿宋_GB2312"/>
          <w:b/>
          <w:bCs/>
          <w:sz w:val="32"/>
          <w:szCs w:val="32"/>
        </w:rPr>
        <w:t>长子</w:t>
      </w:r>
      <w:r>
        <w:rPr>
          <w:rFonts w:hint="eastAsia" w:ascii="仿宋_GB2312" w:hAnsi="仿宋_GB2312" w:eastAsia="仿宋_GB2312" w:cs="仿宋_GB2312"/>
          <w:b/>
          <w:bCs/>
          <w:sz w:val="32"/>
          <w:szCs w:val="32"/>
          <w:lang w:val="zh-CN"/>
        </w:rPr>
        <w:t>建设。</w:t>
      </w:r>
      <w:r>
        <w:rPr>
          <w:rFonts w:hint="eastAsia" w:ascii="仿宋_GB2312" w:hAnsi="仿宋_GB2312" w:eastAsia="仿宋_GB2312" w:cs="仿宋_GB2312"/>
          <w:sz w:val="32"/>
          <w:szCs w:val="32"/>
          <w:lang w:val="zh-CN"/>
        </w:rPr>
        <w:t>把维护国家政治安全特别是政权安全、制度安全放在第一位，加强意识形态阵地建设和管理，增强全民国家安全意识。加快完善安全发展体制机制，加强安全体系和能力建设，落实国家粮食安全、能源安全、金融安全、生物安全战略。依法打击一切违法犯罪，持续推进“扫黑除恶”专项斗争，</w:t>
      </w:r>
      <w:r>
        <w:rPr>
          <w:rFonts w:hint="eastAsia" w:ascii="仿宋_GB2312" w:hAnsi="仿宋_GB2312" w:eastAsia="仿宋_GB2312" w:cs="仿宋_GB2312"/>
          <w:sz w:val="32"/>
          <w:szCs w:val="32"/>
        </w:rPr>
        <w:t>坚决惩治涉黑涉恶腐败和“保护伞”，</w:t>
      </w:r>
      <w:r>
        <w:rPr>
          <w:rFonts w:hint="eastAsia" w:ascii="仿宋_GB2312" w:hAnsi="仿宋_GB2312" w:eastAsia="仿宋_GB2312" w:cs="仿宋_GB2312"/>
          <w:bCs/>
          <w:sz w:val="32"/>
          <w:szCs w:val="32"/>
        </w:rPr>
        <w:t>确保逢黑必扫，涉恶必除。切实加强源头治理，推动全县禁毒形势彻底好转。健全完善点面结合、专群结合、人技结合，常态与应急结合的网格化巡逻防控机制，确保社会和谐稳定。</w:t>
      </w:r>
      <w:bookmarkEnd w:id="1259"/>
      <w:bookmarkEnd w:id="1260"/>
    </w:p>
    <w:p>
      <w:pPr>
        <w:spacing w:line="608" w:lineRule="exact"/>
        <w:ind w:firstLine="642" w:firstLineChars="200"/>
        <w:outlineLvl w:val="2"/>
        <w:rPr>
          <w:rFonts w:ascii="仿宋_GB2312" w:hAnsi="仿宋_GB2312" w:eastAsia="仿宋_GB2312" w:cs="仿宋_GB2312"/>
          <w:sz w:val="32"/>
          <w:szCs w:val="32"/>
        </w:rPr>
      </w:pPr>
      <w:bookmarkStart w:id="1261" w:name="_Toc22072"/>
      <w:bookmarkStart w:id="1262" w:name="_Toc12075"/>
      <w:r>
        <w:rPr>
          <w:rFonts w:hint="eastAsia" w:ascii="仿宋_GB2312" w:hAnsi="仿宋_GB2312" w:eastAsia="仿宋_GB2312" w:cs="仿宋_GB2312"/>
          <w:b/>
          <w:bCs/>
          <w:sz w:val="32"/>
          <w:szCs w:val="32"/>
        </w:rPr>
        <w:t>统筹推进安全生产。</w:t>
      </w:r>
      <w:r>
        <w:rPr>
          <w:rFonts w:hint="eastAsia" w:ascii="仿宋_GB2312" w:hAnsi="仿宋_GB2312" w:eastAsia="仿宋_GB2312" w:cs="仿宋_GB2312"/>
          <w:bCs/>
          <w:sz w:val="32"/>
          <w:szCs w:val="32"/>
          <w:shd w:val="clear" w:color="auto" w:fill="FFFFFF"/>
        </w:rPr>
        <w:t>完善和落实安全生产责任制，加强安全生产监管执法，严格落实各行业、各领域、各方面安全标准，有效遏制煤矿、危险化学品、建筑施工、道路交通、消防等重特大安全事故</w:t>
      </w:r>
      <w:r>
        <w:rPr>
          <w:rFonts w:hint="eastAsia" w:ascii="仿宋_GB2312" w:hAnsi="仿宋_GB2312" w:eastAsia="仿宋_GB2312" w:cs="仿宋_GB2312"/>
          <w:sz w:val="32"/>
          <w:szCs w:val="32"/>
        </w:rPr>
        <w:t>。严格落实企业主体责任，加大投入、加强技改，淘汰不合格的安全生产工艺和设备，确保企业健康安全发展。深化安全生产领域改革，充实安全监管力量，加大隐患排查治理力度，提高安全监管水平。建立逐级动态辨识、评估、管控安全风险的工作制度，实现把风险控制在隐患形成之前、把隐患消灭在事故萌芽状态。全面落实《关于深化改革加强食品安全工作的意见》和《地方党政领导干部食品安全责任制规定》相关部署，强化食品药品安全工作，推动“智慧监管”，全力推进“省级食品安全示范县”创建工作。</w:t>
      </w:r>
      <w:bookmarkEnd w:id="1261"/>
      <w:bookmarkEnd w:id="1262"/>
    </w:p>
    <w:p>
      <w:pPr>
        <w:pStyle w:val="3"/>
        <w:spacing w:after="0" w:line="608" w:lineRule="exact"/>
        <w:ind w:left="0" w:leftChars="0" w:firstLine="642" w:firstLineChars="200"/>
        <w:outlineLvl w:val="2"/>
        <w:rPr>
          <w:rFonts w:ascii="仿宋_GB2312" w:hAnsi="仿宋_GB2312" w:eastAsia="仿宋_GB2312" w:cs="仿宋_GB2312"/>
          <w:bCs/>
          <w:sz w:val="32"/>
          <w:szCs w:val="32"/>
        </w:rPr>
      </w:pPr>
      <w:bookmarkStart w:id="1263" w:name="_Toc19999"/>
      <w:bookmarkStart w:id="1264" w:name="_Toc3762"/>
      <w:r>
        <w:rPr>
          <w:rFonts w:hint="eastAsia" w:ascii="仿宋_GB2312" w:hAnsi="仿宋_GB2312" w:eastAsia="仿宋_GB2312" w:cs="仿宋_GB2312"/>
          <w:b/>
          <w:sz w:val="32"/>
          <w:szCs w:val="32"/>
        </w:rPr>
        <w:t>健全应急管理体制。</w:t>
      </w:r>
      <w:r>
        <w:rPr>
          <w:rFonts w:hint="eastAsia" w:ascii="仿宋_GB2312" w:hAnsi="仿宋_GB2312" w:eastAsia="仿宋_GB2312" w:cs="仿宋_GB2312"/>
          <w:sz w:val="32"/>
          <w:szCs w:val="32"/>
          <w:lang w:val="zh-CN"/>
        </w:rPr>
        <w:t>坚持以防为主、防抗救相结合，强化应急管理责任落实，</w:t>
      </w:r>
      <w:r>
        <w:rPr>
          <w:rFonts w:hint="eastAsia" w:ascii="仿宋_GB2312" w:hAnsi="仿宋_GB2312" w:eastAsia="仿宋_GB2312" w:cs="仿宋_GB2312"/>
          <w:bCs/>
          <w:sz w:val="32"/>
          <w:szCs w:val="32"/>
        </w:rPr>
        <w:t>建立覆盖全县的横向到边、纵向到底、布局合理、装备精良、职能明确、运作高效的应急救援队伍体系。完善应急物资储备和调配体系，提高应急处置保障能力。深化应急管理体制改革，实施基层应急管理能力提升工程，推进应急管理能力建设，构建“统一指挥、专常兼备、反应灵敏、上下联动”的应急管理机制，实现“一杜绝、双下降”目标。</w:t>
      </w:r>
      <w:r>
        <w:rPr>
          <w:rFonts w:hint="eastAsia" w:ascii="仿宋_GB2312" w:hAnsi="仿宋_GB2312" w:eastAsia="仿宋_GB2312" w:cs="仿宋_GB2312"/>
          <w:sz w:val="32"/>
          <w:szCs w:val="32"/>
          <w:lang w:val="zh-CN"/>
        </w:rPr>
        <w:t>建立健全火灾隐患排查整治工作常态化机制，推进消防救援大队城市消防站建设，全面提升社会面火灾防控水平。加强森林防火工作，</w:t>
      </w:r>
      <w:r>
        <w:rPr>
          <w:rFonts w:hint="eastAsia" w:ascii="仿宋_GB2312" w:hAnsi="仿宋_GB2312" w:eastAsia="仿宋_GB2312" w:cs="仿宋_GB2312"/>
          <w:sz w:val="32"/>
          <w:szCs w:val="32"/>
        </w:rPr>
        <w:t>组建森林消防扑救专业队伍，</w:t>
      </w:r>
      <w:r>
        <w:rPr>
          <w:rFonts w:hint="eastAsia" w:ascii="仿宋_GB2312" w:hAnsi="仿宋_GB2312" w:eastAsia="仿宋_GB2312" w:cs="仿宋_GB2312"/>
          <w:sz w:val="32"/>
          <w:szCs w:val="32"/>
          <w:lang w:val="zh-CN"/>
        </w:rPr>
        <w:t>提高森林防火</w:t>
      </w:r>
      <w:r>
        <w:rPr>
          <w:rFonts w:hint="eastAsia" w:ascii="仿宋_GB2312" w:hAnsi="仿宋_GB2312" w:eastAsia="仿宋_GB2312" w:cs="仿宋_GB2312"/>
          <w:sz w:val="32"/>
          <w:szCs w:val="32"/>
        </w:rPr>
        <w:t>先期扑救能力，推进森林防火设施现代化建设，提升</w:t>
      </w:r>
      <w:r>
        <w:rPr>
          <w:rFonts w:hint="eastAsia" w:ascii="仿宋_GB2312" w:hAnsi="仿宋_GB2312" w:eastAsia="仿宋_GB2312" w:cs="仿宋_GB2312"/>
          <w:sz w:val="32"/>
          <w:szCs w:val="32"/>
          <w:lang w:val="zh-CN"/>
        </w:rPr>
        <w:t>一体化预警监测能力。</w:t>
      </w:r>
      <w:r>
        <w:rPr>
          <w:rFonts w:hint="eastAsia" w:ascii="仿宋_GB2312" w:hAnsi="仿宋_GB2312" w:eastAsia="仿宋_GB2312" w:cs="仿宋_GB2312"/>
          <w:bCs/>
          <w:sz w:val="32"/>
          <w:szCs w:val="32"/>
        </w:rPr>
        <w:t>“十四五”末，基本建成“统一领导、权责一致、权威高效”的应急能力体系，应急管理信息化达到全市领先水平，应急救援能力达到市内先进水平。</w:t>
      </w:r>
      <w:bookmarkEnd w:id="1263"/>
      <w:bookmarkEnd w:id="1264"/>
    </w:p>
    <w:p>
      <w:pPr>
        <w:snapToGrid w:val="0"/>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深化国防动员体系和后备力量建设。</w:t>
      </w:r>
      <w:r>
        <w:rPr>
          <w:rFonts w:hint="eastAsia" w:ascii="仿宋_GB2312" w:hAnsi="仿宋_GB2312" w:eastAsia="仿宋_GB2312" w:cs="仿宋_GB2312"/>
          <w:sz w:val="32"/>
          <w:szCs w:val="32"/>
        </w:rPr>
        <w:t>聚焦备战打仗，深化民兵调整改革，优化民兵结构体系，扩大新质力量编建规模。精准抓好动员潜力核查，优化资源布局，加强智慧动员建设，推动经济建设贯彻国防要求。完善“实名制”指挥结构编组，健全军地联演联训联保机制，稳步推进兵役征集政策制度改革，周密组织“一年两征两退”。加强全民国防教育，抓好人民防空和交通战备建设，持续深化双拥共建，构建完善军人荣誉体系，加强光荣院、烈士纪念设施建设，巩固发展新时代军政军民团结。</w:t>
      </w:r>
    </w:p>
    <w:p>
      <w:pPr>
        <w:pStyle w:val="5"/>
        <w:keepNext w:val="0"/>
        <w:keepLines w:val="0"/>
        <w:spacing w:beforeLines="0" w:afterLines="0" w:line="608" w:lineRule="exact"/>
        <w:rPr>
          <w:rFonts w:ascii="楷体_GB2312" w:hAnsi="楷体_GB2312" w:eastAsia="楷体_GB2312" w:cs="楷体_GB2312"/>
        </w:rPr>
      </w:pPr>
      <w:bookmarkStart w:id="1265" w:name="_Toc846"/>
      <w:bookmarkStart w:id="1266" w:name="_Toc12791"/>
      <w:bookmarkStart w:id="1267" w:name="_Toc17930"/>
      <w:bookmarkStart w:id="1268" w:name="_Toc30919"/>
      <w:bookmarkStart w:id="1269" w:name="_Toc16487"/>
      <w:bookmarkStart w:id="1270" w:name="_Toc20716"/>
      <w:bookmarkStart w:id="1271" w:name="_Toc11305"/>
      <w:bookmarkStart w:id="1272" w:name="_Toc22949"/>
      <w:bookmarkStart w:id="1273" w:name="_Toc24571"/>
      <w:bookmarkStart w:id="1274" w:name="_Toc7559"/>
      <w:bookmarkStart w:id="1275" w:name="_Toc2235"/>
      <w:bookmarkStart w:id="1276" w:name="_Toc21722"/>
      <w:bookmarkStart w:id="1277" w:name="_Toc19992"/>
      <w:bookmarkStart w:id="1278" w:name="_Toc13228"/>
      <w:bookmarkStart w:id="1279" w:name="_Toc24681"/>
      <w:bookmarkStart w:id="1280" w:name="_Toc23119"/>
      <w:bookmarkStart w:id="1281" w:name="_Toc26356"/>
      <w:bookmarkStart w:id="1282" w:name="_Toc32239"/>
      <w:bookmarkStart w:id="1283" w:name="_Toc23976"/>
      <w:bookmarkStart w:id="1284" w:name="_Toc1450"/>
      <w:bookmarkStart w:id="1285" w:name="_Toc3568"/>
      <w:bookmarkStart w:id="1286" w:name="_Toc8555"/>
      <w:bookmarkStart w:id="1287" w:name="_Toc25190"/>
      <w:bookmarkStart w:id="1288" w:name="_Toc22233"/>
      <w:bookmarkStart w:id="1289" w:name="_Toc8001"/>
    </w:p>
    <w:p>
      <w:pPr>
        <w:pStyle w:val="5"/>
        <w:keepNext w:val="0"/>
        <w:keepLines w:val="0"/>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 xml:space="preserve">第二节 </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r>
        <w:rPr>
          <w:rFonts w:hint="eastAsia" w:ascii="楷体_GB2312" w:hAnsi="楷体_GB2312" w:eastAsia="楷体_GB2312" w:cs="楷体_GB2312"/>
        </w:rPr>
        <w:t xml:space="preserve"> 全面推进依法治县</w:t>
      </w:r>
      <w:bookmarkEnd w:id="1286"/>
      <w:bookmarkEnd w:id="1287"/>
      <w:bookmarkEnd w:id="1288"/>
      <w:bookmarkEnd w:id="1289"/>
    </w:p>
    <w:p>
      <w:pPr>
        <w:snapToGrid w:val="0"/>
        <w:spacing w:line="608" w:lineRule="exact"/>
        <w:ind w:firstLine="640" w:firstLineChars="200"/>
        <w:rPr>
          <w:rFonts w:ascii="仿宋_GB2312" w:hAnsi="仿宋_GB2312" w:eastAsia="仿宋_GB2312" w:cs="仿宋_GB2312"/>
          <w:sz w:val="32"/>
          <w:szCs w:val="32"/>
        </w:rPr>
      </w:pPr>
    </w:p>
    <w:p>
      <w:pPr>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认真贯彻习近平法治思想，严格执法、公正司法、全民守法，以法治思维和法治方式推进社会治理、破解矛盾问题，加快建设法治长子。</w:t>
      </w:r>
    </w:p>
    <w:p>
      <w:pPr>
        <w:snapToGrid w:val="0"/>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深化行政执法体制改革。</w:t>
      </w:r>
      <w:r>
        <w:rPr>
          <w:rFonts w:hint="eastAsia" w:ascii="仿宋_GB2312" w:hAnsi="仿宋_GB2312" w:eastAsia="仿宋_GB2312" w:cs="仿宋_GB2312"/>
          <w:sz w:val="32"/>
          <w:szCs w:val="32"/>
        </w:rPr>
        <w:t>全面推行行政执法公示、执法全过程记录、重大执法决定法制审核“三项制度”。全面落实行政执法责任制，健全行政执法人员管理和培训制度，提升严格、规范、公正、文明执法能力素养，提高行政执法社会满意度。加强人大执法监督工作，实现良法善治。</w:t>
      </w:r>
    </w:p>
    <w:p>
      <w:pPr>
        <w:snapToGrid w:val="0"/>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持续深化司法体制综合配套改革。</w:t>
      </w:r>
      <w:r>
        <w:rPr>
          <w:rFonts w:hint="eastAsia" w:ascii="仿宋_GB2312" w:hAnsi="仿宋_GB2312" w:eastAsia="仿宋_GB2312" w:cs="仿宋_GB2312"/>
          <w:sz w:val="32"/>
          <w:szCs w:val="32"/>
        </w:rPr>
        <w:t>全面落实司法责任制，推进严格公正司法。建立完善院庭长行使监管权、认罪认罚从宽、领导干部干预司法活动、司法人员过问案件记录责任追究等制度，推动行政执法与刑事司法有机衔接，让司法成为维护公平正义的最后一道防线。</w:t>
      </w:r>
    </w:p>
    <w:p>
      <w:pPr>
        <w:snapToGrid w:val="0"/>
        <w:spacing w:line="608" w:lineRule="exact"/>
        <w:ind w:firstLine="642" w:firstLineChars="200"/>
        <w:rPr>
          <w:rFonts w:ascii="Times New Roman" w:hAnsi="Times New Roman"/>
          <w:sz w:val="32"/>
          <w:szCs w:val="32"/>
        </w:rPr>
      </w:pPr>
      <w:r>
        <w:rPr>
          <w:rFonts w:hint="eastAsia" w:ascii="仿宋_GB2312" w:hAnsi="仿宋_GB2312" w:eastAsia="仿宋_GB2312" w:cs="仿宋_GB2312"/>
          <w:b/>
          <w:sz w:val="32"/>
          <w:szCs w:val="32"/>
        </w:rPr>
        <w:t>提升全民普法意识。</w:t>
      </w:r>
      <w:r>
        <w:rPr>
          <w:rFonts w:hint="eastAsia" w:ascii="仿宋_GB2312" w:hAnsi="仿宋_GB2312" w:eastAsia="仿宋_GB2312" w:cs="仿宋_GB2312"/>
          <w:sz w:val="32"/>
          <w:szCs w:val="32"/>
        </w:rPr>
        <w:t>加强社会主义法治文化和法治乡村建设，营造浓厚法治氛围和环境。加大全民普法力度，完善覆盖城乡的公共法律服务体系。推进法治文化阵地建设，实现法治文化与传统文化、地方文化、行业文化、校园文化有机融合，充分调动人民群众投身依法治国生动实践的积极性和主动性，使全体人民都成为社会主义法治的忠实崇尚者，让尊法、信法、守法、用法、护法成为共同信仰。</w:t>
      </w:r>
    </w:p>
    <w:p>
      <w:pPr>
        <w:snapToGrid w:val="0"/>
        <w:spacing w:line="608" w:lineRule="exact"/>
        <w:jc w:val="center"/>
        <w:outlineLvl w:val="1"/>
        <w:rPr>
          <w:rFonts w:ascii="Times New Roman" w:hAnsi="Times New Roman" w:eastAsia="楷体_GB2312"/>
          <w:b/>
          <w:sz w:val="32"/>
          <w:szCs w:val="32"/>
        </w:rPr>
      </w:pPr>
      <w:bookmarkStart w:id="1290" w:name="_Toc705"/>
      <w:bookmarkStart w:id="1291" w:name="_Toc16168"/>
      <w:bookmarkStart w:id="1292" w:name="_Toc24259"/>
      <w:bookmarkStart w:id="1293" w:name="_Toc1638"/>
      <w:bookmarkStart w:id="1294" w:name="_Toc6841"/>
    </w:p>
    <w:p>
      <w:pPr>
        <w:snapToGrid w:val="0"/>
        <w:spacing w:line="608" w:lineRule="exact"/>
        <w:jc w:val="center"/>
        <w:outlineLvl w:val="1"/>
        <w:rPr>
          <w:rFonts w:ascii="Times New Roman" w:hAnsi="Times New Roman" w:eastAsia="仿宋_GB2312"/>
          <w:sz w:val="32"/>
          <w:szCs w:val="32"/>
        </w:rPr>
      </w:pPr>
      <w:r>
        <w:rPr>
          <w:rFonts w:ascii="Times New Roman" w:hAnsi="Times New Roman" w:eastAsia="楷体_GB2312"/>
          <w:b/>
          <w:sz w:val="32"/>
          <w:szCs w:val="32"/>
        </w:rPr>
        <w:t>第三节  加强和创新政府治理</w:t>
      </w:r>
      <w:bookmarkEnd w:id="1290"/>
      <w:bookmarkEnd w:id="1291"/>
      <w:bookmarkEnd w:id="1292"/>
      <w:bookmarkEnd w:id="1293"/>
      <w:bookmarkEnd w:id="1294"/>
    </w:p>
    <w:p>
      <w:pPr>
        <w:snapToGrid w:val="0"/>
        <w:spacing w:line="608" w:lineRule="exact"/>
        <w:ind w:firstLine="640" w:firstLineChars="200"/>
        <w:rPr>
          <w:rFonts w:ascii="仿宋_GB2312" w:hAnsi="仿宋_GB2312" w:eastAsia="仿宋_GB2312" w:cs="仿宋_GB2312"/>
          <w:sz w:val="32"/>
          <w:szCs w:val="32"/>
        </w:rPr>
      </w:pPr>
    </w:p>
    <w:p>
      <w:pPr>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以法治政府、数字政府建设为牵引，推动政府治理理念、模式、内容、手段全方位变革，打造法治型政府、责任型政府和服务型政府。</w:t>
      </w:r>
    </w:p>
    <w:p>
      <w:pPr>
        <w:tabs>
          <w:tab w:val="left" w:pos="1687"/>
        </w:tabs>
        <w:snapToGrid w:val="0"/>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推进法治型政府建设。</w:t>
      </w:r>
      <w:r>
        <w:rPr>
          <w:rFonts w:hint="eastAsia" w:ascii="仿宋_GB2312" w:hAnsi="仿宋_GB2312" w:eastAsia="仿宋_GB2312" w:cs="仿宋_GB2312"/>
          <w:sz w:val="32"/>
          <w:szCs w:val="32"/>
        </w:rPr>
        <w:t>依法履行政府职能，完善政府权责清单制度及配套政策，落实权责清单“四级四同”原则，加强权责清单动态管理。健全重大行政决策制度，严格遵守法定程序，完善决策风险评估机制，提高行政复议办案质量，增强行政复议的专业性、透明度和公信力，规范政府权力运行。</w:t>
      </w:r>
    </w:p>
    <w:p>
      <w:pPr>
        <w:snapToGrid w:val="0"/>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加强责任型政府建设。</w:t>
      </w:r>
      <w:r>
        <w:rPr>
          <w:rFonts w:hint="eastAsia" w:ascii="仿宋_GB2312" w:hAnsi="仿宋_GB2312" w:eastAsia="仿宋_GB2312" w:cs="仿宋_GB2312"/>
          <w:sz w:val="32"/>
          <w:szCs w:val="32"/>
        </w:rPr>
        <w:t>建立完善重大问题集体决策、专家咨询、社会公示、社会听证等制度，广泛听取意见，确保决策的科学性和正确性。严格遵循法定程序实施行政管理，做到合理合法、程序正当、高效便民、诚实守信、权责统一。全面推行政务公开制度，建立重大事项公示、信息查询和咨询等制度，让公众拥有充分的知情权。</w:t>
      </w:r>
    </w:p>
    <w:p>
      <w:pPr>
        <w:snapToGrid w:val="0"/>
        <w:spacing w:line="608" w:lineRule="exact"/>
        <w:ind w:firstLine="642" w:firstLineChars="200"/>
        <w:rPr>
          <w:rFonts w:ascii="Times New Roman" w:hAnsi="Times New Roman" w:eastAsia="仿宋_GB2312"/>
          <w:sz w:val="32"/>
          <w:szCs w:val="32"/>
        </w:rPr>
      </w:pPr>
      <w:r>
        <w:rPr>
          <w:rFonts w:hint="eastAsia" w:ascii="仿宋_GB2312" w:hAnsi="仿宋_GB2312" w:eastAsia="仿宋_GB2312" w:cs="仿宋_GB2312"/>
          <w:b/>
          <w:sz w:val="32"/>
          <w:szCs w:val="32"/>
        </w:rPr>
        <w:t>加快服务型政府建设。</w:t>
      </w:r>
      <w:r>
        <w:rPr>
          <w:rFonts w:hint="eastAsia" w:ascii="仿宋_GB2312" w:hAnsi="仿宋_GB2312" w:eastAsia="仿宋_GB2312" w:cs="仿宋_GB2312"/>
          <w:sz w:val="32"/>
          <w:szCs w:val="32"/>
        </w:rPr>
        <w:t>深化“互联网+政务服务”，创新大数据监管模式，推进政务服务标准化、规范化、便利化，推动政务流程再造，实现各部门、各层级数据信息互联互通、共享共用，最大化便民利民。创新公共服务供给方式，满足多元化公共服务需求。推进基层办事服务公开，努力实现让群众办事“只进一扇门”“最多跑一次”。加强档案工作，提高档案信息化建设水平。</w:t>
      </w:r>
    </w:p>
    <w:p>
      <w:pPr>
        <w:snapToGrid w:val="0"/>
        <w:spacing w:line="608" w:lineRule="exact"/>
        <w:jc w:val="center"/>
        <w:outlineLvl w:val="1"/>
        <w:rPr>
          <w:rFonts w:ascii="Times New Roman" w:hAnsi="Times New Roman" w:eastAsia="楷体_GB2312"/>
          <w:b/>
          <w:sz w:val="32"/>
          <w:szCs w:val="32"/>
        </w:rPr>
      </w:pPr>
      <w:bookmarkStart w:id="1295" w:name="_Toc11884"/>
      <w:bookmarkStart w:id="1296" w:name="_Toc25433"/>
      <w:bookmarkStart w:id="1297" w:name="_Toc18944"/>
      <w:bookmarkStart w:id="1298" w:name="_Toc14544"/>
      <w:bookmarkStart w:id="1299" w:name="_Toc22645"/>
    </w:p>
    <w:p>
      <w:pPr>
        <w:snapToGrid w:val="0"/>
        <w:spacing w:line="608" w:lineRule="exact"/>
        <w:jc w:val="center"/>
        <w:outlineLvl w:val="1"/>
        <w:rPr>
          <w:rFonts w:ascii="Times New Roman" w:hAnsi="Times New Roman" w:eastAsia="仿宋_GB2312"/>
          <w:sz w:val="32"/>
          <w:szCs w:val="32"/>
        </w:rPr>
      </w:pPr>
      <w:r>
        <w:rPr>
          <w:rFonts w:ascii="Times New Roman" w:hAnsi="Times New Roman" w:eastAsia="楷体_GB2312"/>
          <w:b/>
          <w:sz w:val="32"/>
          <w:szCs w:val="32"/>
        </w:rPr>
        <w:t>第四节  健全基层治理体系</w:t>
      </w:r>
      <w:bookmarkEnd w:id="1295"/>
      <w:bookmarkEnd w:id="1296"/>
      <w:bookmarkEnd w:id="1297"/>
      <w:bookmarkEnd w:id="1298"/>
      <w:bookmarkEnd w:id="1299"/>
    </w:p>
    <w:p>
      <w:pPr>
        <w:snapToGrid w:val="0"/>
        <w:spacing w:line="608" w:lineRule="exact"/>
        <w:ind w:firstLine="640" w:firstLineChars="200"/>
        <w:rPr>
          <w:rFonts w:ascii="仿宋_GB2312" w:hAnsi="仿宋_GB2312" w:eastAsia="仿宋_GB2312" w:cs="仿宋_GB2312"/>
          <w:sz w:val="32"/>
          <w:szCs w:val="32"/>
        </w:rPr>
      </w:pPr>
    </w:p>
    <w:p>
      <w:pPr>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和发展新时代“枫桥经验”，进一步完善基层社会治理体系，理顺基层社会治理架构，形成党的领导坚强有力，政府主导作用全面发挥，社会各方有序参与，基层群众自治成效明显，政府治理与社会自我调节、居民自治良性互动的基层社会治理体系。</w:t>
      </w:r>
    </w:p>
    <w:p>
      <w:pPr>
        <w:snapToGrid w:val="0"/>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推进“三治融合”发展。</w:t>
      </w:r>
      <w:r>
        <w:rPr>
          <w:rFonts w:hint="eastAsia" w:ascii="仿宋_GB2312" w:hAnsi="仿宋_GB2312" w:eastAsia="仿宋_GB2312" w:cs="仿宋_GB2312"/>
          <w:sz w:val="32"/>
          <w:szCs w:val="32"/>
        </w:rPr>
        <w:t>健全党组织领导的自治、法治、德治相结合的城乡基层治理体系，推动社会治理和服务重心向基层下移、向基层放权赋能。加强基层政法工作建设，推进网格化服务管理人员专职化专业化。充分发挥家教家风在基层社会治理中的重要作用，构建社会、学校、家庭“三位一体”德育网络。大力推进移风易俗，加快完善村规民约，深化村民自治实践，加快完善“三治”融合乡村治理体系。完善基层治理手段，推广应用“一部手机三晋通”等智能化治理新模式，提高决策科学性精准性预见性。</w:t>
      </w:r>
    </w:p>
    <w:p>
      <w:pPr>
        <w:pStyle w:val="9"/>
        <w:spacing w:after="0"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创新县域社会治理。</w:t>
      </w:r>
      <w:r>
        <w:rPr>
          <w:rFonts w:hint="eastAsia" w:ascii="仿宋_GB2312" w:hAnsi="仿宋_GB2312" w:eastAsia="仿宋_GB2312" w:cs="仿宋_GB2312"/>
          <w:sz w:val="32"/>
          <w:szCs w:val="32"/>
        </w:rPr>
        <w:t>深入开展县域社会治理现代化试点建设，把“三零”单位创建作为加强社会治理的重要抓手，与践行新时代“枫桥经验”有机结合，深化问题联治、工作联动、平安联创，完善党委领导、政府负责、群团助推、社会协同、公众参与的社会治理体制，不断提高基层治理能力。落实信访“五包”责任制，深入开展信访积案攻坚、矛盾纠纷大排查大化解工作，畅通和规范群众诉求表达、利益协调、权益保障通道，完善各类调解联动工作体系，构建源头防控、排查梳理、纠纷化解、应急处置的社会矛盾综合治理机制。健全社会心理服务体系和危机干预机制。</w:t>
      </w:r>
    </w:p>
    <w:p>
      <w:pPr>
        <w:pStyle w:val="15"/>
        <w:spacing w:beforeAutospacing="0" w:afterAutospacing="0" w:line="608" w:lineRule="exact"/>
        <w:ind w:firstLine="642" w:firstLineChars="200"/>
        <w:textAlignment w:val="baseline"/>
        <w:outlineLvl w:val="2"/>
        <w:rPr>
          <w:rFonts w:ascii="仿宋_GB2312" w:hAnsi="仿宋_GB2312" w:eastAsia="仿宋_GB2312" w:cs="仿宋_GB2312"/>
          <w:sz w:val="32"/>
          <w:szCs w:val="32"/>
        </w:rPr>
      </w:pPr>
      <w:bookmarkStart w:id="1300" w:name="_Toc31665"/>
      <w:bookmarkStart w:id="1301" w:name="_Toc14069"/>
      <w:r>
        <w:rPr>
          <w:rFonts w:hint="eastAsia" w:ascii="仿宋_GB2312" w:hAnsi="仿宋_GB2312" w:eastAsia="仿宋_GB2312" w:cs="仿宋_GB2312"/>
          <w:b/>
          <w:bCs/>
          <w:sz w:val="32"/>
          <w:szCs w:val="32"/>
        </w:rPr>
        <w:t>积极引导各方参与社区共治。</w:t>
      </w:r>
      <w:r>
        <w:rPr>
          <w:rFonts w:hint="eastAsia" w:ascii="仿宋_GB2312" w:hAnsi="仿宋_GB2312" w:eastAsia="仿宋_GB2312" w:cs="仿宋_GB2312"/>
          <w:sz w:val="32"/>
          <w:szCs w:val="32"/>
        </w:rPr>
        <w:t>创新基层群众自治实现途径，推进社区、社会组织、社会工作“三社联动”。充分发挥共建单位、社会组织、企事业单位、社会志愿者的服务资源和专业优势，进一步加强社区社会组织建设，与驻区共建单位签订共驻共建、共建共享协议书，建立资源共享机制，组织住户党员参与社区治理。</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300"/>
      <w:bookmarkEnd w:id="1301"/>
      <w:bookmarkStart w:id="1302" w:name="_Toc43649358"/>
      <w:bookmarkStart w:id="1303" w:name="_Toc30591"/>
      <w:bookmarkStart w:id="1304" w:name="_Toc18909"/>
      <w:bookmarkStart w:id="1305" w:name="_Toc14247"/>
      <w:bookmarkStart w:id="1306" w:name="_Toc3493"/>
      <w:bookmarkStart w:id="1307" w:name="_Toc29470"/>
      <w:bookmarkStart w:id="1308" w:name="_Toc32624"/>
      <w:bookmarkStart w:id="1309" w:name="_Toc13154"/>
    </w:p>
    <w:bookmarkEnd w:id="1302"/>
    <w:p>
      <w:pPr>
        <w:rPr>
          <w:b/>
          <w:spacing w:val="-6"/>
        </w:rPr>
      </w:pPr>
      <w:bookmarkStart w:id="1310" w:name="_Toc13510"/>
      <w:bookmarkStart w:id="1311" w:name="_Toc13506"/>
      <w:bookmarkStart w:id="1312" w:name="_Toc9012"/>
      <w:bookmarkStart w:id="1313" w:name="_Toc9596"/>
      <w:bookmarkStart w:id="1314" w:name="_Toc6013"/>
      <w:bookmarkStart w:id="1315" w:name="_Toc15483"/>
      <w:bookmarkStart w:id="1316" w:name="_Toc26640"/>
      <w:bookmarkStart w:id="1317" w:name="_Toc31470"/>
      <w:bookmarkStart w:id="1318" w:name="_Toc5810"/>
      <w:bookmarkStart w:id="1319" w:name="_Toc5660"/>
      <w:r>
        <w:rPr>
          <w:rFonts w:hint="eastAsia"/>
          <w:b/>
          <w:spacing w:val="-6"/>
        </w:rPr>
        <w:br w:type="page"/>
      </w:r>
    </w:p>
    <w:p>
      <w:pPr>
        <w:pStyle w:val="4"/>
        <w:keepNext w:val="0"/>
        <w:keepLines w:val="0"/>
        <w:spacing w:beforeLines="0" w:afterLines="0" w:line="608" w:lineRule="exact"/>
        <w:rPr>
          <w:b w:val="0"/>
          <w:bCs/>
          <w:spacing w:val="-6"/>
        </w:rPr>
      </w:pPr>
      <w:bookmarkStart w:id="1320" w:name="_Toc8201"/>
    </w:p>
    <w:p>
      <w:pPr>
        <w:pStyle w:val="4"/>
        <w:keepNext w:val="0"/>
        <w:keepLines w:val="0"/>
        <w:spacing w:beforeLines="0" w:afterLines="0" w:line="608" w:lineRule="exact"/>
        <w:rPr>
          <w:b w:val="0"/>
          <w:bCs/>
          <w:spacing w:val="-6"/>
        </w:rPr>
      </w:pPr>
      <w:r>
        <w:rPr>
          <w:rFonts w:hint="eastAsia"/>
          <w:b w:val="0"/>
          <w:bCs/>
          <w:spacing w:val="-14"/>
          <w:sz w:val="36"/>
          <w:szCs w:val="36"/>
        </w:rPr>
        <w:t>第十二章 加强党的领导，凝聚形成推动转型发展的强大合力</w:t>
      </w:r>
      <w:bookmarkEnd w:id="1310"/>
      <w:bookmarkEnd w:id="1311"/>
      <w:bookmarkEnd w:id="1312"/>
      <w:bookmarkEnd w:id="1313"/>
      <w:bookmarkEnd w:id="1314"/>
      <w:bookmarkEnd w:id="1315"/>
      <w:bookmarkEnd w:id="1316"/>
      <w:bookmarkEnd w:id="1317"/>
      <w:bookmarkEnd w:id="1318"/>
      <w:bookmarkEnd w:id="1319"/>
      <w:bookmarkEnd w:id="1320"/>
    </w:p>
    <w:p>
      <w:pPr>
        <w:pStyle w:val="3"/>
        <w:spacing w:after="0" w:line="608" w:lineRule="exact"/>
        <w:ind w:left="0" w:leftChars="0" w:firstLine="640" w:firstLineChars="200"/>
        <w:rPr>
          <w:rFonts w:ascii="仿宋_GB2312" w:hAnsi="仿宋_GB2312" w:eastAsia="仿宋_GB2312" w:cs="仿宋_GB2312"/>
          <w:sz w:val="32"/>
          <w:szCs w:val="32"/>
          <w:shd w:val="clear" w:color="auto" w:fill="FFFFFF"/>
        </w:rPr>
      </w:pPr>
      <w:bookmarkStart w:id="1321" w:name="_Toc28007"/>
      <w:bookmarkStart w:id="1322" w:name="_Toc25695"/>
    </w:p>
    <w:p>
      <w:pPr>
        <w:pStyle w:val="3"/>
        <w:spacing w:after="0" w:line="608" w:lineRule="exact"/>
        <w:ind w:left="0" w:leftChars="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实现“十四五”规划和二〇三五年远景目标，必须坚持党的全面领导，把党总揽全局、协调各方的根本要求贯彻到各项工作中，深化做好经济工作的“五个根本”规律性认识，提高贯彻新发展理念、构建新发展格局的能力水平，在新的起点上凝聚形成推动转型发展的强大合力。</w:t>
      </w:r>
    </w:p>
    <w:p>
      <w:pPr>
        <w:pStyle w:val="5"/>
        <w:keepNext w:val="0"/>
        <w:keepLines w:val="0"/>
        <w:spacing w:beforeLines="0" w:afterLines="0" w:line="608" w:lineRule="exact"/>
        <w:rPr>
          <w:rFonts w:ascii="楷体_GB2312" w:hAnsi="楷体_GB2312" w:eastAsia="楷体_GB2312" w:cs="楷体_GB2312"/>
        </w:rPr>
      </w:pPr>
      <w:bookmarkStart w:id="1323" w:name="_Toc31390"/>
      <w:bookmarkStart w:id="1324" w:name="_Toc13975"/>
      <w:bookmarkStart w:id="1325" w:name="_Toc8403"/>
      <w:bookmarkStart w:id="1326" w:name="_Toc16374"/>
      <w:bookmarkStart w:id="1327" w:name="_Toc21735"/>
      <w:bookmarkStart w:id="1328" w:name="_Toc24058"/>
      <w:bookmarkStart w:id="1329" w:name="_Toc528"/>
      <w:bookmarkStart w:id="1330" w:name="_Toc13114"/>
      <w:bookmarkStart w:id="1331" w:name="_Toc5148"/>
      <w:bookmarkStart w:id="1332" w:name="_Toc31234"/>
      <w:bookmarkStart w:id="1333" w:name="_Toc1782"/>
      <w:bookmarkStart w:id="1334" w:name="_Toc12754"/>
      <w:bookmarkStart w:id="1335" w:name="_Toc25518"/>
      <w:bookmarkStart w:id="1336" w:name="_Toc15296"/>
      <w:bookmarkStart w:id="1337" w:name="_Toc20586"/>
    </w:p>
    <w:p>
      <w:pPr>
        <w:pStyle w:val="5"/>
        <w:keepNext w:val="0"/>
        <w:keepLines w:val="0"/>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第一节  坚持和加强党的全面领导</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pPr>
        <w:spacing w:line="608" w:lineRule="exact"/>
        <w:ind w:firstLine="640" w:firstLineChars="200"/>
        <w:outlineLvl w:val="2"/>
        <w:rPr>
          <w:rFonts w:ascii="仿宋_GB2312" w:hAnsi="仿宋_GB2312" w:eastAsia="仿宋_GB2312" w:cs="仿宋_GB2312"/>
          <w:sz w:val="32"/>
          <w:szCs w:val="32"/>
        </w:rPr>
      </w:pPr>
      <w:bookmarkStart w:id="1338" w:name="_Toc18893"/>
      <w:bookmarkStart w:id="1339" w:name="_Toc25906"/>
    </w:p>
    <w:p>
      <w:pPr>
        <w:spacing w:line="608"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坚持党对一切工作的领导，以政治建设为统领，提高党把方向、谋大局、定政策、促改革的能力和定力，确保经济社会发展始终沿着正确的道路前进。</w:t>
      </w:r>
      <w:bookmarkEnd w:id="1338"/>
      <w:bookmarkEnd w:id="1339"/>
    </w:p>
    <w:p>
      <w:pPr>
        <w:spacing w:line="608" w:lineRule="exact"/>
        <w:ind w:firstLine="642" w:firstLineChars="200"/>
        <w:outlineLvl w:val="2"/>
        <w:rPr>
          <w:rFonts w:ascii="仿宋_GB2312" w:hAnsi="仿宋_GB2312" w:eastAsia="仿宋_GB2312" w:cs="仿宋_GB2312"/>
          <w:sz w:val="32"/>
          <w:szCs w:val="32"/>
        </w:rPr>
      </w:pPr>
      <w:bookmarkStart w:id="1340" w:name="_Toc24588"/>
      <w:bookmarkStart w:id="1341" w:name="_Toc31879"/>
      <w:r>
        <w:rPr>
          <w:rFonts w:hint="eastAsia" w:ascii="仿宋_GB2312" w:hAnsi="仿宋_GB2312" w:eastAsia="仿宋_GB2312" w:cs="仿宋_GB2312"/>
          <w:b/>
          <w:bCs/>
          <w:sz w:val="32"/>
          <w:szCs w:val="32"/>
        </w:rPr>
        <w:t>坚定践行初心使命。</w:t>
      </w:r>
      <w:r>
        <w:rPr>
          <w:rFonts w:hint="eastAsia" w:ascii="仿宋_GB2312" w:hAnsi="仿宋_GB2312" w:eastAsia="仿宋_GB2312" w:cs="仿宋_GB2312"/>
          <w:sz w:val="32"/>
          <w:szCs w:val="32"/>
        </w:rPr>
        <w:t>深入学习贯彻习近平新时代中国特色社会主义思想，在学懂弄通做实上下功夫，切实以习近平新时代中国特色社会主义思想武装头脑、指导实践、推动工作。要以迎接和庆祝中国共产党成立100 周年为契机，深入总结和学习运用党100年的宝贵经验，持续巩固深化“不忘初心、牢记使命”主题教育成果，教育引导广大党员干部把对初心使命的坚守转化为开拓创新、锐意进取的精气神和埋头苦干、真抓实干的原动力。深入开展党史学习教育，为我县高质量发展提供坚强政治和组织保证。</w:t>
      </w:r>
      <w:bookmarkEnd w:id="1340"/>
      <w:bookmarkEnd w:id="1341"/>
    </w:p>
    <w:p>
      <w:pPr>
        <w:spacing w:line="608" w:lineRule="exact"/>
        <w:ind w:firstLine="642" w:firstLineChars="200"/>
        <w:outlineLvl w:val="2"/>
        <w:rPr>
          <w:rFonts w:ascii="仿宋_GB2312" w:hAnsi="仿宋_GB2312" w:eastAsia="仿宋_GB2312" w:cs="仿宋_GB2312"/>
          <w:b/>
          <w:bCs/>
          <w:sz w:val="32"/>
          <w:szCs w:val="32"/>
        </w:rPr>
      </w:pPr>
      <w:bookmarkStart w:id="1342" w:name="_Toc5694"/>
      <w:bookmarkStart w:id="1343" w:name="_Toc15304"/>
      <w:r>
        <w:rPr>
          <w:rFonts w:hint="eastAsia" w:ascii="仿宋_GB2312" w:hAnsi="仿宋_GB2312" w:eastAsia="仿宋_GB2312" w:cs="仿宋_GB2312"/>
          <w:b/>
          <w:sz w:val="32"/>
          <w:szCs w:val="32"/>
        </w:rPr>
        <w:t>加强党对经济社会发展的全面领导。</w:t>
      </w:r>
      <w:r>
        <w:rPr>
          <w:rFonts w:hint="eastAsia" w:ascii="仿宋_GB2312" w:hAnsi="仿宋_GB2312" w:eastAsia="仿宋_GB2312" w:cs="仿宋_GB2312"/>
          <w:sz w:val="32"/>
          <w:szCs w:val="32"/>
        </w:rPr>
        <w:t>全县各级党组织要增强政治意识，善于从政治上看问题，善于把握政治大局，不断提高政治判断力、政治领悟力、政治执行力，加强对经济社会重大事务的综合协调，提高管大事、议大事能力，发挥把方向、管大局、保落实作用。健全贯彻落实习近平总书记重要讲话、重要指示批示精神和中央、省委、市委重大决策部署牵头抓总，督促检查和问责机制，着力提升干部队伍推动经济社会发展的能力，加强专业化培训。坚持目标导向和问题导向，着力解决经济社会发展中的短板和突出问题，确保如期全面完成“十四五”规划的各项目标任务。</w:t>
      </w:r>
      <w:bookmarkEnd w:id="1342"/>
      <w:bookmarkEnd w:id="1343"/>
    </w:p>
    <w:p>
      <w:pPr>
        <w:spacing w:line="60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持续构建良好政治生态。</w:t>
      </w:r>
      <w:r>
        <w:rPr>
          <w:rFonts w:hint="eastAsia" w:ascii="仿宋_GB2312" w:hAnsi="仿宋_GB2312" w:eastAsia="仿宋_GB2312" w:cs="仿宋_GB2312"/>
          <w:sz w:val="32"/>
          <w:szCs w:val="32"/>
        </w:rPr>
        <w:t>坚持全面从严治党，落实党委（党组）主体责任、党委（党组）书记第一责任人责任、纪检监察机关监督责任，班子成员严格落实“一岗双责”。贯彻落实习近平总书记“坚持和完善党和国家监督体系”的要求，构建党统一领导、全面覆盖、权威高效的监督体系，形成以党内监督为主，其他监督贯通协调的监督合力。严明党的政治纪律和政治规矩，强化政治监督，巩固拓展落实中央八项规定精神成果，坚决反对形式主义、官僚主义，着力整治群众身边的腐败和作风问题，健全纠“四风”和树新风并举的作风建设长效机制，一体推进不敢腐、不能腐、不想腐，持续巩固反腐败斗争压倒性胜利。</w:t>
      </w:r>
    </w:p>
    <w:p>
      <w:pPr>
        <w:pStyle w:val="5"/>
        <w:keepNext w:val="0"/>
        <w:keepLines w:val="0"/>
        <w:spacing w:beforeLines="0" w:afterLines="0" w:line="608" w:lineRule="exact"/>
        <w:rPr>
          <w:rFonts w:ascii="楷体_GB2312" w:hAnsi="楷体_GB2312" w:eastAsia="楷体_GB2312" w:cs="楷体_GB2312"/>
        </w:rPr>
      </w:pPr>
      <w:bookmarkStart w:id="1344" w:name="_Toc14640"/>
      <w:bookmarkStart w:id="1345" w:name="_Toc12911"/>
      <w:bookmarkStart w:id="1346" w:name="_Toc31185"/>
      <w:bookmarkStart w:id="1347" w:name="_Toc19355"/>
      <w:bookmarkStart w:id="1348" w:name="_Toc22852"/>
      <w:bookmarkStart w:id="1349" w:name="_Toc8416"/>
      <w:bookmarkStart w:id="1350" w:name="_Toc24937"/>
      <w:bookmarkStart w:id="1351" w:name="_Toc20625"/>
      <w:bookmarkStart w:id="1352" w:name="_Toc32060"/>
      <w:bookmarkStart w:id="1353" w:name="_Toc20589"/>
    </w:p>
    <w:p>
      <w:pPr>
        <w:pStyle w:val="5"/>
        <w:keepNext w:val="0"/>
        <w:keepLines w:val="0"/>
        <w:spacing w:beforeLines="0" w:afterLines="0" w:line="608" w:lineRule="exact"/>
        <w:rPr>
          <w:rFonts w:ascii="楷体_GB2312" w:hAnsi="楷体_GB2312" w:eastAsia="楷体_GB2312" w:cs="楷体_GB2312"/>
        </w:rPr>
      </w:pPr>
      <w:r>
        <w:rPr>
          <w:rFonts w:hint="eastAsia" w:ascii="楷体_GB2312" w:hAnsi="楷体_GB2312" w:eastAsia="楷体_GB2312" w:cs="楷体_GB2312"/>
        </w:rPr>
        <w:t xml:space="preserve">第二节  </w:t>
      </w:r>
      <w:bookmarkEnd w:id="1344"/>
      <w:bookmarkEnd w:id="1345"/>
      <w:bookmarkEnd w:id="1346"/>
      <w:bookmarkEnd w:id="1347"/>
      <w:bookmarkEnd w:id="1348"/>
      <w:bookmarkEnd w:id="1349"/>
      <w:r>
        <w:rPr>
          <w:rFonts w:hint="eastAsia" w:ascii="楷体_GB2312" w:hAnsi="楷体_GB2312" w:eastAsia="楷体_GB2312" w:cs="楷体_GB2312"/>
        </w:rPr>
        <w:t>凝聚各方力量共识</w:t>
      </w:r>
      <w:bookmarkEnd w:id="1350"/>
      <w:bookmarkEnd w:id="1351"/>
      <w:bookmarkEnd w:id="1352"/>
      <w:bookmarkEnd w:id="1353"/>
    </w:p>
    <w:p>
      <w:pPr>
        <w:autoSpaceDE w:val="0"/>
        <w:spacing w:line="608" w:lineRule="exact"/>
        <w:ind w:firstLine="640" w:firstLineChars="200"/>
        <w:rPr>
          <w:rFonts w:ascii="仿宋_GB2312" w:hAnsi="仿宋_GB2312" w:eastAsia="仿宋_GB2312" w:cs="仿宋_GB2312"/>
          <w:sz w:val="32"/>
          <w:szCs w:val="32"/>
        </w:rPr>
      </w:pPr>
    </w:p>
    <w:p>
      <w:pPr>
        <w:autoSpaceDE w:val="0"/>
        <w:spacing w:line="60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贯</w:t>
      </w:r>
      <w:r>
        <w:rPr>
          <w:rFonts w:hint="eastAsia" w:ascii="仿宋_GB2312" w:hAnsi="仿宋_GB2312" w:eastAsia="仿宋_GB2312" w:cs="仿宋_GB2312"/>
          <w:sz w:val="32"/>
          <w:szCs w:val="32"/>
        </w:rPr>
        <w:t>彻</w:t>
      </w:r>
      <w:r>
        <w:rPr>
          <w:rFonts w:ascii="仿宋_GB2312" w:hAnsi="仿宋_GB2312" w:eastAsia="仿宋_GB2312" w:cs="仿宋_GB2312"/>
          <w:sz w:val="32"/>
          <w:szCs w:val="32"/>
        </w:rPr>
        <w:t>党的群众路线，完善党密切联系群众的机制，始终做到为了群众、相信群众、依靠群众，不断增强人民群众对党的信任和信心，筑牢党长期执政最可靠的社会基础和群众根基</w:t>
      </w:r>
      <w:r>
        <w:rPr>
          <w:rFonts w:hint="eastAsia" w:ascii="仿宋_GB2312" w:hAnsi="仿宋_GB2312" w:eastAsia="仿宋_GB2312" w:cs="仿宋_GB2312"/>
          <w:sz w:val="32"/>
          <w:szCs w:val="32"/>
        </w:rPr>
        <w:t>。</w:t>
      </w:r>
    </w:p>
    <w:p>
      <w:pPr>
        <w:autoSpaceDE w:val="0"/>
        <w:spacing w:line="608" w:lineRule="exact"/>
        <w:ind w:firstLine="642" w:firstLineChars="200"/>
        <w:outlineLvl w:val="2"/>
        <w:rPr>
          <w:sz w:val="32"/>
          <w:szCs w:val="32"/>
        </w:rPr>
      </w:pPr>
      <w:bookmarkStart w:id="1354" w:name="_Toc18763"/>
      <w:bookmarkStart w:id="1355" w:name="_Toc22353"/>
      <w:r>
        <w:rPr>
          <w:rFonts w:hint="eastAsia" w:ascii="仿宋_GB2312" w:hAnsi="仿宋_GB2312" w:eastAsia="仿宋_GB2312" w:cs="仿宋_GB2312"/>
          <w:b/>
          <w:bCs/>
          <w:sz w:val="32"/>
          <w:szCs w:val="32"/>
        </w:rPr>
        <w:t>推进社会主义民主政治建设。</w:t>
      </w:r>
      <w:r>
        <w:rPr>
          <w:rFonts w:hint="eastAsia" w:ascii="仿宋_GB2312" w:hAnsi="仿宋_GB2312" w:eastAsia="仿宋_GB2312" w:cs="仿宋_GB2312"/>
          <w:sz w:val="32"/>
          <w:szCs w:val="32"/>
        </w:rPr>
        <w:t>坚持和完善人民代表大会制度，支持和保证人大及其常委会依法行使职权，强化人大代表与人民群众联系，扩大人民有序政治参与。加强和改善新时代人民政协工作，完善协商于决策之前和决策实施之中的落实机制，不断提高建言资政和凝聚共识水平。健全工会、共青团、妇联等群团组织和社会组织广泛联系、服务群众的工作体系，充分发挥民主党派、工商联、无党派人士和民族宗教界人士的作用，完善大统战工作格局，巩固和发展最广泛的爱国统一战线，调动一切积极因素，凝聚起推进改革发展、维护社会和谐稳定、实现“十四五”规划目标的强大合力。</w:t>
      </w:r>
      <w:bookmarkEnd w:id="1354"/>
      <w:bookmarkEnd w:id="1355"/>
    </w:p>
    <w:p>
      <w:pPr>
        <w:autoSpaceDE w:val="0"/>
        <w:spacing w:line="608" w:lineRule="exact"/>
        <w:ind w:firstLine="642" w:firstLineChars="200"/>
        <w:outlineLvl w:val="2"/>
        <w:rPr>
          <w:rFonts w:ascii="仿宋_GB2312" w:hAnsi="Times New Roman" w:eastAsia="仿宋_GB2312"/>
          <w:sz w:val="32"/>
          <w:szCs w:val="32"/>
        </w:rPr>
      </w:pPr>
      <w:bookmarkStart w:id="1356" w:name="_Toc31900"/>
      <w:bookmarkStart w:id="1357" w:name="_Toc16007"/>
      <w:r>
        <w:rPr>
          <w:rFonts w:ascii="仿宋_GB2312" w:hAnsi="仿宋_GB2312" w:eastAsia="仿宋_GB2312" w:cs="仿宋_GB2312"/>
          <w:b/>
          <w:bCs/>
          <w:sz w:val="32"/>
          <w:szCs w:val="32"/>
        </w:rPr>
        <w:t>充分调动全社会积极性。</w:t>
      </w:r>
      <w:r>
        <w:rPr>
          <w:rFonts w:ascii="仿宋_GB2312" w:hAnsi="仿宋_GB2312" w:eastAsia="仿宋_GB2312" w:cs="仿宋_GB2312"/>
          <w:sz w:val="32"/>
          <w:szCs w:val="32"/>
        </w:rPr>
        <w:t>采取多种形式、通过多种渠道，广泛开展“十四五”规划的宣传和展示，让规划确定的目标任务深入人心，激发全</w:t>
      </w:r>
      <w:r>
        <w:rPr>
          <w:rFonts w:hint="eastAsia" w:ascii="仿宋_GB2312" w:hAnsi="仿宋_GB2312" w:eastAsia="仿宋_GB2312" w:cs="仿宋_GB2312"/>
          <w:sz w:val="32"/>
          <w:szCs w:val="32"/>
        </w:rPr>
        <w:t>县</w:t>
      </w:r>
      <w:r>
        <w:rPr>
          <w:rFonts w:ascii="仿宋_GB2312" w:hAnsi="仿宋_GB2312" w:eastAsia="仿宋_GB2312" w:cs="仿宋_GB2312"/>
          <w:sz w:val="32"/>
          <w:szCs w:val="32"/>
        </w:rPr>
        <w:t>人民参与规划实施、建设美好生活的主人翁意识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着力推进规划实施信息公开，在全社会营造关心规划、自觉参与规划实施的良好氛围。提高规划实施的民主化和透明度，增进市场主体、民众、社会组织对规划战略定位、主要目标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重点任务和重大举措的认知。促进社会公众积极参与规</w:t>
      </w:r>
      <w:r>
        <w:rPr>
          <w:rFonts w:hint="eastAsia" w:ascii="仿宋_GB2312" w:hAnsi="仿宋_GB2312" w:eastAsia="仿宋_GB2312" w:cs="仿宋_GB2312"/>
          <w:sz w:val="32"/>
          <w:szCs w:val="32"/>
        </w:rPr>
        <w:t>划实施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引</w:t>
      </w:r>
      <w:r>
        <w:rPr>
          <w:rFonts w:ascii="仿宋_GB2312" w:hAnsi="仿宋_GB2312" w:eastAsia="仿宋_GB2312" w:cs="仿宋_GB2312"/>
          <w:sz w:val="32"/>
          <w:szCs w:val="32"/>
        </w:rPr>
        <w:t>导市场主体行为和资源配置方向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发挥新闻媒体、群众社团的桥梁和监督作用，</w:t>
      </w:r>
      <w:r>
        <w:rPr>
          <w:rFonts w:hint="eastAsia" w:ascii="仿宋_GB2312" w:hAnsi="仿宋_GB2312" w:eastAsia="仿宋_GB2312" w:cs="仿宋_GB2312"/>
          <w:sz w:val="32"/>
          <w:szCs w:val="32"/>
        </w:rPr>
        <w:t>促进</w:t>
      </w:r>
      <w:r>
        <w:rPr>
          <w:rFonts w:ascii="仿宋_GB2312" w:hAnsi="仿宋_GB2312" w:eastAsia="仿宋_GB2312" w:cs="仿宋_GB2312"/>
          <w:sz w:val="32"/>
          <w:szCs w:val="32"/>
        </w:rPr>
        <w:t>各级各类规划有效</w:t>
      </w:r>
      <w:r>
        <w:rPr>
          <w:rFonts w:hint="eastAsia" w:ascii="仿宋_GB2312" w:hAnsi="仿宋_GB2312" w:eastAsia="仿宋_GB2312" w:cs="仿宋_GB2312"/>
          <w:sz w:val="32"/>
          <w:szCs w:val="32"/>
        </w:rPr>
        <w:t>实施。</w:t>
      </w:r>
      <w:bookmarkEnd w:id="1356"/>
      <w:bookmarkEnd w:id="1357"/>
    </w:p>
    <w:p>
      <w:pPr>
        <w:pStyle w:val="5"/>
        <w:keepNext w:val="0"/>
        <w:keepLines w:val="0"/>
        <w:spacing w:beforeLines="0" w:afterLines="0" w:line="608" w:lineRule="exact"/>
        <w:rPr>
          <w:rStyle w:val="56"/>
          <w:rFonts w:ascii="楷体_GB2312" w:hAnsi="楷体_GB2312" w:eastAsia="楷体_GB2312" w:cs="楷体_GB2312"/>
          <w:b/>
        </w:rPr>
      </w:pPr>
      <w:bookmarkStart w:id="1358" w:name="_Toc24111"/>
      <w:bookmarkStart w:id="1359" w:name="_Toc30105"/>
      <w:bookmarkStart w:id="1360" w:name="_Toc17106"/>
      <w:bookmarkStart w:id="1361" w:name="_Toc25846"/>
      <w:bookmarkStart w:id="1362" w:name="_Toc21936"/>
      <w:bookmarkStart w:id="1363" w:name="_Toc28463"/>
      <w:bookmarkStart w:id="1364" w:name="_Toc22596"/>
      <w:bookmarkStart w:id="1365" w:name="_Toc10058"/>
      <w:bookmarkStart w:id="1366" w:name="_Toc16417"/>
      <w:bookmarkStart w:id="1367" w:name="_Toc27353"/>
      <w:bookmarkStart w:id="1368" w:name="_Toc16326"/>
      <w:bookmarkStart w:id="1369" w:name="_Toc14875"/>
      <w:bookmarkStart w:id="1370" w:name="_Toc11818"/>
      <w:bookmarkStart w:id="1371" w:name="_Toc24960"/>
      <w:bookmarkStart w:id="1372" w:name="_Toc29337"/>
      <w:bookmarkStart w:id="1373" w:name="_Toc4105"/>
      <w:bookmarkStart w:id="1374" w:name="_Toc7423"/>
      <w:bookmarkStart w:id="1375" w:name="_Toc30301"/>
    </w:p>
    <w:p>
      <w:pPr>
        <w:pStyle w:val="5"/>
        <w:keepNext w:val="0"/>
        <w:keepLines w:val="0"/>
        <w:spacing w:beforeLines="0" w:afterLines="0" w:line="608" w:lineRule="exact"/>
        <w:rPr>
          <w:rStyle w:val="56"/>
          <w:rFonts w:ascii="楷体_GB2312" w:hAnsi="楷体_GB2312" w:eastAsia="楷体_GB2312" w:cs="楷体_GB2312"/>
          <w:b/>
        </w:rPr>
      </w:pPr>
      <w:r>
        <w:rPr>
          <w:rStyle w:val="56"/>
          <w:rFonts w:hint="eastAsia" w:ascii="楷体_GB2312" w:hAnsi="楷体_GB2312" w:eastAsia="楷体_GB2312" w:cs="楷体_GB2312"/>
          <w:b/>
        </w:rPr>
        <w:t>第三节  加强规划实施保障</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pPr>
        <w:autoSpaceDE w:val="0"/>
        <w:spacing w:line="608" w:lineRule="exact"/>
        <w:ind w:firstLine="640" w:firstLineChars="200"/>
        <w:rPr>
          <w:rFonts w:ascii="仿宋_GB2312" w:hAnsi="仿宋_GB2312" w:eastAsia="仿宋_GB2312" w:cs="仿宋_GB2312"/>
          <w:sz w:val="32"/>
          <w:szCs w:val="32"/>
        </w:rPr>
      </w:pPr>
    </w:p>
    <w:p>
      <w:pPr>
        <w:autoSpaceDE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全面落实“十四五”规划《纲要》，必须进一步建立健全规划实施保障机制，把握好规划实施的重点和时序，确保规划目标和任务的实现。</w:t>
      </w:r>
    </w:p>
    <w:p>
      <w:pPr>
        <w:pStyle w:val="2"/>
        <w:autoSpaceDE w:val="0"/>
        <w:spacing w:before="0" w:beforeAutospacing="0" w:line="608" w:lineRule="exact"/>
        <w:ind w:left="0" w:leftChars="0" w:firstLine="643"/>
        <w:outlineLvl w:val="2"/>
        <w:rPr>
          <w:rFonts w:ascii="仿宋_GB2312" w:hAnsi="仿宋_GB2312" w:eastAsia="仿宋_GB2312" w:cs="仿宋_GB2312"/>
          <w:sz w:val="32"/>
          <w:szCs w:val="32"/>
        </w:rPr>
      </w:pPr>
      <w:bookmarkStart w:id="1376" w:name="_Toc3013"/>
      <w:bookmarkStart w:id="1377" w:name="_Toc31751"/>
      <w:r>
        <w:rPr>
          <w:rFonts w:hint="eastAsia" w:ascii="仿宋_GB2312" w:hAnsi="仿宋_GB2312" w:eastAsia="仿宋_GB2312" w:cs="仿宋_GB2312"/>
          <w:b/>
          <w:bCs/>
          <w:sz w:val="32"/>
          <w:szCs w:val="32"/>
        </w:rPr>
        <w:t>组织保障。</w:t>
      </w:r>
      <w:r>
        <w:rPr>
          <w:rFonts w:hint="eastAsia" w:ascii="仿宋_GB2312" w:hAnsi="仿宋_GB2312" w:eastAsia="仿宋_GB2312" w:cs="仿宋_GB2312"/>
          <w:sz w:val="32"/>
          <w:szCs w:val="32"/>
        </w:rPr>
        <w:t>加强党对规划《纲要》实施的领导，建立健全组织机构，搞好责任分工，形成落实合力。强化规划《纲要》对全县经济社会发展的统筹引领作用，按照“多规合一”的思路，加强各类规划的衔接，在规划《纲要》统一指导下，努力形成总体目标一致、空间配置协调、时序安排科学的县域经济社会发展规划体系。各专项规划要细化落实规划《纲要》提出的主要任务，与总体规划和上级专项规划衔接。按照分级管理的原则，将规划中确定的目标任务列入相关职能部门年度工作计划并组织落实，加强年度计划与规划的衔接，确保规划目标任务有计划、有步骤地落实。</w:t>
      </w:r>
      <w:bookmarkEnd w:id="1376"/>
      <w:bookmarkEnd w:id="1377"/>
    </w:p>
    <w:p>
      <w:pPr>
        <w:pStyle w:val="2"/>
        <w:autoSpaceDE w:val="0"/>
        <w:spacing w:before="0" w:beforeAutospacing="0" w:line="608" w:lineRule="exact"/>
        <w:ind w:left="0" w:leftChars="0" w:firstLine="643"/>
        <w:outlineLvl w:val="2"/>
        <w:rPr>
          <w:rFonts w:ascii="仿宋_GB2312" w:hAnsi="仿宋_GB2312" w:eastAsia="仿宋_GB2312" w:cs="仿宋_GB2312"/>
          <w:sz w:val="32"/>
          <w:szCs w:val="32"/>
        </w:rPr>
      </w:pPr>
      <w:bookmarkStart w:id="1378" w:name="_Toc29871"/>
      <w:bookmarkStart w:id="1379" w:name="_Toc3592"/>
      <w:r>
        <w:rPr>
          <w:rFonts w:hint="eastAsia" w:ascii="仿宋_GB2312" w:hAnsi="仿宋_GB2312" w:eastAsia="仿宋_GB2312" w:cs="仿宋_GB2312"/>
          <w:b/>
          <w:bCs/>
          <w:sz w:val="32"/>
          <w:szCs w:val="32"/>
        </w:rPr>
        <w:t>要素保障。</w:t>
      </w:r>
      <w:r>
        <w:rPr>
          <w:rFonts w:hint="eastAsia" w:ascii="仿宋_GB2312" w:hAnsi="仿宋_GB2312" w:eastAsia="仿宋_GB2312" w:cs="仿宋_GB2312"/>
          <w:sz w:val="32"/>
          <w:szCs w:val="32"/>
        </w:rPr>
        <w:t>围绕规划要求，强化政策导向，落实各项有利于规划实施的现行政策，研究制定相关配套政策。产业发展要立足既符合国家投资导向又符合我县实际，引导产业合理布局、优化升级。产业准入要紧扣“转型出雏型”目标要求，坚决管控和淘汰落后产能，推进传统产业转型升级，聚焦“六新”新兴产业。投资政策要优化投资结构，保持投资合理增长，注重提高投资的质量和效益，严禁重复建设。土地供应要适当扩大建设用地供给，满足转型发展需求。人口管理政策倾向要吸纳更多的外来人口，促进流动人口本地化，提高城镇化水平。在用足用活用好国家、省、市各项支持政策措施的基础上，积极争取国家、省、市在土地、环保、节能、财税、改革、创新等方面给予我县的政策支持，争取“十四五” 期间有更大的发展空间。</w:t>
      </w:r>
      <w:bookmarkEnd w:id="1378"/>
      <w:bookmarkEnd w:id="1379"/>
    </w:p>
    <w:p>
      <w:pPr>
        <w:pStyle w:val="2"/>
        <w:autoSpaceDE w:val="0"/>
        <w:spacing w:before="0" w:beforeAutospacing="0" w:line="608" w:lineRule="exact"/>
        <w:ind w:left="0" w:leftChars="0" w:firstLine="643"/>
        <w:outlineLvl w:val="2"/>
        <w:rPr>
          <w:rFonts w:ascii="仿宋_GB2312" w:hAnsi="仿宋_GB2312" w:eastAsia="仿宋_GB2312" w:cs="仿宋_GB2312"/>
          <w:sz w:val="32"/>
          <w:szCs w:val="32"/>
        </w:rPr>
      </w:pPr>
      <w:bookmarkStart w:id="1380" w:name="_Toc1668"/>
      <w:bookmarkStart w:id="1381" w:name="_Toc5144"/>
      <w:r>
        <w:rPr>
          <w:rFonts w:hint="eastAsia" w:ascii="仿宋_GB2312" w:hAnsi="仿宋_GB2312" w:eastAsia="仿宋_GB2312" w:cs="仿宋_GB2312"/>
          <w:b/>
          <w:bCs/>
          <w:sz w:val="32"/>
          <w:szCs w:val="32"/>
        </w:rPr>
        <w:t>项目保障。</w:t>
      </w:r>
      <w:r>
        <w:rPr>
          <w:rFonts w:hint="eastAsia" w:ascii="仿宋_GB2312" w:hAnsi="仿宋_GB2312" w:eastAsia="仿宋_GB2312" w:cs="仿宋_GB2312"/>
          <w:sz w:val="32"/>
          <w:szCs w:val="32"/>
        </w:rPr>
        <w:t>坚持项目为王，按照集中力量办大事的原则，强化项目策划，搞好项目储备，加快前期工作，组织实施好一批关系全局和长远发展的重大项目。继续实施项目带动战略，“十四五”期间，重点规划实施聚焦“六新”的新兴产业项目、现代农业产业示范项目、文旅项目、县城扩容提质项目、交通能源等基础设施项目、生态环保项目、城乡公共服务项目等重大项目。</w:t>
      </w:r>
      <w:bookmarkEnd w:id="1380"/>
      <w:bookmarkEnd w:id="1381"/>
    </w:p>
    <w:p>
      <w:pPr>
        <w:pStyle w:val="2"/>
        <w:autoSpaceDE w:val="0"/>
        <w:spacing w:before="0" w:beforeAutospacing="0" w:line="608" w:lineRule="exact"/>
        <w:ind w:left="0" w:leftChars="0" w:firstLine="643"/>
        <w:outlineLvl w:val="2"/>
        <w:rPr>
          <w:sz w:val="32"/>
          <w:szCs w:val="32"/>
        </w:rPr>
      </w:pPr>
      <w:bookmarkStart w:id="1382" w:name="_Toc14542"/>
      <w:bookmarkStart w:id="1383" w:name="_Toc2186"/>
      <w:r>
        <w:rPr>
          <w:rFonts w:hint="eastAsia" w:ascii="仿宋_GB2312" w:hAnsi="仿宋_GB2312" w:eastAsia="仿宋_GB2312" w:cs="仿宋_GB2312"/>
          <w:b/>
          <w:bCs/>
          <w:sz w:val="32"/>
          <w:szCs w:val="32"/>
        </w:rPr>
        <w:t>机制保障。</w:t>
      </w:r>
      <w:r>
        <w:rPr>
          <w:rFonts w:hint="eastAsia" w:ascii="仿宋_GB2312" w:hAnsi="仿宋_GB2312" w:eastAsia="仿宋_GB2312" w:cs="仿宋_GB2312"/>
          <w:sz w:val="32"/>
          <w:szCs w:val="32"/>
        </w:rPr>
        <w:t>自觉接受人民代表大会及其常务委员会对规划《纲要》实施情况的法律监督，定期将规划目标和主要任务实施情况向人大常委会报告，主动接受县政协的民主监督。涉及人民群众切身利益的，要通过多种形式听取社会公众的意见，充分发挥社会各界参与规划纲要实施的主动性和创造性，形成全社会关心、自觉参与和监督规划纲要实施的良好氛围。加强对规划实施的监测、预警、协调，及时向党委、政府报告重大问题。在规划实施的中期阶段，要开展全面评估，分析评价规划实施效果和政策措施落实情况，及时发现问题并提出修改意见。</w:t>
      </w:r>
      <w:bookmarkEnd w:id="1382"/>
      <w:bookmarkEnd w:id="1383"/>
    </w:p>
    <w:bookmarkEnd w:id="1303"/>
    <w:bookmarkEnd w:id="1304"/>
    <w:bookmarkEnd w:id="1305"/>
    <w:bookmarkEnd w:id="1306"/>
    <w:bookmarkEnd w:id="1307"/>
    <w:bookmarkEnd w:id="1308"/>
    <w:bookmarkEnd w:id="1309"/>
    <w:p>
      <w:pPr>
        <w:pStyle w:val="4"/>
        <w:keepNext w:val="0"/>
        <w:keepLines w:val="0"/>
        <w:spacing w:beforeLines="0" w:afterLines="0" w:line="608" w:lineRule="exact"/>
        <w:ind w:firstLine="640" w:firstLineChars="200"/>
        <w:jc w:val="both"/>
        <w:rPr>
          <w:rFonts w:ascii="仿宋_GB2312" w:hAnsi="仿宋_GB2312" w:eastAsia="仿宋_GB2312" w:cs="仿宋_GB2312"/>
          <w:b w:val="0"/>
          <w:kern w:val="2"/>
          <w:szCs w:val="32"/>
        </w:rPr>
      </w:pPr>
      <w:bookmarkStart w:id="1384" w:name="_Toc19883"/>
      <w:bookmarkStart w:id="1385" w:name="_Toc6933"/>
      <w:bookmarkStart w:id="1386" w:name="_Toc24257"/>
      <w:bookmarkStart w:id="1387" w:name="_Toc25541"/>
      <w:bookmarkStart w:id="1388" w:name="_Toc18001"/>
      <w:r>
        <w:rPr>
          <w:rFonts w:hint="eastAsia" w:ascii="仿宋_GB2312" w:hAnsi="仿宋_GB2312" w:eastAsia="仿宋_GB2312" w:cs="仿宋_GB2312"/>
          <w:b w:val="0"/>
          <w:kern w:val="2"/>
          <w:szCs w:val="32"/>
        </w:rPr>
        <w:t>实现“十四五”规划和二〇三五年远景目标，意义重大，任务艰巨。全县上下要更加紧密团结在以习近平同志为核心的党中央周围，在省市委的坚强领导下，牢记初心使命，埋头苦干实干，在新时代新征程中奋勇争先、建功立业，在服务和融入新发展格局上展现更大作为，为奋力谱写全面建设社会主义现代化国家长子篇章而不懈奋斗！</w:t>
      </w:r>
      <w:bookmarkEnd w:id="1384"/>
      <w:bookmarkEnd w:id="1385"/>
      <w:bookmarkEnd w:id="1386"/>
      <w:bookmarkEnd w:id="1387"/>
      <w:bookmarkEnd w:id="1388"/>
    </w:p>
    <w:p>
      <w:pPr>
        <w:pStyle w:val="2"/>
      </w:pPr>
    </w:p>
    <w:p/>
    <w:p>
      <w:pPr>
        <w:pStyle w:val="2"/>
      </w:pPr>
    </w:p>
    <w:p/>
    <w:p>
      <w:pPr>
        <w:pStyle w:val="2"/>
      </w:pPr>
    </w:p>
    <w:p/>
    <w:p>
      <w:pPr>
        <w:pStyle w:val="2"/>
      </w:pPr>
    </w:p>
    <w:p/>
    <w:p>
      <w:pPr>
        <w:pStyle w:val="2"/>
      </w:pPr>
    </w:p>
    <w:p/>
    <w:p>
      <w:pPr>
        <w:pStyle w:val="2"/>
      </w:pPr>
    </w:p>
    <w:p/>
    <w:p>
      <w:pPr>
        <w:pStyle w:val="2"/>
      </w:pPr>
    </w:p>
    <w:p/>
    <w:p>
      <w:pPr>
        <w:pStyle w:val="2"/>
        <w:sectPr>
          <w:footerReference r:id="rId4" w:type="default"/>
          <w:pgSz w:w="11906" w:h="16838"/>
          <w:pgMar w:top="1814" w:right="1587" w:bottom="1587" w:left="1587" w:header="851" w:footer="1106" w:gutter="0"/>
          <w:pgNumType w:start="1"/>
          <w:cols w:space="0" w:num="1"/>
          <w:docGrid w:type="lines" w:linePitch="312" w:charSpace="0"/>
        </w:sectPr>
      </w:pP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
      <w:pPr>
        <w:pStyle w:val="2"/>
      </w:pPr>
    </w:p>
    <w:p>
      <w:pPr>
        <w:spacing w:beforeLines="100"/>
      </w:pPr>
    </w:p>
    <w:p>
      <w:pPr>
        <w:pStyle w:val="2"/>
      </w:pPr>
    </w:p>
    <w:p/>
    <w:p>
      <w:pPr>
        <w:pStyle w:val="2"/>
        <w:ind w:left="0" w:leftChars="0" w:firstLine="0" w:firstLineChars="0"/>
      </w:pPr>
      <w:r>
        <w:rPr>
          <w:sz w:val="28"/>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373380</wp:posOffset>
                </wp:positionV>
                <wp:extent cx="554355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5435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5pt;margin-top:29.4pt;height:0pt;width:436.5pt;z-index:251660288;mso-width-relative:page;mso-height-relative:page;" filled="f" stroked="t" coordsize="21600,21600" o:gfxdata="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4oO5dMAAAAHAQAADwAAAAAAAAABACAAAAA4AAAAZHJzL2Rvd25yZXYueG1s&#10;UEsBAhQAFAAAAAgAh07iQPiq/2/nAQAAvwMAAA4AAAAAAAAAAQAgAAAAOAEAAGRycy9lMm9Eb2Mu&#10;eG1sUEsFBgAAAAAGAAYAWQEAAJEFAAAAAA==&#10;">
                <v:fill on="f" focussize="0,0"/>
                <v:stroke weight="0.5pt" color="#000000" miterlimit="8" joinstyle="miter"/>
                <v:imagedata o:title=""/>
                <o:lock v:ext="edit" aspectratio="f"/>
              </v:line>
            </w:pict>
          </mc:Fallback>
        </mc:AlternateContent>
      </w:r>
    </w:p>
    <w:p>
      <w:pPr>
        <w:pStyle w:val="2"/>
        <w:spacing w:before="0" w:beforeAutospacing="0"/>
        <w:ind w:left="0" w:leftChars="0" w:firstLine="0" w:firstLineChars="0"/>
        <w:jc w:val="center"/>
      </w:pPr>
      <w:r>
        <w:rPr>
          <w:sz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378460</wp:posOffset>
                </wp:positionV>
                <wp:extent cx="5543550" cy="0"/>
                <wp:effectExtent l="0" t="4445" r="0" b="5080"/>
                <wp:wrapNone/>
                <wp:docPr id="1" name="直接连接符 1"/>
                <wp:cNvGraphicFramePr/>
                <a:graphic xmlns:a="http://schemas.openxmlformats.org/drawingml/2006/main">
                  <a:graphicData uri="http://schemas.microsoft.com/office/word/2010/wordprocessingShape">
                    <wps:wsp>
                      <wps:cNvCnPr/>
                      <wps:spPr>
                        <a:xfrm>
                          <a:off x="1004570" y="9681210"/>
                          <a:ext cx="55435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25pt;margin-top:29.8pt;height:0pt;width:436.5pt;z-index:251659264;mso-width-relative:page;mso-height-relative:page;" filled="f" stroked="t" coordsize="21600,21600" o:gfxdata="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OQInGPUAAAABwEAAA8AAAAAAAAAAQAgAAAAOAAAAGRy&#10;cy9kb3ducmV2LnhtbFBLAQIUABQAAAAIAIdO4kDet2vM8wEAAMsDAAAOAAAAAAAAAAEAIAAAADkB&#10;AABkcnMvZTJvRG9jLnhtbFBLBQYAAAAABgAGAFkBAACeBQ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长子县人民政府办公室                    2021年6月27日印发</w:t>
      </w:r>
    </w:p>
    <w:sectPr>
      <w:footerReference r:id="rId5" w:type="default"/>
      <w:pgSz w:w="11906" w:h="16838"/>
      <w:pgMar w:top="1814" w:right="1587" w:bottom="1587" w:left="1587" w:header="851" w:footer="1106"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onospace">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_GBK">
    <w:altName w:val="方正书宋_GBK"/>
    <w:panose1 w:val="00000000000000000000"/>
    <w:charset w:val="86"/>
    <w:family w:val="script"/>
    <w:pitch w:val="default"/>
    <w:sig w:usb0="00000000" w:usb1="00000000" w:usb2="00000000"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qTMlOAIAAG8EAAAOAAAAZHJz&#10;L2Uyb0RvYy54bWytVM2O0zAQviPxDpbvNGkRu1X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HupMyU4AgAAbwQAAA4AAAAAAAAA&#10;AQAgAAAANQEAAGRycy9lMm9Eb2MueG1sUEsFBgAAAAAGAAYAWQEAAN8FAAAAAA==&#10;">
              <v:fill on="f" focussize="0,0"/>
              <v:stroke on="f" weight="0.5pt"/>
              <v:imagedata o:title=""/>
              <o:lock v:ext="edit" aspectratio="f"/>
              <v:textbox inset="0mm,0mm,0mm,0mm" style="mso-fit-shape-to-text:t;">
                <w:txbxContent>
                  <w:p>
                    <w:pPr>
                      <w:pStyle w:val="11"/>
                      <w:rPr>
                        <w:sz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niKxQ4AgAAbwQAAA4AAAAAAAAA&#10;AQAgAAAANQEAAGRycy9lMm9Eb2MueG1sUEsFBgAAAAAGAAYAWQEAAN8FAAAAAA==&#10;">
              <v:fill on="f" focussize="0,0"/>
              <v:stroke on="f" weight="0.5pt"/>
              <v:imagedata o:title=""/>
              <o:lock v:ext="edit" aspectratio="f"/>
              <v:textbox inset="0mm,0mm,0mm,0mm" style="mso-fit-shape-to-text:t;">
                <w:txbxContent>
                  <w:p>
                    <w:pPr>
                      <w:pStyle w:val="11"/>
                      <w:rPr>
                        <w:sz w:val="2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awQlwNw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WsEJcDcCAABxBAAADgAAAAAAAAAB&#10;ACAAAAA1AQAAZHJzL2Uyb0RvYy54bWxQSwUGAAAAAAYABgBZAQAA3gUAAAAA&#10;">
              <v:fill on="f" focussize="0,0"/>
              <v:stroke on="f" weight="0.5pt"/>
              <v:imagedata o:title=""/>
              <o:lock v:ext="edit" aspectratio="f"/>
              <v:textbox inset="0mm,0mm,0mm,0mm" style="mso-fit-shape-to-text:t;">
                <w:txbxContent>
                  <w:p>
                    <w:pPr>
                      <w:pStyle w:val="11"/>
                      <w:rPr>
                        <w:sz w:val="2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A99FB"/>
    <w:multiLevelType w:val="singleLevel"/>
    <w:tmpl w:val="903A99FB"/>
    <w:lvl w:ilvl="0" w:tentative="0">
      <w:start w:val="1"/>
      <w:numFmt w:val="bullet"/>
      <w:lvlText w:val=""/>
      <w:lvlJc w:val="left"/>
      <w:pPr>
        <w:ind w:left="420" w:hanging="420"/>
      </w:pPr>
      <w:rPr>
        <w:rFonts w:hint="default" w:ascii="Wingdings" w:hAnsi="Wingdings"/>
      </w:rPr>
    </w:lvl>
  </w:abstractNum>
  <w:abstractNum w:abstractNumId="1">
    <w:nsid w:val="9AE6629A"/>
    <w:multiLevelType w:val="singleLevel"/>
    <w:tmpl w:val="9AE6629A"/>
    <w:lvl w:ilvl="0" w:tentative="0">
      <w:start w:val="1"/>
      <w:numFmt w:val="bullet"/>
      <w:lvlText w:val=""/>
      <w:lvlJc w:val="left"/>
      <w:pPr>
        <w:ind w:left="420" w:hanging="420"/>
      </w:pPr>
      <w:rPr>
        <w:rFonts w:hint="default" w:ascii="Wingdings" w:hAnsi="Wingdings"/>
      </w:rPr>
    </w:lvl>
  </w:abstractNum>
  <w:abstractNum w:abstractNumId="2">
    <w:nsid w:val="9FC3E2F1"/>
    <w:multiLevelType w:val="singleLevel"/>
    <w:tmpl w:val="9FC3E2F1"/>
    <w:lvl w:ilvl="0" w:tentative="0">
      <w:start w:val="1"/>
      <w:numFmt w:val="bullet"/>
      <w:lvlText w:val=""/>
      <w:lvlJc w:val="left"/>
      <w:pPr>
        <w:ind w:left="420" w:hanging="420"/>
      </w:pPr>
      <w:rPr>
        <w:rFonts w:hint="default" w:ascii="Wingdings" w:hAnsi="Wingdings"/>
      </w:rPr>
    </w:lvl>
  </w:abstractNum>
  <w:abstractNum w:abstractNumId="3">
    <w:nsid w:val="B57C072B"/>
    <w:multiLevelType w:val="singleLevel"/>
    <w:tmpl w:val="B57C072B"/>
    <w:lvl w:ilvl="0" w:tentative="0">
      <w:start w:val="1"/>
      <w:numFmt w:val="bullet"/>
      <w:lvlText w:val=""/>
      <w:lvlJc w:val="left"/>
      <w:pPr>
        <w:ind w:left="420" w:hanging="420"/>
      </w:pPr>
      <w:rPr>
        <w:rFonts w:hint="default" w:ascii="Wingdings" w:hAnsi="Wingdings"/>
      </w:rPr>
    </w:lvl>
  </w:abstractNum>
  <w:abstractNum w:abstractNumId="4">
    <w:nsid w:val="BA6C91E7"/>
    <w:multiLevelType w:val="singleLevel"/>
    <w:tmpl w:val="BA6C91E7"/>
    <w:lvl w:ilvl="0" w:tentative="0">
      <w:start w:val="1"/>
      <w:numFmt w:val="bullet"/>
      <w:lvlText w:val=""/>
      <w:lvlJc w:val="left"/>
      <w:pPr>
        <w:ind w:left="420" w:hanging="420"/>
      </w:pPr>
      <w:rPr>
        <w:rFonts w:hint="default" w:ascii="Wingdings" w:hAnsi="Wingdings"/>
      </w:rPr>
    </w:lvl>
  </w:abstractNum>
  <w:abstractNum w:abstractNumId="5">
    <w:nsid w:val="DD8AC820"/>
    <w:multiLevelType w:val="singleLevel"/>
    <w:tmpl w:val="DD8AC820"/>
    <w:lvl w:ilvl="0" w:tentative="0">
      <w:start w:val="1"/>
      <w:numFmt w:val="bullet"/>
      <w:lvlText w:val=""/>
      <w:lvlJc w:val="left"/>
      <w:pPr>
        <w:ind w:left="420" w:hanging="420"/>
      </w:pPr>
      <w:rPr>
        <w:rFonts w:hint="default" w:ascii="Wingdings" w:hAnsi="Wingdings"/>
      </w:rPr>
    </w:lvl>
  </w:abstractNum>
  <w:abstractNum w:abstractNumId="6">
    <w:nsid w:val="FB36AE31"/>
    <w:multiLevelType w:val="singleLevel"/>
    <w:tmpl w:val="FB36AE31"/>
    <w:lvl w:ilvl="0" w:tentative="0">
      <w:start w:val="1"/>
      <w:numFmt w:val="bullet"/>
      <w:lvlText w:val=""/>
      <w:lvlJc w:val="left"/>
      <w:pPr>
        <w:ind w:left="420" w:hanging="420"/>
      </w:pPr>
      <w:rPr>
        <w:rFonts w:hint="default" w:ascii="Wingdings" w:hAnsi="Wingdings"/>
      </w:rPr>
    </w:lvl>
  </w:abstractNum>
  <w:abstractNum w:abstractNumId="7">
    <w:nsid w:val="048F00C4"/>
    <w:multiLevelType w:val="singleLevel"/>
    <w:tmpl w:val="048F00C4"/>
    <w:lvl w:ilvl="0" w:tentative="0">
      <w:start w:val="1"/>
      <w:numFmt w:val="bullet"/>
      <w:lvlText w:val=""/>
      <w:lvlJc w:val="left"/>
      <w:pPr>
        <w:ind w:left="420" w:hanging="420"/>
      </w:pPr>
      <w:rPr>
        <w:rFonts w:hint="default" w:ascii="Wingdings" w:hAnsi="Wingdings"/>
      </w:rPr>
    </w:lvl>
  </w:abstractNum>
  <w:abstractNum w:abstractNumId="8">
    <w:nsid w:val="410DF9EE"/>
    <w:multiLevelType w:val="singleLevel"/>
    <w:tmpl w:val="410DF9EE"/>
    <w:lvl w:ilvl="0" w:tentative="0">
      <w:start w:val="1"/>
      <w:numFmt w:val="bullet"/>
      <w:lvlText w:val=""/>
      <w:lvlJc w:val="left"/>
      <w:pPr>
        <w:ind w:left="420" w:hanging="420"/>
      </w:pPr>
      <w:rPr>
        <w:rFonts w:hint="default" w:ascii="Wingdings" w:hAnsi="Wingdings"/>
      </w:rPr>
    </w:lvl>
  </w:abstractNum>
  <w:abstractNum w:abstractNumId="9">
    <w:nsid w:val="48C80831"/>
    <w:multiLevelType w:val="singleLevel"/>
    <w:tmpl w:val="48C80831"/>
    <w:lvl w:ilvl="0" w:tentative="0">
      <w:start w:val="1"/>
      <w:numFmt w:val="bullet"/>
      <w:lvlText w:val=""/>
      <w:lvlJc w:val="left"/>
      <w:pPr>
        <w:ind w:left="420" w:hanging="420"/>
      </w:pPr>
      <w:rPr>
        <w:rFonts w:hint="default" w:ascii="Wingdings" w:hAnsi="Wingdings"/>
        <w:b w:val="0"/>
        <w:bCs w:val="0"/>
      </w:rPr>
    </w:lvl>
  </w:abstractNum>
  <w:abstractNum w:abstractNumId="10">
    <w:nsid w:val="55411653"/>
    <w:multiLevelType w:val="singleLevel"/>
    <w:tmpl w:val="55411653"/>
    <w:lvl w:ilvl="0" w:tentative="0">
      <w:start w:val="1"/>
      <w:numFmt w:val="bullet"/>
      <w:lvlText w:val=""/>
      <w:lvlJc w:val="left"/>
      <w:pPr>
        <w:ind w:left="420" w:hanging="420"/>
      </w:pPr>
      <w:rPr>
        <w:rFonts w:hint="default" w:ascii="Wingdings" w:hAnsi="Wingdings"/>
      </w:rPr>
    </w:lvl>
  </w:abstractNum>
  <w:abstractNum w:abstractNumId="11">
    <w:nsid w:val="5D68FAD9"/>
    <w:multiLevelType w:val="singleLevel"/>
    <w:tmpl w:val="5D68FAD9"/>
    <w:lvl w:ilvl="0" w:tentative="0">
      <w:start w:val="1"/>
      <w:numFmt w:val="bullet"/>
      <w:lvlText w:val=""/>
      <w:lvlJc w:val="left"/>
      <w:pPr>
        <w:ind w:left="420" w:hanging="420"/>
      </w:pPr>
      <w:rPr>
        <w:rFonts w:hint="default" w:ascii="Wingdings" w:hAnsi="Wingdings"/>
      </w:rPr>
    </w:lvl>
  </w:abstractNum>
  <w:abstractNum w:abstractNumId="12">
    <w:nsid w:val="6841D66A"/>
    <w:multiLevelType w:val="singleLevel"/>
    <w:tmpl w:val="6841D66A"/>
    <w:lvl w:ilvl="0" w:tentative="0">
      <w:start w:val="1"/>
      <w:numFmt w:val="bullet"/>
      <w:lvlText w:val=""/>
      <w:lvlJc w:val="left"/>
      <w:pPr>
        <w:ind w:left="420" w:hanging="420"/>
      </w:pPr>
      <w:rPr>
        <w:rFonts w:hint="default" w:ascii="Wingdings" w:hAnsi="Wingdings"/>
      </w:rPr>
    </w:lvl>
  </w:abstractNum>
  <w:num w:numId="1">
    <w:abstractNumId w:val="3"/>
  </w:num>
  <w:num w:numId="2">
    <w:abstractNumId w:val="11"/>
  </w:num>
  <w:num w:numId="3">
    <w:abstractNumId w:val="1"/>
  </w:num>
  <w:num w:numId="4">
    <w:abstractNumId w:val="10"/>
  </w:num>
  <w:num w:numId="5">
    <w:abstractNumId w:val="7"/>
  </w:num>
  <w:num w:numId="6">
    <w:abstractNumId w:val="8"/>
  </w:num>
  <w:num w:numId="7">
    <w:abstractNumId w:val="6"/>
  </w:num>
  <w:num w:numId="8">
    <w:abstractNumId w:val="0"/>
  </w:num>
  <w:num w:numId="9">
    <w:abstractNumId w:val="2"/>
  </w:num>
  <w:num w:numId="10">
    <w:abstractNumId w:val="5"/>
  </w:num>
  <w:num w:numId="11">
    <w:abstractNumId w:val="1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ZmU4NDNiZDZhYzAyODI4NmI1ZmY0ZWMwMDU3NTcifQ=="/>
  </w:docVars>
  <w:rsids>
    <w:rsidRoot w:val="7ED43570"/>
    <w:rsid w:val="0010369D"/>
    <w:rsid w:val="0012568D"/>
    <w:rsid w:val="001F4353"/>
    <w:rsid w:val="002721FF"/>
    <w:rsid w:val="00373EBA"/>
    <w:rsid w:val="00382144"/>
    <w:rsid w:val="003B4A4F"/>
    <w:rsid w:val="00431258"/>
    <w:rsid w:val="00480C4A"/>
    <w:rsid w:val="00516D8D"/>
    <w:rsid w:val="00542364"/>
    <w:rsid w:val="00564C84"/>
    <w:rsid w:val="008B6082"/>
    <w:rsid w:val="00915602"/>
    <w:rsid w:val="009410B3"/>
    <w:rsid w:val="00992E5E"/>
    <w:rsid w:val="00A05802"/>
    <w:rsid w:val="00A22FA2"/>
    <w:rsid w:val="00A71E36"/>
    <w:rsid w:val="00A87B97"/>
    <w:rsid w:val="00AA2F39"/>
    <w:rsid w:val="00AC7F8D"/>
    <w:rsid w:val="00AF2314"/>
    <w:rsid w:val="00BB03A8"/>
    <w:rsid w:val="00BB489B"/>
    <w:rsid w:val="00BF75AC"/>
    <w:rsid w:val="00CD5C82"/>
    <w:rsid w:val="00CE270B"/>
    <w:rsid w:val="00E92E63"/>
    <w:rsid w:val="00ED7CE4"/>
    <w:rsid w:val="00EF094F"/>
    <w:rsid w:val="00F96B6D"/>
    <w:rsid w:val="00FC5391"/>
    <w:rsid w:val="010B025F"/>
    <w:rsid w:val="0116760A"/>
    <w:rsid w:val="0119133A"/>
    <w:rsid w:val="01273B8D"/>
    <w:rsid w:val="0128622D"/>
    <w:rsid w:val="012A5DD7"/>
    <w:rsid w:val="013B060E"/>
    <w:rsid w:val="01455D07"/>
    <w:rsid w:val="015068BA"/>
    <w:rsid w:val="015E274F"/>
    <w:rsid w:val="01600C29"/>
    <w:rsid w:val="01624208"/>
    <w:rsid w:val="01656C5C"/>
    <w:rsid w:val="01700235"/>
    <w:rsid w:val="017115F6"/>
    <w:rsid w:val="017A2260"/>
    <w:rsid w:val="017B51E7"/>
    <w:rsid w:val="017E07EF"/>
    <w:rsid w:val="01846F54"/>
    <w:rsid w:val="01901F3A"/>
    <w:rsid w:val="01A005BD"/>
    <w:rsid w:val="01A34C57"/>
    <w:rsid w:val="01A6305A"/>
    <w:rsid w:val="01A96319"/>
    <w:rsid w:val="01AB7542"/>
    <w:rsid w:val="01AE3772"/>
    <w:rsid w:val="01B37EB1"/>
    <w:rsid w:val="01B47F59"/>
    <w:rsid w:val="01BD792A"/>
    <w:rsid w:val="01CE1089"/>
    <w:rsid w:val="01E227C2"/>
    <w:rsid w:val="01EC4D66"/>
    <w:rsid w:val="01EE51BC"/>
    <w:rsid w:val="01EE5DD1"/>
    <w:rsid w:val="01F55FF3"/>
    <w:rsid w:val="01FC2227"/>
    <w:rsid w:val="020450CB"/>
    <w:rsid w:val="022278F6"/>
    <w:rsid w:val="02384814"/>
    <w:rsid w:val="023D3CF9"/>
    <w:rsid w:val="02622536"/>
    <w:rsid w:val="026D080A"/>
    <w:rsid w:val="026D76D0"/>
    <w:rsid w:val="02845E28"/>
    <w:rsid w:val="029A250B"/>
    <w:rsid w:val="029A404D"/>
    <w:rsid w:val="02A16403"/>
    <w:rsid w:val="02BC737B"/>
    <w:rsid w:val="02BF0B71"/>
    <w:rsid w:val="02C34B08"/>
    <w:rsid w:val="02C8372B"/>
    <w:rsid w:val="02CA407D"/>
    <w:rsid w:val="02DA2B5E"/>
    <w:rsid w:val="02DE78F3"/>
    <w:rsid w:val="02E25577"/>
    <w:rsid w:val="02E4432C"/>
    <w:rsid w:val="02E757ED"/>
    <w:rsid w:val="02E83568"/>
    <w:rsid w:val="02EA1C1A"/>
    <w:rsid w:val="02F93780"/>
    <w:rsid w:val="02FA5F3E"/>
    <w:rsid w:val="02FD2BD6"/>
    <w:rsid w:val="03024B29"/>
    <w:rsid w:val="030D2643"/>
    <w:rsid w:val="03106C50"/>
    <w:rsid w:val="031244D5"/>
    <w:rsid w:val="031806EE"/>
    <w:rsid w:val="032232D6"/>
    <w:rsid w:val="032711C3"/>
    <w:rsid w:val="03286CA8"/>
    <w:rsid w:val="0337700F"/>
    <w:rsid w:val="03482F33"/>
    <w:rsid w:val="03573DB5"/>
    <w:rsid w:val="036D31FB"/>
    <w:rsid w:val="036D75CF"/>
    <w:rsid w:val="037A32C1"/>
    <w:rsid w:val="037E19A6"/>
    <w:rsid w:val="03893991"/>
    <w:rsid w:val="03897539"/>
    <w:rsid w:val="038A1FBB"/>
    <w:rsid w:val="038B52F6"/>
    <w:rsid w:val="039113BC"/>
    <w:rsid w:val="03975AC9"/>
    <w:rsid w:val="039F614D"/>
    <w:rsid w:val="03A70A4E"/>
    <w:rsid w:val="03A76871"/>
    <w:rsid w:val="03A77546"/>
    <w:rsid w:val="03A81EEB"/>
    <w:rsid w:val="03A97630"/>
    <w:rsid w:val="03B15B53"/>
    <w:rsid w:val="03BF73CE"/>
    <w:rsid w:val="03DB46E5"/>
    <w:rsid w:val="03E21272"/>
    <w:rsid w:val="03E372C6"/>
    <w:rsid w:val="03E37C59"/>
    <w:rsid w:val="03F430A7"/>
    <w:rsid w:val="03F72EB1"/>
    <w:rsid w:val="03F90C72"/>
    <w:rsid w:val="03F947D2"/>
    <w:rsid w:val="040465FE"/>
    <w:rsid w:val="040D3F03"/>
    <w:rsid w:val="040F2982"/>
    <w:rsid w:val="04203319"/>
    <w:rsid w:val="04243CA7"/>
    <w:rsid w:val="042B2ACD"/>
    <w:rsid w:val="04343B78"/>
    <w:rsid w:val="04343BE6"/>
    <w:rsid w:val="04425B84"/>
    <w:rsid w:val="04481237"/>
    <w:rsid w:val="04597F18"/>
    <w:rsid w:val="046B1B01"/>
    <w:rsid w:val="04756E70"/>
    <w:rsid w:val="047D6847"/>
    <w:rsid w:val="048678E5"/>
    <w:rsid w:val="048E525D"/>
    <w:rsid w:val="04926FBD"/>
    <w:rsid w:val="04BA1399"/>
    <w:rsid w:val="04CD4A9E"/>
    <w:rsid w:val="04CE6935"/>
    <w:rsid w:val="04D10891"/>
    <w:rsid w:val="04D64E5B"/>
    <w:rsid w:val="04E6701E"/>
    <w:rsid w:val="04EC4E3A"/>
    <w:rsid w:val="04F17623"/>
    <w:rsid w:val="04F236C4"/>
    <w:rsid w:val="04F301B2"/>
    <w:rsid w:val="0512608E"/>
    <w:rsid w:val="05180225"/>
    <w:rsid w:val="05194367"/>
    <w:rsid w:val="051C60E1"/>
    <w:rsid w:val="052079DD"/>
    <w:rsid w:val="05237E7C"/>
    <w:rsid w:val="05315F33"/>
    <w:rsid w:val="053C2168"/>
    <w:rsid w:val="05431013"/>
    <w:rsid w:val="054C7681"/>
    <w:rsid w:val="054F0209"/>
    <w:rsid w:val="05536EC0"/>
    <w:rsid w:val="055C4FB4"/>
    <w:rsid w:val="055F353E"/>
    <w:rsid w:val="05651F25"/>
    <w:rsid w:val="056C673F"/>
    <w:rsid w:val="057316D7"/>
    <w:rsid w:val="057328BF"/>
    <w:rsid w:val="058158D4"/>
    <w:rsid w:val="0583201B"/>
    <w:rsid w:val="058721DE"/>
    <w:rsid w:val="0588485A"/>
    <w:rsid w:val="058917F1"/>
    <w:rsid w:val="058F1EC7"/>
    <w:rsid w:val="059526D9"/>
    <w:rsid w:val="05A5332D"/>
    <w:rsid w:val="05AF69C6"/>
    <w:rsid w:val="05B15568"/>
    <w:rsid w:val="05BB56D4"/>
    <w:rsid w:val="05BE083C"/>
    <w:rsid w:val="05DF07F5"/>
    <w:rsid w:val="05E957C4"/>
    <w:rsid w:val="05ED098F"/>
    <w:rsid w:val="05EE6EE9"/>
    <w:rsid w:val="05F42D58"/>
    <w:rsid w:val="05FA27AD"/>
    <w:rsid w:val="061F59B1"/>
    <w:rsid w:val="063D7F1D"/>
    <w:rsid w:val="064B1384"/>
    <w:rsid w:val="064D436C"/>
    <w:rsid w:val="065F690F"/>
    <w:rsid w:val="0663188C"/>
    <w:rsid w:val="06684412"/>
    <w:rsid w:val="067374EE"/>
    <w:rsid w:val="06856B56"/>
    <w:rsid w:val="068D3B89"/>
    <w:rsid w:val="069271A3"/>
    <w:rsid w:val="06A70E48"/>
    <w:rsid w:val="06C50FA1"/>
    <w:rsid w:val="06CD7247"/>
    <w:rsid w:val="06E11593"/>
    <w:rsid w:val="06E90552"/>
    <w:rsid w:val="06EE1677"/>
    <w:rsid w:val="07133C1E"/>
    <w:rsid w:val="071B1F5B"/>
    <w:rsid w:val="07223AFB"/>
    <w:rsid w:val="07261769"/>
    <w:rsid w:val="07340EBC"/>
    <w:rsid w:val="073601D6"/>
    <w:rsid w:val="0739388F"/>
    <w:rsid w:val="07394B2A"/>
    <w:rsid w:val="07435088"/>
    <w:rsid w:val="07475B7E"/>
    <w:rsid w:val="07480825"/>
    <w:rsid w:val="07487CCB"/>
    <w:rsid w:val="074F0D12"/>
    <w:rsid w:val="074F5380"/>
    <w:rsid w:val="075A2DCF"/>
    <w:rsid w:val="076101C2"/>
    <w:rsid w:val="07625D40"/>
    <w:rsid w:val="07734BF4"/>
    <w:rsid w:val="077C756A"/>
    <w:rsid w:val="07851514"/>
    <w:rsid w:val="078A5249"/>
    <w:rsid w:val="07A254FA"/>
    <w:rsid w:val="07A33E1F"/>
    <w:rsid w:val="07AE45D3"/>
    <w:rsid w:val="07B03B65"/>
    <w:rsid w:val="07BB2407"/>
    <w:rsid w:val="07C63039"/>
    <w:rsid w:val="07D67D31"/>
    <w:rsid w:val="07E564FB"/>
    <w:rsid w:val="07F50038"/>
    <w:rsid w:val="07F54033"/>
    <w:rsid w:val="07F928C3"/>
    <w:rsid w:val="07FB3C6F"/>
    <w:rsid w:val="0809525D"/>
    <w:rsid w:val="08114AF0"/>
    <w:rsid w:val="081B2254"/>
    <w:rsid w:val="08282550"/>
    <w:rsid w:val="082D0D49"/>
    <w:rsid w:val="08361384"/>
    <w:rsid w:val="08385109"/>
    <w:rsid w:val="084932E8"/>
    <w:rsid w:val="084F27D2"/>
    <w:rsid w:val="085065C6"/>
    <w:rsid w:val="08514CE4"/>
    <w:rsid w:val="08662441"/>
    <w:rsid w:val="08677ADF"/>
    <w:rsid w:val="08691715"/>
    <w:rsid w:val="086A2ACA"/>
    <w:rsid w:val="087436D4"/>
    <w:rsid w:val="087E6BB5"/>
    <w:rsid w:val="08852E08"/>
    <w:rsid w:val="088E3927"/>
    <w:rsid w:val="089302FD"/>
    <w:rsid w:val="089575DA"/>
    <w:rsid w:val="08961930"/>
    <w:rsid w:val="089E5528"/>
    <w:rsid w:val="08A00E7A"/>
    <w:rsid w:val="08A03877"/>
    <w:rsid w:val="08A31FAA"/>
    <w:rsid w:val="08A45334"/>
    <w:rsid w:val="08A86C0A"/>
    <w:rsid w:val="08AF0321"/>
    <w:rsid w:val="08B22F96"/>
    <w:rsid w:val="08BF078C"/>
    <w:rsid w:val="08BF46DE"/>
    <w:rsid w:val="08CF692A"/>
    <w:rsid w:val="08D1376A"/>
    <w:rsid w:val="08D76AAA"/>
    <w:rsid w:val="08DD423E"/>
    <w:rsid w:val="08E8290C"/>
    <w:rsid w:val="0904355E"/>
    <w:rsid w:val="0920607A"/>
    <w:rsid w:val="092302AE"/>
    <w:rsid w:val="092C27EF"/>
    <w:rsid w:val="092D5ED8"/>
    <w:rsid w:val="09352BDC"/>
    <w:rsid w:val="09357912"/>
    <w:rsid w:val="09386C13"/>
    <w:rsid w:val="094205FC"/>
    <w:rsid w:val="0951189E"/>
    <w:rsid w:val="095E6773"/>
    <w:rsid w:val="096908F0"/>
    <w:rsid w:val="096A09D6"/>
    <w:rsid w:val="096B4CEF"/>
    <w:rsid w:val="096D049D"/>
    <w:rsid w:val="097052A4"/>
    <w:rsid w:val="097802F5"/>
    <w:rsid w:val="09797D87"/>
    <w:rsid w:val="097F60E9"/>
    <w:rsid w:val="09A04BFF"/>
    <w:rsid w:val="09AA2DF3"/>
    <w:rsid w:val="09AE2C57"/>
    <w:rsid w:val="09C758B6"/>
    <w:rsid w:val="09D03DA3"/>
    <w:rsid w:val="09D52061"/>
    <w:rsid w:val="09E27D67"/>
    <w:rsid w:val="09E44D1F"/>
    <w:rsid w:val="09E539CD"/>
    <w:rsid w:val="09EE513C"/>
    <w:rsid w:val="09F059ED"/>
    <w:rsid w:val="0A0D5070"/>
    <w:rsid w:val="0A1115D2"/>
    <w:rsid w:val="0A1B64D2"/>
    <w:rsid w:val="0A1E033E"/>
    <w:rsid w:val="0A22024F"/>
    <w:rsid w:val="0A2510C9"/>
    <w:rsid w:val="0A2C19E0"/>
    <w:rsid w:val="0A3E4322"/>
    <w:rsid w:val="0A3F142D"/>
    <w:rsid w:val="0A4B7466"/>
    <w:rsid w:val="0A4F47FA"/>
    <w:rsid w:val="0A51321C"/>
    <w:rsid w:val="0A5B22C2"/>
    <w:rsid w:val="0A5C23C0"/>
    <w:rsid w:val="0A623A83"/>
    <w:rsid w:val="0A6B2146"/>
    <w:rsid w:val="0A6E3562"/>
    <w:rsid w:val="0A706B01"/>
    <w:rsid w:val="0A737E94"/>
    <w:rsid w:val="0A747680"/>
    <w:rsid w:val="0A816A5F"/>
    <w:rsid w:val="0A884ADA"/>
    <w:rsid w:val="0A8D626B"/>
    <w:rsid w:val="0A8E4386"/>
    <w:rsid w:val="0A9A2845"/>
    <w:rsid w:val="0AA81C71"/>
    <w:rsid w:val="0AAD7D49"/>
    <w:rsid w:val="0AAE034D"/>
    <w:rsid w:val="0AD630EA"/>
    <w:rsid w:val="0AD9108C"/>
    <w:rsid w:val="0AE03044"/>
    <w:rsid w:val="0AE34C2B"/>
    <w:rsid w:val="0AEE3B17"/>
    <w:rsid w:val="0AF80445"/>
    <w:rsid w:val="0AF9340C"/>
    <w:rsid w:val="0AFF2DDA"/>
    <w:rsid w:val="0B2A0F2F"/>
    <w:rsid w:val="0B474347"/>
    <w:rsid w:val="0B4A1141"/>
    <w:rsid w:val="0B4D58EF"/>
    <w:rsid w:val="0B591E69"/>
    <w:rsid w:val="0B5C58E1"/>
    <w:rsid w:val="0B662C76"/>
    <w:rsid w:val="0B6A6558"/>
    <w:rsid w:val="0B770F09"/>
    <w:rsid w:val="0B8451BC"/>
    <w:rsid w:val="0B851FD0"/>
    <w:rsid w:val="0B8C079D"/>
    <w:rsid w:val="0BA07B6C"/>
    <w:rsid w:val="0BA977F9"/>
    <w:rsid w:val="0BAB5729"/>
    <w:rsid w:val="0BAB5BED"/>
    <w:rsid w:val="0BB363F7"/>
    <w:rsid w:val="0BBE28B4"/>
    <w:rsid w:val="0BBF1599"/>
    <w:rsid w:val="0BCB7650"/>
    <w:rsid w:val="0BCF2A90"/>
    <w:rsid w:val="0BDB25DD"/>
    <w:rsid w:val="0BE118FE"/>
    <w:rsid w:val="0BE82049"/>
    <w:rsid w:val="0BE960EE"/>
    <w:rsid w:val="0BEF67E2"/>
    <w:rsid w:val="0BF33DFC"/>
    <w:rsid w:val="0C0D2432"/>
    <w:rsid w:val="0C0E79A1"/>
    <w:rsid w:val="0C19666C"/>
    <w:rsid w:val="0C1F0F8A"/>
    <w:rsid w:val="0C1F5399"/>
    <w:rsid w:val="0C2839CC"/>
    <w:rsid w:val="0C2926F0"/>
    <w:rsid w:val="0C2D0C3F"/>
    <w:rsid w:val="0C32159B"/>
    <w:rsid w:val="0C5107E1"/>
    <w:rsid w:val="0C602F79"/>
    <w:rsid w:val="0C634810"/>
    <w:rsid w:val="0C691BD7"/>
    <w:rsid w:val="0C6E2683"/>
    <w:rsid w:val="0C7A0E80"/>
    <w:rsid w:val="0C7C1D84"/>
    <w:rsid w:val="0C85400E"/>
    <w:rsid w:val="0C8E1572"/>
    <w:rsid w:val="0C98282B"/>
    <w:rsid w:val="0C9D46C9"/>
    <w:rsid w:val="0CA1137C"/>
    <w:rsid w:val="0CA22B23"/>
    <w:rsid w:val="0CA47FF3"/>
    <w:rsid w:val="0CA81EA0"/>
    <w:rsid w:val="0CBB464D"/>
    <w:rsid w:val="0CBC0EF4"/>
    <w:rsid w:val="0CBC79EC"/>
    <w:rsid w:val="0CBF7667"/>
    <w:rsid w:val="0CC54518"/>
    <w:rsid w:val="0CCF2CB0"/>
    <w:rsid w:val="0CD13662"/>
    <w:rsid w:val="0CEF6AC9"/>
    <w:rsid w:val="0CFF5C02"/>
    <w:rsid w:val="0CFF694F"/>
    <w:rsid w:val="0D0521E7"/>
    <w:rsid w:val="0D1E74D3"/>
    <w:rsid w:val="0D3117CC"/>
    <w:rsid w:val="0D342208"/>
    <w:rsid w:val="0D402181"/>
    <w:rsid w:val="0D496D78"/>
    <w:rsid w:val="0D593A85"/>
    <w:rsid w:val="0D642BA0"/>
    <w:rsid w:val="0D655B1D"/>
    <w:rsid w:val="0D656AF1"/>
    <w:rsid w:val="0D6C6676"/>
    <w:rsid w:val="0D7572DE"/>
    <w:rsid w:val="0D835B45"/>
    <w:rsid w:val="0D8F74ED"/>
    <w:rsid w:val="0DA70A8F"/>
    <w:rsid w:val="0DA91FC7"/>
    <w:rsid w:val="0DAC1C6D"/>
    <w:rsid w:val="0DB236D7"/>
    <w:rsid w:val="0DC14478"/>
    <w:rsid w:val="0DC95B6E"/>
    <w:rsid w:val="0DCC3B9F"/>
    <w:rsid w:val="0DCF1540"/>
    <w:rsid w:val="0DD64F1A"/>
    <w:rsid w:val="0DEB7C8C"/>
    <w:rsid w:val="0DEE11E5"/>
    <w:rsid w:val="0DEE2C07"/>
    <w:rsid w:val="0DF445EE"/>
    <w:rsid w:val="0E002678"/>
    <w:rsid w:val="0E012749"/>
    <w:rsid w:val="0E0302A0"/>
    <w:rsid w:val="0E0509BD"/>
    <w:rsid w:val="0E15547A"/>
    <w:rsid w:val="0E1A1BC4"/>
    <w:rsid w:val="0E1F7214"/>
    <w:rsid w:val="0E3C7A1B"/>
    <w:rsid w:val="0E3D7B6B"/>
    <w:rsid w:val="0E407C59"/>
    <w:rsid w:val="0E47103F"/>
    <w:rsid w:val="0E517A9B"/>
    <w:rsid w:val="0E562705"/>
    <w:rsid w:val="0E5B29CE"/>
    <w:rsid w:val="0E611C13"/>
    <w:rsid w:val="0E6422F5"/>
    <w:rsid w:val="0E642C0F"/>
    <w:rsid w:val="0E7534C2"/>
    <w:rsid w:val="0E757C2D"/>
    <w:rsid w:val="0E7B2540"/>
    <w:rsid w:val="0E7F3924"/>
    <w:rsid w:val="0E82176B"/>
    <w:rsid w:val="0E85402C"/>
    <w:rsid w:val="0E8A10FE"/>
    <w:rsid w:val="0EAD16A8"/>
    <w:rsid w:val="0EBD2F8B"/>
    <w:rsid w:val="0ED77183"/>
    <w:rsid w:val="0EDC5317"/>
    <w:rsid w:val="0EEC4FFE"/>
    <w:rsid w:val="0EED732C"/>
    <w:rsid w:val="0EEF39B3"/>
    <w:rsid w:val="0F151C6C"/>
    <w:rsid w:val="0F4B5FF9"/>
    <w:rsid w:val="0F521964"/>
    <w:rsid w:val="0F532072"/>
    <w:rsid w:val="0F5F4608"/>
    <w:rsid w:val="0F636FB7"/>
    <w:rsid w:val="0F6D261F"/>
    <w:rsid w:val="0F765F66"/>
    <w:rsid w:val="0F795853"/>
    <w:rsid w:val="0F7C4584"/>
    <w:rsid w:val="0F802B33"/>
    <w:rsid w:val="0F802E4B"/>
    <w:rsid w:val="0F8D731E"/>
    <w:rsid w:val="0F9B275B"/>
    <w:rsid w:val="0F9B3A7F"/>
    <w:rsid w:val="0F9E51EF"/>
    <w:rsid w:val="0F9E54F5"/>
    <w:rsid w:val="0FA1678D"/>
    <w:rsid w:val="0FA9484C"/>
    <w:rsid w:val="0FC72108"/>
    <w:rsid w:val="0FCE08B5"/>
    <w:rsid w:val="0FD3386F"/>
    <w:rsid w:val="0FDB7A39"/>
    <w:rsid w:val="0FE07D7E"/>
    <w:rsid w:val="0FE55167"/>
    <w:rsid w:val="0FE960C7"/>
    <w:rsid w:val="0FEB7C09"/>
    <w:rsid w:val="0FED5EA7"/>
    <w:rsid w:val="0FF24677"/>
    <w:rsid w:val="0FF26104"/>
    <w:rsid w:val="0FF459C7"/>
    <w:rsid w:val="0FF516A6"/>
    <w:rsid w:val="0FF55B49"/>
    <w:rsid w:val="0FF670F9"/>
    <w:rsid w:val="10073057"/>
    <w:rsid w:val="100B4A06"/>
    <w:rsid w:val="101315E1"/>
    <w:rsid w:val="10136DD4"/>
    <w:rsid w:val="10231E6B"/>
    <w:rsid w:val="102352E4"/>
    <w:rsid w:val="10261968"/>
    <w:rsid w:val="10271B29"/>
    <w:rsid w:val="10365D80"/>
    <w:rsid w:val="1059644A"/>
    <w:rsid w:val="107A344E"/>
    <w:rsid w:val="107B7F1A"/>
    <w:rsid w:val="10876403"/>
    <w:rsid w:val="10877C0D"/>
    <w:rsid w:val="10912535"/>
    <w:rsid w:val="109413C8"/>
    <w:rsid w:val="10987D0F"/>
    <w:rsid w:val="10B771D2"/>
    <w:rsid w:val="10CA6756"/>
    <w:rsid w:val="10D671B4"/>
    <w:rsid w:val="10F57687"/>
    <w:rsid w:val="10F82C5B"/>
    <w:rsid w:val="10F86F23"/>
    <w:rsid w:val="10FA538F"/>
    <w:rsid w:val="110718F4"/>
    <w:rsid w:val="1110505F"/>
    <w:rsid w:val="112E4D49"/>
    <w:rsid w:val="112E6C6B"/>
    <w:rsid w:val="11421C15"/>
    <w:rsid w:val="114739E8"/>
    <w:rsid w:val="11557204"/>
    <w:rsid w:val="1166547F"/>
    <w:rsid w:val="117841A2"/>
    <w:rsid w:val="117D4CF4"/>
    <w:rsid w:val="117E5DA0"/>
    <w:rsid w:val="118B3E3E"/>
    <w:rsid w:val="11991C52"/>
    <w:rsid w:val="119C1BA7"/>
    <w:rsid w:val="119C5978"/>
    <w:rsid w:val="11B72FBF"/>
    <w:rsid w:val="11B76DB9"/>
    <w:rsid w:val="11B83599"/>
    <w:rsid w:val="11B926CC"/>
    <w:rsid w:val="11BB0231"/>
    <w:rsid w:val="11C06AEE"/>
    <w:rsid w:val="11C55131"/>
    <w:rsid w:val="11CA45B8"/>
    <w:rsid w:val="11D16CEE"/>
    <w:rsid w:val="11DA6148"/>
    <w:rsid w:val="11DF3B5A"/>
    <w:rsid w:val="11E33232"/>
    <w:rsid w:val="11E429FC"/>
    <w:rsid w:val="11E865DF"/>
    <w:rsid w:val="11FA0731"/>
    <w:rsid w:val="12023ACC"/>
    <w:rsid w:val="12037EA5"/>
    <w:rsid w:val="122406C8"/>
    <w:rsid w:val="12397FA4"/>
    <w:rsid w:val="124222F8"/>
    <w:rsid w:val="12433009"/>
    <w:rsid w:val="12471197"/>
    <w:rsid w:val="12582334"/>
    <w:rsid w:val="125E6D13"/>
    <w:rsid w:val="12641FE3"/>
    <w:rsid w:val="12683472"/>
    <w:rsid w:val="12712FD6"/>
    <w:rsid w:val="12750641"/>
    <w:rsid w:val="12821080"/>
    <w:rsid w:val="1284199C"/>
    <w:rsid w:val="12B75358"/>
    <w:rsid w:val="12BF3E2C"/>
    <w:rsid w:val="12C51E18"/>
    <w:rsid w:val="12CD3188"/>
    <w:rsid w:val="12D013BD"/>
    <w:rsid w:val="12D0590F"/>
    <w:rsid w:val="12DE071E"/>
    <w:rsid w:val="12F95647"/>
    <w:rsid w:val="12FE5970"/>
    <w:rsid w:val="12FF7B6F"/>
    <w:rsid w:val="13036872"/>
    <w:rsid w:val="130751FB"/>
    <w:rsid w:val="130A0A62"/>
    <w:rsid w:val="130B4C16"/>
    <w:rsid w:val="130D5186"/>
    <w:rsid w:val="131879DB"/>
    <w:rsid w:val="132F5995"/>
    <w:rsid w:val="13472F14"/>
    <w:rsid w:val="134B5DE3"/>
    <w:rsid w:val="134F4996"/>
    <w:rsid w:val="135049A0"/>
    <w:rsid w:val="13506F23"/>
    <w:rsid w:val="1354606C"/>
    <w:rsid w:val="1359624F"/>
    <w:rsid w:val="13597CBE"/>
    <w:rsid w:val="135C2A36"/>
    <w:rsid w:val="1361591E"/>
    <w:rsid w:val="13640F76"/>
    <w:rsid w:val="13691D1D"/>
    <w:rsid w:val="136935E8"/>
    <w:rsid w:val="1379487D"/>
    <w:rsid w:val="138B55D5"/>
    <w:rsid w:val="13935C6B"/>
    <w:rsid w:val="13A135DC"/>
    <w:rsid w:val="13A6555C"/>
    <w:rsid w:val="13B36A74"/>
    <w:rsid w:val="13BB1216"/>
    <w:rsid w:val="13BC3AF1"/>
    <w:rsid w:val="13BE6674"/>
    <w:rsid w:val="13BE7B64"/>
    <w:rsid w:val="13C7030B"/>
    <w:rsid w:val="13C9498A"/>
    <w:rsid w:val="13D70D38"/>
    <w:rsid w:val="13D75FAE"/>
    <w:rsid w:val="13DF4F20"/>
    <w:rsid w:val="13EA60E6"/>
    <w:rsid w:val="13F13074"/>
    <w:rsid w:val="13F14F48"/>
    <w:rsid w:val="13F63475"/>
    <w:rsid w:val="13FE1344"/>
    <w:rsid w:val="140411C3"/>
    <w:rsid w:val="14192198"/>
    <w:rsid w:val="141E416A"/>
    <w:rsid w:val="142045D2"/>
    <w:rsid w:val="1426663D"/>
    <w:rsid w:val="14274CBF"/>
    <w:rsid w:val="142C6099"/>
    <w:rsid w:val="143C0642"/>
    <w:rsid w:val="14465C21"/>
    <w:rsid w:val="14476CAA"/>
    <w:rsid w:val="144F3A45"/>
    <w:rsid w:val="145B057E"/>
    <w:rsid w:val="1462638B"/>
    <w:rsid w:val="146A6811"/>
    <w:rsid w:val="146E1141"/>
    <w:rsid w:val="1473065B"/>
    <w:rsid w:val="1474515A"/>
    <w:rsid w:val="14767CA1"/>
    <w:rsid w:val="147D182C"/>
    <w:rsid w:val="14825EB8"/>
    <w:rsid w:val="148A4BCE"/>
    <w:rsid w:val="14A213EE"/>
    <w:rsid w:val="14A577C3"/>
    <w:rsid w:val="14AF1643"/>
    <w:rsid w:val="14B24F4F"/>
    <w:rsid w:val="14B27956"/>
    <w:rsid w:val="14C05546"/>
    <w:rsid w:val="14C17660"/>
    <w:rsid w:val="14C73B61"/>
    <w:rsid w:val="14CA1965"/>
    <w:rsid w:val="14D61A6F"/>
    <w:rsid w:val="14DA4367"/>
    <w:rsid w:val="14DB146A"/>
    <w:rsid w:val="14E5328A"/>
    <w:rsid w:val="14F112C0"/>
    <w:rsid w:val="14F140A0"/>
    <w:rsid w:val="150C2C80"/>
    <w:rsid w:val="150E5EC3"/>
    <w:rsid w:val="15107882"/>
    <w:rsid w:val="151D59D5"/>
    <w:rsid w:val="1521230E"/>
    <w:rsid w:val="152E2735"/>
    <w:rsid w:val="152E2907"/>
    <w:rsid w:val="152F061E"/>
    <w:rsid w:val="15501239"/>
    <w:rsid w:val="156660F4"/>
    <w:rsid w:val="156750AF"/>
    <w:rsid w:val="156869E5"/>
    <w:rsid w:val="156B5860"/>
    <w:rsid w:val="156D2581"/>
    <w:rsid w:val="157641FF"/>
    <w:rsid w:val="15770786"/>
    <w:rsid w:val="157E3E84"/>
    <w:rsid w:val="158E4B9D"/>
    <w:rsid w:val="15955F59"/>
    <w:rsid w:val="159E11CC"/>
    <w:rsid w:val="15B4796B"/>
    <w:rsid w:val="15BA2A74"/>
    <w:rsid w:val="15BD3570"/>
    <w:rsid w:val="15C40974"/>
    <w:rsid w:val="15D21673"/>
    <w:rsid w:val="15E04FA3"/>
    <w:rsid w:val="15E76D45"/>
    <w:rsid w:val="15EE36AE"/>
    <w:rsid w:val="15F17C3B"/>
    <w:rsid w:val="15F2256B"/>
    <w:rsid w:val="15F34139"/>
    <w:rsid w:val="160600FC"/>
    <w:rsid w:val="160C2B01"/>
    <w:rsid w:val="160C4CAF"/>
    <w:rsid w:val="16160640"/>
    <w:rsid w:val="16176B3F"/>
    <w:rsid w:val="16185DCF"/>
    <w:rsid w:val="161A0C9E"/>
    <w:rsid w:val="161C42B4"/>
    <w:rsid w:val="16220265"/>
    <w:rsid w:val="16226774"/>
    <w:rsid w:val="162368C8"/>
    <w:rsid w:val="162A4D30"/>
    <w:rsid w:val="164C6655"/>
    <w:rsid w:val="16686FE6"/>
    <w:rsid w:val="166A5D7C"/>
    <w:rsid w:val="166E700D"/>
    <w:rsid w:val="1673205C"/>
    <w:rsid w:val="1678030C"/>
    <w:rsid w:val="167C6531"/>
    <w:rsid w:val="16824DE8"/>
    <w:rsid w:val="16905FE7"/>
    <w:rsid w:val="16A10CE9"/>
    <w:rsid w:val="16A41B70"/>
    <w:rsid w:val="16A42EF1"/>
    <w:rsid w:val="16A61FE7"/>
    <w:rsid w:val="16B75F0B"/>
    <w:rsid w:val="16C1064B"/>
    <w:rsid w:val="16C61429"/>
    <w:rsid w:val="16CE2768"/>
    <w:rsid w:val="16CF6064"/>
    <w:rsid w:val="16D42A1F"/>
    <w:rsid w:val="16E2141E"/>
    <w:rsid w:val="16F3623D"/>
    <w:rsid w:val="16FD3960"/>
    <w:rsid w:val="16FE5E1A"/>
    <w:rsid w:val="170C3BFD"/>
    <w:rsid w:val="171933AE"/>
    <w:rsid w:val="171E0409"/>
    <w:rsid w:val="172317B5"/>
    <w:rsid w:val="172B02B9"/>
    <w:rsid w:val="172B7B90"/>
    <w:rsid w:val="17310E7B"/>
    <w:rsid w:val="173D2690"/>
    <w:rsid w:val="17504A41"/>
    <w:rsid w:val="17580E0E"/>
    <w:rsid w:val="175E152B"/>
    <w:rsid w:val="1763431A"/>
    <w:rsid w:val="176374D6"/>
    <w:rsid w:val="17652323"/>
    <w:rsid w:val="176C07FB"/>
    <w:rsid w:val="176E20AA"/>
    <w:rsid w:val="17756829"/>
    <w:rsid w:val="17786DD6"/>
    <w:rsid w:val="177A6BEB"/>
    <w:rsid w:val="177C0E7E"/>
    <w:rsid w:val="177D151E"/>
    <w:rsid w:val="178141FB"/>
    <w:rsid w:val="17832905"/>
    <w:rsid w:val="17866FD5"/>
    <w:rsid w:val="17907660"/>
    <w:rsid w:val="179E5E18"/>
    <w:rsid w:val="179E6725"/>
    <w:rsid w:val="17A04672"/>
    <w:rsid w:val="17A33C67"/>
    <w:rsid w:val="17A54FEA"/>
    <w:rsid w:val="17AB1D53"/>
    <w:rsid w:val="17B22599"/>
    <w:rsid w:val="17B255C7"/>
    <w:rsid w:val="17B655D1"/>
    <w:rsid w:val="17D53BCC"/>
    <w:rsid w:val="17DD378B"/>
    <w:rsid w:val="17EA199C"/>
    <w:rsid w:val="17EB523E"/>
    <w:rsid w:val="17EB5516"/>
    <w:rsid w:val="18051E75"/>
    <w:rsid w:val="180B5934"/>
    <w:rsid w:val="180B752C"/>
    <w:rsid w:val="180B77BD"/>
    <w:rsid w:val="1812093C"/>
    <w:rsid w:val="181A4B29"/>
    <w:rsid w:val="182B259D"/>
    <w:rsid w:val="18300C9C"/>
    <w:rsid w:val="18323D52"/>
    <w:rsid w:val="18386EA3"/>
    <w:rsid w:val="183937F5"/>
    <w:rsid w:val="183C0173"/>
    <w:rsid w:val="18410EE5"/>
    <w:rsid w:val="184C6307"/>
    <w:rsid w:val="18670DD6"/>
    <w:rsid w:val="186D33F5"/>
    <w:rsid w:val="18750D6B"/>
    <w:rsid w:val="187A71D6"/>
    <w:rsid w:val="18902527"/>
    <w:rsid w:val="18980B3C"/>
    <w:rsid w:val="189A7724"/>
    <w:rsid w:val="189C76B4"/>
    <w:rsid w:val="18A92C59"/>
    <w:rsid w:val="18AB311F"/>
    <w:rsid w:val="18B4733D"/>
    <w:rsid w:val="18C6053E"/>
    <w:rsid w:val="18DE27B4"/>
    <w:rsid w:val="18E17497"/>
    <w:rsid w:val="18E86D9D"/>
    <w:rsid w:val="18EF6BDF"/>
    <w:rsid w:val="18F907E8"/>
    <w:rsid w:val="1910775F"/>
    <w:rsid w:val="19196AF7"/>
    <w:rsid w:val="191B2E27"/>
    <w:rsid w:val="191C67A2"/>
    <w:rsid w:val="191D07CD"/>
    <w:rsid w:val="192F39EA"/>
    <w:rsid w:val="19392F46"/>
    <w:rsid w:val="195323B9"/>
    <w:rsid w:val="195764E0"/>
    <w:rsid w:val="19652763"/>
    <w:rsid w:val="19667DDA"/>
    <w:rsid w:val="19675DB4"/>
    <w:rsid w:val="196C451B"/>
    <w:rsid w:val="196D09C3"/>
    <w:rsid w:val="19751103"/>
    <w:rsid w:val="19795D65"/>
    <w:rsid w:val="197A4EE1"/>
    <w:rsid w:val="19801D2F"/>
    <w:rsid w:val="19871324"/>
    <w:rsid w:val="198A6EA6"/>
    <w:rsid w:val="198E3868"/>
    <w:rsid w:val="19905B13"/>
    <w:rsid w:val="19971FA7"/>
    <w:rsid w:val="199D512C"/>
    <w:rsid w:val="19A1259F"/>
    <w:rsid w:val="19A31303"/>
    <w:rsid w:val="19A801C0"/>
    <w:rsid w:val="19C62FB5"/>
    <w:rsid w:val="19CC147D"/>
    <w:rsid w:val="19D27F50"/>
    <w:rsid w:val="19D90893"/>
    <w:rsid w:val="19E14FA8"/>
    <w:rsid w:val="19E44CC9"/>
    <w:rsid w:val="19EF3D87"/>
    <w:rsid w:val="19FB6D53"/>
    <w:rsid w:val="19FC1A04"/>
    <w:rsid w:val="19FC6932"/>
    <w:rsid w:val="1A004887"/>
    <w:rsid w:val="1A1926CC"/>
    <w:rsid w:val="1A1D05D6"/>
    <w:rsid w:val="1A50503D"/>
    <w:rsid w:val="1A5D54FC"/>
    <w:rsid w:val="1A641315"/>
    <w:rsid w:val="1A724937"/>
    <w:rsid w:val="1A741259"/>
    <w:rsid w:val="1A7A5420"/>
    <w:rsid w:val="1A983656"/>
    <w:rsid w:val="1A99186A"/>
    <w:rsid w:val="1A9D3E46"/>
    <w:rsid w:val="1A9F622B"/>
    <w:rsid w:val="1AA87BBA"/>
    <w:rsid w:val="1AB6778B"/>
    <w:rsid w:val="1AC377AB"/>
    <w:rsid w:val="1AC745AA"/>
    <w:rsid w:val="1AC8640D"/>
    <w:rsid w:val="1AC919F3"/>
    <w:rsid w:val="1AD44F4C"/>
    <w:rsid w:val="1ADC52EA"/>
    <w:rsid w:val="1AE23E73"/>
    <w:rsid w:val="1AE2604E"/>
    <w:rsid w:val="1AE3015C"/>
    <w:rsid w:val="1AE535AC"/>
    <w:rsid w:val="1AEF5F26"/>
    <w:rsid w:val="1AF20FBE"/>
    <w:rsid w:val="1AF238CE"/>
    <w:rsid w:val="1AF30C74"/>
    <w:rsid w:val="1AF97BC0"/>
    <w:rsid w:val="1B0B03F6"/>
    <w:rsid w:val="1B0C1882"/>
    <w:rsid w:val="1B1308CC"/>
    <w:rsid w:val="1B1F4C74"/>
    <w:rsid w:val="1B21050B"/>
    <w:rsid w:val="1B437D9C"/>
    <w:rsid w:val="1B4820A1"/>
    <w:rsid w:val="1B4D16D8"/>
    <w:rsid w:val="1B5572BA"/>
    <w:rsid w:val="1B5B0D97"/>
    <w:rsid w:val="1B71064A"/>
    <w:rsid w:val="1B7E249C"/>
    <w:rsid w:val="1B802676"/>
    <w:rsid w:val="1BA11C56"/>
    <w:rsid w:val="1BB1670C"/>
    <w:rsid w:val="1BB70C1E"/>
    <w:rsid w:val="1BC10EF8"/>
    <w:rsid w:val="1BC439B2"/>
    <w:rsid w:val="1BD84AB4"/>
    <w:rsid w:val="1BDD12E4"/>
    <w:rsid w:val="1BF55687"/>
    <w:rsid w:val="1BF6785A"/>
    <w:rsid w:val="1BFE7B8F"/>
    <w:rsid w:val="1C035CF3"/>
    <w:rsid w:val="1C045333"/>
    <w:rsid w:val="1C0B76E6"/>
    <w:rsid w:val="1C100A52"/>
    <w:rsid w:val="1C102DC8"/>
    <w:rsid w:val="1C137EDB"/>
    <w:rsid w:val="1C192BFD"/>
    <w:rsid w:val="1C1B0E4E"/>
    <w:rsid w:val="1C1F2E42"/>
    <w:rsid w:val="1C221D7F"/>
    <w:rsid w:val="1C24462E"/>
    <w:rsid w:val="1C245078"/>
    <w:rsid w:val="1C2C260F"/>
    <w:rsid w:val="1C384E05"/>
    <w:rsid w:val="1C3E43F8"/>
    <w:rsid w:val="1C4B0618"/>
    <w:rsid w:val="1C4B2467"/>
    <w:rsid w:val="1C5A3092"/>
    <w:rsid w:val="1C5D526B"/>
    <w:rsid w:val="1C601346"/>
    <w:rsid w:val="1C623489"/>
    <w:rsid w:val="1C684919"/>
    <w:rsid w:val="1C7D32FD"/>
    <w:rsid w:val="1C8F7E19"/>
    <w:rsid w:val="1C943A7D"/>
    <w:rsid w:val="1C974A2D"/>
    <w:rsid w:val="1C9F70C7"/>
    <w:rsid w:val="1CA16898"/>
    <w:rsid w:val="1CB15331"/>
    <w:rsid w:val="1CB25618"/>
    <w:rsid w:val="1CB82F52"/>
    <w:rsid w:val="1CBA2C38"/>
    <w:rsid w:val="1CD142F2"/>
    <w:rsid w:val="1CE77C7B"/>
    <w:rsid w:val="1CF81B78"/>
    <w:rsid w:val="1D0C4316"/>
    <w:rsid w:val="1D105EA6"/>
    <w:rsid w:val="1D1213DC"/>
    <w:rsid w:val="1D1252E8"/>
    <w:rsid w:val="1D185B4E"/>
    <w:rsid w:val="1D1C7ECF"/>
    <w:rsid w:val="1D207999"/>
    <w:rsid w:val="1D2A19A5"/>
    <w:rsid w:val="1D2C13F7"/>
    <w:rsid w:val="1D4B47B2"/>
    <w:rsid w:val="1D4E0EC1"/>
    <w:rsid w:val="1D5A7D82"/>
    <w:rsid w:val="1D5B4F03"/>
    <w:rsid w:val="1D5D731F"/>
    <w:rsid w:val="1D5F102D"/>
    <w:rsid w:val="1D62279C"/>
    <w:rsid w:val="1D6234FA"/>
    <w:rsid w:val="1D6777E1"/>
    <w:rsid w:val="1D6B3F69"/>
    <w:rsid w:val="1D6C05DB"/>
    <w:rsid w:val="1D6F23EF"/>
    <w:rsid w:val="1D774370"/>
    <w:rsid w:val="1D7A4D1C"/>
    <w:rsid w:val="1D86716F"/>
    <w:rsid w:val="1D895AF8"/>
    <w:rsid w:val="1D9249A6"/>
    <w:rsid w:val="1DA35B66"/>
    <w:rsid w:val="1DAC6BB3"/>
    <w:rsid w:val="1DAF6F04"/>
    <w:rsid w:val="1DB541CB"/>
    <w:rsid w:val="1DBF1103"/>
    <w:rsid w:val="1DC73A89"/>
    <w:rsid w:val="1DD46DE2"/>
    <w:rsid w:val="1DD73087"/>
    <w:rsid w:val="1DDA2AAE"/>
    <w:rsid w:val="1DE70968"/>
    <w:rsid w:val="1DE97800"/>
    <w:rsid w:val="1DF12A1D"/>
    <w:rsid w:val="1DF903F0"/>
    <w:rsid w:val="1DFF7D58"/>
    <w:rsid w:val="1E025DE4"/>
    <w:rsid w:val="1E106486"/>
    <w:rsid w:val="1E1D48E3"/>
    <w:rsid w:val="1E221813"/>
    <w:rsid w:val="1E270906"/>
    <w:rsid w:val="1E2B7FCA"/>
    <w:rsid w:val="1E3C104E"/>
    <w:rsid w:val="1E420D3E"/>
    <w:rsid w:val="1E5A0D67"/>
    <w:rsid w:val="1E5B5B40"/>
    <w:rsid w:val="1E635891"/>
    <w:rsid w:val="1E645DF3"/>
    <w:rsid w:val="1E6A767A"/>
    <w:rsid w:val="1E701BBC"/>
    <w:rsid w:val="1E740813"/>
    <w:rsid w:val="1E753914"/>
    <w:rsid w:val="1E76593D"/>
    <w:rsid w:val="1E7A4D03"/>
    <w:rsid w:val="1E82394B"/>
    <w:rsid w:val="1E9B1F40"/>
    <w:rsid w:val="1E9B6338"/>
    <w:rsid w:val="1E9D01CD"/>
    <w:rsid w:val="1EB32CBD"/>
    <w:rsid w:val="1EB7145D"/>
    <w:rsid w:val="1EBA4421"/>
    <w:rsid w:val="1EBC37CB"/>
    <w:rsid w:val="1EC00ABF"/>
    <w:rsid w:val="1EC1063C"/>
    <w:rsid w:val="1ECC4E11"/>
    <w:rsid w:val="1EDB795D"/>
    <w:rsid w:val="1EE42518"/>
    <w:rsid w:val="1EF54E2C"/>
    <w:rsid w:val="1EFE0072"/>
    <w:rsid w:val="1F0D1081"/>
    <w:rsid w:val="1F157757"/>
    <w:rsid w:val="1F1E4975"/>
    <w:rsid w:val="1F235521"/>
    <w:rsid w:val="1F301AC9"/>
    <w:rsid w:val="1F303DA0"/>
    <w:rsid w:val="1F322712"/>
    <w:rsid w:val="1F364520"/>
    <w:rsid w:val="1F567F54"/>
    <w:rsid w:val="1F5D5D57"/>
    <w:rsid w:val="1F5E175C"/>
    <w:rsid w:val="1F657BA4"/>
    <w:rsid w:val="1F6B75E0"/>
    <w:rsid w:val="1F812D5A"/>
    <w:rsid w:val="1F97057F"/>
    <w:rsid w:val="1FB64910"/>
    <w:rsid w:val="1FC84806"/>
    <w:rsid w:val="1FD00D34"/>
    <w:rsid w:val="1FD234D4"/>
    <w:rsid w:val="1FE14D22"/>
    <w:rsid w:val="1FE35904"/>
    <w:rsid w:val="1FE550D7"/>
    <w:rsid w:val="1FEE623B"/>
    <w:rsid w:val="1FF152CA"/>
    <w:rsid w:val="1FFD73A7"/>
    <w:rsid w:val="200428A8"/>
    <w:rsid w:val="20056436"/>
    <w:rsid w:val="201071B5"/>
    <w:rsid w:val="20111C11"/>
    <w:rsid w:val="2022380A"/>
    <w:rsid w:val="203967F7"/>
    <w:rsid w:val="20492FC3"/>
    <w:rsid w:val="204E3529"/>
    <w:rsid w:val="2055224B"/>
    <w:rsid w:val="205605A9"/>
    <w:rsid w:val="20572E19"/>
    <w:rsid w:val="205F747D"/>
    <w:rsid w:val="20603E8B"/>
    <w:rsid w:val="20630EE6"/>
    <w:rsid w:val="2082027A"/>
    <w:rsid w:val="20985782"/>
    <w:rsid w:val="20A95BFE"/>
    <w:rsid w:val="20AA31C3"/>
    <w:rsid w:val="20AA35EC"/>
    <w:rsid w:val="20C235DF"/>
    <w:rsid w:val="20D73188"/>
    <w:rsid w:val="20DA2283"/>
    <w:rsid w:val="20DA296A"/>
    <w:rsid w:val="20DB7746"/>
    <w:rsid w:val="20DE44A6"/>
    <w:rsid w:val="20E236F1"/>
    <w:rsid w:val="20F042D9"/>
    <w:rsid w:val="20F12EF4"/>
    <w:rsid w:val="20FA1B0E"/>
    <w:rsid w:val="20FF220A"/>
    <w:rsid w:val="211E7D36"/>
    <w:rsid w:val="21203123"/>
    <w:rsid w:val="212B4E1A"/>
    <w:rsid w:val="21385F1D"/>
    <w:rsid w:val="213F1B81"/>
    <w:rsid w:val="21403B21"/>
    <w:rsid w:val="2146714F"/>
    <w:rsid w:val="21513E13"/>
    <w:rsid w:val="215240B1"/>
    <w:rsid w:val="21572A2F"/>
    <w:rsid w:val="21720C30"/>
    <w:rsid w:val="217321F9"/>
    <w:rsid w:val="21782AF4"/>
    <w:rsid w:val="21835570"/>
    <w:rsid w:val="21AD593A"/>
    <w:rsid w:val="21B078E0"/>
    <w:rsid w:val="21B452FA"/>
    <w:rsid w:val="21B51B74"/>
    <w:rsid w:val="21C4636C"/>
    <w:rsid w:val="21CB07C5"/>
    <w:rsid w:val="21CB758A"/>
    <w:rsid w:val="21E63778"/>
    <w:rsid w:val="21F00B92"/>
    <w:rsid w:val="21F90D1D"/>
    <w:rsid w:val="21F94A8F"/>
    <w:rsid w:val="220011CD"/>
    <w:rsid w:val="22026794"/>
    <w:rsid w:val="220B6A77"/>
    <w:rsid w:val="22134E09"/>
    <w:rsid w:val="221935B4"/>
    <w:rsid w:val="221D2DE9"/>
    <w:rsid w:val="22234EF7"/>
    <w:rsid w:val="222A3F08"/>
    <w:rsid w:val="222C79FC"/>
    <w:rsid w:val="2235051A"/>
    <w:rsid w:val="223D480C"/>
    <w:rsid w:val="223F6F68"/>
    <w:rsid w:val="224F2B51"/>
    <w:rsid w:val="2252728B"/>
    <w:rsid w:val="225A0F29"/>
    <w:rsid w:val="226002D5"/>
    <w:rsid w:val="226117F1"/>
    <w:rsid w:val="22752232"/>
    <w:rsid w:val="227F010B"/>
    <w:rsid w:val="228A084D"/>
    <w:rsid w:val="22A77738"/>
    <w:rsid w:val="22AE3DF4"/>
    <w:rsid w:val="22B4521A"/>
    <w:rsid w:val="22BA7B9B"/>
    <w:rsid w:val="22BC3794"/>
    <w:rsid w:val="22C06DEB"/>
    <w:rsid w:val="22C95679"/>
    <w:rsid w:val="22CA043A"/>
    <w:rsid w:val="22CA6353"/>
    <w:rsid w:val="22D075EB"/>
    <w:rsid w:val="22D5496D"/>
    <w:rsid w:val="22D65F2A"/>
    <w:rsid w:val="22D86AF9"/>
    <w:rsid w:val="22F738FD"/>
    <w:rsid w:val="23051185"/>
    <w:rsid w:val="2324340F"/>
    <w:rsid w:val="232C40DA"/>
    <w:rsid w:val="2331379D"/>
    <w:rsid w:val="233250D8"/>
    <w:rsid w:val="23391809"/>
    <w:rsid w:val="233A400C"/>
    <w:rsid w:val="233D0580"/>
    <w:rsid w:val="234A5941"/>
    <w:rsid w:val="234C55B0"/>
    <w:rsid w:val="234D09AF"/>
    <w:rsid w:val="234D2404"/>
    <w:rsid w:val="234F7EEF"/>
    <w:rsid w:val="23537551"/>
    <w:rsid w:val="23585541"/>
    <w:rsid w:val="236C1FF9"/>
    <w:rsid w:val="236D32EE"/>
    <w:rsid w:val="23706691"/>
    <w:rsid w:val="23784220"/>
    <w:rsid w:val="237A2E61"/>
    <w:rsid w:val="23885A8A"/>
    <w:rsid w:val="238F1B41"/>
    <w:rsid w:val="239033F5"/>
    <w:rsid w:val="23971B9D"/>
    <w:rsid w:val="23992012"/>
    <w:rsid w:val="23A15945"/>
    <w:rsid w:val="23A96D24"/>
    <w:rsid w:val="23B46937"/>
    <w:rsid w:val="23B80954"/>
    <w:rsid w:val="23BD1D9B"/>
    <w:rsid w:val="23C136FC"/>
    <w:rsid w:val="240476C9"/>
    <w:rsid w:val="24097CDF"/>
    <w:rsid w:val="240B0D59"/>
    <w:rsid w:val="242A1BCB"/>
    <w:rsid w:val="243025DC"/>
    <w:rsid w:val="24363E6E"/>
    <w:rsid w:val="244304E2"/>
    <w:rsid w:val="2445039A"/>
    <w:rsid w:val="244A3038"/>
    <w:rsid w:val="244D2818"/>
    <w:rsid w:val="2454086D"/>
    <w:rsid w:val="245B4FC1"/>
    <w:rsid w:val="24604B6E"/>
    <w:rsid w:val="24645DDF"/>
    <w:rsid w:val="247C721F"/>
    <w:rsid w:val="247E6DC8"/>
    <w:rsid w:val="247F7C48"/>
    <w:rsid w:val="2493680A"/>
    <w:rsid w:val="249D2367"/>
    <w:rsid w:val="24A24CAB"/>
    <w:rsid w:val="24A712E6"/>
    <w:rsid w:val="24A87B14"/>
    <w:rsid w:val="24AD7DA8"/>
    <w:rsid w:val="24AF511B"/>
    <w:rsid w:val="24BC6C11"/>
    <w:rsid w:val="24BF65F4"/>
    <w:rsid w:val="24C55017"/>
    <w:rsid w:val="24C91125"/>
    <w:rsid w:val="24EE13EC"/>
    <w:rsid w:val="24EF2C74"/>
    <w:rsid w:val="24F71532"/>
    <w:rsid w:val="24FE3830"/>
    <w:rsid w:val="25020569"/>
    <w:rsid w:val="250520A0"/>
    <w:rsid w:val="25126E9F"/>
    <w:rsid w:val="251A5B63"/>
    <w:rsid w:val="25253D65"/>
    <w:rsid w:val="252F50E5"/>
    <w:rsid w:val="25424257"/>
    <w:rsid w:val="25462055"/>
    <w:rsid w:val="2552177B"/>
    <w:rsid w:val="255F048D"/>
    <w:rsid w:val="25600543"/>
    <w:rsid w:val="25797EC7"/>
    <w:rsid w:val="257E48CB"/>
    <w:rsid w:val="25816AA3"/>
    <w:rsid w:val="258E3DC1"/>
    <w:rsid w:val="259E4D0C"/>
    <w:rsid w:val="25A456A4"/>
    <w:rsid w:val="25AA3B27"/>
    <w:rsid w:val="25AC521E"/>
    <w:rsid w:val="25AD76E0"/>
    <w:rsid w:val="25BC4118"/>
    <w:rsid w:val="25C06E1E"/>
    <w:rsid w:val="25C237D1"/>
    <w:rsid w:val="25C27634"/>
    <w:rsid w:val="25C8063B"/>
    <w:rsid w:val="25DB721B"/>
    <w:rsid w:val="25DC1FFC"/>
    <w:rsid w:val="25DE03EF"/>
    <w:rsid w:val="25F15FD1"/>
    <w:rsid w:val="25FB6C59"/>
    <w:rsid w:val="25FF28F6"/>
    <w:rsid w:val="25FF2C2F"/>
    <w:rsid w:val="260512D6"/>
    <w:rsid w:val="26092835"/>
    <w:rsid w:val="260C7FE7"/>
    <w:rsid w:val="26140C66"/>
    <w:rsid w:val="261B4C4A"/>
    <w:rsid w:val="261C24CE"/>
    <w:rsid w:val="261C27FD"/>
    <w:rsid w:val="26345E82"/>
    <w:rsid w:val="26382811"/>
    <w:rsid w:val="263B3AC6"/>
    <w:rsid w:val="264E7190"/>
    <w:rsid w:val="265C20BA"/>
    <w:rsid w:val="26665F7B"/>
    <w:rsid w:val="2668156D"/>
    <w:rsid w:val="266F1DF1"/>
    <w:rsid w:val="2670527E"/>
    <w:rsid w:val="2677720A"/>
    <w:rsid w:val="269A614C"/>
    <w:rsid w:val="269B74D5"/>
    <w:rsid w:val="26BA08BF"/>
    <w:rsid w:val="26CD459D"/>
    <w:rsid w:val="26F11499"/>
    <w:rsid w:val="26FA7440"/>
    <w:rsid w:val="26FF2576"/>
    <w:rsid w:val="27016CB2"/>
    <w:rsid w:val="27064AC5"/>
    <w:rsid w:val="270730C1"/>
    <w:rsid w:val="270A7C9C"/>
    <w:rsid w:val="270C6960"/>
    <w:rsid w:val="2717466F"/>
    <w:rsid w:val="27203A52"/>
    <w:rsid w:val="27231B89"/>
    <w:rsid w:val="27237848"/>
    <w:rsid w:val="27261079"/>
    <w:rsid w:val="272E6059"/>
    <w:rsid w:val="27320E9E"/>
    <w:rsid w:val="2736291D"/>
    <w:rsid w:val="27380804"/>
    <w:rsid w:val="27491E9E"/>
    <w:rsid w:val="274B6331"/>
    <w:rsid w:val="27544668"/>
    <w:rsid w:val="27643C1F"/>
    <w:rsid w:val="2773669F"/>
    <w:rsid w:val="278D2BCC"/>
    <w:rsid w:val="27A428DB"/>
    <w:rsid w:val="27B41024"/>
    <w:rsid w:val="27B60D60"/>
    <w:rsid w:val="27B8155D"/>
    <w:rsid w:val="27BA22A5"/>
    <w:rsid w:val="27C35015"/>
    <w:rsid w:val="27C474FC"/>
    <w:rsid w:val="27CD0CD1"/>
    <w:rsid w:val="27EC5114"/>
    <w:rsid w:val="27F1115D"/>
    <w:rsid w:val="27F55DE4"/>
    <w:rsid w:val="27F931FA"/>
    <w:rsid w:val="280128F7"/>
    <w:rsid w:val="28026CAD"/>
    <w:rsid w:val="28131CEA"/>
    <w:rsid w:val="28143976"/>
    <w:rsid w:val="28236EEB"/>
    <w:rsid w:val="28275A69"/>
    <w:rsid w:val="282E4A7F"/>
    <w:rsid w:val="28394108"/>
    <w:rsid w:val="28465F85"/>
    <w:rsid w:val="284A7181"/>
    <w:rsid w:val="28561503"/>
    <w:rsid w:val="28631AFD"/>
    <w:rsid w:val="286679EE"/>
    <w:rsid w:val="286827DB"/>
    <w:rsid w:val="286B46D2"/>
    <w:rsid w:val="286B5140"/>
    <w:rsid w:val="286D6C4C"/>
    <w:rsid w:val="286F7407"/>
    <w:rsid w:val="28743BE8"/>
    <w:rsid w:val="2879301F"/>
    <w:rsid w:val="288676D7"/>
    <w:rsid w:val="289B018E"/>
    <w:rsid w:val="289D4A67"/>
    <w:rsid w:val="28AD320C"/>
    <w:rsid w:val="28B46D1C"/>
    <w:rsid w:val="28B54D42"/>
    <w:rsid w:val="28C21D69"/>
    <w:rsid w:val="28D77F6E"/>
    <w:rsid w:val="28DC5A2A"/>
    <w:rsid w:val="28E33875"/>
    <w:rsid w:val="28E44176"/>
    <w:rsid w:val="28F01B03"/>
    <w:rsid w:val="290344D2"/>
    <w:rsid w:val="29076E19"/>
    <w:rsid w:val="290B1575"/>
    <w:rsid w:val="290D1D62"/>
    <w:rsid w:val="290E7AA4"/>
    <w:rsid w:val="2935256A"/>
    <w:rsid w:val="29355760"/>
    <w:rsid w:val="29366430"/>
    <w:rsid w:val="293967D7"/>
    <w:rsid w:val="293C1A26"/>
    <w:rsid w:val="293D4D3E"/>
    <w:rsid w:val="29480839"/>
    <w:rsid w:val="294D578B"/>
    <w:rsid w:val="2951403C"/>
    <w:rsid w:val="29572F5A"/>
    <w:rsid w:val="295C7716"/>
    <w:rsid w:val="296365CB"/>
    <w:rsid w:val="296A2E7B"/>
    <w:rsid w:val="29724C2E"/>
    <w:rsid w:val="29806F4F"/>
    <w:rsid w:val="29835AF3"/>
    <w:rsid w:val="298B7BFB"/>
    <w:rsid w:val="29A22A6A"/>
    <w:rsid w:val="29A81987"/>
    <w:rsid w:val="29AA04AB"/>
    <w:rsid w:val="29AA4142"/>
    <w:rsid w:val="29B63308"/>
    <w:rsid w:val="29B652BC"/>
    <w:rsid w:val="29C11BB2"/>
    <w:rsid w:val="29C43ACB"/>
    <w:rsid w:val="29CB7D74"/>
    <w:rsid w:val="29CD66EC"/>
    <w:rsid w:val="29CF3DD9"/>
    <w:rsid w:val="29DA137E"/>
    <w:rsid w:val="29DB4E78"/>
    <w:rsid w:val="29E57326"/>
    <w:rsid w:val="29F47122"/>
    <w:rsid w:val="29F72DDA"/>
    <w:rsid w:val="29FC45FC"/>
    <w:rsid w:val="2A0B4381"/>
    <w:rsid w:val="2A0E0E8F"/>
    <w:rsid w:val="2A0F26C1"/>
    <w:rsid w:val="2A0F7FBE"/>
    <w:rsid w:val="2A123ACA"/>
    <w:rsid w:val="2A2246A8"/>
    <w:rsid w:val="2A2B1D88"/>
    <w:rsid w:val="2A2D0A88"/>
    <w:rsid w:val="2A382F01"/>
    <w:rsid w:val="2A3968C8"/>
    <w:rsid w:val="2A443792"/>
    <w:rsid w:val="2A4C4848"/>
    <w:rsid w:val="2A4E1C26"/>
    <w:rsid w:val="2A4E5DFC"/>
    <w:rsid w:val="2A65475C"/>
    <w:rsid w:val="2A7D7214"/>
    <w:rsid w:val="2A882401"/>
    <w:rsid w:val="2A8C61D0"/>
    <w:rsid w:val="2A9A5313"/>
    <w:rsid w:val="2AA459D1"/>
    <w:rsid w:val="2AA86C10"/>
    <w:rsid w:val="2AA92B76"/>
    <w:rsid w:val="2AAC4D8E"/>
    <w:rsid w:val="2AC220CD"/>
    <w:rsid w:val="2AC92DEC"/>
    <w:rsid w:val="2AFD6339"/>
    <w:rsid w:val="2AFD7574"/>
    <w:rsid w:val="2AFE24CD"/>
    <w:rsid w:val="2B006C79"/>
    <w:rsid w:val="2B061F9C"/>
    <w:rsid w:val="2B0B2A33"/>
    <w:rsid w:val="2B1B1EE1"/>
    <w:rsid w:val="2B2D23E2"/>
    <w:rsid w:val="2B4F031B"/>
    <w:rsid w:val="2B536A52"/>
    <w:rsid w:val="2B6008CB"/>
    <w:rsid w:val="2B683C13"/>
    <w:rsid w:val="2B836B4A"/>
    <w:rsid w:val="2B8C740E"/>
    <w:rsid w:val="2B95180E"/>
    <w:rsid w:val="2BA56720"/>
    <w:rsid w:val="2BB409FB"/>
    <w:rsid w:val="2BB46996"/>
    <w:rsid w:val="2BB56097"/>
    <w:rsid w:val="2BC1358F"/>
    <w:rsid w:val="2BC57F1E"/>
    <w:rsid w:val="2BC72415"/>
    <w:rsid w:val="2BCB1C5A"/>
    <w:rsid w:val="2BD1187D"/>
    <w:rsid w:val="2BD448BA"/>
    <w:rsid w:val="2BDF4A6E"/>
    <w:rsid w:val="2BF02530"/>
    <w:rsid w:val="2BFB34CF"/>
    <w:rsid w:val="2C004910"/>
    <w:rsid w:val="2C141D28"/>
    <w:rsid w:val="2C160248"/>
    <w:rsid w:val="2C19718B"/>
    <w:rsid w:val="2C2E37FF"/>
    <w:rsid w:val="2C33058D"/>
    <w:rsid w:val="2C381A81"/>
    <w:rsid w:val="2C3A3AEA"/>
    <w:rsid w:val="2C477B2E"/>
    <w:rsid w:val="2C4E2024"/>
    <w:rsid w:val="2C5000D4"/>
    <w:rsid w:val="2C56610F"/>
    <w:rsid w:val="2C5D51C8"/>
    <w:rsid w:val="2C6033A0"/>
    <w:rsid w:val="2C6251C0"/>
    <w:rsid w:val="2C6E797D"/>
    <w:rsid w:val="2C815620"/>
    <w:rsid w:val="2C8E2219"/>
    <w:rsid w:val="2C8F348C"/>
    <w:rsid w:val="2C97595A"/>
    <w:rsid w:val="2CAB3ADC"/>
    <w:rsid w:val="2CB669D0"/>
    <w:rsid w:val="2CB76323"/>
    <w:rsid w:val="2CC30448"/>
    <w:rsid w:val="2CC319E4"/>
    <w:rsid w:val="2CC85790"/>
    <w:rsid w:val="2CCD07D9"/>
    <w:rsid w:val="2CCE488F"/>
    <w:rsid w:val="2CD042E1"/>
    <w:rsid w:val="2CD66D78"/>
    <w:rsid w:val="2CDF34DF"/>
    <w:rsid w:val="2CDF5EB0"/>
    <w:rsid w:val="2CDF6E3B"/>
    <w:rsid w:val="2CE1403E"/>
    <w:rsid w:val="2CE84093"/>
    <w:rsid w:val="2CE86410"/>
    <w:rsid w:val="2CEB5C82"/>
    <w:rsid w:val="2CEF61BF"/>
    <w:rsid w:val="2D061C23"/>
    <w:rsid w:val="2D082D51"/>
    <w:rsid w:val="2D2B4B10"/>
    <w:rsid w:val="2D49261F"/>
    <w:rsid w:val="2D6934B6"/>
    <w:rsid w:val="2D693EA9"/>
    <w:rsid w:val="2D6E6EB6"/>
    <w:rsid w:val="2D96734F"/>
    <w:rsid w:val="2D985B74"/>
    <w:rsid w:val="2D9E35F5"/>
    <w:rsid w:val="2DB257FC"/>
    <w:rsid w:val="2DB50D23"/>
    <w:rsid w:val="2DB8174E"/>
    <w:rsid w:val="2DBB4EE7"/>
    <w:rsid w:val="2DBE4F21"/>
    <w:rsid w:val="2DBF0A1D"/>
    <w:rsid w:val="2DC30ED2"/>
    <w:rsid w:val="2DC50788"/>
    <w:rsid w:val="2DD2376C"/>
    <w:rsid w:val="2DD91309"/>
    <w:rsid w:val="2DE1376D"/>
    <w:rsid w:val="2DE35526"/>
    <w:rsid w:val="2DE97CB4"/>
    <w:rsid w:val="2DEF4521"/>
    <w:rsid w:val="2DF34196"/>
    <w:rsid w:val="2DF53D7B"/>
    <w:rsid w:val="2E1502EE"/>
    <w:rsid w:val="2E167F8A"/>
    <w:rsid w:val="2E197441"/>
    <w:rsid w:val="2E1A090D"/>
    <w:rsid w:val="2E225147"/>
    <w:rsid w:val="2E236C41"/>
    <w:rsid w:val="2E3352D2"/>
    <w:rsid w:val="2E467C65"/>
    <w:rsid w:val="2E4A010F"/>
    <w:rsid w:val="2E5D0E33"/>
    <w:rsid w:val="2E5D2096"/>
    <w:rsid w:val="2E621852"/>
    <w:rsid w:val="2E69712D"/>
    <w:rsid w:val="2E7557F3"/>
    <w:rsid w:val="2E7B7255"/>
    <w:rsid w:val="2E7E2E92"/>
    <w:rsid w:val="2E7E4567"/>
    <w:rsid w:val="2E7E77ED"/>
    <w:rsid w:val="2E967002"/>
    <w:rsid w:val="2EA21516"/>
    <w:rsid w:val="2EA6697C"/>
    <w:rsid w:val="2EAC219A"/>
    <w:rsid w:val="2EBD1270"/>
    <w:rsid w:val="2EBD7323"/>
    <w:rsid w:val="2EC67BD3"/>
    <w:rsid w:val="2EC9333A"/>
    <w:rsid w:val="2EDC678E"/>
    <w:rsid w:val="2EEC2414"/>
    <w:rsid w:val="2EF65BC8"/>
    <w:rsid w:val="2EFA1351"/>
    <w:rsid w:val="2F043851"/>
    <w:rsid w:val="2F092880"/>
    <w:rsid w:val="2F1D11C7"/>
    <w:rsid w:val="2F2B3F92"/>
    <w:rsid w:val="2F346A34"/>
    <w:rsid w:val="2F3B1DA3"/>
    <w:rsid w:val="2F3E04F4"/>
    <w:rsid w:val="2F4216F2"/>
    <w:rsid w:val="2F4A19A6"/>
    <w:rsid w:val="2F4E3F5B"/>
    <w:rsid w:val="2F555103"/>
    <w:rsid w:val="2F5C2C53"/>
    <w:rsid w:val="2F7600F6"/>
    <w:rsid w:val="2F7C2F23"/>
    <w:rsid w:val="2F804068"/>
    <w:rsid w:val="2F817555"/>
    <w:rsid w:val="2F8D5002"/>
    <w:rsid w:val="2F911017"/>
    <w:rsid w:val="2F9A780D"/>
    <w:rsid w:val="2F9C2F01"/>
    <w:rsid w:val="2FA524F8"/>
    <w:rsid w:val="2FB74D87"/>
    <w:rsid w:val="2FB86F6A"/>
    <w:rsid w:val="2FE94861"/>
    <w:rsid w:val="2FED0584"/>
    <w:rsid w:val="2FF04F83"/>
    <w:rsid w:val="2FF27D8B"/>
    <w:rsid w:val="2FF35F61"/>
    <w:rsid w:val="2FF44A4B"/>
    <w:rsid w:val="2FF819B0"/>
    <w:rsid w:val="2FFA211E"/>
    <w:rsid w:val="301444E2"/>
    <w:rsid w:val="30147A29"/>
    <w:rsid w:val="3018352F"/>
    <w:rsid w:val="30183F23"/>
    <w:rsid w:val="30234F89"/>
    <w:rsid w:val="3028506D"/>
    <w:rsid w:val="303E36AC"/>
    <w:rsid w:val="30446AD9"/>
    <w:rsid w:val="3049376A"/>
    <w:rsid w:val="30537B4E"/>
    <w:rsid w:val="306121CA"/>
    <w:rsid w:val="306D2289"/>
    <w:rsid w:val="307B33DC"/>
    <w:rsid w:val="30916D64"/>
    <w:rsid w:val="30944714"/>
    <w:rsid w:val="30983298"/>
    <w:rsid w:val="309A6C7C"/>
    <w:rsid w:val="309F3BDA"/>
    <w:rsid w:val="30A80063"/>
    <w:rsid w:val="30AE6631"/>
    <w:rsid w:val="30B10B1C"/>
    <w:rsid w:val="30B506AA"/>
    <w:rsid w:val="30BD696E"/>
    <w:rsid w:val="30C319D6"/>
    <w:rsid w:val="30C900BC"/>
    <w:rsid w:val="30CC6683"/>
    <w:rsid w:val="30DD091B"/>
    <w:rsid w:val="30EA4C40"/>
    <w:rsid w:val="30EF3F7E"/>
    <w:rsid w:val="30F13E3A"/>
    <w:rsid w:val="30F56A5B"/>
    <w:rsid w:val="31082C22"/>
    <w:rsid w:val="31140ECA"/>
    <w:rsid w:val="311C3757"/>
    <w:rsid w:val="311D644E"/>
    <w:rsid w:val="3134212B"/>
    <w:rsid w:val="31455D41"/>
    <w:rsid w:val="315E6407"/>
    <w:rsid w:val="316838C5"/>
    <w:rsid w:val="316B3C55"/>
    <w:rsid w:val="3173724D"/>
    <w:rsid w:val="317815FE"/>
    <w:rsid w:val="31947DC8"/>
    <w:rsid w:val="319E64F1"/>
    <w:rsid w:val="319F511A"/>
    <w:rsid w:val="31A026F3"/>
    <w:rsid w:val="31A353BC"/>
    <w:rsid w:val="31A36F42"/>
    <w:rsid w:val="31A71E3A"/>
    <w:rsid w:val="31B65D8C"/>
    <w:rsid w:val="31BD6E3E"/>
    <w:rsid w:val="31C96F49"/>
    <w:rsid w:val="31CF2FD9"/>
    <w:rsid w:val="31D13E67"/>
    <w:rsid w:val="31D8215B"/>
    <w:rsid w:val="31DA1030"/>
    <w:rsid w:val="31F47FEF"/>
    <w:rsid w:val="32004388"/>
    <w:rsid w:val="32032887"/>
    <w:rsid w:val="320B318F"/>
    <w:rsid w:val="32146152"/>
    <w:rsid w:val="322648A8"/>
    <w:rsid w:val="322C1E97"/>
    <w:rsid w:val="323829E1"/>
    <w:rsid w:val="323C11E4"/>
    <w:rsid w:val="324867BB"/>
    <w:rsid w:val="32614996"/>
    <w:rsid w:val="32675042"/>
    <w:rsid w:val="326A2378"/>
    <w:rsid w:val="326F144E"/>
    <w:rsid w:val="327C0B2B"/>
    <w:rsid w:val="32837960"/>
    <w:rsid w:val="328C5D0B"/>
    <w:rsid w:val="328E5471"/>
    <w:rsid w:val="32923136"/>
    <w:rsid w:val="32924185"/>
    <w:rsid w:val="32941561"/>
    <w:rsid w:val="329A4923"/>
    <w:rsid w:val="329F69DA"/>
    <w:rsid w:val="32AF248B"/>
    <w:rsid w:val="32B47C3E"/>
    <w:rsid w:val="32BC0136"/>
    <w:rsid w:val="32C0109E"/>
    <w:rsid w:val="32C02EF7"/>
    <w:rsid w:val="32C73889"/>
    <w:rsid w:val="32D251B0"/>
    <w:rsid w:val="32E02162"/>
    <w:rsid w:val="32F25EA7"/>
    <w:rsid w:val="32F647DC"/>
    <w:rsid w:val="32FA78EF"/>
    <w:rsid w:val="33096AA5"/>
    <w:rsid w:val="331D19EF"/>
    <w:rsid w:val="3328657A"/>
    <w:rsid w:val="332C00C0"/>
    <w:rsid w:val="3337738F"/>
    <w:rsid w:val="33387857"/>
    <w:rsid w:val="333A57D1"/>
    <w:rsid w:val="333C1D4F"/>
    <w:rsid w:val="333C54CF"/>
    <w:rsid w:val="334A59C9"/>
    <w:rsid w:val="33656023"/>
    <w:rsid w:val="337F4A4B"/>
    <w:rsid w:val="338C53DE"/>
    <w:rsid w:val="33970E8A"/>
    <w:rsid w:val="339B5FCC"/>
    <w:rsid w:val="339F6534"/>
    <w:rsid w:val="33A30DA8"/>
    <w:rsid w:val="33A75C04"/>
    <w:rsid w:val="33B85C10"/>
    <w:rsid w:val="33BA3569"/>
    <w:rsid w:val="33C52D51"/>
    <w:rsid w:val="33C921DD"/>
    <w:rsid w:val="33CE0D12"/>
    <w:rsid w:val="33CE3AEA"/>
    <w:rsid w:val="33CE5D56"/>
    <w:rsid w:val="33D50386"/>
    <w:rsid w:val="33E85809"/>
    <w:rsid w:val="33EF1C7F"/>
    <w:rsid w:val="33FB6A8B"/>
    <w:rsid w:val="340C101B"/>
    <w:rsid w:val="341542BD"/>
    <w:rsid w:val="342807AF"/>
    <w:rsid w:val="342976FF"/>
    <w:rsid w:val="342B58BF"/>
    <w:rsid w:val="343C15F9"/>
    <w:rsid w:val="343D5A65"/>
    <w:rsid w:val="343E76CA"/>
    <w:rsid w:val="343F0998"/>
    <w:rsid w:val="343F555C"/>
    <w:rsid w:val="345064FB"/>
    <w:rsid w:val="34546253"/>
    <w:rsid w:val="346B678E"/>
    <w:rsid w:val="346C6CDE"/>
    <w:rsid w:val="346F0726"/>
    <w:rsid w:val="34707685"/>
    <w:rsid w:val="347460F2"/>
    <w:rsid w:val="3481679A"/>
    <w:rsid w:val="34872E1B"/>
    <w:rsid w:val="34AC5B10"/>
    <w:rsid w:val="34B3208D"/>
    <w:rsid w:val="34B604DA"/>
    <w:rsid w:val="34BB059B"/>
    <w:rsid w:val="34C342D8"/>
    <w:rsid w:val="34CA6CC1"/>
    <w:rsid w:val="34CC342E"/>
    <w:rsid w:val="34D251BD"/>
    <w:rsid w:val="34D33604"/>
    <w:rsid w:val="34D467C8"/>
    <w:rsid w:val="34DA2267"/>
    <w:rsid w:val="34DF1DCD"/>
    <w:rsid w:val="34E13FD0"/>
    <w:rsid w:val="34EF6FD7"/>
    <w:rsid w:val="3500018B"/>
    <w:rsid w:val="350646D1"/>
    <w:rsid w:val="35067386"/>
    <w:rsid w:val="350966D8"/>
    <w:rsid w:val="351C68D5"/>
    <w:rsid w:val="351D7B74"/>
    <w:rsid w:val="351F397E"/>
    <w:rsid w:val="3527448D"/>
    <w:rsid w:val="35283478"/>
    <w:rsid w:val="35294B00"/>
    <w:rsid w:val="352E74F9"/>
    <w:rsid w:val="353D377C"/>
    <w:rsid w:val="353D4740"/>
    <w:rsid w:val="353D6B2D"/>
    <w:rsid w:val="35455A5D"/>
    <w:rsid w:val="3547416C"/>
    <w:rsid w:val="354B4342"/>
    <w:rsid w:val="355756E4"/>
    <w:rsid w:val="355A5C14"/>
    <w:rsid w:val="3560450D"/>
    <w:rsid w:val="356624A4"/>
    <w:rsid w:val="3567664C"/>
    <w:rsid w:val="359F684A"/>
    <w:rsid w:val="35A05A9F"/>
    <w:rsid w:val="35A12826"/>
    <w:rsid w:val="35B9034B"/>
    <w:rsid w:val="35C305A8"/>
    <w:rsid w:val="35DC6059"/>
    <w:rsid w:val="35DE700B"/>
    <w:rsid w:val="35F21E07"/>
    <w:rsid w:val="35F25187"/>
    <w:rsid w:val="35F370F3"/>
    <w:rsid w:val="35F64B77"/>
    <w:rsid w:val="35F9633E"/>
    <w:rsid w:val="35FC0F66"/>
    <w:rsid w:val="36014D33"/>
    <w:rsid w:val="36046CEB"/>
    <w:rsid w:val="36124C2C"/>
    <w:rsid w:val="361B3A65"/>
    <w:rsid w:val="36291D07"/>
    <w:rsid w:val="3631280E"/>
    <w:rsid w:val="363733A5"/>
    <w:rsid w:val="363813CF"/>
    <w:rsid w:val="36384DDB"/>
    <w:rsid w:val="363E57DD"/>
    <w:rsid w:val="3642229C"/>
    <w:rsid w:val="36492E93"/>
    <w:rsid w:val="364E6FBA"/>
    <w:rsid w:val="36514FF8"/>
    <w:rsid w:val="36527BFC"/>
    <w:rsid w:val="36532CA7"/>
    <w:rsid w:val="36553987"/>
    <w:rsid w:val="366476DE"/>
    <w:rsid w:val="3666423C"/>
    <w:rsid w:val="36687FC6"/>
    <w:rsid w:val="3670212A"/>
    <w:rsid w:val="36704377"/>
    <w:rsid w:val="36717FCB"/>
    <w:rsid w:val="36781C41"/>
    <w:rsid w:val="367C0F82"/>
    <w:rsid w:val="367E2E3D"/>
    <w:rsid w:val="36821D6D"/>
    <w:rsid w:val="368E37BD"/>
    <w:rsid w:val="3691753A"/>
    <w:rsid w:val="36941A4D"/>
    <w:rsid w:val="369B49E6"/>
    <w:rsid w:val="369F3675"/>
    <w:rsid w:val="36A57061"/>
    <w:rsid w:val="36BC407D"/>
    <w:rsid w:val="36BF64C5"/>
    <w:rsid w:val="36C34068"/>
    <w:rsid w:val="36C92F3A"/>
    <w:rsid w:val="36D41603"/>
    <w:rsid w:val="36DA00D1"/>
    <w:rsid w:val="36EB335A"/>
    <w:rsid w:val="36EB64B2"/>
    <w:rsid w:val="36ED1D56"/>
    <w:rsid w:val="36F65B4F"/>
    <w:rsid w:val="36F73219"/>
    <w:rsid w:val="36F92975"/>
    <w:rsid w:val="37032E45"/>
    <w:rsid w:val="370378C7"/>
    <w:rsid w:val="370D423F"/>
    <w:rsid w:val="3718165D"/>
    <w:rsid w:val="3720565A"/>
    <w:rsid w:val="37216BE1"/>
    <w:rsid w:val="37275232"/>
    <w:rsid w:val="37283DB2"/>
    <w:rsid w:val="372C0163"/>
    <w:rsid w:val="372C5AC1"/>
    <w:rsid w:val="373170A3"/>
    <w:rsid w:val="374757B3"/>
    <w:rsid w:val="3762131C"/>
    <w:rsid w:val="37633564"/>
    <w:rsid w:val="37851544"/>
    <w:rsid w:val="37872E9B"/>
    <w:rsid w:val="37876D40"/>
    <w:rsid w:val="379A2619"/>
    <w:rsid w:val="37B17CA5"/>
    <w:rsid w:val="37B22DC1"/>
    <w:rsid w:val="37B403C7"/>
    <w:rsid w:val="37B771C5"/>
    <w:rsid w:val="37C225D3"/>
    <w:rsid w:val="37C43584"/>
    <w:rsid w:val="37C53E3D"/>
    <w:rsid w:val="37C71712"/>
    <w:rsid w:val="37C74DCC"/>
    <w:rsid w:val="37D15639"/>
    <w:rsid w:val="37D857B6"/>
    <w:rsid w:val="37DA4908"/>
    <w:rsid w:val="37DD15DB"/>
    <w:rsid w:val="37DE3CAA"/>
    <w:rsid w:val="37E50D13"/>
    <w:rsid w:val="37E73361"/>
    <w:rsid w:val="37FA46CE"/>
    <w:rsid w:val="37FA4A00"/>
    <w:rsid w:val="38053414"/>
    <w:rsid w:val="38264DA5"/>
    <w:rsid w:val="382B525F"/>
    <w:rsid w:val="382E4CA2"/>
    <w:rsid w:val="383100ED"/>
    <w:rsid w:val="38361511"/>
    <w:rsid w:val="383D023F"/>
    <w:rsid w:val="384F6BFE"/>
    <w:rsid w:val="38557497"/>
    <w:rsid w:val="385D2921"/>
    <w:rsid w:val="385E42C1"/>
    <w:rsid w:val="386A25C3"/>
    <w:rsid w:val="386D0336"/>
    <w:rsid w:val="387460F4"/>
    <w:rsid w:val="387D33B1"/>
    <w:rsid w:val="389B0081"/>
    <w:rsid w:val="38A13657"/>
    <w:rsid w:val="38A64842"/>
    <w:rsid w:val="38A67C74"/>
    <w:rsid w:val="38AB20AB"/>
    <w:rsid w:val="38B10881"/>
    <w:rsid w:val="38B25843"/>
    <w:rsid w:val="38B968E1"/>
    <w:rsid w:val="38C434F6"/>
    <w:rsid w:val="38C6666F"/>
    <w:rsid w:val="38C958B2"/>
    <w:rsid w:val="38CD234A"/>
    <w:rsid w:val="38D15BAB"/>
    <w:rsid w:val="38E6128C"/>
    <w:rsid w:val="38ED3723"/>
    <w:rsid w:val="38F62F36"/>
    <w:rsid w:val="38F802C5"/>
    <w:rsid w:val="3903602C"/>
    <w:rsid w:val="3907483F"/>
    <w:rsid w:val="391A2877"/>
    <w:rsid w:val="391F16A1"/>
    <w:rsid w:val="39202BC3"/>
    <w:rsid w:val="393007D4"/>
    <w:rsid w:val="393322D5"/>
    <w:rsid w:val="393D0DEC"/>
    <w:rsid w:val="394C7AFA"/>
    <w:rsid w:val="394D69AD"/>
    <w:rsid w:val="395A7CA2"/>
    <w:rsid w:val="3968002C"/>
    <w:rsid w:val="39683BB1"/>
    <w:rsid w:val="398D78F4"/>
    <w:rsid w:val="399E7F67"/>
    <w:rsid w:val="39A541B1"/>
    <w:rsid w:val="39B724E5"/>
    <w:rsid w:val="39B80796"/>
    <w:rsid w:val="39BB4720"/>
    <w:rsid w:val="39D9102D"/>
    <w:rsid w:val="39DD2C6D"/>
    <w:rsid w:val="39E564A0"/>
    <w:rsid w:val="39F01CBB"/>
    <w:rsid w:val="39F1540C"/>
    <w:rsid w:val="39F261E1"/>
    <w:rsid w:val="39F61DA7"/>
    <w:rsid w:val="39F7363D"/>
    <w:rsid w:val="39FB5EE5"/>
    <w:rsid w:val="3A0F427D"/>
    <w:rsid w:val="3A264E19"/>
    <w:rsid w:val="3A2C61B0"/>
    <w:rsid w:val="3A372CCE"/>
    <w:rsid w:val="3A4361F9"/>
    <w:rsid w:val="3A4F680E"/>
    <w:rsid w:val="3A5112B1"/>
    <w:rsid w:val="3A545F24"/>
    <w:rsid w:val="3A571BC3"/>
    <w:rsid w:val="3A5A14BC"/>
    <w:rsid w:val="3A5F5315"/>
    <w:rsid w:val="3A630516"/>
    <w:rsid w:val="3A633753"/>
    <w:rsid w:val="3A652EEF"/>
    <w:rsid w:val="3A71745B"/>
    <w:rsid w:val="3A81335F"/>
    <w:rsid w:val="3A826873"/>
    <w:rsid w:val="3A8A0F91"/>
    <w:rsid w:val="3A8D0756"/>
    <w:rsid w:val="3A9668E9"/>
    <w:rsid w:val="3A994DE8"/>
    <w:rsid w:val="3A9B1934"/>
    <w:rsid w:val="3A9F79B8"/>
    <w:rsid w:val="3AA4790A"/>
    <w:rsid w:val="3AA525AA"/>
    <w:rsid w:val="3AAA6815"/>
    <w:rsid w:val="3AB07601"/>
    <w:rsid w:val="3AB5394E"/>
    <w:rsid w:val="3AC20F1B"/>
    <w:rsid w:val="3AC95B7D"/>
    <w:rsid w:val="3ADA5A48"/>
    <w:rsid w:val="3AE873C6"/>
    <w:rsid w:val="3AF42EFE"/>
    <w:rsid w:val="3AF84944"/>
    <w:rsid w:val="3AFE21FE"/>
    <w:rsid w:val="3B017C62"/>
    <w:rsid w:val="3B0704FC"/>
    <w:rsid w:val="3B0812A4"/>
    <w:rsid w:val="3B110B4C"/>
    <w:rsid w:val="3B1720EF"/>
    <w:rsid w:val="3B194CD2"/>
    <w:rsid w:val="3B1E0968"/>
    <w:rsid w:val="3B210C24"/>
    <w:rsid w:val="3B21249A"/>
    <w:rsid w:val="3B234637"/>
    <w:rsid w:val="3B2C487D"/>
    <w:rsid w:val="3B394489"/>
    <w:rsid w:val="3B493621"/>
    <w:rsid w:val="3B640989"/>
    <w:rsid w:val="3B723318"/>
    <w:rsid w:val="3B74425B"/>
    <w:rsid w:val="3B78707C"/>
    <w:rsid w:val="3B7B0AA7"/>
    <w:rsid w:val="3B830F3D"/>
    <w:rsid w:val="3B843EAC"/>
    <w:rsid w:val="3B867BD9"/>
    <w:rsid w:val="3B8867D4"/>
    <w:rsid w:val="3B903E83"/>
    <w:rsid w:val="3B961DD0"/>
    <w:rsid w:val="3B9735D6"/>
    <w:rsid w:val="3BA40294"/>
    <w:rsid w:val="3BA52283"/>
    <w:rsid w:val="3BB36681"/>
    <w:rsid w:val="3BB97D57"/>
    <w:rsid w:val="3BC25B76"/>
    <w:rsid w:val="3BC55E0C"/>
    <w:rsid w:val="3BD40FD1"/>
    <w:rsid w:val="3BD82B4C"/>
    <w:rsid w:val="3BDD06A3"/>
    <w:rsid w:val="3BE34122"/>
    <w:rsid w:val="3BFB6F2B"/>
    <w:rsid w:val="3BFC74B8"/>
    <w:rsid w:val="3C061420"/>
    <w:rsid w:val="3C064256"/>
    <w:rsid w:val="3C130E86"/>
    <w:rsid w:val="3C171EE6"/>
    <w:rsid w:val="3C194650"/>
    <w:rsid w:val="3C2A3CF3"/>
    <w:rsid w:val="3C2B52D0"/>
    <w:rsid w:val="3C2C251A"/>
    <w:rsid w:val="3C30145B"/>
    <w:rsid w:val="3C312CC4"/>
    <w:rsid w:val="3C351EED"/>
    <w:rsid w:val="3C36254E"/>
    <w:rsid w:val="3C3727FF"/>
    <w:rsid w:val="3C3772E0"/>
    <w:rsid w:val="3C56482C"/>
    <w:rsid w:val="3C630C5D"/>
    <w:rsid w:val="3C714860"/>
    <w:rsid w:val="3C775AAD"/>
    <w:rsid w:val="3C8819ED"/>
    <w:rsid w:val="3C8A1634"/>
    <w:rsid w:val="3C944CD7"/>
    <w:rsid w:val="3C99460B"/>
    <w:rsid w:val="3C9A4505"/>
    <w:rsid w:val="3C9A4A07"/>
    <w:rsid w:val="3CA111F0"/>
    <w:rsid w:val="3CA72CC1"/>
    <w:rsid w:val="3CA84556"/>
    <w:rsid w:val="3CB26EAC"/>
    <w:rsid w:val="3CB6273A"/>
    <w:rsid w:val="3CB93B25"/>
    <w:rsid w:val="3CBB2444"/>
    <w:rsid w:val="3CC23E0F"/>
    <w:rsid w:val="3CC35FAF"/>
    <w:rsid w:val="3CCD495C"/>
    <w:rsid w:val="3CD17828"/>
    <w:rsid w:val="3CDA4B85"/>
    <w:rsid w:val="3CF657DF"/>
    <w:rsid w:val="3D003E07"/>
    <w:rsid w:val="3D05474A"/>
    <w:rsid w:val="3D0829EC"/>
    <w:rsid w:val="3D083D94"/>
    <w:rsid w:val="3D0F20E4"/>
    <w:rsid w:val="3D2616F4"/>
    <w:rsid w:val="3D2A17C0"/>
    <w:rsid w:val="3D314ED6"/>
    <w:rsid w:val="3D3C0ECD"/>
    <w:rsid w:val="3D3D05EC"/>
    <w:rsid w:val="3D415BDB"/>
    <w:rsid w:val="3D473AE7"/>
    <w:rsid w:val="3D4B42C8"/>
    <w:rsid w:val="3D5A0C27"/>
    <w:rsid w:val="3D5E6973"/>
    <w:rsid w:val="3D664682"/>
    <w:rsid w:val="3D672B88"/>
    <w:rsid w:val="3D711DAF"/>
    <w:rsid w:val="3D740392"/>
    <w:rsid w:val="3D740F83"/>
    <w:rsid w:val="3D7C1B88"/>
    <w:rsid w:val="3D822064"/>
    <w:rsid w:val="3D882899"/>
    <w:rsid w:val="3D993846"/>
    <w:rsid w:val="3DA025D9"/>
    <w:rsid w:val="3DA15F42"/>
    <w:rsid w:val="3DA75C66"/>
    <w:rsid w:val="3DB0644D"/>
    <w:rsid w:val="3DB819A1"/>
    <w:rsid w:val="3DC81449"/>
    <w:rsid w:val="3DC94E38"/>
    <w:rsid w:val="3DDC1A73"/>
    <w:rsid w:val="3DDD3ABB"/>
    <w:rsid w:val="3DEB04B8"/>
    <w:rsid w:val="3DED440F"/>
    <w:rsid w:val="3DF325E5"/>
    <w:rsid w:val="3DF377B3"/>
    <w:rsid w:val="3DF804D8"/>
    <w:rsid w:val="3DF96760"/>
    <w:rsid w:val="3E0F56E9"/>
    <w:rsid w:val="3E0F7E78"/>
    <w:rsid w:val="3E1E342A"/>
    <w:rsid w:val="3E3911BA"/>
    <w:rsid w:val="3E3E08C4"/>
    <w:rsid w:val="3E4A424F"/>
    <w:rsid w:val="3E4D4A1B"/>
    <w:rsid w:val="3E5F2903"/>
    <w:rsid w:val="3E600C68"/>
    <w:rsid w:val="3E605267"/>
    <w:rsid w:val="3E633F8A"/>
    <w:rsid w:val="3E686F66"/>
    <w:rsid w:val="3E6F6A41"/>
    <w:rsid w:val="3E741C03"/>
    <w:rsid w:val="3E7677B8"/>
    <w:rsid w:val="3E7B6953"/>
    <w:rsid w:val="3E7F2AC4"/>
    <w:rsid w:val="3E931045"/>
    <w:rsid w:val="3E9B5AE5"/>
    <w:rsid w:val="3EA01628"/>
    <w:rsid w:val="3EA7064C"/>
    <w:rsid w:val="3EAD2E61"/>
    <w:rsid w:val="3EAD7B8C"/>
    <w:rsid w:val="3EBA3496"/>
    <w:rsid w:val="3EBA56E8"/>
    <w:rsid w:val="3EBF17E1"/>
    <w:rsid w:val="3EC6658E"/>
    <w:rsid w:val="3ECA05D1"/>
    <w:rsid w:val="3ECD11A1"/>
    <w:rsid w:val="3ED262D8"/>
    <w:rsid w:val="3ED45A52"/>
    <w:rsid w:val="3EE24F74"/>
    <w:rsid w:val="3EE26E18"/>
    <w:rsid w:val="3EF0298A"/>
    <w:rsid w:val="3EF50B9C"/>
    <w:rsid w:val="3EFD1C8A"/>
    <w:rsid w:val="3F0043AF"/>
    <w:rsid w:val="3F0F32B0"/>
    <w:rsid w:val="3F154FCB"/>
    <w:rsid w:val="3F155484"/>
    <w:rsid w:val="3F155C43"/>
    <w:rsid w:val="3F237437"/>
    <w:rsid w:val="3F271AA0"/>
    <w:rsid w:val="3F316F19"/>
    <w:rsid w:val="3F4C6E98"/>
    <w:rsid w:val="3F5334E9"/>
    <w:rsid w:val="3F631716"/>
    <w:rsid w:val="3F6E5F15"/>
    <w:rsid w:val="3F6E769D"/>
    <w:rsid w:val="3F7808DA"/>
    <w:rsid w:val="3F8C5FE1"/>
    <w:rsid w:val="3FB34460"/>
    <w:rsid w:val="3FBA53B6"/>
    <w:rsid w:val="3FBC4F38"/>
    <w:rsid w:val="3FBC6389"/>
    <w:rsid w:val="3FC90168"/>
    <w:rsid w:val="3FEE1E3A"/>
    <w:rsid w:val="3FFA6091"/>
    <w:rsid w:val="3FFC29BC"/>
    <w:rsid w:val="4005411E"/>
    <w:rsid w:val="40096CA6"/>
    <w:rsid w:val="400D75B9"/>
    <w:rsid w:val="400F0BD9"/>
    <w:rsid w:val="40142EF5"/>
    <w:rsid w:val="401F32AF"/>
    <w:rsid w:val="4021184B"/>
    <w:rsid w:val="40346DCB"/>
    <w:rsid w:val="40412D6B"/>
    <w:rsid w:val="40454B26"/>
    <w:rsid w:val="4058180F"/>
    <w:rsid w:val="40586B30"/>
    <w:rsid w:val="405C0639"/>
    <w:rsid w:val="40621854"/>
    <w:rsid w:val="407055CE"/>
    <w:rsid w:val="407C4DC1"/>
    <w:rsid w:val="4081185B"/>
    <w:rsid w:val="408D6789"/>
    <w:rsid w:val="40AD05D2"/>
    <w:rsid w:val="40C53D33"/>
    <w:rsid w:val="40C722F1"/>
    <w:rsid w:val="40D0482E"/>
    <w:rsid w:val="40D64917"/>
    <w:rsid w:val="40DD1C91"/>
    <w:rsid w:val="40E35948"/>
    <w:rsid w:val="40E3607B"/>
    <w:rsid w:val="40E8302B"/>
    <w:rsid w:val="40EE1772"/>
    <w:rsid w:val="40EE70DA"/>
    <w:rsid w:val="40F3173D"/>
    <w:rsid w:val="40F337D3"/>
    <w:rsid w:val="40FE7132"/>
    <w:rsid w:val="41023001"/>
    <w:rsid w:val="41132636"/>
    <w:rsid w:val="41167444"/>
    <w:rsid w:val="411A4534"/>
    <w:rsid w:val="41366DED"/>
    <w:rsid w:val="41391DD4"/>
    <w:rsid w:val="41421232"/>
    <w:rsid w:val="414E14A9"/>
    <w:rsid w:val="416849A5"/>
    <w:rsid w:val="41726172"/>
    <w:rsid w:val="41744400"/>
    <w:rsid w:val="4175215B"/>
    <w:rsid w:val="41810ABE"/>
    <w:rsid w:val="418361C5"/>
    <w:rsid w:val="419C3C80"/>
    <w:rsid w:val="41A7469E"/>
    <w:rsid w:val="41AE06A3"/>
    <w:rsid w:val="41AE176B"/>
    <w:rsid w:val="41B31AB1"/>
    <w:rsid w:val="41B514F5"/>
    <w:rsid w:val="41BD395B"/>
    <w:rsid w:val="41C814F0"/>
    <w:rsid w:val="41D426C9"/>
    <w:rsid w:val="41DF7B60"/>
    <w:rsid w:val="41EE690B"/>
    <w:rsid w:val="420325D1"/>
    <w:rsid w:val="42151C7D"/>
    <w:rsid w:val="421C584B"/>
    <w:rsid w:val="42220E27"/>
    <w:rsid w:val="42234804"/>
    <w:rsid w:val="422A1A8A"/>
    <w:rsid w:val="422C4757"/>
    <w:rsid w:val="422F4773"/>
    <w:rsid w:val="423F157A"/>
    <w:rsid w:val="423F167A"/>
    <w:rsid w:val="424602AB"/>
    <w:rsid w:val="4253348E"/>
    <w:rsid w:val="425855CD"/>
    <w:rsid w:val="42782A2D"/>
    <w:rsid w:val="427A43E6"/>
    <w:rsid w:val="427D0A54"/>
    <w:rsid w:val="427E25B6"/>
    <w:rsid w:val="42822909"/>
    <w:rsid w:val="42824BCA"/>
    <w:rsid w:val="428E3A1D"/>
    <w:rsid w:val="429A1F6E"/>
    <w:rsid w:val="429A483E"/>
    <w:rsid w:val="42A62D27"/>
    <w:rsid w:val="42AB0C85"/>
    <w:rsid w:val="42B33D39"/>
    <w:rsid w:val="42B511DF"/>
    <w:rsid w:val="42C67FAB"/>
    <w:rsid w:val="42CF2928"/>
    <w:rsid w:val="42DB4C37"/>
    <w:rsid w:val="42DE4F93"/>
    <w:rsid w:val="42E1236F"/>
    <w:rsid w:val="42EB2355"/>
    <w:rsid w:val="42F662CE"/>
    <w:rsid w:val="43050016"/>
    <w:rsid w:val="430645C3"/>
    <w:rsid w:val="43095F1B"/>
    <w:rsid w:val="432243B8"/>
    <w:rsid w:val="432976C6"/>
    <w:rsid w:val="432D2F6B"/>
    <w:rsid w:val="432F4F53"/>
    <w:rsid w:val="43365A3F"/>
    <w:rsid w:val="43391A8B"/>
    <w:rsid w:val="434B0C62"/>
    <w:rsid w:val="43500299"/>
    <w:rsid w:val="4350712B"/>
    <w:rsid w:val="43511968"/>
    <w:rsid w:val="4354633D"/>
    <w:rsid w:val="435870A6"/>
    <w:rsid w:val="43591C77"/>
    <w:rsid w:val="43612A6F"/>
    <w:rsid w:val="43646266"/>
    <w:rsid w:val="43690B0C"/>
    <w:rsid w:val="439F3A4D"/>
    <w:rsid w:val="43A6278F"/>
    <w:rsid w:val="43BC18E9"/>
    <w:rsid w:val="43CE4B86"/>
    <w:rsid w:val="43E01A26"/>
    <w:rsid w:val="43EC70D9"/>
    <w:rsid w:val="43F8007B"/>
    <w:rsid w:val="44074DBF"/>
    <w:rsid w:val="440B1006"/>
    <w:rsid w:val="440B107D"/>
    <w:rsid w:val="44115627"/>
    <w:rsid w:val="441A6A97"/>
    <w:rsid w:val="442B202C"/>
    <w:rsid w:val="442C3458"/>
    <w:rsid w:val="44303F3D"/>
    <w:rsid w:val="44333EB8"/>
    <w:rsid w:val="44354C48"/>
    <w:rsid w:val="443A4378"/>
    <w:rsid w:val="443F33CB"/>
    <w:rsid w:val="444828D3"/>
    <w:rsid w:val="444E3E1B"/>
    <w:rsid w:val="44513BB9"/>
    <w:rsid w:val="44550A04"/>
    <w:rsid w:val="44586B8D"/>
    <w:rsid w:val="44657BC9"/>
    <w:rsid w:val="44681FF8"/>
    <w:rsid w:val="446B4CAA"/>
    <w:rsid w:val="446E7AC0"/>
    <w:rsid w:val="447754B9"/>
    <w:rsid w:val="447D7B3D"/>
    <w:rsid w:val="447F1160"/>
    <w:rsid w:val="448C7EEF"/>
    <w:rsid w:val="448D2C58"/>
    <w:rsid w:val="44920DD5"/>
    <w:rsid w:val="449257D9"/>
    <w:rsid w:val="449672BD"/>
    <w:rsid w:val="449939A4"/>
    <w:rsid w:val="44996771"/>
    <w:rsid w:val="449B27FF"/>
    <w:rsid w:val="449D6972"/>
    <w:rsid w:val="44BE61A2"/>
    <w:rsid w:val="44C61AD5"/>
    <w:rsid w:val="44C86816"/>
    <w:rsid w:val="44D927FE"/>
    <w:rsid w:val="44EA69FA"/>
    <w:rsid w:val="450C5B1B"/>
    <w:rsid w:val="450F5274"/>
    <w:rsid w:val="4515150F"/>
    <w:rsid w:val="45190B0E"/>
    <w:rsid w:val="452C314E"/>
    <w:rsid w:val="453934E0"/>
    <w:rsid w:val="45425EB7"/>
    <w:rsid w:val="454508F6"/>
    <w:rsid w:val="454A0E0A"/>
    <w:rsid w:val="454A642E"/>
    <w:rsid w:val="45561061"/>
    <w:rsid w:val="455F5506"/>
    <w:rsid w:val="45605C9F"/>
    <w:rsid w:val="45622817"/>
    <w:rsid w:val="45637979"/>
    <w:rsid w:val="456567C1"/>
    <w:rsid w:val="457949B3"/>
    <w:rsid w:val="457A392E"/>
    <w:rsid w:val="457A7476"/>
    <w:rsid w:val="458057EE"/>
    <w:rsid w:val="458749CB"/>
    <w:rsid w:val="458A2C9D"/>
    <w:rsid w:val="458C28D8"/>
    <w:rsid w:val="459E6F70"/>
    <w:rsid w:val="45AC60F2"/>
    <w:rsid w:val="45B15E85"/>
    <w:rsid w:val="45C36F1A"/>
    <w:rsid w:val="45C450FF"/>
    <w:rsid w:val="45C55C8D"/>
    <w:rsid w:val="45CB4A5D"/>
    <w:rsid w:val="45D265FD"/>
    <w:rsid w:val="45DC268A"/>
    <w:rsid w:val="45DE6173"/>
    <w:rsid w:val="45DF0538"/>
    <w:rsid w:val="45DF1C4B"/>
    <w:rsid w:val="45E9340F"/>
    <w:rsid w:val="45ED7ED2"/>
    <w:rsid w:val="45F03C54"/>
    <w:rsid w:val="45FA28E3"/>
    <w:rsid w:val="46017662"/>
    <w:rsid w:val="460E3A95"/>
    <w:rsid w:val="460E7599"/>
    <w:rsid w:val="461259D1"/>
    <w:rsid w:val="461D466D"/>
    <w:rsid w:val="46227FF8"/>
    <w:rsid w:val="462714A9"/>
    <w:rsid w:val="4631103E"/>
    <w:rsid w:val="46351B59"/>
    <w:rsid w:val="46494076"/>
    <w:rsid w:val="464D7DF8"/>
    <w:rsid w:val="465376FF"/>
    <w:rsid w:val="465B0B3E"/>
    <w:rsid w:val="4660058C"/>
    <w:rsid w:val="46614E44"/>
    <w:rsid w:val="467F1AC2"/>
    <w:rsid w:val="46856291"/>
    <w:rsid w:val="468E0EA3"/>
    <w:rsid w:val="469917B2"/>
    <w:rsid w:val="469B25F4"/>
    <w:rsid w:val="46A35E32"/>
    <w:rsid w:val="46A530C7"/>
    <w:rsid w:val="46A9392F"/>
    <w:rsid w:val="46BB1451"/>
    <w:rsid w:val="46BE3811"/>
    <w:rsid w:val="46BF3993"/>
    <w:rsid w:val="46CF4A49"/>
    <w:rsid w:val="46D4474E"/>
    <w:rsid w:val="46D47554"/>
    <w:rsid w:val="470870DA"/>
    <w:rsid w:val="47095323"/>
    <w:rsid w:val="4716601D"/>
    <w:rsid w:val="472C053C"/>
    <w:rsid w:val="472E6227"/>
    <w:rsid w:val="473C7803"/>
    <w:rsid w:val="474072B3"/>
    <w:rsid w:val="474257AF"/>
    <w:rsid w:val="474B2986"/>
    <w:rsid w:val="47543FC4"/>
    <w:rsid w:val="47591178"/>
    <w:rsid w:val="475E5A13"/>
    <w:rsid w:val="476B5E10"/>
    <w:rsid w:val="47804554"/>
    <w:rsid w:val="479142F1"/>
    <w:rsid w:val="47AE78F4"/>
    <w:rsid w:val="47B20F08"/>
    <w:rsid w:val="47B710F6"/>
    <w:rsid w:val="47CC280E"/>
    <w:rsid w:val="47CC41E4"/>
    <w:rsid w:val="47CF6A44"/>
    <w:rsid w:val="47D153C3"/>
    <w:rsid w:val="47D16117"/>
    <w:rsid w:val="47D54485"/>
    <w:rsid w:val="47E849B3"/>
    <w:rsid w:val="47E91A0F"/>
    <w:rsid w:val="47F41C2E"/>
    <w:rsid w:val="47F74207"/>
    <w:rsid w:val="47FA18CE"/>
    <w:rsid w:val="48013F0B"/>
    <w:rsid w:val="480520DC"/>
    <w:rsid w:val="481A450E"/>
    <w:rsid w:val="481F131B"/>
    <w:rsid w:val="48216814"/>
    <w:rsid w:val="484C15E8"/>
    <w:rsid w:val="486313C8"/>
    <w:rsid w:val="486F4D61"/>
    <w:rsid w:val="487F00AB"/>
    <w:rsid w:val="48822D4B"/>
    <w:rsid w:val="489D5A71"/>
    <w:rsid w:val="489E6CBD"/>
    <w:rsid w:val="48A30387"/>
    <w:rsid w:val="48B0136A"/>
    <w:rsid w:val="48B33C17"/>
    <w:rsid w:val="48B76ABB"/>
    <w:rsid w:val="48B822D9"/>
    <w:rsid w:val="48BA60CF"/>
    <w:rsid w:val="48BD6598"/>
    <w:rsid w:val="48C516A3"/>
    <w:rsid w:val="48C84E85"/>
    <w:rsid w:val="48D47409"/>
    <w:rsid w:val="48D71CD7"/>
    <w:rsid w:val="48DF7B9E"/>
    <w:rsid w:val="48E2355F"/>
    <w:rsid w:val="48E3371D"/>
    <w:rsid w:val="48E66A83"/>
    <w:rsid w:val="48FC413C"/>
    <w:rsid w:val="49084880"/>
    <w:rsid w:val="49180084"/>
    <w:rsid w:val="49337A6F"/>
    <w:rsid w:val="493A29E6"/>
    <w:rsid w:val="493A6B86"/>
    <w:rsid w:val="494D4B8A"/>
    <w:rsid w:val="49607B20"/>
    <w:rsid w:val="496A7356"/>
    <w:rsid w:val="49806BC3"/>
    <w:rsid w:val="49887628"/>
    <w:rsid w:val="49897A38"/>
    <w:rsid w:val="498C75FE"/>
    <w:rsid w:val="498F32A7"/>
    <w:rsid w:val="498F5741"/>
    <w:rsid w:val="499961AF"/>
    <w:rsid w:val="499C7BAB"/>
    <w:rsid w:val="49A01266"/>
    <w:rsid w:val="49A06845"/>
    <w:rsid w:val="49A25813"/>
    <w:rsid w:val="49AE4ABE"/>
    <w:rsid w:val="49B14395"/>
    <w:rsid w:val="49BB681F"/>
    <w:rsid w:val="49BF75CE"/>
    <w:rsid w:val="49CB3303"/>
    <w:rsid w:val="49CE422A"/>
    <w:rsid w:val="49F32384"/>
    <w:rsid w:val="4A031EB9"/>
    <w:rsid w:val="4A083FED"/>
    <w:rsid w:val="4A192E38"/>
    <w:rsid w:val="4A1C6530"/>
    <w:rsid w:val="4A210059"/>
    <w:rsid w:val="4A2208EE"/>
    <w:rsid w:val="4A252F7E"/>
    <w:rsid w:val="4A397338"/>
    <w:rsid w:val="4A3F675F"/>
    <w:rsid w:val="4A5202AF"/>
    <w:rsid w:val="4A591D12"/>
    <w:rsid w:val="4A5E30E3"/>
    <w:rsid w:val="4A5F1CDA"/>
    <w:rsid w:val="4A635A8F"/>
    <w:rsid w:val="4A6500D4"/>
    <w:rsid w:val="4A687607"/>
    <w:rsid w:val="4A812B9F"/>
    <w:rsid w:val="4A871612"/>
    <w:rsid w:val="4A873851"/>
    <w:rsid w:val="4A8B6BE8"/>
    <w:rsid w:val="4A976764"/>
    <w:rsid w:val="4A983A51"/>
    <w:rsid w:val="4A9D04DE"/>
    <w:rsid w:val="4AA42F26"/>
    <w:rsid w:val="4AA53DF8"/>
    <w:rsid w:val="4AAB3310"/>
    <w:rsid w:val="4AAE474C"/>
    <w:rsid w:val="4AB7029D"/>
    <w:rsid w:val="4ABC48B4"/>
    <w:rsid w:val="4AC376B9"/>
    <w:rsid w:val="4AD209B5"/>
    <w:rsid w:val="4AD36A50"/>
    <w:rsid w:val="4AD875AE"/>
    <w:rsid w:val="4ADC329D"/>
    <w:rsid w:val="4ADC5063"/>
    <w:rsid w:val="4AE40867"/>
    <w:rsid w:val="4AE5272F"/>
    <w:rsid w:val="4AE875CE"/>
    <w:rsid w:val="4AEF339D"/>
    <w:rsid w:val="4AFD4F66"/>
    <w:rsid w:val="4B167442"/>
    <w:rsid w:val="4B1730AA"/>
    <w:rsid w:val="4B213C77"/>
    <w:rsid w:val="4B22173E"/>
    <w:rsid w:val="4B247C2B"/>
    <w:rsid w:val="4B390B50"/>
    <w:rsid w:val="4B3F0BDE"/>
    <w:rsid w:val="4B442C75"/>
    <w:rsid w:val="4B447D52"/>
    <w:rsid w:val="4B492B61"/>
    <w:rsid w:val="4B4B6870"/>
    <w:rsid w:val="4B4E2CC5"/>
    <w:rsid w:val="4B5218DE"/>
    <w:rsid w:val="4B523608"/>
    <w:rsid w:val="4B5245D3"/>
    <w:rsid w:val="4B630BDD"/>
    <w:rsid w:val="4B743A93"/>
    <w:rsid w:val="4B825E44"/>
    <w:rsid w:val="4B842834"/>
    <w:rsid w:val="4B850BEF"/>
    <w:rsid w:val="4B91733F"/>
    <w:rsid w:val="4B924895"/>
    <w:rsid w:val="4B945BB4"/>
    <w:rsid w:val="4BA4114F"/>
    <w:rsid w:val="4BB201F7"/>
    <w:rsid w:val="4BB65AE8"/>
    <w:rsid w:val="4BBE253C"/>
    <w:rsid w:val="4BC02FA9"/>
    <w:rsid w:val="4BCB66AF"/>
    <w:rsid w:val="4BD31535"/>
    <w:rsid w:val="4BE719E8"/>
    <w:rsid w:val="4BEC0FD8"/>
    <w:rsid w:val="4BF33172"/>
    <w:rsid w:val="4BF56E59"/>
    <w:rsid w:val="4BF81251"/>
    <w:rsid w:val="4BF87C88"/>
    <w:rsid w:val="4BFB32F7"/>
    <w:rsid w:val="4BFE5F47"/>
    <w:rsid w:val="4C016011"/>
    <w:rsid w:val="4C0603B5"/>
    <w:rsid w:val="4C1B4653"/>
    <w:rsid w:val="4C214401"/>
    <w:rsid w:val="4C277330"/>
    <w:rsid w:val="4C36232B"/>
    <w:rsid w:val="4C3E69D4"/>
    <w:rsid w:val="4C5A33B3"/>
    <w:rsid w:val="4C5B24D8"/>
    <w:rsid w:val="4C5D6949"/>
    <w:rsid w:val="4C6518D8"/>
    <w:rsid w:val="4C657FEA"/>
    <w:rsid w:val="4C68189E"/>
    <w:rsid w:val="4C6D253D"/>
    <w:rsid w:val="4C6D66E0"/>
    <w:rsid w:val="4C7F5355"/>
    <w:rsid w:val="4C80243B"/>
    <w:rsid w:val="4C856D88"/>
    <w:rsid w:val="4C882E17"/>
    <w:rsid w:val="4C8B76A5"/>
    <w:rsid w:val="4CA23EA0"/>
    <w:rsid w:val="4CAF0D2F"/>
    <w:rsid w:val="4CB227B0"/>
    <w:rsid w:val="4CB4513C"/>
    <w:rsid w:val="4CBC5EAB"/>
    <w:rsid w:val="4CBD7BEB"/>
    <w:rsid w:val="4CE7438B"/>
    <w:rsid w:val="4CF51068"/>
    <w:rsid w:val="4CFD54B5"/>
    <w:rsid w:val="4D2263DF"/>
    <w:rsid w:val="4D2D64FE"/>
    <w:rsid w:val="4D350E79"/>
    <w:rsid w:val="4D351B97"/>
    <w:rsid w:val="4D3D0E94"/>
    <w:rsid w:val="4D4D31A9"/>
    <w:rsid w:val="4D532044"/>
    <w:rsid w:val="4D551E97"/>
    <w:rsid w:val="4D5620C8"/>
    <w:rsid w:val="4D5C149C"/>
    <w:rsid w:val="4D673094"/>
    <w:rsid w:val="4D6A56F8"/>
    <w:rsid w:val="4D6B2144"/>
    <w:rsid w:val="4D6D599F"/>
    <w:rsid w:val="4D6E68C7"/>
    <w:rsid w:val="4D755870"/>
    <w:rsid w:val="4D8511BD"/>
    <w:rsid w:val="4D922401"/>
    <w:rsid w:val="4D9624B2"/>
    <w:rsid w:val="4DA03ABA"/>
    <w:rsid w:val="4DAE2852"/>
    <w:rsid w:val="4DB97640"/>
    <w:rsid w:val="4DBB3094"/>
    <w:rsid w:val="4DBB4B50"/>
    <w:rsid w:val="4DBE5DF2"/>
    <w:rsid w:val="4DC03E57"/>
    <w:rsid w:val="4DD1435B"/>
    <w:rsid w:val="4DF70EDD"/>
    <w:rsid w:val="4DFA7DE0"/>
    <w:rsid w:val="4DFB58A1"/>
    <w:rsid w:val="4E035126"/>
    <w:rsid w:val="4E0D579C"/>
    <w:rsid w:val="4E117BF6"/>
    <w:rsid w:val="4E185851"/>
    <w:rsid w:val="4E191D18"/>
    <w:rsid w:val="4E211248"/>
    <w:rsid w:val="4E245B46"/>
    <w:rsid w:val="4E262E55"/>
    <w:rsid w:val="4E2A5D19"/>
    <w:rsid w:val="4E2B2DDB"/>
    <w:rsid w:val="4E33577F"/>
    <w:rsid w:val="4E3F24F1"/>
    <w:rsid w:val="4E5418BA"/>
    <w:rsid w:val="4E565AF5"/>
    <w:rsid w:val="4E5A2B57"/>
    <w:rsid w:val="4E5B2CA5"/>
    <w:rsid w:val="4E5B63CA"/>
    <w:rsid w:val="4E6060FB"/>
    <w:rsid w:val="4E660629"/>
    <w:rsid w:val="4E780CC0"/>
    <w:rsid w:val="4E7D4571"/>
    <w:rsid w:val="4E932FAF"/>
    <w:rsid w:val="4E962528"/>
    <w:rsid w:val="4E9641EE"/>
    <w:rsid w:val="4E974406"/>
    <w:rsid w:val="4E9C433D"/>
    <w:rsid w:val="4E9D15C1"/>
    <w:rsid w:val="4EA24F53"/>
    <w:rsid w:val="4EAE07A8"/>
    <w:rsid w:val="4EB345B5"/>
    <w:rsid w:val="4EB7726B"/>
    <w:rsid w:val="4EBF5856"/>
    <w:rsid w:val="4EDC41D0"/>
    <w:rsid w:val="4EDE3CA7"/>
    <w:rsid w:val="4EFC31E2"/>
    <w:rsid w:val="4F0A41C9"/>
    <w:rsid w:val="4F0B39BF"/>
    <w:rsid w:val="4F130D60"/>
    <w:rsid w:val="4F1805F5"/>
    <w:rsid w:val="4F31056C"/>
    <w:rsid w:val="4F3208F2"/>
    <w:rsid w:val="4F331574"/>
    <w:rsid w:val="4F340862"/>
    <w:rsid w:val="4F40628A"/>
    <w:rsid w:val="4F4F172F"/>
    <w:rsid w:val="4F554F97"/>
    <w:rsid w:val="4F6325A7"/>
    <w:rsid w:val="4F7138E8"/>
    <w:rsid w:val="4F74145D"/>
    <w:rsid w:val="4F764D63"/>
    <w:rsid w:val="4F7A7CD4"/>
    <w:rsid w:val="4F8234F3"/>
    <w:rsid w:val="4F8954E4"/>
    <w:rsid w:val="4F8B2D96"/>
    <w:rsid w:val="4F8E09CC"/>
    <w:rsid w:val="4FA00C50"/>
    <w:rsid w:val="4FA13407"/>
    <w:rsid w:val="4FA86ABD"/>
    <w:rsid w:val="4FAF391D"/>
    <w:rsid w:val="4FB10F35"/>
    <w:rsid w:val="4FB61977"/>
    <w:rsid w:val="4FB6701F"/>
    <w:rsid w:val="4FB70D60"/>
    <w:rsid w:val="4FC41B97"/>
    <w:rsid w:val="4FC70466"/>
    <w:rsid w:val="4FCA46F1"/>
    <w:rsid w:val="4FD6595C"/>
    <w:rsid w:val="4FD827AC"/>
    <w:rsid w:val="4FF14435"/>
    <w:rsid w:val="4FF35B5F"/>
    <w:rsid w:val="501A229B"/>
    <w:rsid w:val="501E066A"/>
    <w:rsid w:val="50334FA7"/>
    <w:rsid w:val="50383F35"/>
    <w:rsid w:val="50387A5E"/>
    <w:rsid w:val="50467B08"/>
    <w:rsid w:val="505B0218"/>
    <w:rsid w:val="5060291D"/>
    <w:rsid w:val="50632B69"/>
    <w:rsid w:val="50682E1D"/>
    <w:rsid w:val="50717DCD"/>
    <w:rsid w:val="50834162"/>
    <w:rsid w:val="509224AE"/>
    <w:rsid w:val="50930AD6"/>
    <w:rsid w:val="509B06DA"/>
    <w:rsid w:val="509D3341"/>
    <w:rsid w:val="509F57B5"/>
    <w:rsid w:val="50B34D0F"/>
    <w:rsid w:val="50B8283B"/>
    <w:rsid w:val="50C0002A"/>
    <w:rsid w:val="50DD317D"/>
    <w:rsid w:val="50DE1E2D"/>
    <w:rsid w:val="50E83C25"/>
    <w:rsid w:val="50EA4E24"/>
    <w:rsid w:val="50F37FC4"/>
    <w:rsid w:val="51034EA5"/>
    <w:rsid w:val="51051701"/>
    <w:rsid w:val="51086AF8"/>
    <w:rsid w:val="51094748"/>
    <w:rsid w:val="510D2F35"/>
    <w:rsid w:val="510D3C6B"/>
    <w:rsid w:val="51160452"/>
    <w:rsid w:val="51171B79"/>
    <w:rsid w:val="511740B7"/>
    <w:rsid w:val="51205A02"/>
    <w:rsid w:val="512D54E3"/>
    <w:rsid w:val="51313D8D"/>
    <w:rsid w:val="51341ECB"/>
    <w:rsid w:val="513C2EAF"/>
    <w:rsid w:val="51414069"/>
    <w:rsid w:val="51421752"/>
    <w:rsid w:val="51486501"/>
    <w:rsid w:val="51561851"/>
    <w:rsid w:val="515A20AE"/>
    <w:rsid w:val="516E2F55"/>
    <w:rsid w:val="51746F38"/>
    <w:rsid w:val="51783844"/>
    <w:rsid w:val="517C08EC"/>
    <w:rsid w:val="517C1CA9"/>
    <w:rsid w:val="517C3059"/>
    <w:rsid w:val="51926E80"/>
    <w:rsid w:val="51954B5B"/>
    <w:rsid w:val="51983490"/>
    <w:rsid w:val="519A07F3"/>
    <w:rsid w:val="519D27FA"/>
    <w:rsid w:val="51A1752C"/>
    <w:rsid w:val="51AC5FC2"/>
    <w:rsid w:val="51AF0574"/>
    <w:rsid w:val="51AF6CBB"/>
    <w:rsid w:val="51CF1C6C"/>
    <w:rsid w:val="51D21426"/>
    <w:rsid w:val="51D263AA"/>
    <w:rsid w:val="51D3587C"/>
    <w:rsid w:val="51D37A15"/>
    <w:rsid w:val="51D5363C"/>
    <w:rsid w:val="51D54BDB"/>
    <w:rsid w:val="51D82A90"/>
    <w:rsid w:val="51E12DD0"/>
    <w:rsid w:val="51E4110D"/>
    <w:rsid w:val="51E6646C"/>
    <w:rsid w:val="51E727E0"/>
    <w:rsid w:val="51E73B53"/>
    <w:rsid w:val="51F16BC4"/>
    <w:rsid w:val="52043209"/>
    <w:rsid w:val="5207790A"/>
    <w:rsid w:val="5208196C"/>
    <w:rsid w:val="5208726C"/>
    <w:rsid w:val="5216301B"/>
    <w:rsid w:val="521F265D"/>
    <w:rsid w:val="522A37B0"/>
    <w:rsid w:val="522E1CF0"/>
    <w:rsid w:val="52333AEC"/>
    <w:rsid w:val="52375A85"/>
    <w:rsid w:val="523B1592"/>
    <w:rsid w:val="523F749A"/>
    <w:rsid w:val="52455C15"/>
    <w:rsid w:val="52457F6C"/>
    <w:rsid w:val="5246594F"/>
    <w:rsid w:val="52791455"/>
    <w:rsid w:val="528606BA"/>
    <w:rsid w:val="528C69B4"/>
    <w:rsid w:val="52902196"/>
    <w:rsid w:val="52945973"/>
    <w:rsid w:val="52A1196F"/>
    <w:rsid w:val="52AB3DE7"/>
    <w:rsid w:val="52B7597C"/>
    <w:rsid w:val="52B87217"/>
    <w:rsid w:val="52BD48FE"/>
    <w:rsid w:val="52C107FD"/>
    <w:rsid w:val="52CA79DD"/>
    <w:rsid w:val="52CE1E96"/>
    <w:rsid w:val="52D33D92"/>
    <w:rsid w:val="52DE3252"/>
    <w:rsid w:val="52E241F8"/>
    <w:rsid w:val="52E57C81"/>
    <w:rsid w:val="52E6168D"/>
    <w:rsid w:val="52E62FE3"/>
    <w:rsid w:val="52F020FC"/>
    <w:rsid w:val="52FF1304"/>
    <w:rsid w:val="53171ABC"/>
    <w:rsid w:val="531F1B61"/>
    <w:rsid w:val="53291E60"/>
    <w:rsid w:val="532F3D55"/>
    <w:rsid w:val="532F453F"/>
    <w:rsid w:val="53367634"/>
    <w:rsid w:val="53386FA1"/>
    <w:rsid w:val="53416916"/>
    <w:rsid w:val="534A6993"/>
    <w:rsid w:val="53561DE4"/>
    <w:rsid w:val="535D556A"/>
    <w:rsid w:val="535D6B20"/>
    <w:rsid w:val="5377768C"/>
    <w:rsid w:val="537D7629"/>
    <w:rsid w:val="538561D0"/>
    <w:rsid w:val="538A6A85"/>
    <w:rsid w:val="538F7E91"/>
    <w:rsid w:val="53952BA5"/>
    <w:rsid w:val="539D2702"/>
    <w:rsid w:val="539D5981"/>
    <w:rsid w:val="53A473B8"/>
    <w:rsid w:val="53AD58B7"/>
    <w:rsid w:val="53B04919"/>
    <w:rsid w:val="53B22CF7"/>
    <w:rsid w:val="53BE0938"/>
    <w:rsid w:val="53CA4A37"/>
    <w:rsid w:val="53CE4081"/>
    <w:rsid w:val="53D43E1F"/>
    <w:rsid w:val="53D91296"/>
    <w:rsid w:val="53E6603C"/>
    <w:rsid w:val="53EB463A"/>
    <w:rsid w:val="53EE0229"/>
    <w:rsid w:val="53F35969"/>
    <w:rsid w:val="53F80CFA"/>
    <w:rsid w:val="53F82D25"/>
    <w:rsid w:val="5403513D"/>
    <w:rsid w:val="5410218F"/>
    <w:rsid w:val="541245DF"/>
    <w:rsid w:val="54177546"/>
    <w:rsid w:val="54190B9D"/>
    <w:rsid w:val="541A66B9"/>
    <w:rsid w:val="54243FF2"/>
    <w:rsid w:val="54245D23"/>
    <w:rsid w:val="54250274"/>
    <w:rsid w:val="542758B3"/>
    <w:rsid w:val="542F4F12"/>
    <w:rsid w:val="543E2D5D"/>
    <w:rsid w:val="54425045"/>
    <w:rsid w:val="544519E7"/>
    <w:rsid w:val="545B7B39"/>
    <w:rsid w:val="546E774C"/>
    <w:rsid w:val="5470509A"/>
    <w:rsid w:val="54843ACD"/>
    <w:rsid w:val="5488250A"/>
    <w:rsid w:val="549171F8"/>
    <w:rsid w:val="54936E54"/>
    <w:rsid w:val="54940699"/>
    <w:rsid w:val="54A91272"/>
    <w:rsid w:val="54B55439"/>
    <w:rsid w:val="54BF685A"/>
    <w:rsid w:val="54C17B44"/>
    <w:rsid w:val="54C6503C"/>
    <w:rsid w:val="54D15B61"/>
    <w:rsid w:val="54D43345"/>
    <w:rsid w:val="54D834A3"/>
    <w:rsid w:val="54DB21F1"/>
    <w:rsid w:val="54E221AA"/>
    <w:rsid w:val="54E51824"/>
    <w:rsid w:val="54ED295C"/>
    <w:rsid w:val="54EF7A77"/>
    <w:rsid w:val="55005AAB"/>
    <w:rsid w:val="55016554"/>
    <w:rsid w:val="552604BE"/>
    <w:rsid w:val="552C04BC"/>
    <w:rsid w:val="553034A5"/>
    <w:rsid w:val="5531487D"/>
    <w:rsid w:val="553D44F9"/>
    <w:rsid w:val="553E0B3C"/>
    <w:rsid w:val="55405C30"/>
    <w:rsid w:val="554A3408"/>
    <w:rsid w:val="556C29E3"/>
    <w:rsid w:val="556D70F3"/>
    <w:rsid w:val="55770621"/>
    <w:rsid w:val="55774313"/>
    <w:rsid w:val="557A4F27"/>
    <w:rsid w:val="557B0476"/>
    <w:rsid w:val="557B6DC4"/>
    <w:rsid w:val="55945DA8"/>
    <w:rsid w:val="559502CB"/>
    <w:rsid w:val="559652E5"/>
    <w:rsid w:val="559D3865"/>
    <w:rsid w:val="55AA567A"/>
    <w:rsid w:val="55AB61F4"/>
    <w:rsid w:val="55AC4151"/>
    <w:rsid w:val="55BF6F4F"/>
    <w:rsid w:val="55C15178"/>
    <w:rsid w:val="55C232C5"/>
    <w:rsid w:val="55C500A6"/>
    <w:rsid w:val="55C8356F"/>
    <w:rsid w:val="55CE5CA4"/>
    <w:rsid w:val="55D24A78"/>
    <w:rsid w:val="55D256B7"/>
    <w:rsid w:val="55D95F74"/>
    <w:rsid w:val="55DA2722"/>
    <w:rsid w:val="55E6605C"/>
    <w:rsid w:val="55F72155"/>
    <w:rsid w:val="55FD7378"/>
    <w:rsid w:val="560409DC"/>
    <w:rsid w:val="56070FB2"/>
    <w:rsid w:val="56111763"/>
    <w:rsid w:val="56135817"/>
    <w:rsid w:val="561A6F26"/>
    <w:rsid w:val="562A4F7E"/>
    <w:rsid w:val="563474A7"/>
    <w:rsid w:val="56352989"/>
    <w:rsid w:val="564168D1"/>
    <w:rsid w:val="56466F34"/>
    <w:rsid w:val="564D4E66"/>
    <w:rsid w:val="564F2E85"/>
    <w:rsid w:val="56664DA2"/>
    <w:rsid w:val="567C628F"/>
    <w:rsid w:val="567F0EF3"/>
    <w:rsid w:val="56835979"/>
    <w:rsid w:val="56876250"/>
    <w:rsid w:val="56901A15"/>
    <w:rsid w:val="5695367C"/>
    <w:rsid w:val="569E5389"/>
    <w:rsid w:val="56A5141C"/>
    <w:rsid w:val="56B41261"/>
    <w:rsid w:val="56B431D7"/>
    <w:rsid w:val="56B45050"/>
    <w:rsid w:val="56BA576B"/>
    <w:rsid w:val="56C32CBA"/>
    <w:rsid w:val="56CA3EAE"/>
    <w:rsid w:val="56CC1F73"/>
    <w:rsid w:val="56D5431B"/>
    <w:rsid w:val="56D5788D"/>
    <w:rsid w:val="56D76495"/>
    <w:rsid w:val="56E45348"/>
    <w:rsid w:val="56E80CF9"/>
    <w:rsid w:val="56F02A71"/>
    <w:rsid w:val="56F43486"/>
    <w:rsid w:val="57180FA5"/>
    <w:rsid w:val="571B3C7C"/>
    <w:rsid w:val="57285D4C"/>
    <w:rsid w:val="572D69D5"/>
    <w:rsid w:val="573115B3"/>
    <w:rsid w:val="573321EC"/>
    <w:rsid w:val="57341C7B"/>
    <w:rsid w:val="573A6DAB"/>
    <w:rsid w:val="573F1E06"/>
    <w:rsid w:val="57554BB8"/>
    <w:rsid w:val="575F066C"/>
    <w:rsid w:val="576053F2"/>
    <w:rsid w:val="57660BAA"/>
    <w:rsid w:val="577166FF"/>
    <w:rsid w:val="5775148F"/>
    <w:rsid w:val="57846413"/>
    <w:rsid w:val="578C3569"/>
    <w:rsid w:val="578E2A60"/>
    <w:rsid w:val="579C6E1A"/>
    <w:rsid w:val="57A93EE0"/>
    <w:rsid w:val="57AE0494"/>
    <w:rsid w:val="57B16B02"/>
    <w:rsid w:val="57C510CE"/>
    <w:rsid w:val="57C74A42"/>
    <w:rsid w:val="57DA48DF"/>
    <w:rsid w:val="57E16245"/>
    <w:rsid w:val="57E22EAE"/>
    <w:rsid w:val="57EB6477"/>
    <w:rsid w:val="57ED44BB"/>
    <w:rsid w:val="58032B14"/>
    <w:rsid w:val="58076573"/>
    <w:rsid w:val="580F75A1"/>
    <w:rsid w:val="581432FD"/>
    <w:rsid w:val="58294A13"/>
    <w:rsid w:val="58296B8A"/>
    <w:rsid w:val="583F2385"/>
    <w:rsid w:val="584B33F3"/>
    <w:rsid w:val="584E0515"/>
    <w:rsid w:val="5851324B"/>
    <w:rsid w:val="5853385C"/>
    <w:rsid w:val="58554C2A"/>
    <w:rsid w:val="58594218"/>
    <w:rsid w:val="58647209"/>
    <w:rsid w:val="587641EC"/>
    <w:rsid w:val="587C5C35"/>
    <w:rsid w:val="588305D4"/>
    <w:rsid w:val="58891080"/>
    <w:rsid w:val="588E0F3E"/>
    <w:rsid w:val="588E2444"/>
    <w:rsid w:val="58931A9F"/>
    <w:rsid w:val="58987706"/>
    <w:rsid w:val="589F0CD6"/>
    <w:rsid w:val="58A1788B"/>
    <w:rsid w:val="58A30D9E"/>
    <w:rsid w:val="58A82A5F"/>
    <w:rsid w:val="58B329B7"/>
    <w:rsid w:val="58B65084"/>
    <w:rsid w:val="58B7150E"/>
    <w:rsid w:val="58BB0EFD"/>
    <w:rsid w:val="58C1227A"/>
    <w:rsid w:val="58C94B5E"/>
    <w:rsid w:val="58E069FE"/>
    <w:rsid w:val="58E21FD4"/>
    <w:rsid w:val="59151B62"/>
    <w:rsid w:val="59166893"/>
    <w:rsid w:val="592B3622"/>
    <w:rsid w:val="593147D4"/>
    <w:rsid w:val="59324E55"/>
    <w:rsid w:val="593C061A"/>
    <w:rsid w:val="593D58AF"/>
    <w:rsid w:val="594159F6"/>
    <w:rsid w:val="594256D1"/>
    <w:rsid w:val="59494010"/>
    <w:rsid w:val="59534AC1"/>
    <w:rsid w:val="595B624E"/>
    <w:rsid w:val="595C59D4"/>
    <w:rsid w:val="59651356"/>
    <w:rsid w:val="5968475F"/>
    <w:rsid w:val="59690F79"/>
    <w:rsid w:val="59787EBF"/>
    <w:rsid w:val="597A68BB"/>
    <w:rsid w:val="59935D50"/>
    <w:rsid w:val="599911B7"/>
    <w:rsid w:val="59B640EC"/>
    <w:rsid w:val="59B93A5B"/>
    <w:rsid w:val="59C3425C"/>
    <w:rsid w:val="59CD375E"/>
    <w:rsid w:val="59CF65F7"/>
    <w:rsid w:val="59E012C1"/>
    <w:rsid w:val="59E5627E"/>
    <w:rsid w:val="59E64035"/>
    <w:rsid w:val="59F26C1D"/>
    <w:rsid w:val="59F82DC7"/>
    <w:rsid w:val="59FA7007"/>
    <w:rsid w:val="59FC6AC0"/>
    <w:rsid w:val="59FF5DC8"/>
    <w:rsid w:val="5A084C92"/>
    <w:rsid w:val="5A226B24"/>
    <w:rsid w:val="5A296122"/>
    <w:rsid w:val="5A343869"/>
    <w:rsid w:val="5A383BB1"/>
    <w:rsid w:val="5A4200A9"/>
    <w:rsid w:val="5A4E44F2"/>
    <w:rsid w:val="5A530A58"/>
    <w:rsid w:val="5A550DD6"/>
    <w:rsid w:val="5A5C39A7"/>
    <w:rsid w:val="5A5E41D0"/>
    <w:rsid w:val="5A723DDF"/>
    <w:rsid w:val="5A732B54"/>
    <w:rsid w:val="5A9E0A88"/>
    <w:rsid w:val="5AA50D27"/>
    <w:rsid w:val="5AAC1A63"/>
    <w:rsid w:val="5AB25E78"/>
    <w:rsid w:val="5AB32BD6"/>
    <w:rsid w:val="5AB5338B"/>
    <w:rsid w:val="5AD734F0"/>
    <w:rsid w:val="5AE46A30"/>
    <w:rsid w:val="5AE80BCD"/>
    <w:rsid w:val="5AFB36B3"/>
    <w:rsid w:val="5B011F50"/>
    <w:rsid w:val="5B01408A"/>
    <w:rsid w:val="5B4713D1"/>
    <w:rsid w:val="5B48355D"/>
    <w:rsid w:val="5B4A7A4C"/>
    <w:rsid w:val="5B501E29"/>
    <w:rsid w:val="5B545EFC"/>
    <w:rsid w:val="5B5E2F2E"/>
    <w:rsid w:val="5B6C3D3F"/>
    <w:rsid w:val="5B8348B0"/>
    <w:rsid w:val="5B834BEE"/>
    <w:rsid w:val="5B9114F4"/>
    <w:rsid w:val="5BA65572"/>
    <w:rsid w:val="5BAB7F3A"/>
    <w:rsid w:val="5BAE1047"/>
    <w:rsid w:val="5BAE1D81"/>
    <w:rsid w:val="5BBD1C94"/>
    <w:rsid w:val="5BBE2B9A"/>
    <w:rsid w:val="5BC831DD"/>
    <w:rsid w:val="5BD25E6E"/>
    <w:rsid w:val="5BDD2198"/>
    <w:rsid w:val="5BDF0A93"/>
    <w:rsid w:val="5BDF0E33"/>
    <w:rsid w:val="5BE46DB9"/>
    <w:rsid w:val="5BF72B5D"/>
    <w:rsid w:val="5C0805E1"/>
    <w:rsid w:val="5C0B2864"/>
    <w:rsid w:val="5C141D11"/>
    <w:rsid w:val="5C151034"/>
    <w:rsid w:val="5C186617"/>
    <w:rsid w:val="5C1B3BF7"/>
    <w:rsid w:val="5C207F0B"/>
    <w:rsid w:val="5C323E56"/>
    <w:rsid w:val="5C342E3E"/>
    <w:rsid w:val="5C361C1C"/>
    <w:rsid w:val="5C3939BD"/>
    <w:rsid w:val="5C410EF4"/>
    <w:rsid w:val="5C42474F"/>
    <w:rsid w:val="5C4F0266"/>
    <w:rsid w:val="5C527503"/>
    <w:rsid w:val="5C540789"/>
    <w:rsid w:val="5C542411"/>
    <w:rsid w:val="5C5923A9"/>
    <w:rsid w:val="5C5D2A8F"/>
    <w:rsid w:val="5C5D662F"/>
    <w:rsid w:val="5C6127A3"/>
    <w:rsid w:val="5C6174D2"/>
    <w:rsid w:val="5C703B2C"/>
    <w:rsid w:val="5C762458"/>
    <w:rsid w:val="5C7C17D6"/>
    <w:rsid w:val="5C7C6521"/>
    <w:rsid w:val="5C811597"/>
    <w:rsid w:val="5C8B3418"/>
    <w:rsid w:val="5C8F2BF7"/>
    <w:rsid w:val="5C9021C9"/>
    <w:rsid w:val="5C9E10A8"/>
    <w:rsid w:val="5CAC7D4D"/>
    <w:rsid w:val="5CB705BD"/>
    <w:rsid w:val="5CB75B9D"/>
    <w:rsid w:val="5CB802D4"/>
    <w:rsid w:val="5CC97CCA"/>
    <w:rsid w:val="5CDD596B"/>
    <w:rsid w:val="5CE340D1"/>
    <w:rsid w:val="5CEB21E1"/>
    <w:rsid w:val="5CF16663"/>
    <w:rsid w:val="5CF906FE"/>
    <w:rsid w:val="5D001987"/>
    <w:rsid w:val="5D010C9D"/>
    <w:rsid w:val="5D07759D"/>
    <w:rsid w:val="5D170665"/>
    <w:rsid w:val="5D1E3F68"/>
    <w:rsid w:val="5D30689C"/>
    <w:rsid w:val="5D426D2B"/>
    <w:rsid w:val="5D44105C"/>
    <w:rsid w:val="5D4E0F82"/>
    <w:rsid w:val="5D4F1759"/>
    <w:rsid w:val="5D531A26"/>
    <w:rsid w:val="5D533765"/>
    <w:rsid w:val="5D5355AD"/>
    <w:rsid w:val="5D575E54"/>
    <w:rsid w:val="5D581295"/>
    <w:rsid w:val="5D59402D"/>
    <w:rsid w:val="5D5D35FD"/>
    <w:rsid w:val="5D6422C1"/>
    <w:rsid w:val="5D6E2778"/>
    <w:rsid w:val="5D893B61"/>
    <w:rsid w:val="5D8C0841"/>
    <w:rsid w:val="5D8F14B5"/>
    <w:rsid w:val="5D8F2B8B"/>
    <w:rsid w:val="5D915288"/>
    <w:rsid w:val="5DA56EEB"/>
    <w:rsid w:val="5DA7554E"/>
    <w:rsid w:val="5DAE5BF0"/>
    <w:rsid w:val="5DB87CD6"/>
    <w:rsid w:val="5DC533D0"/>
    <w:rsid w:val="5DC662BF"/>
    <w:rsid w:val="5DC96712"/>
    <w:rsid w:val="5DD35097"/>
    <w:rsid w:val="5DD524F9"/>
    <w:rsid w:val="5DD60551"/>
    <w:rsid w:val="5DDF52A9"/>
    <w:rsid w:val="5DE4013C"/>
    <w:rsid w:val="5DE95810"/>
    <w:rsid w:val="5DFB5047"/>
    <w:rsid w:val="5DFD1EE5"/>
    <w:rsid w:val="5DFE3C46"/>
    <w:rsid w:val="5E020251"/>
    <w:rsid w:val="5E0958FC"/>
    <w:rsid w:val="5E1B5365"/>
    <w:rsid w:val="5E28668D"/>
    <w:rsid w:val="5E415A05"/>
    <w:rsid w:val="5E4A24BB"/>
    <w:rsid w:val="5E58441D"/>
    <w:rsid w:val="5E5A6F70"/>
    <w:rsid w:val="5E5B10DD"/>
    <w:rsid w:val="5E5C0567"/>
    <w:rsid w:val="5E616804"/>
    <w:rsid w:val="5E6A1886"/>
    <w:rsid w:val="5E6D3055"/>
    <w:rsid w:val="5E932616"/>
    <w:rsid w:val="5E947E1A"/>
    <w:rsid w:val="5E9A3768"/>
    <w:rsid w:val="5E9F158B"/>
    <w:rsid w:val="5EA018DC"/>
    <w:rsid w:val="5EA57C00"/>
    <w:rsid w:val="5EA725D1"/>
    <w:rsid w:val="5EAB3CB3"/>
    <w:rsid w:val="5EAE1B7E"/>
    <w:rsid w:val="5EC304CE"/>
    <w:rsid w:val="5EC32D77"/>
    <w:rsid w:val="5ECB1CD2"/>
    <w:rsid w:val="5EDB5FD9"/>
    <w:rsid w:val="5EDB6455"/>
    <w:rsid w:val="5EDC43E8"/>
    <w:rsid w:val="5EE10D95"/>
    <w:rsid w:val="5EE80656"/>
    <w:rsid w:val="5EEB49A7"/>
    <w:rsid w:val="5EF02BFE"/>
    <w:rsid w:val="5EF970A7"/>
    <w:rsid w:val="5EFF44BC"/>
    <w:rsid w:val="5F08791F"/>
    <w:rsid w:val="5F0C20EC"/>
    <w:rsid w:val="5F0C4077"/>
    <w:rsid w:val="5F172634"/>
    <w:rsid w:val="5F20651C"/>
    <w:rsid w:val="5F235BB5"/>
    <w:rsid w:val="5F2362D8"/>
    <w:rsid w:val="5F24211A"/>
    <w:rsid w:val="5F257A60"/>
    <w:rsid w:val="5F2D6B71"/>
    <w:rsid w:val="5F3335A0"/>
    <w:rsid w:val="5F3D1469"/>
    <w:rsid w:val="5F517ED0"/>
    <w:rsid w:val="5F6504E8"/>
    <w:rsid w:val="5F766C5F"/>
    <w:rsid w:val="5F7C4E75"/>
    <w:rsid w:val="5F81012B"/>
    <w:rsid w:val="5F881D76"/>
    <w:rsid w:val="5F896261"/>
    <w:rsid w:val="5F8D336B"/>
    <w:rsid w:val="5F93595F"/>
    <w:rsid w:val="5F955519"/>
    <w:rsid w:val="5F960ABF"/>
    <w:rsid w:val="5FAD4B99"/>
    <w:rsid w:val="5FC56A32"/>
    <w:rsid w:val="5FD00285"/>
    <w:rsid w:val="5FD47E4C"/>
    <w:rsid w:val="5FD50AA4"/>
    <w:rsid w:val="5FE81A8E"/>
    <w:rsid w:val="5FEB59A1"/>
    <w:rsid w:val="5FEF2A2D"/>
    <w:rsid w:val="5FF25B3A"/>
    <w:rsid w:val="5FFA7678"/>
    <w:rsid w:val="5FFB5186"/>
    <w:rsid w:val="60081C75"/>
    <w:rsid w:val="601C433D"/>
    <w:rsid w:val="602816C4"/>
    <w:rsid w:val="60353F81"/>
    <w:rsid w:val="603A27FB"/>
    <w:rsid w:val="603B7B0E"/>
    <w:rsid w:val="603F10FF"/>
    <w:rsid w:val="60404C3A"/>
    <w:rsid w:val="605A5A15"/>
    <w:rsid w:val="60687AD6"/>
    <w:rsid w:val="606B38EE"/>
    <w:rsid w:val="606E2917"/>
    <w:rsid w:val="607200A7"/>
    <w:rsid w:val="60775CC0"/>
    <w:rsid w:val="607B2A13"/>
    <w:rsid w:val="608412DB"/>
    <w:rsid w:val="60881489"/>
    <w:rsid w:val="60937149"/>
    <w:rsid w:val="60965B4C"/>
    <w:rsid w:val="609C7966"/>
    <w:rsid w:val="60A01669"/>
    <w:rsid w:val="60A8176B"/>
    <w:rsid w:val="60AC5397"/>
    <w:rsid w:val="60B02695"/>
    <w:rsid w:val="60B55E4D"/>
    <w:rsid w:val="60B8229F"/>
    <w:rsid w:val="60BD5AE6"/>
    <w:rsid w:val="60C14D46"/>
    <w:rsid w:val="60C309C7"/>
    <w:rsid w:val="60DE441D"/>
    <w:rsid w:val="60E5437A"/>
    <w:rsid w:val="60E60BAE"/>
    <w:rsid w:val="60E629FD"/>
    <w:rsid w:val="60E92308"/>
    <w:rsid w:val="60F92D86"/>
    <w:rsid w:val="610232C1"/>
    <w:rsid w:val="61030ACE"/>
    <w:rsid w:val="610A6377"/>
    <w:rsid w:val="61186425"/>
    <w:rsid w:val="611B246C"/>
    <w:rsid w:val="611C6F4C"/>
    <w:rsid w:val="613210CE"/>
    <w:rsid w:val="61344790"/>
    <w:rsid w:val="61360B65"/>
    <w:rsid w:val="613C57AA"/>
    <w:rsid w:val="613E0BE6"/>
    <w:rsid w:val="614157D1"/>
    <w:rsid w:val="61511C44"/>
    <w:rsid w:val="61515ECC"/>
    <w:rsid w:val="61556C11"/>
    <w:rsid w:val="616142CD"/>
    <w:rsid w:val="616B6DD8"/>
    <w:rsid w:val="61707010"/>
    <w:rsid w:val="61796F55"/>
    <w:rsid w:val="618F4926"/>
    <w:rsid w:val="619165D6"/>
    <w:rsid w:val="619B0146"/>
    <w:rsid w:val="61A75968"/>
    <w:rsid w:val="61AD4B9C"/>
    <w:rsid w:val="61B213F2"/>
    <w:rsid w:val="61B273EE"/>
    <w:rsid w:val="61B567D6"/>
    <w:rsid w:val="61BD248B"/>
    <w:rsid w:val="61C21B34"/>
    <w:rsid w:val="61CF5F20"/>
    <w:rsid w:val="61D45B5F"/>
    <w:rsid w:val="61E16C45"/>
    <w:rsid w:val="61E84075"/>
    <w:rsid w:val="61EF5C94"/>
    <w:rsid w:val="61F9468A"/>
    <w:rsid w:val="61FA27B3"/>
    <w:rsid w:val="61FB1A46"/>
    <w:rsid w:val="61FD1606"/>
    <w:rsid w:val="6204792F"/>
    <w:rsid w:val="62107328"/>
    <w:rsid w:val="621B4608"/>
    <w:rsid w:val="621C47A7"/>
    <w:rsid w:val="621D545F"/>
    <w:rsid w:val="62293780"/>
    <w:rsid w:val="6229407A"/>
    <w:rsid w:val="62322D2C"/>
    <w:rsid w:val="62445F9E"/>
    <w:rsid w:val="62456551"/>
    <w:rsid w:val="624B2A1B"/>
    <w:rsid w:val="62544E0A"/>
    <w:rsid w:val="625476BA"/>
    <w:rsid w:val="627011B0"/>
    <w:rsid w:val="627B0E06"/>
    <w:rsid w:val="627C55E5"/>
    <w:rsid w:val="62835DFB"/>
    <w:rsid w:val="62866F45"/>
    <w:rsid w:val="628F1B41"/>
    <w:rsid w:val="629F0360"/>
    <w:rsid w:val="629F3729"/>
    <w:rsid w:val="62A04EE2"/>
    <w:rsid w:val="62A36007"/>
    <w:rsid w:val="62A92DEF"/>
    <w:rsid w:val="62AA4BBA"/>
    <w:rsid w:val="62B046BC"/>
    <w:rsid w:val="62B11F75"/>
    <w:rsid w:val="62BD4206"/>
    <w:rsid w:val="62CE1B12"/>
    <w:rsid w:val="62DE4AEA"/>
    <w:rsid w:val="62DF2F07"/>
    <w:rsid w:val="62E731EF"/>
    <w:rsid w:val="62E81A89"/>
    <w:rsid w:val="62F212A7"/>
    <w:rsid w:val="62FA553D"/>
    <w:rsid w:val="63000382"/>
    <w:rsid w:val="6303718D"/>
    <w:rsid w:val="63057B3E"/>
    <w:rsid w:val="630C4DAD"/>
    <w:rsid w:val="63151F76"/>
    <w:rsid w:val="63255D87"/>
    <w:rsid w:val="632A2D7F"/>
    <w:rsid w:val="633153A6"/>
    <w:rsid w:val="633245B4"/>
    <w:rsid w:val="63391282"/>
    <w:rsid w:val="634157F2"/>
    <w:rsid w:val="63461E8E"/>
    <w:rsid w:val="63605E41"/>
    <w:rsid w:val="63613E1F"/>
    <w:rsid w:val="63646B62"/>
    <w:rsid w:val="636B11B0"/>
    <w:rsid w:val="636D3D66"/>
    <w:rsid w:val="637A6599"/>
    <w:rsid w:val="63824583"/>
    <w:rsid w:val="639425F6"/>
    <w:rsid w:val="639938D4"/>
    <w:rsid w:val="63BB04DF"/>
    <w:rsid w:val="63C177AC"/>
    <w:rsid w:val="63C77795"/>
    <w:rsid w:val="63CA5165"/>
    <w:rsid w:val="63CD2E2C"/>
    <w:rsid w:val="63E50A43"/>
    <w:rsid w:val="63E92F47"/>
    <w:rsid w:val="63F15A91"/>
    <w:rsid w:val="63F62CA5"/>
    <w:rsid w:val="640D63D3"/>
    <w:rsid w:val="64180A1A"/>
    <w:rsid w:val="64292D48"/>
    <w:rsid w:val="643A08DB"/>
    <w:rsid w:val="6442189B"/>
    <w:rsid w:val="6446508B"/>
    <w:rsid w:val="644B222E"/>
    <w:rsid w:val="644D7F9A"/>
    <w:rsid w:val="64587ADE"/>
    <w:rsid w:val="645E25C8"/>
    <w:rsid w:val="64654B36"/>
    <w:rsid w:val="646B0A63"/>
    <w:rsid w:val="646D3373"/>
    <w:rsid w:val="64715E14"/>
    <w:rsid w:val="64731E3B"/>
    <w:rsid w:val="6474188D"/>
    <w:rsid w:val="647868D5"/>
    <w:rsid w:val="64851D31"/>
    <w:rsid w:val="648C001E"/>
    <w:rsid w:val="648F3DF7"/>
    <w:rsid w:val="648F5ABD"/>
    <w:rsid w:val="6492042F"/>
    <w:rsid w:val="649503EA"/>
    <w:rsid w:val="649A4D2A"/>
    <w:rsid w:val="649A4DB3"/>
    <w:rsid w:val="649A6234"/>
    <w:rsid w:val="64AA0DAA"/>
    <w:rsid w:val="64AF5FB6"/>
    <w:rsid w:val="64B12D5F"/>
    <w:rsid w:val="64B60B58"/>
    <w:rsid w:val="64B93D38"/>
    <w:rsid w:val="64C01982"/>
    <w:rsid w:val="64C536FE"/>
    <w:rsid w:val="64D256A4"/>
    <w:rsid w:val="64F50096"/>
    <w:rsid w:val="64FF5115"/>
    <w:rsid w:val="65032130"/>
    <w:rsid w:val="6505485B"/>
    <w:rsid w:val="65246FD6"/>
    <w:rsid w:val="652C2393"/>
    <w:rsid w:val="6534678E"/>
    <w:rsid w:val="653E51D3"/>
    <w:rsid w:val="653F251B"/>
    <w:rsid w:val="65421928"/>
    <w:rsid w:val="654D25FA"/>
    <w:rsid w:val="6555124E"/>
    <w:rsid w:val="655B39A9"/>
    <w:rsid w:val="65662B17"/>
    <w:rsid w:val="656B6F53"/>
    <w:rsid w:val="656E13DC"/>
    <w:rsid w:val="657674AE"/>
    <w:rsid w:val="657F164F"/>
    <w:rsid w:val="658746A6"/>
    <w:rsid w:val="658E3929"/>
    <w:rsid w:val="65904BD3"/>
    <w:rsid w:val="65A60FAA"/>
    <w:rsid w:val="65C00DC6"/>
    <w:rsid w:val="65C14E7A"/>
    <w:rsid w:val="65D23655"/>
    <w:rsid w:val="65D75C74"/>
    <w:rsid w:val="65E52EBE"/>
    <w:rsid w:val="66030E64"/>
    <w:rsid w:val="6603268A"/>
    <w:rsid w:val="661432D7"/>
    <w:rsid w:val="66153A17"/>
    <w:rsid w:val="661871A1"/>
    <w:rsid w:val="66196097"/>
    <w:rsid w:val="66230973"/>
    <w:rsid w:val="662328D2"/>
    <w:rsid w:val="66244FF5"/>
    <w:rsid w:val="66343472"/>
    <w:rsid w:val="66437686"/>
    <w:rsid w:val="664F0290"/>
    <w:rsid w:val="66557908"/>
    <w:rsid w:val="66570137"/>
    <w:rsid w:val="665C0789"/>
    <w:rsid w:val="666464E5"/>
    <w:rsid w:val="66670FD7"/>
    <w:rsid w:val="66750BF0"/>
    <w:rsid w:val="6677102A"/>
    <w:rsid w:val="66816646"/>
    <w:rsid w:val="66862351"/>
    <w:rsid w:val="669318C0"/>
    <w:rsid w:val="66932E02"/>
    <w:rsid w:val="66971E22"/>
    <w:rsid w:val="66981A42"/>
    <w:rsid w:val="669D1D61"/>
    <w:rsid w:val="669F5064"/>
    <w:rsid w:val="66A6236D"/>
    <w:rsid w:val="66B730B2"/>
    <w:rsid w:val="66B90278"/>
    <w:rsid w:val="66B9614A"/>
    <w:rsid w:val="66C37E68"/>
    <w:rsid w:val="66D1212A"/>
    <w:rsid w:val="66E31CBB"/>
    <w:rsid w:val="66E53014"/>
    <w:rsid w:val="66E6734C"/>
    <w:rsid w:val="66E71C63"/>
    <w:rsid w:val="66EC6A5A"/>
    <w:rsid w:val="66EE009D"/>
    <w:rsid w:val="6702329D"/>
    <w:rsid w:val="6715753F"/>
    <w:rsid w:val="67194849"/>
    <w:rsid w:val="671A30D6"/>
    <w:rsid w:val="67224634"/>
    <w:rsid w:val="673A7832"/>
    <w:rsid w:val="67410A90"/>
    <w:rsid w:val="67420F9A"/>
    <w:rsid w:val="674958A6"/>
    <w:rsid w:val="67750593"/>
    <w:rsid w:val="67804015"/>
    <w:rsid w:val="678305E0"/>
    <w:rsid w:val="67851E28"/>
    <w:rsid w:val="678C2936"/>
    <w:rsid w:val="678D0F80"/>
    <w:rsid w:val="67990ADA"/>
    <w:rsid w:val="679B5FE7"/>
    <w:rsid w:val="679C39AC"/>
    <w:rsid w:val="679E2C59"/>
    <w:rsid w:val="67A010A9"/>
    <w:rsid w:val="67A01C7A"/>
    <w:rsid w:val="67A2266E"/>
    <w:rsid w:val="67C521D0"/>
    <w:rsid w:val="67C63AE3"/>
    <w:rsid w:val="67CD7702"/>
    <w:rsid w:val="67D96396"/>
    <w:rsid w:val="67DB688A"/>
    <w:rsid w:val="67DC0129"/>
    <w:rsid w:val="67DF3A73"/>
    <w:rsid w:val="67E24224"/>
    <w:rsid w:val="67E32B72"/>
    <w:rsid w:val="67E53B61"/>
    <w:rsid w:val="67E66EFD"/>
    <w:rsid w:val="67EF72AF"/>
    <w:rsid w:val="67F31DA6"/>
    <w:rsid w:val="67F55122"/>
    <w:rsid w:val="67F66350"/>
    <w:rsid w:val="67F90918"/>
    <w:rsid w:val="67F938FF"/>
    <w:rsid w:val="67FE398C"/>
    <w:rsid w:val="67FF46BB"/>
    <w:rsid w:val="680153F3"/>
    <w:rsid w:val="68190D2C"/>
    <w:rsid w:val="681E770A"/>
    <w:rsid w:val="6824414B"/>
    <w:rsid w:val="68251429"/>
    <w:rsid w:val="682C25C5"/>
    <w:rsid w:val="6830353B"/>
    <w:rsid w:val="68320EF1"/>
    <w:rsid w:val="68333044"/>
    <w:rsid w:val="683D7939"/>
    <w:rsid w:val="6841782A"/>
    <w:rsid w:val="68515817"/>
    <w:rsid w:val="685E6D1E"/>
    <w:rsid w:val="686309AE"/>
    <w:rsid w:val="687613C4"/>
    <w:rsid w:val="68796DFF"/>
    <w:rsid w:val="688456E5"/>
    <w:rsid w:val="68911940"/>
    <w:rsid w:val="68A4308B"/>
    <w:rsid w:val="68A63503"/>
    <w:rsid w:val="68A658E0"/>
    <w:rsid w:val="68B005B1"/>
    <w:rsid w:val="68B528E8"/>
    <w:rsid w:val="68B70FC2"/>
    <w:rsid w:val="68B7479A"/>
    <w:rsid w:val="68B90846"/>
    <w:rsid w:val="68BA65D2"/>
    <w:rsid w:val="68D27637"/>
    <w:rsid w:val="68EC0006"/>
    <w:rsid w:val="68EE2F8D"/>
    <w:rsid w:val="68EF7033"/>
    <w:rsid w:val="68F6699E"/>
    <w:rsid w:val="68FA2E0E"/>
    <w:rsid w:val="690F0FA0"/>
    <w:rsid w:val="691268CD"/>
    <w:rsid w:val="69242CE2"/>
    <w:rsid w:val="692956F2"/>
    <w:rsid w:val="69451C8A"/>
    <w:rsid w:val="69487353"/>
    <w:rsid w:val="694910DF"/>
    <w:rsid w:val="694B2C2D"/>
    <w:rsid w:val="69522D72"/>
    <w:rsid w:val="69685167"/>
    <w:rsid w:val="69702C0F"/>
    <w:rsid w:val="697343D1"/>
    <w:rsid w:val="697B308E"/>
    <w:rsid w:val="697B4A5A"/>
    <w:rsid w:val="697F25C5"/>
    <w:rsid w:val="69810A33"/>
    <w:rsid w:val="698E23FF"/>
    <w:rsid w:val="698E321D"/>
    <w:rsid w:val="698F2417"/>
    <w:rsid w:val="69952BD2"/>
    <w:rsid w:val="699B680B"/>
    <w:rsid w:val="699D3E0B"/>
    <w:rsid w:val="69BC02FF"/>
    <w:rsid w:val="69C33192"/>
    <w:rsid w:val="69C634B3"/>
    <w:rsid w:val="69DC201F"/>
    <w:rsid w:val="69E95B9F"/>
    <w:rsid w:val="69F67812"/>
    <w:rsid w:val="69F94856"/>
    <w:rsid w:val="69FC2D6D"/>
    <w:rsid w:val="6A137327"/>
    <w:rsid w:val="6A16757C"/>
    <w:rsid w:val="6A1C06F6"/>
    <w:rsid w:val="6A247844"/>
    <w:rsid w:val="6A3D1834"/>
    <w:rsid w:val="6A3E7754"/>
    <w:rsid w:val="6A50511F"/>
    <w:rsid w:val="6A532C1B"/>
    <w:rsid w:val="6A56048D"/>
    <w:rsid w:val="6A565EE9"/>
    <w:rsid w:val="6A5710BB"/>
    <w:rsid w:val="6A5929CC"/>
    <w:rsid w:val="6A6E292B"/>
    <w:rsid w:val="6A771797"/>
    <w:rsid w:val="6A7B523B"/>
    <w:rsid w:val="6A866CD3"/>
    <w:rsid w:val="6A8A3493"/>
    <w:rsid w:val="6A8C40FF"/>
    <w:rsid w:val="6A8D1A0B"/>
    <w:rsid w:val="6A8F7BA6"/>
    <w:rsid w:val="6A903F8B"/>
    <w:rsid w:val="6A933F17"/>
    <w:rsid w:val="6AA47A96"/>
    <w:rsid w:val="6ABB0D23"/>
    <w:rsid w:val="6ABC17C7"/>
    <w:rsid w:val="6AC96EF8"/>
    <w:rsid w:val="6AD50F85"/>
    <w:rsid w:val="6ADA4FFF"/>
    <w:rsid w:val="6AE166C6"/>
    <w:rsid w:val="6AE42FE7"/>
    <w:rsid w:val="6B06454E"/>
    <w:rsid w:val="6B0C0558"/>
    <w:rsid w:val="6B0C25FF"/>
    <w:rsid w:val="6B115E63"/>
    <w:rsid w:val="6B2117A0"/>
    <w:rsid w:val="6B251D05"/>
    <w:rsid w:val="6B305428"/>
    <w:rsid w:val="6B3D1900"/>
    <w:rsid w:val="6B4027DF"/>
    <w:rsid w:val="6B427BB1"/>
    <w:rsid w:val="6B500142"/>
    <w:rsid w:val="6B5503C2"/>
    <w:rsid w:val="6B62111C"/>
    <w:rsid w:val="6B641BD4"/>
    <w:rsid w:val="6B6D6309"/>
    <w:rsid w:val="6B790516"/>
    <w:rsid w:val="6B7F6F72"/>
    <w:rsid w:val="6B81715E"/>
    <w:rsid w:val="6B87060B"/>
    <w:rsid w:val="6B887063"/>
    <w:rsid w:val="6B8977FB"/>
    <w:rsid w:val="6B8A0F33"/>
    <w:rsid w:val="6B92241E"/>
    <w:rsid w:val="6B9D0C3F"/>
    <w:rsid w:val="6BC42D80"/>
    <w:rsid w:val="6BC8092D"/>
    <w:rsid w:val="6BC900F4"/>
    <w:rsid w:val="6BDA2AAC"/>
    <w:rsid w:val="6BE272D5"/>
    <w:rsid w:val="6BE6473B"/>
    <w:rsid w:val="6BEA7054"/>
    <w:rsid w:val="6BEB4D71"/>
    <w:rsid w:val="6BF87177"/>
    <w:rsid w:val="6C004AA4"/>
    <w:rsid w:val="6C055652"/>
    <w:rsid w:val="6C1025E3"/>
    <w:rsid w:val="6C241334"/>
    <w:rsid w:val="6C2613EF"/>
    <w:rsid w:val="6C310321"/>
    <w:rsid w:val="6C377442"/>
    <w:rsid w:val="6C41278C"/>
    <w:rsid w:val="6C4F6FF1"/>
    <w:rsid w:val="6C571C1D"/>
    <w:rsid w:val="6C5850B3"/>
    <w:rsid w:val="6C660674"/>
    <w:rsid w:val="6C6C1EB2"/>
    <w:rsid w:val="6C6F6718"/>
    <w:rsid w:val="6C716CC2"/>
    <w:rsid w:val="6C785D21"/>
    <w:rsid w:val="6C8253E2"/>
    <w:rsid w:val="6C884037"/>
    <w:rsid w:val="6C8B1F1A"/>
    <w:rsid w:val="6C921544"/>
    <w:rsid w:val="6C955996"/>
    <w:rsid w:val="6C9932CC"/>
    <w:rsid w:val="6C9F12F3"/>
    <w:rsid w:val="6CA030DE"/>
    <w:rsid w:val="6CA706D0"/>
    <w:rsid w:val="6CA75EC9"/>
    <w:rsid w:val="6CB216FA"/>
    <w:rsid w:val="6CBD4FFC"/>
    <w:rsid w:val="6CC115AC"/>
    <w:rsid w:val="6CCA391D"/>
    <w:rsid w:val="6CCF4C5D"/>
    <w:rsid w:val="6CE83595"/>
    <w:rsid w:val="6CEF6814"/>
    <w:rsid w:val="6CFF399B"/>
    <w:rsid w:val="6D0059FC"/>
    <w:rsid w:val="6D1460EE"/>
    <w:rsid w:val="6D273A9C"/>
    <w:rsid w:val="6D33189F"/>
    <w:rsid w:val="6D3B5107"/>
    <w:rsid w:val="6D471305"/>
    <w:rsid w:val="6D4B208C"/>
    <w:rsid w:val="6D55140E"/>
    <w:rsid w:val="6D640DF4"/>
    <w:rsid w:val="6D7A0FAD"/>
    <w:rsid w:val="6D84459D"/>
    <w:rsid w:val="6D873C8C"/>
    <w:rsid w:val="6D8753B9"/>
    <w:rsid w:val="6D8B5EA1"/>
    <w:rsid w:val="6D955258"/>
    <w:rsid w:val="6D990C67"/>
    <w:rsid w:val="6D995F6A"/>
    <w:rsid w:val="6DA01C00"/>
    <w:rsid w:val="6DA05206"/>
    <w:rsid w:val="6DA923AB"/>
    <w:rsid w:val="6DAD6F8D"/>
    <w:rsid w:val="6DAE11AD"/>
    <w:rsid w:val="6DB103A3"/>
    <w:rsid w:val="6DB55882"/>
    <w:rsid w:val="6DB91453"/>
    <w:rsid w:val="6DBFE5F6"/>
    <w:rsid w:val="6DCA2FD6"/>
    <w:rsid w:val="6DD64E81"/>
    <w:rsid w:val="6DF87DA5"/>
    <w:rsid w:val="6E067BF3"/>
    <w:rsid w:val="6E071552"/>
    <w:rsid w:val="6E10616A"/>
    <w:rsid w:val="6E177B6E"/>
    <w:rsid w:val="6E192164"/>
    <w:rsid w:val="6E1D69C0"/>
    <w:rsid w:val="6E224C32"/>
    <w:rsid w:val="6E3B3A58"/>
    <w:rsid w:val="6E4B6014"/>
    <w:rsid w:val="6E4C2174"/>
    <w:rsid w:val="6E7A1503"/>
    <w:rsid w:val="6E8868F9"/>
    <w:rsid w:val="6E8E73A5"/>
    <w:rsid w:val="6E900BC6"/>
    <w:rsid w:val="6E91722E"/>
    <w:rsid w:val="6E9D4BA4"/>
    <w:rsid w:val="6EAD50E0"/>
    <w:rsid w:val="6EAE6341"/>
    <w:rsid w:val="6EAF1486"/>
    <w:rsid w:val="6EB356D3"/>
    <w:rsid w:val="6EB9592F"/>
    <w:rsid w:val="6EB96F2A"/>
    <w:rsid w:val="6EBC4DF9"/>
    <w:rsid w:val="6EC360AC"/>
    <w:rsid w:val="6EC72B4C"/>
    <w:rsid w:val="6ECD65CD"/>
    <w:rsid w:val="6ECD7FF7"/>
    <w:rsid w:val="6EDF6CE0"/>
    <w:rsid w:val="6EE34E5F"/>
    <w:rsid w:val="6EEA0803"/>
    <w:rsid w:val="6EFA1247"/>
    <w:rsid w:val="6F0176E9"/>
    <w:rsid w:val="6F024373"/>
    <w:rsid w:val="6F1113B9"/>
    <w:rsid w:val="6F1A4E72"/>
    <w:rsid w:val="6F267690"/>
    <w:rsid w:val="6F3F5B9E"/>
    <w:rsid w:val="6F461B32"/>
    <w:rsid w:val="6F6C52CB"/>
    <w:rsid w:val="6F854D2E"/>
    <w:rsid w:val="6F8C3B09"/>
    <w:rsid w:val="6F982994"/>
    <w:rsid w:val="6F9B799B"/>
    <w:rsid w:val="6FA229CE"/>
    <w:rsid w:val="6FA33C75"/>
    <w:rsid w:val="6FAB2180"/>
    <w:rsid w:val="6FB02958"/>
    <w:rsid w:val="6FBF0339"/>
    <w:rsid w:val="6FC66746"/>
    <w:rsid w:val="6FC91DC6"/>
    <w:rsid w:val="6FCB0E6C"/>
    <w:rsid w:val="6FD112E9"/>
    <w:rsid w:val="6FD21574"/>
    <w:rsid w:val="6FE17A41"/>
    <w:rsid w:val="6FE235DD"/>
    <w:rsid w:val="6FE41E1C"/>
    <w:rsid w:val="6FE538C4"/>
    <w:rsid w:val="6FE85AE8"/>
    <w:rsid w:val="6FF73C85"/>
    <w:rsid w:val="6FF779D3"/>
    <w:rsid w:val="6FFB08DB"/>
    <w:rsid w:val="6FFB3979"/>
    <w:rsid w:val="700072A3"/>
    <w:rsid w:val="70015332"/>
    <w:rsid w:val="70087C70"/>
    <w:rsid w:val="700A37E3"/>
    <w:rsid w:val="700C1D5C"/>
    <w:rsid w:val="7011228B"/>
    <w:rsid w:val="701244B7"/>
    <w:rsid w:val="701826A3"/>
    <w:rsid w:val="701A0E66"/>
    <w:rsid w:val="701F2472"/>
    <w:rsid w:val="703D5E43"/>
    <w:rsid w:val="70432E56"/>
    <w:rsid w:val="70436D56"/>
    <w:rsid w:val="70486EC5"/>
    <w:rsid w:val="704C4795"/>
    <w:rsid w:val="704D1859"/>
    <w:rsid w:val="70540A2E"/>
    <w:rsid w:val="70571C11"/>
    <w:rsid w:val="706F7AE1"/>
    <w:rsid w:val="7080480B"/>
    <w:rsid w:val="70820CE7"/>
    <w:rsid w:val="70883F6A"/>
    <w:rsid w:val="70977CF5"/>
    <w:rsid w:val="70A60812"/>
    <w:rsid w:val="70B15566"/>
    <w:rsid w:val="70B664F7"/>
    <w:rsid w:val="70C44DC1"/>
    <w:rsid w:val="70C75805"/>
    <w:rsid w:val="70C875F3"/>
    <w:rsid w:val="70D22A33"/>
    <w:rsid w:val="70DA24AA"/>
    <w:rsid w:val="70ED7E62"/>
    <w:rsid w:val="70F30CE1"/>
    <w:rsid w:val="70F92303"/>
    <w:rsid w:val="70FD6AE0"/>
    <w:rsid w:val="70FD6C72"/>
    <w:rsid w:val="71006C74"/>
    <w:rsid w:val="710E1BEE"/>
    <w:rsid w:val="71174BB2"/>
    <w:rsid w:val="711C7AFB"/>
    <w:rsid w:val="71297353"/>
    <w:rsid w:val="71304AF2"/>
    <w:rsid w:val="71372FD3"/>
    <w:rsid w:val="714473E0"/>
    <w:rsid w:val="71513711"/>
    <w:rsid w:val="71595C39"/>
    <w:rsid w:val="7169039D"/>
    <w:rsid w:val="716A487C"/>
    <w:rsid w:val="716D13B7"/>
    <w:rsid w:val="716F6690"/>
    <w:rsid w:val="718053C4"/>
    <w:rsid w:val="71884D82"/>
    <w:rsid w:val="71954220"/>
    <w:rsid w:val="71A44693"/>
    <w:rsid w:val="71AC18B4"/>
    <w:rsid w:val="71AE48A3"/>
    <w:rsid w:val="71AE577E"/>
    <w:rsid w:val="71B91C82"/>
    <w:rsid w:val="71C30659"/>
    <w:rsid w:val="71C73C65"/>
    <w:rsid w:val="71CC3432"/>
    <w:rsid w:val="71DD3B29"/>
    <w:rsid w:val="71DE489A"/>
    <w:rsid w:val="71E409C5"/>
    <w:rsid w:val="71E73BCB"/>
    <w:rsid w:val="71F34737"/>
    <w:rsid w:val="71FF09D7"/>
    <w:rsid w:val="720C6352"/>
    <w:rsid w:val="72176098"/>
    <w:rsid w:val="722340C3"/>
    <w:rsid w:val="722937DD"/>
    <w:rsid w:val="722D2FAA"/>
    <w:rsid w:val="72302B0C"/>
    <w:rsid w:val="7244505D"/>
    <w:rsid w:val="724711CE"/>
    <w:rsid w:val="7247261F"/>
    <w:rsid w:val="72532908"/>
    <w:rsid w:val="72610F56"/>
    <w:rsid w:val="72635193"/>
    <w:rsid w:val="72697D82"/>
    <w:rsid w:val="72743473"/>
    <w:rsid w:val="7275005A"/>
    <w:rsid w:val="72787305"/>
    <w:rsid w:val="727D23EA"/>
    <w:rsid w:val="7285745B"/>
    <w:rsid w:val="72AA3BFB"/>
    <w:rsid w:val="72AF53A4"/>
    <w:rsid w:val="72BA3BAE"/>
    <w:rsid w:val="72C952E1"/>
    <w:rsid w:val="72DF0A85"/>
    <w:rsid w:val="72E27B7C"/>
    <w:rsid w:val="72E51592"/>
    <w:rsid w:val="72E7770D"/>
    <w:rsid w:val="72F86C58"/>
    <w:rsid w:val="73040263"/>
    <w:rsid w:val="730411AE"/>
    <w:rsid w:val="73102585"/>
    <w:rsid w:val="731D0AAC"/>
    <w:rsid w:val="73270318"/>
    <w:rsid w:val="732A5155"/>
    <w:rsid w:val="73363D14"/>
    <w:rsid w:val="73371B88"/>
    <w:rsid w:val="733A48CC"/>
    <w:rsid w:val="73432AB6"/>
    <w:rsid w:val="73565A41"/>
    <w:rsid w:val="735D044D"/>
    <w:rsid w:val="735D3AF3"/>
    <w:rsid w:val="736D4773"/>
    <w:rsid w:val="73763380"/>
    <w:rsid w:val="73782121"/>
    <w:rsid w:val="737D4A80"/>
    <w:rsid w:val="737F75E0"/>
    <w:rsid w:val="73921B42"/>
    <w:rsid w:val="73987BB2"/>
    <w:rsid w:val="73A2082E"/>
    <w:rsid w:val="73AB7BDD"/>
    <w:rsid w:val="73B77BB5"/>
    <w:rsid w:val="73B85626"/>
    <w:rsid w:val="73BD2451"/>
    <w:rsid w:val="73CF5AEB"/>
    <w:rsid w:val="73CF7819"/>
    <w:rsid w:val="73D10521"/>
    <w:rsid w:val="73D15B42"/>
    <w:rsid w:val="73D73BDC"/>
    <w:rsid w:val="73DD3FF0"/>
    <w:rsid w:val="73E5618C"/>
    <w:rsid w:val="740D5233"/>
    <w:rsid w:val="74131C65"/>
    <w:rsid w:val="741E05F8"/>
    <w:rsid w:val="7421289E"/>
    <w:rsid w:val="74350E9A"/>
    <w:rsid w:val="74360E28"/>
    <w:rsid w:val="74362F98"/>
    <w:rsid w:val="743855E8"/>
    <w:rsid w:val="743B0178"/>
    <w:rsid w:val="743F768B"/>
    <w:rsid w:val="744C587F"/>
    <w:rsid w:val="744E01C4"/>
    <w:rsid w:val="745174DE"/>
    <w:rsid w:val="745B3456"/>
    <w:rsid w:val="74620826"/>
    <w:rsid w:val="7463784F"/>
    <w:rsid w:val="74661EF4"/>
    <w:rsid w:val="746B2A84"/>
    <w:rsid w:val="747E48E6"/>
    <w:rsid w:val="74830A49"/>
    <w:rsid w:val="7487650D"/>
    <w:rsid w:val="748A7EE5"/>
    <w:rsid w:val="748F6943"/>
    <w:rsid w:val="7492408B"/>
    <w:rsid w:val="749567C1"/>
    <w:rsid w:val="74972BA5"/>
    <w:rsid w:val="74AD0838"/>
    <w:rsid w:val="74AE45D7"/>
    <w:rsid w:val="74B31DE6"/>
    <w:rsid w:val="74BB7C75"/>
    <w:rsid w:val="74CB0E70"/>
    <w:rsid w:val="74CD4872"/>
    <w:rsid w:val="74D10029"/>
    <w:rsid w:val="74DE3FCF"/>
    <w:rsid w:val="74F04E47"/>
    <w:rsid w:val="750C1507"/>
    <w:rsid w:val="751B59D5"/>
    <w:rsid w:val="7529377C"/>
    <w:rsid w:val="75307030"/>
    <w:rsid w:val="75325424"/>
    <w:rsid w:val="75376363"/>
    <w:rsid w:val="7541707B"/>
    <w:rsid w:val="754174B9"/>
    <w:rsid w:val="7548225F"/>
    <w:rsid w:val="754C3B0C"/>
    <w:rsid w:val="755074D1"/>
    <w:rsid w:val="756A41A9"/>
    <w:rsid w:val="756C40A9"/>
    <w:rsid w:val="756D3033"/>
    <w:rsid w:val="75772D80"/>
    <w:rsid w:val="75873CC8"/>
    <w:rsid w:val="7589582F"/>
    <w:rsid w:val="758F74AE"/>
    <w:rsid w:val="759B395B"/>
    <w:rsid w:val="759D0F99"/>
    <w:rsid w:val="759F7A74"/>
    <w:rsid w:val="75A55F25"/>
    <w:rsid w:val="75AE0803"/>
    <w:rsid w:val="75B3713A"/>
    <w:rsid w:val="75B5105D"/>
    <w:rsid w:val="75CD7EB4"/>
    <w:rsid w:val="75F615C0"/>
    <w:rsid w:val="760335CB"/>
    <w:rsid w:val="76181887"/>
    <w:rsid w:val="761D7977"/>
    <w:rsid w:val="76213EFB"/>
    <w:rsid w:val="76245763"/>
    <w:rsid w:val="7628495A"/>
    <w:rsid w:val="762954C8"/>
    <w:rsid w:val="763844D5"/>
    <w:rsid w:val="763D4223"/>
    <w:rsid w:val="764259A6"/>
    <w:rsid w:val="764A6C3E"/>
    <w:rsid w:val="7654676B"/>
    <w:rsid w:val="76555EDD"/>
    <w:rsid w:val="76577FE9"/>
    <w:rsid w:val="76582C25"/>
    <w:rsid w:val="765830B7"/>
    <w:rsid w:val="765B5B4B"/>
    <w:rsid w:val="766E6B26"/>
    <w:rsid w:val="76711224"/>
    <w:rsid w:val="76773199"/>
    <w:rsid w:val="7681168D"/>
    <w:rsid w:val="76992CF8"/>
    <w:rsid w:val="769F6876"/>
    <w:rsid w:val="76A240B9"/>
    <w:rsid w:val="76A32D9C"/>
    <w:rsid w:val="76A765C9"/>
    <w:rsid w:val="76B64C7F"/>
    <w:rsid w:val="76BD7AC3"/>
    <w:rsid w:val="76BF3DA6"/>
    <w:rsid w:val="76C00E5D"/>
    <w:rsid w:val="76C21C58"/>
    <w:rsid w:val="76CE52BA"/>
    <w:rsid w:val="76D80FD2"/>
    <w:rsid w:val="76D81B4E"/>
    <w:rsid w:val="76DA3537"/>
    <w:rsid w:val="76DF09F5"/>
    <w:rsid w:val="76E00590"/>
    <w:rsid w:val="76EA06BE"/>
    <w:rsid w:val="76EC5A7E"/>
    <w:rsid w:val="76F30A53"/>
    <w:rsid w:val="76F66877"/>
    <w:rsid w:val="76F86849"/>
    <w:rsid w:val="770B3599"/>
    <w:rsid w:val="770E2259"/>
    <w:rsid w:val="7727168D"/>
    <w:rsid w:val="772B436F"/>
    <w:rsid w:val="772E5C2B"/>
    <w:rsid w:val="77385F27"/>
    <w:rsid w:val="774471AA"/>
    <w:rsid w:val="774A27FB"/>
    <w:rsid w:val="77501CC6"/>
    <w:rsid w:val="77567A5A"/>
    <w:rsid w:val="77574615"/>
    <w:rsid w:val="776D2652"/>
    <w:rsid w:val="77703FB9"/>
    <w:rsid w:val="77784CCD"/>
    <w:rsid w:val="777D1624"/>
    <w:rsid w:val="77806DD3"/>
    <w:rsid w:val="778554A8"/>
    <w:rsid w:val="77866F42"/>
    <w:rsid w:val="77944BB7"/>
    <w:rsid w:val="77975F0A"/>
    <w:rsid w:val="779F05A9"/>
    <w:rsid w:val="77A9146F"/>
    <w:rsid w:val="77B1238A"/>
    <w:rsid w:val="77B125B4"/>
    <w:rsid w:val="77B336E9"/>
    <w:rsid w:val="77C36134"/>
    <w:rsid w:val="77C76DF4"/>
    <w:rsid w:val="77EF2A04"/>
    <w:rsid w:val="77EF6065"/>
    <w:rsid w:val="77F606E6"/>
    <w:rsid w:val="78161E64"/>
    <w:rsid w:val="781879B6"/>
    <w:rsid w:val="781F043A"/>
    <w:rsid w:val="78286C29"/>
    <w:rsid w:val="782D401E"/>
    <w:rsid w:val="782E58F1"/>
    <w:rsid w:val="782F308B"/>
    <w:rsid w:val="783372F0"/>
    <w:rsid w:val="78352E51"/>
    <w:rsid w:val="783536B7"/>
    <w:rsid w:val="78513B19"/>
    <w:rsid w:val="78516160"/>
    <w:rsid w:val="78522138"/>
    <w:rsid w:val="7858514E"/>
    <w:rsid w:val="785A2F7E"/>
    <w:rsid w:val="78601CF7"/>
    <w:rsid w:val="78602B48"/>
    <w:rsid w:val="786B1B38"/>
    <w:rsid w:val="787C3A9C"/>
    <w:rsid w:val="78956525"/>
    <w:rsid w:val="789B1C32"/>
    <w:rsid w:val="78B41F1B"/>
    <w:rsid w:val="78BC750B"/>
    <w:rsid w:val="78C57D08"/>
    <w:rsid w:val="78CF4B96"/>
    <w:rsid w:val="78D23F78"/>
    <w:rsid w:val="78D5450D"/>
    <w:rsid w:val="78EA25B0"/>
    <w:rsid w:val="78FB3AF0"/>
    <w:rsid w:val="790D37C3"/>
    <w:rsid w:val="791940BD"/>
    <w:rsid w:val="791C213E"/>
    <w:rsid w:val="7920075A"/>
    <w:rsid w:val="79281F35"/>
    <w:rsid w:val="792E634A"/>
    <w:rsid w:val="792F200C"/>
    <w:rsid w:val="792F33C7"/>
    <w:rsid w:val="7942440A"/>
    <w:rsid w:val="79516405"/>
    <w:rsid w:val="79563385"/>
    <w:rsid w:val="79572978"/>
    <w:rsid w:val="795A5EC8"/>
    <w:rsid w:val="79684550"/>
    <w:rsid w:val="796B0B44"/>
    <w:rsid w:val="796B784A"/>
    <w:rsid w:val="796C369D"/>
    <w:rsid w:val="79725888"/>
    <w:rsid w:val="79816A48"/>
    <w:rsid w:val="798611A3"/>
    <w:rsid w:val="79910051"/>
    <w:rsid w:val="7996309E"/>
    <w:rsid w:val="79A00C08"/>
    <w:rsid w:val="79AB267F"/>
    <w:rsid w:val="79B11CAC"/>
    <w:rsid w:val="79BD1B0D"/>
    <w:rsid w:val="79C7770A"/>
    <w:rsid w:val="79D0550B"/>
    <w:rsid w:val="79D47B4A"/>
    <w:rsid w:val="79DE2558"/>
    <w:rsid w:val="79F30222"/>
    <w:rsid w:val="79F84486"/>
    <w:rsid w:val="79FE064E"/>
    <w:rsid w:val="79FF03AD"/>
    <w:rsid w:val="7A014A47"/>
    <w:rsid w:val="7A0779A2"/>
    <w:rsid w:val="7A1A5D83"/>
    <w:rsid w:val="7A21764B"/>
    <w:rsid w:val="7A283348"/>
    <w:rsid w:val="7A2E38CC"/>
    <w:rsid w:val="7A305AAB"/>
    <w:rsid w:val="7A397E9E"/>
    <w:rsid w:val="7A3C12F5"/>
    <w:rsid w:val="7A3D1B34"/>
    <w:rsid w:val="7A3F685D"/>
    <w:rsid w:val="7A465FCC"/>
    <w:rsid w:val="7A467681"/>
    <w:rsid w:val="7A4A2AD1"/>
    <w:rsid w:val="7A4E3375"/>
    <w:rsid w:val="7A5B6C78"/>
    <w:rsid w:val="7A640033"/>
    <w:rsid w:val="7A6F6741"/>
    <w:rsid w:val="7A7C2E65"/>
    <w:rsid w:val="7A8C6D61"/>
    <w:rsid w:val="7A8D07B8"/>
    <w:rsid w:val="7A905B3E"/>
    <w:rsid w:val="7A91439A"/>
    <w:rsid w:val="7A916111"/>
    <w:rsid w:val="7A932981"/>
    <w:rsid w:val="7AA27E63"/>
    <w:rsid w:val="7AA32947"/>
    <w:rsid w:val="7AAE30E5"/>
    <w:rsid w:val="7AB75BDB"/>
    <w:rsid w:val="7ACB729C"/>
    <w:rsid w:val="7ACF2E11"/>
    <w:rsid w:val="7AE90C16"/>
    <w:rsid w:val="7AF25108"/>
    <w:rsid w:val="7AF42E4E"/>
    <w:rsid w:val="7AF771E9"/>
    <w:rsid w:val="7AF87413"/>
    <w:rsid w:val="7B003636"/>
    <w:rsid w:val="7B0071FE"/>
    <w:rsid w:val="7B191C21"/>
    <w:rsid w:val="7B215BBF"/>
    <w:rsid w:val="7B2D42A7"/>
    <w:rsid w:val="7B4C2FD2"/>
    <w:rsid w:val="7B553C37"/>
    <w:rsid w:val="7B58501A"/>
    <w:rsid w:val="7B5E21E2"/>
    <w:rsid w:val="7B7279FE"/>
    <w:rsid w:val="7B74052A"/>
    <w:rsid w:val="7B8A40BD"/>
    <w:rsid w:val="7B972435"/>
    <w:rsid w:val="7B9A70E0"/>
    <w:rsid w:val="7B9D6C6E"/>
    <w:rsid w:val="7BB65D18"/>
    <w:rsid w:val="7BC476CD"/>
    <w:rsid w:val="7BC65085"/>
    <w:rsid w:val="7BCC7739"/>
    <w:rsid w:val="7BCF1828"/>
    <w:rsid w:val="7BD714A5"/>
    <w:rsid w:val="7BD86EAC"/>
    <w:rsid w:val="7BDD187E"/>
    <w:rsid w:val="7BE07996"/>
    <w:rsid w:val="7BE16A11"/>
    <w:rsid w:val="7BEE3B67"/>
    <w:rsid w:val="7BF00981"/>
    <w:rsid w:val="7C08380B"/>
    <w:rsid w:val="7C09209A"/>
    <w:rsid w:val="7C142008"/>
    <w:rsid w:val="7C194ADA"/>
    <w:rsid w:val="7C1A6AB3"/>
    <w:rsid w:val="7C1B4E95"/>
    <w:rsid w:val="7C1B55F1"/>
    <w:rsid w:val="7C2A12BA"/>
    <w:rsid w:val="7C2A4168"/>
    <w:rsid w:val="7C2C364C"/>
    <w:rsid w:val="7C400C19"/>
    <w:rsid w:val="7C446585"/>
    <w:rsid w:val="7C4555EA"/>
    <w:rsid w:val="7C460082"/>
    <w:rsid w:val="7C5108A6"/>
    <w:rsid w:val="7C5836F2"/>
    <w:rsid w:val="7C5946E9"/>
    <w:rsid w:val="7C5D24F7"/>
    <w:rsid w:val="7C8159BA"/>
    <w:rsid w:val="7C8B0FB4"/>
    <w:rsid w:val="7C8D2E81"/>
    <w:rsid w:val="7CA27F26"/>
    <w:rsid w:val="7CA35FA5"/>
    <w:rsid w:val="7CA758C5"/>
    <w:rsid w:val="7CAF5924"/>
    <w:rsid w:val="7CB764E8"/>
    <w:rsid w:val="7CBF1BD5"/>
    <w:rsid w:val="7CC55CFA"/>
    <w:rsid w:val="7CCD1673"/>
    <w:rsid w:val="7CCF05CA"/>
    <w:rsid w:val="7CD328CA"/>
    <w:rsid w:val="7CD759D2"/>
    <w:rsid w:val="7CD96213"/>
    <w:rsid w:val="7CDA26C1"/>
    <w:rsid w:val="7CDB4D9E"/>
    <w:rsid w:val="7CE958B0"/>
    <w:rsid w:val="7CEF7115"/>
    <w:rsid w:val="7CF6310F"/>
    <w:rsid w:val="7CF949F7"/>
    <w:rsid w:val="7D002929"/>
    <w:rsid w:val="7D042EA6"/>
    <w:rsid w:val="7D11692A"/>
    <w:rsid w:val="7D147FFF"/>
    <w:rsid w:val="7D167A9C"/>
    <w:rsid w:val="7D1D463E"/>
    <w:rsid w:val="7D1D6C3C"/>
    <w:rsid w:val="7D203D7F"/>
    <w:rsid w:val="7D335FD8"/>
    <w:rsid w:val="7D49208C"/>
    <w:rsid w:val="7D557432"/>
    <w:rsid w:val="7D6200DA"/>
    <w:rsid w:val="7D7A71AA"/>
    <w:rsid w:val="7D90109C"/>
    <w:rsid w:val="7D98672F"/>
    <w:rsid w:val="7D9D20AB"/>
    <w:rsid w:val="7DA65320"/>
    <w:rsid w:val="7DA83677"/>
    <w:rsid w:val="7DA83CBF"/>
    <w:rsid w:val="7DAE2D36"/>
    <w:rsid w:val="7DB643B2"/>
    <w:rsid w:val="7DB70B2B"/>
    <w:rsid w:val="7DBA3AE0"/>
    <w:rsid w:val="7DC21312"/>
    <w:rsid w:val="7DC62CE7"/>
    <w:rsid w:val="7DD934CF"/>
    <w:rsid w:val="7DE5456F"/>
    <w:rsid w:val="7DEA5F37"/>
    <w:rsid w:val="7DEC79CE"/>
    <w:rsid w:val="7DEE6393"/>
    <w:rsid w:val="7DF01699"/>
    <w:rsid w:val="7E0171BE"/>
    <w:rsid w:val="7E024AAA"/>
    <w:rsid w:val="7E043BCB"/>
    <w:rsid w:val="7E0770AA"/>
    <w:rsid w:val="7E0E7E0C"/>
    <w:rsid w:val="7E1103F8"/>
    <w:rsid w:val="7E146FC7"/>
    <w:rsid w:val="7E1759D5"/>
    <w:rsid w:val="7E2A79B6"/>
    <w:rsid w:val="7E4415D5"/>
    <w:rsid w:val="7E48223F"/>
    <w:rsid w:val="7E4C258E"/>
    <w:rsid w:val="7E517B19"/>
    <w:rsid w:val="7E561A94"/>
    <w:rsid w:val="7E566059"/>
    <w:rsid w:val="7E5735E6"/>
    <w:rsid w:val="7E5A1B3A"/>
    <w:rsid w:val="7E5A338B"/>
    <w:rsid w:val="7E776C15"/>
    <w:rsid w:val="7E7B7EC7"/>
    <w:rsid w:val="7E7E322A"/>
    <w:rsid w:val="7E817ABF"/>
    <w:rsid w:val="7E8A5AB2"/>
    <w:rsid w:val="7E950CE4"/>
    <w:rsid w:val="7E995EB6"/>
    <w:rsid w:val="7E9D06A1"/>
    <w:rsid w:val="7E9E36B4"/>
    <w:rsid w:val="7E9F4937"/>
    <w:rsid w:val="7EB26BE4"/>
    <w:rsid w:val="7EB87532"/>
    <w:rsid w:val="7EBE195E"/>
    <w:rsid w:val="7EC347E4"/>
    <w:rsid w:val="7EC8352E"/>
    <w:rsid w:val="7ECA6737"/>
    <w:rsid w:val="7ED43570"/>
    <w:rsid w:val="7ED50231"/>
    <w:rsid w:val="7EDD40A8"/>
    <w:rsid w:val="7EEB5D86"/>
    <w:rsid w:val="7EEE0A94"/>
    <w:rsid w:val="7EEF76E0"/>
    <w:rsid w:val="7F051DB7"/>
    <w:rsid w:val="7F0835C0"/>
    <w:rsid w:val="7F084599"/>
    <w:rsid w:val="7F0C6D52"/>
    <w:rsid w:val="7F160A40"/>
    <w:rsid w:val="7F1A2BE4"/>
    <w:rsid w:val="7F226096"/>
    <w:rsid w:val="7F235B60"/>
    <w:rsid w:val="7F2675DA"/>
    <w:rsid w:val="7F485957"/>
    <w:rsid w:val="7F48682B"/>
    <w:rsid w:val="7F4E1A48"/>
    <w:rsid w:val="7F691E14"/>
    <w:rsid w:val="7F6C6100"/>
    <w:rsid w:val="7F7F0F53"/>
    <w:rsid w:val="7F84230D"/>
    <w:rsid w:val="7F934E58"/>
    <w:rsid w:val="7FA27BC7"/>
    <w:rsid w:val="7FA36496"/>
    <w:rsid w:val="7FAC01A2"/>
    <w:rsid w:val="7FC80CCE"/>
    <w:rsid w:val="7FCC4EA2"/>
    <w:rsid w:val="7FCE5D59"/>
    <w:rsid w:val="7FD078D3"/>
    <w:rsid w:val="7FD95825"/>
    <w:rsid w:val="7FDB2CA9"/>
    <w:rsid w:val="7FE539FE"/>
    <w:rsid w:val="7FEE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100" w:afterLines="100"/>
      <w:jc w:val="center"/>
      <w:outlineLvl w:val="0"/>
    </w:pPr>
    <w:rPr>
      <w:rFonts w:eastAsia="黑体"/>
      <w:b/>
      <w:kern w:val="44"/>
      <w:sz w:val="32"/>
    </w:rPr>
  </w:style>
  <w:style w:type="paragraph" w:styleId="5">
    <w:name w:val="heading 2"/>
    <w:basedOn w:val="1"/>
    <w:next w:val="1"/>
    <w:link w:val="34"/>
    <w:unhideWhenUsed/>
    <w:qFormat/>
    <w:uiPriority w:val="0"/>
    <w:pPr>
      <w:keepNext/>
      <w:keepLines/>
      <w:spacing w:beforeLines="100" w:afterLines="100"/>
      <w:jc w:val="center"/>
      <w:outlineLvl w:val="1"/>
    </w:pPr>
    <w:rPr>
      <w:rFonts w:ascii="Arial" w:hAnsi="Arial" w:eastAsia="楷体"/>
      <w:b/>
      <w:sz w:val="32"/>
    </w:rPr>
  </w:style>
  <w:style w:type="paragraph" w:styleId="6">
    <w:name w:val="heading 3"/>
    <w:basedOn w:val="1"/>
    <w:next w:val="1"/>
    <w:link w:val="32"/>
    <w:unhideWhenUsed/>
    <w:qFormat/>
    <w:uiPriority w:val="9"/>
    <w:pPr>
      <w:keepNext/>
      <w:keepLines/>
      <w:spacing w:line="413" w:lineRule="auto"/>
      <w:outlineLvl w:val="2"/>
    </w:pPr>
    <w:rPr>
      <w:rFonts w:eastAsia="仿宋"/>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after="0"/>
      <w:ind w:firstLine="420" w:firstLineChars="200"/>
    </w:pPr>
    <w:rPr>
      <w:rFonts w:cs="Calibri"/>
    </w:rPr>
  </w:style>
  <w:style w:type="paragraph" w:styleId="3">
    <w:name w:val="Body Text Indent"/>
    <w:basedOn w:val="1"/>
    <w:next w:val="2"/>
    <w:link w:val="33"/>
    <w:qFormat/>
    <w:uiPriority w:val="0"/>
    <w:pPr>
      <w:spacing w:after="120"/>
      <w:ind w:left="420" w:leftChars="200"/>
    </w:pPr>
    <w:rPr>
      <w:rFonts w:ascii="Times New Roman" w:hAnsi="Times New Roman"/>
    </w:rPr>
  </w:style>
  <w:style w:type="paragraph" w:styleId="7">
    <w:name w:val="table of authorities"/>
    <w:basedOn w:val="1"/>
    <w:next w:val="1"/>
    <w:qFormat/>
    <w:uiPriority w:val="99"/>
    <w:pPr>
      <w:ind w:left="420" w:leftChars="200"/>
    </w:pPr>
  </w:style>
  <w:style w:type="paragraph" w:styleId="8">
    <w:name w:val="annotation text"/>
    <w:basedOn w:val="1"/>
    <w:qFormat/>
    <w:uiPriority w:val="0"/>
    <w:pPr>
      <w:jc w:val="left"/>
    </w:pPr>
  </w:style>
  <w:style w:type="paragraph" w:styleId="9">
    <w:name w:val="Body Text"/>
    <w:basedOn w:val="1"/>
    <w:next w:val="1"/>
    <w:unhideWhenUsed/>
    <w:qFormat/>
    <w:uiPriority w:val="99"/>
    <w:pPr>
      <w:spacing w:after="120"/>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link w:val="54"/>
    <w:qFormat/>
    <w:uiPriority w:val="0"/>
  </w:style>
  <w:style w:type="paragraph" w:styleId="14">
    <w:name w:val="toc 2"/>
    <w:basedOn w:val="1"/>
    <w:next w:val="1"/>
    <w:qFormat/>
    <w:uiPriority w:val="39"/>
    <w:pPr>
      <w:ind w:left="420" w:leftChars="200"/>
    </w:pPr>
  </w:style>
  <w:style w:type="paragraph" w:styleId="15">
    <w:name w:val="Normal (Web)"/>
    <w:basedOn w:val="1"/>
    <w:next w:val="1"/>
    <w:qFormat/>
    <w:uiPriority w:val="99"/>
    <w:pPr>
      <w:spacing w:beforeAutospacing="1" w:afterAutospacing="1"/>
    </w:pPr>
  </w:style>
  <w:style w:type="paragraph" w:styleId="16">
    <w:name w:val="Body Text First Indent"/>
    <w:basedOn w:val="9"/>
    <w:qFormat/>
    <w:uiPriority w:val="0"/>
    <w:pPr>
      <w:spacing w:after="0"/>
      <w:ind w:firstLine="420"/>
    </w:p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1"/>
      <w:szCs w:val="21"/>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1"/>
      <w:szCs w:val="21"/>
    </w:rPr>
  </w:style>
  <w:style w:type="character" w:styleId="31">
    <w:name w:val="HTML Sample"/>
    <w:basedOn w:val="19"/>
    <w:qFormat/>
    <w:uiPriority w:val="0"/>
    <w:rPr>
      <w:rFonts w:ascii="monospace" w:hAnsi="monospace" w:eastAsia="monospace" w:cs="monospace"/>
      <w:sz w:val="21"/>
      <w:szCs w:val="21"/>
    </w:rPr>
  </w:style>
  <w:style w:type="character" w:customStyle="1" w:styleId="32">
    <w:name w:val="标题 3 Char"/>
    <w:link w:val="6"/>
    <w:qFormat/>
    <w:uiPriority w:val="9"/>
    <w:rPr>
      <w:rFonts w:eastAsia="仿宋"/>
      <w:b/>
      <w:sz w:val="32"/>
    </w:rPr>
  </w:style>
  <w:style w:type="character" w:customStyle="1" w:styleId="33">
    <w:name w:val="正文文本缩进 Char"/>
    <w:basedOn w:val="19"/>
    <w:link w:val="3"/>
    <w:qFormat/>
    <w:uiPriority w:val="0"/>
    <w:rPr>
      <w:rFonts w:ascii="Times New Roman" w:hAnsi="Times New Roman"/>
    </w:rPr>
  </w:style>
  <w:style w:type="character" w:customStyle="1" w:styleId="34">
    <w:name w:val="标题 2 Char"/>
    <w:basedOn w:val="19"/>
    <w:link w:val="5"/>
    <w:qFormat/>
    <w:uiPriority w:val="0"/>
    <w:rPr>
      <w:rFonts w:ascii="Arial" w:hAnsi="Arial" w:eastAsia="楷体"/>
      <w:b/>
      <w:sz w:val="32"/>
    </w:rPr>
  </w:style>
  <w:style w:type="character" w:customStyle="1" w:styleId="35">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36">
    <w:name w:val="hover14"/>
    <w:basedOn w:val="19"/>
    <w:qFormat/>
    <w:uiPriority w:val="0"/>
    <w:rPr>
      <w:color w:val="FFFFFF"/>
    </w:rPr>
  </w:style>
  <w:style w:type="character" w:customStyle="1" w:styleId="37">
    <w:name w:val="wv-f-forecast-aqi-3[data-v-6170d626]"/>
    <w:basedOn w:val="19"/>
    <w:qFormat/>
    <w:uiPriority w:val="0"/>
    <w:rPr>
      <w:color w:val="E59C3B"/>
    </w:rPr>
  </w:style>
  <w:style w:type="character" w:customStyle="1" w:styleId="38">
    <w:name w:val="wv-f-forecast-aqi-6[data-v-6170d626]"/>
    <w:basedOn w:val="19"/>
    <w:qFormat/>
    <w:uiPriority w:val="0"/>
    <w:rPr>
      <w:color w:val="BF2762"/>
    </w:rPr>
  </w:style>
  <w:style w:type="character" w:customStyle="1" w:styleId="39">
    <w:name w:val="wv-f-forecast-aqi-1[data-v-6170d626]"/>
    <w:basedOn w:val="19"/>
    <w:qFormat/>
    <w:uiPriority w:val="0"/>
    <w:rPr>
      <w:color w:val="94CE6F"/>
    </w:rPr>
  </w:style>
  <w:style w:type="character" w:customStyle="1" w:styleId="40">
    <w:name w:val="wv-f-forecast-aqi-2[data-v-6170d626]"/>
    <w:basedOn w:val="19"/>
    <w:qFormat/>
    <w:uiPriority w:val="0"/>
    <w:rPr>
      <w:color w:val="E4C600"/>
    </w:rPr>
  </w:style>
  <w:style w:type="character" w:customStyle="1" w:styleId="41">
    <w:name w:val="wv-f-forecast-aqi-4[data-v-6170d626]"/>
    <w:basedOn w:val="19"/>
    <w:qFormat/>
    <w:uiPriority w:val="0"/>
    <w:rPr>
      <w:color w:val="C76464"/>
    </w:rPr>
  </w:style>
  <w:style w:type="character" w:customStyle="1" w:styleId="42">
    <w:name w:val="wv-f-forecast-aqi-5[data-v-6170d626]"/>
    <w:basedOn w:val="19"/>
    <w:qFormat/>
    <w:uiPriority w:val="0"/>
    <w:rPr>
      <w:color w:val="8A4DAA"/>
    </w:rPr>
  </w:style>
  <w:style w:type="character" w:customStyle="1" w:styleId="43">
    <w:name w:val="tit6"/>
    <w:basedOn w:val="19"/>
    <w:qFormat/>
    <w:uiPriority w:val="0"/>
    <w:rPr>
      <w:b/>
      <w:color w:val="DD0000"/>
    </w:rPr>
  </w:style>
  <w:style w:type="character" w:customStyle="1" w:styleId="44">
    <w:name w:val="c1"/>
    <w:basedOn w:val="19"/>
    <w:qFormat/>
    <w:uiPriority w:val="0"/>
  </w:style>
  <w:style w:type="character" w:customStyle="1" w:styleId="45">
    <w:name w:val="c3"/>
    <w:basedOn w:val="19"/>
    <w:qFormat/>
    <w:uiPriority w:val="0"/>
  </w:style>
  <w:style w:type="character" w:customStyle="1" w:styleId="46">
    <w:name w:val="note-content"/>
    <w:basedOn w:val="19"/>
    <w:qFormat/>
    <w:uiPriority w:val="0"/>
  </w:style>
  <w:style w:type="character" w:customStyle="1" w:styleId="47">
    <w:name w:val="note-content1"/>
    <w:basedOn w:val="19"/>
    <w:qFormat/>
    <w:uiPriority w:val="0"/>
    <w:rPr>
      <w:color w:val="333333"/>
    </w:rPr>
  </w:style>
  <w:style w:type="character" w:customStyle="1" w:styleId="48">
    <w:name w:val="c2"/>
    <w:basedOn w:val="19"/>
    <w:qFormat/>
    <w:uiPriority w:val="0"/>
  </w:style>
  <w:style w:type="character" w:customStyle="1" w:styleId="49">
    <w:name w:val="bt1"/>
    <w:basedOn w:val="19"/>
    <w:qFormat/>
    <w:uiPriority w:val="0"/>
    <w:rPr>
      <w:color w:val="FFFFFF"/>
      <w:sz w:val="16"/>
      <w:szCs w:val="16"/>
      <w:shd w:val="clear" w:color="auto" w:fill="0078D3"/>
    </w:rPr>
  </w:style>
  <w:style w:type="character" w:customStyle="1" w:styleId="50">
    <w:name w:val="msg-box18"/>
    <w:basedOn w:val="19"/>
    <w:qFormat/>
    <w:uiPriority w:val="0"/>
  </w:style>
  <w:style w:type="character" w:customStyle="1" w:styleId="51">
    <w:name w:val="nr"/>
    <w:basedOn w:val="19"/>
    <w:qFormat/>
    <w:uiPriority w:val="0"/>
  </w:style>
  <w:style w:type="character" w:customStyle="1" w:styleId="52">
    <w:name w:val="bt"/>
    <w:basedOn w:val="19"/>
    <w:qFormat/>
    <w:uiPriority w:val="0"/>
    <w:rPr>
      <w:color w:val="FFFFFF"/>
      <w:sz w:val="16"/>
      <w:szCs w:val="16"/>
      <w:shd w:val="clear" w:color="auto" w:fill="0078D3"/>
    </w:rPr>
  </w:style>
  <w:style w:type="paragraph" w:customStyle="1" w:styleId="53">
    <w:name w:val="长子正文"/>
    <w:basedOn w:val="9"/>
    <w:link w:val="55"/>
    <w:qFormat/>
    <w:uiPriority w:val="0"/>
    <w:rPr>
      <w:rFonts w:eastAsia="仿宋_GB2312"/>
      <w:sz w:val="32"/>
    </w:rPr>
  </w:style>
  <w:style w:type="character" w:customStyle="1" w:styleId="54">
    <w:name w:val="目录 1 Char"/>
    <w:link w:val="13"/>
    <w:qFormat/>
    <w:uiPriority w:val="0"/>
  </w:style>
  <w:style w:type="character" w:customStyle="1" w:styleId="55">
    <w:name w:val="长子正文 Char"/>
    <w:link w:val="53"/>
    <w:qFormat/>
    <w:uiPriority w:val="0"/>
    <w:rPr>
      <w:rFonts w:eastAsia="仿宋_GB2312" w:asciiTheme="minorHAnsi" w:hAnsiTheme="minorHAnsi"/>
      <w:sz w:val="32"/>
    </w:rPr>
  </w:style>
  <w:style w:type="character" w:customStyle="1" w:styleId="56">
    <w:name w:val="15"/>
    <w:basedOn w:val="19"/>
    <w:qFormat/>
    <w:uiPriority w:val="0"/>
    <w:rPr>
      <w:rFonts w:hint="default" w:ascii="Arial" w:hAnsi="Arial" w:eastAsia="楷体" w:cs="Arial"/>
      <w:b/>
      <w:bCs/>
      <w:sz w:val="32"/>
      <w:szCs w:val="32"/>
    </w:rPr>
  </w:style>
  <w:style w:type="paragraph" w:customStyle="1" w:styleId="57">
    <w:name w:val="WPSOffice手动目录 1"/>
    <w:qFormat/>
    <w:uiPriority w:val="0"/>
    <w:rPr>
      <w:rFonts w:asciiTheme="minorHAnsi" w:hAnsiTheme="minorHAnsi" w:eastAsiaTheme="minorEastAsia" w:cstheme="minorBidi"/>
      <w:lang w:val="en-US" w:eastAsia="zh-CN" w:bidi="ar-SA"/>
    </w:rPr>
  </w:style>
  <w:style w:type="paragraph" w:customStyle="1" w:styleId="5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9">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8578</Words>
  <Characters>48896</Characters>
  <Lines>407</Lines>
  <Paragraphs>114</Paragraphs>
  <TotalTime>2</TotalTime>
  <ScaleCrop>false</ScaleCrop>
  <LinksUpToDate>false</LinksUpToDate>
  <CharactersWithSpaces>57360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2025-08-25T10:27:00Z</dcterms:created>
  <dc:creator>李 子 树</dc:creator>
  <cp:lastModifiedBy>user</cp:lastModifiedBy>
  <cp:lastPrinted>2021-07-07T14:10:00Z</cp:lastPrinted>
  <dcterms:modified xsi:type="dcterms:W3CDTF">2025-11-27T10:13:37Z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6C4232A4CA2762F3D1B32769E350B82A</vt:lpwstr>
  </property>
</Properties>
</file>