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844E0">
      <w:pPr>
        <w:keepNext w:val="0"/>
        <w:keepLines w:val="0"/>
        <w:pageBreakBefore w:val="0"/>
        <w:widowControl w:val="0"/>
        <w:kinsoku/>
        <w:wordWrap/>
        <w:autoSpaceDE/>
        <w:autoSpaceDN/>
        <w:snapToGrid/>
        <w:spacing w:before="0" w:beforeLines="0" w:beforeAutospacing="0" w:after="0" w:afterLines="0" w:afterAutospacing="0" w:line="660" w:lineRule="exact"/>
        <w:ind w:left="0" w:leftChars="0" w:right="0" w:rightChars="0" w:firstLine="0" w:firstLineChars="0"/>
        <w:jc w:val="both"/>
        <w:textAlignment w:val="baseline"/>
        <w:outlineLvl w:val="9"/>
        <w:rPr>
          <w:rFonts w:hint="eastAsia" w:ascii="黑体" w:hAnsi="黑体" w:eastAsia="黑体" w:cs="黑体"/>
          <w:b w:val="0"/>
          <w:bCs/>
          <w:color w:val="auto"/>
          <w:kern w:val="2"/>
          <w:sz w:val="28"/>
          <w:szCs w:val="28"/>
          <w:highlight w:val="none"/>
          <w:lang w:val="en-US" w:eastAsia="zh-CN"/>
        </w:rPr>
      </w:pPr>
      <w:r>
        <w:rPr>
          <w:rFonts w:hint="eastAsia" w:ascii="黑体" w:hAnsi="黑体" w:eastAsia="黑体" w:cs="黑体"/>
          <w:b w:val="0"/>
          <w:bCs/>
          <w:color w:val="auto"/>
          <w:kern w:val="2"/>
          <w:sz w:val="28"/>
          <w:szCs w:val="28"/>
          <w:highlight w:val="none"/>
          <w:lang w:val="en-US" w:eastAsia="zh-CN"/>
        </w:rPr>
        <w:t>丹朱镇第五届人民代表大会第七次会议文件（十一）</w:t>
      </w:r>
    </w:p>
    <w:p w14:paraId="77AD795C">
      <w:pPr>
        <w:keepNext w:val="0"/>
        <w:keepLines w:val="0"/>
        <w:pageBreakBefore w:val="0"/>
        <w:kinsoku/>
        <w:wordWrap/>
        <w:overflowPunct/>
        <w:topLinePunct w:val="0"/>
        <w:autoSpaceDE/>
        <w:bidi w:val="0"/>
        <w:adjustRightInd/>
        <w:snapToGrid/>
        <w:spacing w:before="624" w:beforeLines="200" w:after="312" w:afterLines="100" w:line="620" w:lineRule="exact"/>
        <w:ind w:left="0" w:leftChars="0" w:firstLine="0" w:firstLineChars="0"/>
        <w:jc w:val="center"/>
        <w:textAlignment w:val="auto"/>
        <w:rPr>
          <w:rFonts w:hint="eastAsia" w:ascii="方正小标宋简体" w:hAnsi="方正小标宋简体" w:eastAsia="方正小标宋简体" w:cs="方正小标宋简体"/>
          <w:b w:val="0"/>
          <w:bCs/>
          <w:color w:val="auto"/>
          <w:spacing w:val="40"/>
          <w:sz w:val="48"/>
          <w:szCs w:val="48"/>
          <w:highlight w:val="none"/>
        </w:rPr>
      </w:pPr>
      <w:r>
        <w:rPr>
          <w:rFonts w:hint="eastAsia" w:ascii="方正小标宋简体" w:hAnsi="方正小标宋简体" w:eastAsia="方正小标宋简体" w:cs="方正小标宋简体"/>
          <w:b w:val="0"/>
          <w:bCs/>
          <w:color w:val="auto"/>
          <w:spacing w:val="40"/>
          <w:sz w:val="48"/>
          <w:szCs w:val="48"/>
          <w:highlight w:val="none"/>
        </w:rPr>
        <w:t>政府工作报告</w:t>
      </w:r>
    </w:p>
    <w:p w14:paraId="7B6A2496">
      <w:pPr>
        <w:keepNext w:val="0"/>
        <w:keepLines w:val="0"/>
        <w:pageBreakBefore w:val="0"/>
        <w:kinsoku/>
        <w:wordWrap/>
        <w:overflowPunct/>
        <w:topLinePunct w:val="0"/>
        <w:autoSpaceDE/>
        <w:bidi w:val="0"/>
        <w:adjustRightInd/>
        <w:snapToGrid/>
        <w:spacing w:line="620" w:lineRule="exact"/>
        <w:ind w:left="0" w:leftChars="0" w:firstLine="0" w:firstLineChars="0"/>
        <w:jc w:val="center"/>
        <w:textAlignment w:val="auto"/>
        <w:rPr>
          <w:rFonts w:hint="eastAsia" w:ascii="楷体" w:hAnsi="楷体" w:eastAsia="楷体" w:cs="楷体"/>
          <w:color w:val="auto"/>
          <w:spacing w:val="-8"/>
          <w:sz w:val="36"/>
          <w:szCs w:val="36"/>
          <w:highlight w:val="none"/>
        </w:rPr>
      </w:pPr>
      <w:r>
        <w:rPr>
          <w:rFonts w:hint="eastAsia" w:ascii="楷体" w:hAnsi="楷体" w:eastAsia="楷体" w:cs="楷体"/>
          <w:color w:val="auto"/>
          <w:spacing w:val="-8"/>
          <w:sz w:val="36"/>
          <w:szCs w:val="36"/>
          <w:highlight w:val="none"/>
          <w:lang w:eastAsia="zh-CN"/>
        </w:rPr>
        <w:t>——</w:t>
      </w:r>
      <w:r>
        <w:rPr>
          <w:rFonts w:hint="eastAsia" w:ascii="楷体" w:hAnsi="楷体" w:eastAsia="楷体" w:cs="楷体"/>
          <w:color w:val="auto"/>
          <w:spacing w:val="-8"/>
          <w:sz w:val="36"/>
          <w:szCs w:val="36"/>
          <w:highlight w:val="none"/>
        </w:rPr>
        <w:t>20</w:t>
      </w:r>
      <w:r>
        <w:rPr>
          <w:rFonts w:hint="eastAsia" w:ascii="楷体" w:hAnsi="楷体" w:eastAsia="楷体" w:cs="楷体"/>
          <w:color w:val="auto"/>
          <w:spacing w:val="-8"/>
          <w:sz w:val="36"/>
          <w:szCs w:val="36"/>
          <w:highlight w:val="none"/>
          <w:lang w:val="en-US" w:eastAsia="zh-CN"/>
        </w:rPr>
        <w:t>25</w:t>
      </w:r>
      <w:r>
        <w:rPr>
          <w:rFonts w:hint="eastAsia" w:ascii="楷体" w:hAnsi="楷体" w:eastAsia="楷体" w:cs="楷体"/>
          <w:color w:val="auto"/>
          <w:spacing w:val="-8"/>
          <w:sz w:val="36"/>
          <w:szCs w:val="36"/>
          <w:highlight w:val="none"/>
        </w:rPr>
        <w:t>年</w:t>
      </w:r>
      <w:r>
        <w:rPr>
          <w:rFonts w:hint="eastAsia" w:ascii="楷体" w:hAnsi="楷体" w:eastAsia="楷体" w:cs="楷体"/>
          <w:color w:val="auto"/>
          <w:spacing w:val="-8"/>
          <w:sz w:val="36"/>
          <w:szCs w:val="36"/>
          <w:highlight w:val="none"/>
          <w:lang w:val="en-US" w:eastAsia="zh-CN"/>
        </w:rPr>
        <w:t>6</w:t>
      </w:r>
      <w:r>
        <w:rPr>
          <w:rFonts w:hint="eastAsia" w:ascii="楷体" w:hAnsi="楷体" w:eastAsia="楷体" w:cs="楷体"/>
          <w:color w:val="auto"/>
          <w:spacing w:val="-8"/>
          <w:sz w:val="36"/>
          <w:szCs w:val="36"/>
          <w:highlight w:val="none"/>
        </w:rPr>
        <w:t>月</w:t>
      </w:r>
      <w:r>
        <w:rPr>
          <w:rFonts w:hint="eastAsia" w:ascii="楷体" w:hAnsi="楷体" w:eastAsia="楷体" w:cs="楷体"/>
          <w:color w:val="auto"/>
          <w:spacing w:val="-8"/>
          <w:sz w:val="36"/>
          <w:szCs w:val="36"/>
          <w:highlight w:val="none"/>
          <w:lang w:val="en-US" w:eastAsia="zh-CN"/>
        </w:rPr>
        <w:t>17</w:t>
      </w:r>
      <w:r>
        <w:rPr>
          <w:rFonts w:hint="eastAsia" w:ascii="楷体" w:hAnsi="楷体" w:eastAsia="楷体" w:cs="楷体"/>
          <w:color w:val="auto"/>
          <w:spacing w:val="-8"/>
          <w:sz w:val="36"/>
          <w:szCs w:val="36"/>
          <w:highlight w:val="none"/>
        </w:rPr>
        <w:t>日在</w:t>
      </w:r>
      <w:r>
        <w:rPr>
          <w:rFonts w:hint="eastAsia" w:ascii="楷体" w:hAnsi="楷体" w:eastAsia="楷体" w:cs="楷体"/>
          <w:color w:val="auto"/>
          <w:spacing w:val="-8"/>
          <w:sz w:val="36"/>
          <w:szCs w:val="36"/>
          <w:highlight w:val="none"/>
          <w:lang w:eastAsia="zh-CN"/>
        </w:rPr>
        <w:t>丹朱</w:t>
      </w:r>
      <w:r>
        <w:rPr>
          <w:rFonts w:hint="eastAsia" w:ascii="楷体" w:hAnsi="楷体" w:eastAsia="楷体" w:cs="楷体"/>
          <w:color w:val="auto"/>
          <w:spacing w:val="-8"/>
          <w:sz w:val="36"/>
          <w:szCs w:val="36"/>
          <w:highlight w:val="none"/>
        </w:rPr>
        <w:t>镇第</w:t>
      </w:r>
      <w:r>
        <w:rPr>
          <w:rFonts w:hint="eastAsia" w:ascii="楷体" w:hAnsi="楷体" w:eastAsia="楷体" w:cs="楷体"/>
          <w:color w:val="auto"/>
          <w:spacing w:val="-8"/>
          <w:sz w:val="36"/>
          <w:szCs w:val="36"/>
          <w:highlight w:val="none"/>
          <w:lang w:val="en-US" w:eastAsia="zh-CN"/>
        </w:rPr>
        <w:t>五</w:t>
      </w:r>
      <w:r>
        <w:rPr>
          <w:rFonts w:hint="eastAsia" w:ascii="楷体" w:hAnsi="楷体" w:eastAsia="楷体" w:cs="楷体"/>
          <w:color w:val="auto"/>
          <w:spacing w:val="-8"/>
          <w:sz w:val="36"/>
          <w:szCs w:val="36"/>
          <w:highlight w:val="none"/>
        </w:rPr>
        <w:t>届</w:t>
      </w:r>
    </w:p>
    <w:p w14:paraId="50DF6A92">
      <w:pPr>
        <w:keepNext w:val="0"/>
        <w:keepLines w:val="0"/>
        <w:pageBreakBefore w:val="0"/>
        <w:kinsoku/>
        <w:wordWrap/>
        <w:overflowPunct/>
        <w:topLinePunct w:val="0"/>
        <w:autoSpaceDE/>
        <w:bidi w:val="0"/>
        <w:adjustRightInd/>
        <w:snapToGrid/>
        <w:spacing w:line="620" w:lineRule="exact"/>
        <w:ind w:left="0" w:leftChars="0" w:firstLine="0" w:firstLineChars="0"/>
        <w:jc w:val="center"/>
        <w:textAlignment w:val="auto"/>
        <w:rPr>
          <w:rFonts w:hint="eastAsia" w:ascii="楷体" w:hAnsi="楷体" w:eastAsia="楷体" w:cs="楷体"/>
          <w:b w:val="0"/>
          <w:bCs w:val="0"/>
          <w:color w:val="auto"/>
          <w:sz w:val="36"/>
          <w:szCs w:val="36"/>
          <w:highlight w:val="none"/>
          <w:lang w:val="en-US" w:eastAsia="zh-CN"/>
        </w:rPr>
      </w:pPr>
      <w:r>
        <w:rPr>
          <w:rFonts w:hint="eastAsia" w:ascii="楷体" w:hAnsi="楷体" w:eastAsia="楷体" w:cs="楷体"/>
          <w:color w:val="auto"/>
          <w:spacing w:val="-8"/>
          <w:sz w:val="36"/>
          <w:szCs w:val="36"/>
          <w:highlight w:val="none"/>
        </w:rPr>
        <w:t>人民代表大会</w:t>
      </w:r>
      <w:r>
        <w:rPr>
          <w:rFonts w:hint="eastAsia" w:ascii="楷体" w:hAnsi="楷体" w:eastAsia="楷体" w:cs="楷体"/>
          <w:color w:val="auto"/>
          <w:spacing w:val="-8"/>
          <w:sz w:val="36"/>
          <w:szCs w:val="36"/>
          <w:highlight w:val="none"/>
          <w:lang w:val="en-US" w:eastAsia="zh-CN"/>
        </w:rPr>
        <w:t>第七</w:t>
      </w:r>
      <w:r>
        <w:rPr>
          <w:rFonts w:hint="eastAsia" w:ascii="楷体" w:hAnsi="楷体" w:eastAsia="楷体" w:cs="楷体"/>
          <w:color w:val="auto"/>
          <w:spacing w:val="-8"/>
          <w:sz w:val="36"/>
          <w:szCs w:val="36"/>
          <w:highlight w:val="none"/>
        </w:rPr>
        <w:t>次会议上</w:t>
      </w:r>
    </w:p>
    <w:p w14:paraId="5ED7CE8F">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left="0" w:leftChars="0" w:right="0" w:rightChars="0" w:firstLine="0" w:firstLineChars="0"/>
        <w:jc w:val="center"/>
        <w:textAlignment w:val="auto"/>
        <w:rPr>
          <w:rFonts w:hint="eastAsia" w:ascii="楷体" w:hAnsi="楷体" w:eastAsia="楷体" w:cs="楷体"/>
          <w:color w:val="auto"/>
          <w:sz w:val="36"/>
          <w:szCs w:val="36"/>
          <w:highlight w:val="none"/>
          <w:lang w:val="en-US" w:eastAsia="zh-CN"/>
        </w:rPr>
      </w:pPr>
      <w:r>
        <w:rPr>
          <w:rFonts w:hint="eastAsia" w:ascii="楷体" w:hAnsi="楷体" w:eastAsia="楷体" w:cs="楷体"/>
          <w:color w:val="auto"/>
          <w:sz w:val="36"/>
          <w:szCs w:val="36"/>
          <w:highlight w:val="none"/>
          <w:lang w:val="en-US" w:eastAsia="zh-CN"/>
        </w:rPr>
        <w:t>刘林军</w:t>
      </w:r>
    </w:p>
    <w:p w14:paraId="7209C731">
      <w:pPr>
        <w:keepNext w:val="0"/>
        <w:keepLines w:val="0"/>
        <w:pageBreakBefore w:val="0"/>
        <w:kinsoku/>
        <w:wordWrap/>
        <w:overflowPunct/>
        <w:topLinePunct w:val="0"/>
        <w:autoSpaceDE/>
        <w:bidi w:val="0"/>
        <w:adjustRightInd w:val="0"/>
        <w:snapToGrid w:val="0"/>
        <w:spacing w:line="560" w:lineRule="exact"/>
        <w:ind w:left="0" w:leftChars="0" w:right="0" w:rightChars="0" w:firstLine="0" w:firstLineChars="0"/>
        <w:textAlignment w:val="auto"/>
        <w:rPr>
          <w:rFonts w:hint="eastAsia" w:ascii="楷体" w:hAnsi="楷体" w:eastAsia="楷体" w:cs="楷体"/>
          <w:color w:val="auto"/>
          <w:sz w:val="36"/>
          <w:szCs w:val="36"/>
          <w:highlight w:val="none"/>
        </w:rPr>
      </w:pPr>
      <w:r>
        <w:rPr>
          <w:rFonts w:hint="eastAsia" w:ascii="楷体" w:hAnsi="楷体" w:eastAsia="楷体" w:cs="楷体"/>
          <w:color w:val="auto"/>
          <w:sz w:val="36"/>
          <w:szCs w:val="36"/>
          <w:highlight w:val="none"/>
        </w:rPr>
        <w:t>各位代表</w:t>
      </w:r>
      <w:r>
        <w:rPr>
          <w:rFonts w:hint="eastAsia" w:ascii="楷体" w:hAnsi="楷体" w:eastAsia="楷体" w:cs="楷体"/>
          <w:color w:val="auto"/>
          <w:sz w:val="36"/>
          <w:szCs w:val="36"/>
          <w:highlight w:val="none"/>
          <w:lang w:eastAsia="zh-CN"/>
        </w:rPr>
        <w:t>、</w:t>
      </w:r>
      <w:r>
        <w:rPr>
          <w:rFonts w:hint="eastAsia" w:ascii="楷体" w:hAnsi="楷体" w:eastAsia="楷体" w:cs="楷体"/>
          <w:color w:val="auto"/>
          <w:sz w:val="36"/>
          <w:szCs w:val="36"/>
          <w:highlight w:val="none"/>
          <w:lang w:val="en-US" w:eastAsia="zh-CN"/>
        </w:rPr>
        <w:t>同志们</w:t>
      </w:r>
      <w:r>
        <w:rPr>
          <w:rFonts w:hint="eastAsia" w:ascii="楷体" w:hAnsi="楷体" w:eastAsia="楷体" w:cs="楷体"/>
          <w:color w:val="auto"/>
          <w:sz w:val="36"/>
          <w:szCs w:val="36"/>
          <w:highlight w:val="none"/>
        </w:rPr>
        <w:t>：</w:t>
      </w:r>
    </w:p>
    <w:p w14:paraId="483DA5DE">
      <w:pPr>
        <w:keepNext w:val="0"/>
        <w:keepLines w:val="0"/>
        <w:pageBreakBefore w:val="0"/>
        <w:kinsoku/>
        <w:wordWrap/>
        <w:overflowPunct/>
        <w:topLinePunct w:val="0"/>
        <w:autoSpaceDE/>
        <w:bidi w:val="0"/>
        <w:adjustRightInd/>
        <w:snapToGrid/>
        <w:spacing w:line="560" w:lineRule="exact"/>
        <w:ind w:left="0" w:leftChars="0" w:right="0" w:rightChars="0" w:firstLine="72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现在，我代表丹朱镇人民政府向大会报告工作，请予审议。</w:t>
      </w:r>
    </w:p>
    <w:p w14:paraId="234477D9">
      <w:pPr>
        <w:keepNext w:val="0"/>
        <w:keepLines w:val="0"/>
        <w:pageBreakBefore w:val="0"/>
        <w:kinsoku/>
        <w:wordWrap/>
        <w:overflowPunct/>
        <w:topLinePunct w:val="0"/>
        <w:autoSpaceDE/>
        <w:bidi w:val="0"/>
        <w:adjustRightInd/>
        <w:snapToGrid/>
        <w:spacing w:line="560" w:lineRule="exact"/>
        <w:ind w:left="0" w:leftChars="0" w:right="0" w:rightChars="0" w:firstLine="720"/>
        <w:jc w:val="both"/>
        <w:textAlignment w:val="auto"/>
        <w:rPr>
          <w:rFonts w:hint="eastAsia"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一、2024年工作回顾</w:t>
      </w:r>
    </w:p>
    <w:p w14:paraId="61CF338A">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bidi="ar-SA"/>
        </w:rPr>
        <w:t>2024年是中华人民共和国成立75周年，是实施“十四五”规划的关键一年。也是丹朱发展进程中极不平凡、非常重要的一年。一年来，全镇上下坚持以习近平新时代中国特色社会主义思想为指导，深入学习贯彻习近平总书记视察山西重要讲话重要指示精神，</w:t>
      </w:r>
      <w:r>
        <w:rPr>
          <w:rFonts w:hint="eastAsia" w:ascii="仿宋_GB2312" w:hAnsi="仿宋_GB2312" w:eastAsia="仿宋_GB2312" w:cs="仿宋_GB2312"/>
          <w:sz w:val="36"/>
          <w:szCs w:val="36"/>
          <w:lang w:val="en-US" w:eastAsia="zh-CN"/>
        </w:rPr>
        <w:t>在县委、县政府和镇党委的坚强领导下，认真贯彻落实中央、省市县委决策部署，紧紧围绕县委“做好山文章，绘好水景图，布好名城局”发展思路，主动担当、奋勇争先，全镇经济社会各项事业取得了阶段性成效，较好完成了丹朱镇第五届人民代表大会第六次会议确定的各项目标任务。</w:t>
      </w:r>
    </w:p>
    <w:p w14:paraId="62BF961F">
      <w:pPr>
        <w:keepNext w:val="0"/>
        <w:keepLines w:val="0"/>
        <w:pageBreakBefore w:val="0"/>
        <w:kinsoku/>
        <w:wordWrap/>
        <w:overflowPunct/>
        <w:topLinePunct w:val="0"/>
        <w:autoSpaceDE/>
        <w:bidi w:val="0"/>
        <w:adjustRightInd/>
        <w:snapToGrid/>
        <w:spacing w:line="560" w:lineRule="exact"/>
        <w:ind w:left="0" w:leftChars="0" w:right="0" w:rightChars="0" w:firstLine="720"/>
        <w:jc w:val="both"/>
        <w:textAlignment w:val="auto"/>
        <w:rPr>
          <w:rFonts w:hint="eastAsia" w:ascii="仿宋_GB2312" w:hAnsi="仿宋_GB2312" w:eastAsia="仿宋_GB2312" w:cs="仿宋_GB2312"/>
          <w:sz w:val="36"/>
          <w:szCs w:val="36"/>
          <w:lang w:val="en-US" w:eastAsia="zh-CN"/>
        </w:rPr>
      </w:pPr>
      <w:r>
        <w:rPr>
          <w:rFonts w:hint="eastAsia" w:ascii="楷体" w:hAnsi="楷体" w:eastAsia="楷体" w:cs="楷体"/>
          <w:color w:val="auto"/>
          <w:sz w:val="36"/>
          <w:szCs w:val="36"/>
          <w:highlight w:val="none"/>
          <w:lang w:val="en-US" w:eastAsia="zh-CN"/>
        </w:rPr>
        <w:t>——这一年，经济运行交出满意答卷。</w:t>
      </w:r>
      <w:r>
        <w:rPr>
          <w:rFonts w:hint="eastAsia" w:ascii="仿宋_GB2312" w:hAnsi="仿宋_GB2312" w:eastAsia="仿宋_GB2312" w:cs="仿宋_GB2312"/>
          <w:sz w:val="36"/>
          <w:szCs w:val="36"/>
          <w:lang w:val="en-US" w:eastAsia="zh-CN"/>
        </w:rPr>
        <w:t>围绕高质量发展首要任务，全力以赴抓项目、拓招商、稳增长，固定资产投资、招商引资等各项指标任务超额完成。一年来，全镇外出开展招商洽谈24次，与北京丰台区对口合作12次，签约项目28个，招商引资任务完成15亿元(任务15亿元)，完成100%；固定资产投资完成14.66亿元（任务10亿元），超额完成46.6%，经济运行稳中有进、趋稳向好。</w:t>
      </w:r>
    </w:p>
    <w:p w14:paraId="69478AF3">
      <w:pPr>
        <w:keepNext w:val="0"/>
        <w:keepLines w:val="0"/>
        <w:pageBreakBefore w:val="0"/>
        <w:kinsoku/>
        <w:wordWrap/>
        <w:overflowPunct/>
        <w:topLinePunct w:val="0"/>
        <w:autoSpaceDE/>
        <w:bidi w:val="0"/>
        <w:adjustRightInd/>
        <w:snapToGrid/>
        <w:spacing w:line="560" w:lineRule="exact"/>
        <w:ind w:left="0" w:leftChars="0" w:right="0" w:rightChars="0" w:firstLine="720"/>
        <w:jc w:val="both"/>
        <w:textAlignment w:val="auto"/>
        <w:rPr>
          <w:rFonts w:hint="eastAsia" w:ascii="仿宋_GB2312" w:hAnsi="仿宋_GB2312" w:eastAsia="仿宋_GB2312" w:cs="仿宋_GB2312"/>
          <w:i w:val="0"/>
          <w:iCs w:val="0"/>
          <w:caps w:val="0"/>
          <w:color w:val="auto"/>
          <w:spacing w:val="0"/>
          <w:sz w:val="36"/>
          <w:szCs w:val="36"/>
          <w:shd w:val="clear" w:color="auto" w:fill="FFFFFF"/>
          <w:lang w:val="en-US" w:eastAsia="zh-CN"/>
        </w:rPr>
      </w:pPr>
      <w:r>
        <w:rPr>
          <w:rFonts w:hint="eastAsia" w:ascii="楷体" w:hAnsi="楷体" w:eastAsia="楷体" w:cs="楷体"/>
          <w:color w:val="auto"/>
          <w:sz w:val="36"/>
          <w:szCs w:val="36"/>
          <w:highlight w:val="none"/>
          <w:lang w:val="en-US" w:eastAsia="zh-CN"/>
        </w:rPr>
        <w:t>——这一年，项目建设交出崭新答卷。</w:t>
      </w:r>
      <w:r>
        <w:rPr>
          <w:rFonts w:hint="eastAsia" w:ascii="仿宋_GB2312" w:hAnsi="仿宋_GB2312" w:eastAsia="仿宋_GB2312" w:cs="仿宋_GB2312"/>
          <w:i w:val="0"/>
          <w:iCs w:val="0"/>
          <w:caps w:val="0"/>
          <w:color w:val="auto"/>
          <w:spacing w:val="0"/>
          <w:sz w:val="36"/>
          <w:szCs w:val="36"/>
          <w:shd w:val="clear" w:color="auto" w:fill="FFFFFF"/>
          <w:lang w:val="en-US" w:eastAsia="zh-CN"/>
        </w:rPr>
        <w:t>顺利完成7个县级重点工程2800亩土地征迁任务，保障了全县重点工程项目落地。谋划实施了65个重点项目，总投资达50多亿元，采取包片干部包项目、包村干部包手续、各片干部包进度的措施，推行了日追踪、周调度、月排队的调度机制。同时，快速推进13个专业市场建设，其中南刘、同昱、同旺、泊里、同贺等8个市场全面投入使用，剩余5个市场完成主体工程，正在招商中。招商引资和创优营商环境方面，坚持“两不论”原则，不论什么企业，只要符合长子的环境政策就行；不论什么企业，只要符合长子的产业政策就行。</w:t>
      </w:r>
    </w:p>
    <w:p w14:paraId="7C88A60F">
      <w:pPr>
        <w:keepNext w:val="0"/>
        <w:keepLines w:val="0"/>
        <w:pageBreakBefore w:val="0"/>
        <w:kinsoku/>
        <w:wordWrap/>
        <w:overflowPunct/>
        <w:topLinePunct w:val="0"/>
        <w:autoSpaceDE/>
        <w:bidi w:val="0"/>
        <w:adjustRightInd/>
        <w:snapToGrid/>
        <w:spacing w:line="560" w:lineRule="exact"/>
        <w:ind w:left="0" w:leftChars="0" w:right="0" w:rightChars="0" w:firstLine="720"/>
        <w:jc w:val="both"/>
        <w:textAlignment w:val="auto"/>
        <w:rPr>
          <w:rFonts w:hint="default" w:ascii="仿宋_GB2312" w:hAnsi="仿宋_GB2312" w:eastAsia="仿宋_GB2312" w:cs="仿宋_GB2312"/>
          <w:i w:val="0"/>
          <w:iCs w:val="0"/>
          <w:caps w:val="0"/>
          <w:color w:val="auto"/>
          <w:spacing w:val="0"/>
          <w:sz w:val="36"/>
          <w:szCs w:val="36"/>
          <w:shd w:val="clear" w:color="auto" w:fill="FFFFFF"/>
          <w:lang w:val="en-US" w:eastAsia="zh-CN"/>
        </w:rPr>
      </w:pPr>
      <w:r>
        <w:rPr>
          <w:rFonts w:hint="eastAsia" w:ascii="楷体" w:hAnsi="楷体" w:eastAsia="楷体" w:cs="楷体"/>
          <w:b w:val="0"/>
          <w:bCs w:val="0"/>
          <w:color w:val="auto"/>
          <w:kern w:val="0"/>
          <w:sz w:val="36"/>
          <w:szCs w:val="36"/>
          <w:highlight w:val="none"/>
          <w:lang w:val="en-US" w:eastAsia="zh-CN" w:bidi="ar-SA"/>
        </w:rPr>
        <w:t>——这一年，乡村振兴交出标杆答卷。</w:t>
      </w:r>
      <w:r>
        <w:rPr>
          <w:rFonts w:hint="eastAsia" w:ascii="仿宋_GB2312" w:hAnsi="仿宋_GB2312" w:eastAsia="仿宋_GB2312" w:cs="仿宋_GB2312"/>
          <w:color w:val="auto"/>
          <w:kern w:val="2"/>
          <w:sz w:val="36"/>
          <w:szCs w:val="36"/>
          <w:lang w:val="en-US" w:eastAsia="zh-CN" w:bidi="ar-SA"/>
        </w:rPr>
        <w:t>成功创建省级乡村振兴示范乡镇。稳步发展“一县一业”，新建百亩以上青尖椒高标准园区13个，新发展高标准大棚565座，新增设施蔬菜种植面积3600亩，蔬菜种植面积达2.4万亩。</w:t>
      </w:r>
      <w:r>
        <w:rPr>
          <w:rFonts w:hint="eastAsia" w:ascii="仿宋_GB2312" w:hAnsi="仿宋_GB2312" w:eastAsia="仿宋_GB2312" w:cs="仿宋_GB2312"/>
          <w:i w:val="0"/>
          <w:iCs w:val="0"/>
          <w:caps w:val="0"/>
          <w:color w:val="auto"/>
          <w:spacing w:val="0"/>
          <w:sz w:val="36"/>
          <w:szCs w:val="36"/>
          <w:shd w:val="clear" w:color="auto" w:fill="FFFFFF"/>
          <w:lang w:val="en-US" w:eastAsia="zh-CN"/>
        </w:rPr>
        <w:t>对经营性收入为零和年终考核后3名的村，采取跟班学习和现场教学的办法，及时补课，纠偏归正。通过强村投资、弱村土地入股分红的办法，带动一批弱村发展。</w:t>
      </w:r>
      <w:bookmarkStart w:id="0" w:name="_GoBack"/>
      <w:bookmarkEnd w:id="0"/>
      <w:r>
        <w:rPr>
          <w:rFonts w:hint="eastAsia" w:ascii="仿宋_GB2312" w:hAnsi="仿宋_GB2312" w:eastAsia="仿宋_GB2312" w:cs="仿宋_GB2312"/>
          <w:i w:val="0"/>
          <w:iCs w:val="0"/>
          <w:caps w:val="0"/>
          <w:color w:val="auto"/>
          <w:spacing w:val="0"/>
          <w:sz w:val="36"/>
          <w:szCs w:val="36"/>
          <w:shd w:val="clear" w:color="auto" w:fill="FFFFFF"/>
          <w:lang w:val="en-US" w:eastAsia="zh-CN"/>
        </w:rPr>
        <w:t>截至目前，经营性收入为零的村集体经济收入全部达到10万元以上</w:t>
      </w:r>
      <w:r>
        <w:rPr>
          <w:rFonts w:hint="eastAsia" w:ascii="仿宋_GB2312" w:hAnsi="仿宋_GB2312" w:eastAsia="仿宋_GB2312" w:cs="仿宋_GB2312"/>
          <w:i w:val="0"/>
          <w:iCs w:val="0"/>
          <w:caps w:val="0"/>
          <w:color w:val="auto"/>
          <w:spacing w:val="0"/>
          <w:sz w:val="36"/>
          <w:szCs w:val="36"/>
          <w:highlight w:val="none"/>
          <w:shd w:val="clear" w:color="auto" w:fill="FFFFFF"/>
          <w:lang w:val="en-US" w:eastAsia="zh-CN"/>
        </w:rPr>
        <w:t>。</w:t>
      </w:r>
      <w:r>
        <w:rPr>
          <w:rFonts w:hint="eastAsia" w:ascii="仿宋_GB2312" w:hAnsi="仿宋_GB2312" w:eastAsia="仿宋_GB2312" w:cs="仿宋_GB2312"/>
          <w:color w:val="auto"/>
          <w:kern w:val="2"/>
          <w:sz w:val="36"/>
          <w:szCs w:val="36"/>
          <w:highlight w:val="none"/>
          <w:lang w:val="en-US" w:eastAsia="zh-CN" w:bidi="ar-SA"/>
        </w:rPr>
        <w:t>43个村集体经济全部达到30万元以上，其中500万元—1000万元以上的村6个，1000万元以上的村3个。成功打造了同贺村“千万工程”精品示范村和东寺头村、</w:t>
      </w:r>
      <w:r>
        <w:rPr>
          <w:rFonts w:hint="eastAsia" w:ascii="仿宋_GB2312" w:hAnsi="仿宋_GB2312" w:eastAsia="仿宋_GB2312" w:cs="仿宋_GB2312"/>
          <w:color w:val="auto"/>
          <w:kern w:val="2"/>
          <w:sz w:val="36"/>
          <w:szCs w:val="36"/>
          <w:lang w:val="en-US" w:eastAsia="zh-CN" w:bidi="ar-SA"/>
        </w:rPr>
        <w:t>鲍庄村、下霍村3个“千万工程”提档升级村。在马烟、东寺头村成功试种水果玉米40亩，实现“一年两作”；</w:t>
      </w:r>
      <w:r>
        <w:rPr>
          <w:rFonts w:hint="eastAsia" w:ascii="仿宋_GB2312" w:hAnsi="仿宋_GB2312" w:eastAsia="仿宋_GB2312" w:cs="仿宋_GB2312"/>
          <w:i w:val="0"/>
          <w:iCs w:val="0"/>
          <w:caps w:val="0"/>
          <w:color w:val="auto"/>
          <w:spacing w:val="0"/>
          <w:sz w:val="36"/>
          <w:szCs w:val="36"/>
          <w:shd w:val="clear" w:color="auto" w:fill="FFFFFF"/>
          <w:lang w:val="en-US" w:eastAsia="zh-CN"/>
        </w:rPr>
        <w:t>大力发展品牌农业，丹西龙鑫现代农业产业园被农业农村部评为“全国农村创业创新基地”，园区的甜椒、西葫芦等获得“圳品”标志使用权，农产品远销国内外，提升了丹朱农产品的知名度和市场竞争力。</w:t>
      </w:r>
    </w:p>
    <w:p w14:paraId="0A809AA4">
      <w:pPr>
        <w:keepNext w:val="0"/>
        <w:keepLines w:val="0"/>
        <w:pageBreakBefore w:val="0"/>
        <w:widowControl w:val="0"/>
        <w:kinsoku/>
        <w:wordWrap/>
        <w:overflowPunct/>
        <w:topLinePunct w:val="0"/>
        <w:autoSpaceDE w:val="0"/>
        <w:autoSpaceDN w:val="0"/>
        <w:bidi w:val="0"/>
        <w:adjustRightInd/>
        <w:snapToGrid/>
        <w:spacing w:line="560" w:lineRule="exact"/>
        <w:ind w:firstLine="720" w:firstLineChars="200"/>
        <w:textAlignment w:val="auto"/>
        <w:rPr>
          <w:rFonts w:hint="eastAsia" w:ascii="仿宋_GB2312" w:hAnsi="仿宋_GB2312" w:eastAsia="仿宋_GB2312" w:cs="仿宋_GB2312"/>
          <w:i w:val="0"/>
          <w:iCs w:val="0"/>
          <w:caps w:val="0"/>
          <w:color w:val="auto"/>
          <w:spacing w:val="0"/>
          <w:sz w:val="36"/>
          <w:szCs w:val="36"/>
          <w:shd w:val="clear" w:color="auto" w:fill="FFFFFF"/>
          <w:lang w:val="en-US" w:eastAsia="zh-CN"/>
        </w:rPr>
      </w:pPr>
      <w:r>
        <w:rPr>
          <w:rFonts w:hint="eastAsia" w:ascii="楷体" w:hAnsi="楷体" w:eastAsia="楷体" w:cs="楷体"/>
          <w:color w:val="auto"/>
          <w:sz w:val="36"/>
          <w:szCs w:val="36"/>
          <w:highlight w:val="none"/>
          <w:lang w:val="en-US" w:eastAsia="zh-CN"/>
        </w:rPr>
        <w:t>——这一年，民生福祉交出合格答卷。</w:t>
      </w:r>
      <w:r>
        <w:rPr>
          <w:rFonts w:hint="eastAsia" w:ascii="仿宋_GB2312" w:hAnsi="仿宋_GB2312" w:eastAsia="仿宋_GB2312" w:cs="仿宋_GB2312"/>
          <w:color w:val="auto"/>
          <w:kern w:val="2"/>
          <w:sz w:val="36"/>
          <w:szCs w:val="36"/>
          <w:lang w:val="en-US" w:eastAsia="zh-CN" w:bidi="ar-SA"/>
        </w:rPr>
        <w:t>坚持树牢以人民为中心的发展思想，全力办好各项民生实事。稳步完成了西鲍、东寺头、西寺头、河北、河西5个村集中供暖工程</w:t>
      </w:r>
      <w:r>
        <w:rPr>
          <w:rFonts w:hint="eastAsia" w:ascii="仿宋_GB2312" w:hAnsi="仿宋_GB2312" w:eastAsia="仿宋_GB2312" w:cs="仿宋_GB2312"/>
          <w:i w:val="0"/>
          <w:iCs w:val="0"/>
          <w:caps w:val="0"/>
          <w:color w:val="auto"/>
          <w:spacing w:val="0"/>
          <w:sz w:val="36"/>
          <w:szCs w:val="36"/>
          <w:shd w:val="clear" w:color="auto" w:fill="FFFFFF"/>
          <w:lang w:val="en-US" w:eastAsia="zh-CN"/>
        </w:rPr>
        <w:t>。高效完成了东大街片区住宅273户、南大街片区二期住宅375户、北大街南大街商铺147户还迁安置任务。常态化开展市场综合整治、禁放烟花爆竹等重点工作，积极配合县政府推进社保小区、长子一中小区改造工程和智慧停车、架空线路整治、背街小巷雨污分流等多个重点项目，人民群众的幸福感和获得感全面提升。</w:t>
      </w:r>
    </w:p>
    <w:p w14:paraId="654FA8EE">
      <w:pPr>
        <w:keepNext w:val="0"/>
        <w:keepLines w:val="0"/>
        <w:pageBreakBefore w:val="0"/>
        <w:widowControl w:val="0"/>
        <w:kinsoku/>
        <w:wordWrap/>
        <w:overflowPunct/>
        <w:topLinePunct w:val="0"/>
        <w:autoSpaceDE w:val="0"/>
        <w:autoSpaceDN w:val="0"/>
        <w:bidi w:val="0"/>
        <w:adjustRightInd/>
        <w:snapToGrid/>
        <w:spacing w:line="560" w:lineRule="exact"/>
        <w:ind w:firstLine="720" w:firstLineChars="20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color w:val="auto"/>
          <w:sz w:val="36"/>
          <w:szCs w:val="36"/>
          <w:highlight w:val="none"/>
          <w:lang w:eastAsia="zh-CN"/>
        </w:rPr>
        <w:t>——</w:t>
      </w:r>
      <w:r>
        <w:rPr>
          <w:rFonts w:hint="eastAsia" w:ascii="楷体" w:hAnsi="楷体" w:eastAsia="楷体" w:cs="楷体"/>
          <w:color w:val="auto"/>
          <w:sz w:val="36"/>
          <w:szCs w:val="36"/>
          <w:highlight w:val="none"/>
          <w:lang w:val="en-US" w:eastAsia="zh-CN"/>
        </w:rPr>
        <w:t>这一年，人居环境交出靓丽答卷。</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一是全力推进“垃圾清零”。</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全镇各村、社区常态化开展“垃圾清零”、“四堆清零”、“小广告清零”等清零行动，有效遏制了城市顽症。</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二是全力推进村庄绿化。</w:t>
      </w:r>
      <w:r>
        <w:rPr>
          <w:rFonts w:hint="eastAsia" w:ascii="仿宋_GB2312" w:hAnsi="仿宋_GB2312" w:eastAsia="仿宋_GB2312" w:cs="仿宋_GB2312"/>
          <w:b w:val="0"/>
          <w:bCs w:val="0"/>
          <w:i w:val="0"/>
          <w:iCs w:val="0"/>
          <w:caps w:val="0"/>
          <w:color w:val="auto"/>
          <w:spacing w:val="0"/>
          <w:kern w:val="2"/>
          <w:sz w:val="36"/>
          <w:szCs w:val="36"/>
          <w:shd w:val="clear" w:color="auto" w:fill="FFFFFF"/>
          <w:lang w:val="en-US" w:eastAsia="zh-CN" w:bidi="ar-SA"/>
        </w:rPr>
        <w:t>稳步实施同富、背山、西寺头、下霍等7个村通道绿化、庭院绿化、村庄绿化，建设南刘、泊里、鲍庄等12个村口袋公园、小微绿地300余处，精心打造了一批特色绿化景观带。</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三是全力推进防火工作。</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实现了防火队和执法队网格化防火巡逻，形成了“第一时间发现火点、第一时间快速处置”的群防群治防火新格局。</w:t>
      </w:r>
    </w:p>
    <w:p w14:paraId="6ABF02FA">
      <w:pPr>
        <w:pStyle w:val="10"/>
        <w:keepNext w:val="0"/>
        <w:keepLines w:val="0"/>
        <w:pageBreakBefore w:val="0"/>
        <w:kinsoku/>
        <w:wordWrap/>
        <w:overflowPunct/>
        <w:topLinePunct w:val="0"/>
        <w:autoSpaceDE/>
        <w:autoSpaceDN w:val="0"/>
        <w:bidi w:val="0"/>
        <w:adjustRightInd w:val="0"/>
        <w:snapToGrid w:val="0"/>
        <w:spacing w:line="560" w:lineRule="exact"/>
        <w:ind w:firstLine="720" w:firstLineChars="200"/>
        <w:jc w:val="both"/>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sz w:val="36"/>
          <w:szCs w:val="36"/>
          <w:highlight w:val="none"/>
          <w:lang w:val="en-US" w:eastAsia="zh-CN" w:bidi="ar-SA"/>
        </w:rPr>
        <w:t>——这一年，文明建设交出骄人答卷。</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统筹做好“举旗帜、聚民心、育新人、兴文化、展形象”五大使命任务，以文化人，成风化俗，2025年5月份，丹朱镇被评为“全国文明乡镇”。</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一是巩固文明城市创建成果。</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利用网格化管理模式，以精细化管理提升文明素养，以教育劝导倒逼习惯养成。创新实施“丹朱管家”志愿服务，</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“丹朱管家”</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入列全省示范性新时代文明实践志愿服务项目。</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二是展示丹朱风采风貌。</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创新创办到村、社区工作大学生期刊《尧乡》，目前已出版21期，展示了丹朱工作风采和48名大学生村官的良好形象。</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三是推动丹朱全域旅游。</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聚焦全域旅游发展目标，点面结合、质效提升，以下霍村、小张村为抓手，大力实施太行旅游1号公路建设，打造了小张碧云寺、下霍白云山羿神文化旅游区3A景区。同步推进大刘生态观光园、农产品采摘体验园为一体的旅游新业态，打造丹朱旅游网红打卡地，形成零散景区为点、乡村振兴为面的全域旅游新布局，努力使丹朱文旅融合产业在全县干在先、做示范。</w:t>
      </w:r>
    </w:p>
    <w:p w14:paraId="689277B0">
      <w:pPr>
        <w:keepNext w:val="0"/>
        <w:keepLines w:val="0"/>
        <w:pageBreakBefore w:val="0"/>
        <w:widowControl w:val="0"/>
        <w:kinsoku/>
        <w:wordWrap/>
        <w:overflowPunct/>
        <w:topLinePunct w:val="0"/>
        <w:bidi w:val="0"/>
        <w:adjustRightInd/>
        <w:snapToGrid/>
        <w:spacing w:line="560" w:lineRule="exact"/>
        <w:ind w:left="0"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楷体" w:hAnsi="楷体" w:eastAsia="楷体" w:cs="楷体"/>
          <w:b w:val="0"/>
          <w:bCs w:val="0"/>
          <w:color w:val="auto"/>
          <w:sz w:val="36"/>
          <w:szCs w:val="36"/>
          <w:highlight w:val="none"/>
          <w:lang w:val="en-US" w:eastAsia="zh-CN" w:bidi="ar-SA"/>
        </w:rPr>
        <w:t>——这一年，基层减负交出活力答卷。</w:t>
      </w:r>
      <w:r>
        <w:rPr>
          <w:rFonts w:hint="eastAsia" w:ascii="仿宋_GB2312" w:hAnsi="仿宋_GB2312" w:eastAsia="仿宋_GB2312" w:cs="仿宋_GB2312"/>
          <w:sz w:val="36"/>
          <w:szCs w:val="36"/>
          <w:lang w:val="en-US" w:eastAsia="zh-CN"/>
        </w:rPr>
        <w:t xml:space="preserve">坚持问题导向，从政策性减负入手，彻底解决“小马拉大车”难题。高质量梳理乡镇基本履职事项、配合履职事项、上交事项三个清单，目前已完成基本履职事项清单10类109条，配合履职事项清单16类83条，上交事项清单10类82条。全面清理不符合要求的53处挂牌。  </w:t>
      </w:r>
    </w:p>
    <w:p w14:paraId="218FD1FC">
      <w:pPr>
        <w:keepNext w:val="0"/>
        <w:keepLines w:val="0"/>
        <w:pageBreakBefore w:val="0"/>
        <w:widowControl w:val="0"/>
        <w:kinsoku/>
        <w:wordWrap/>
        <w:overflowPunct/>
        <w:topLinePunct w:val="0"/>
        <w:bidi w:val="0"/>
        <w:adjustRightInd/>
        <w:snapToGrid/>
        <w:spacing w:line="560" w:lineRule="exact"/>
        <w:ind w:left="0" w:leftChars="0" w:firstLine="720" w:firstLineChars="200"/>
        <w:jc w:val="both"/>
        <w:textAlignment w:val="auto"/>
        <w:rPr>
          <w:rFonts w:hint="eastAsia" w:ascii="仿宋_GB2312" w:hAnsi="仿宋_GB2312" w:eastAsia="仿宋_GB2312" w:cs="仿宋_GB2312"/>
          <w:sz w:val="36"/>
          <w:szCs w:val="36"/>
          <w:lang w:val="en-US" w:eastAsia="zh-CN"/>
        </w:rPr>
      </w:pPr>
      <w:r>
        <w:rPr>
          <w:rFonts w:hint="eastAsia" w:ascii="楷体" w:hAnsi="楷体" w:eastAsia="楷体" w:cs="楷体"/>
          <w:b w:val="0"/>
          <w:bCs w:val="0"/>
          <w:color w:val="auto"/>
          <w:sz w:val="36"/>
          <w:szCs w:val="36"/>
          <w:highlight w:val="none"/>
          <w:lang w:val="en-US" w:eastAsia="zh-CN" w:bidi="ar-SA"/>
        </w:rPr>
        <w:t>——这一年，安全稳定交出喜人答卷。</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一是积极做好信访维稳。</w:t>
      </w:r>
      <w:r>
        <w:rPr>
          <w:rFonts w:hint="eastAsia" w:ascii="仿宋_GB2312" w:hAnsi="仿宋_GB2312" w:eastAsia="仿宋_GB2312" w:cs="仿宋_GB2312"/>
          <w:sz w:val="36"/>
          <w:szCs w:val="36"/>
          <w:lang w:val="en-US" w:eastAsia="zh-CN"/>
        </w:rPr>
        <w:t>创新实施“三三制”加“五包一”信访化解稳控制度，即落实信访人员“居住地、户口地、工作地（打工地、活动地）”三地专人稳控和“科级干部包案、机关干部包村、村干部包人”三方专人化解机制，一年来，共排查矛盾纠纷187件，调解180件，化解率达96%。</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二是积极管控重点人员。</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针对全镇戒毒人员、社区康复人员、社区矫正人员、刑释解矫人员等重点人群，建立一人一档，开展排查管控工作，健全帮教工作制度，定期谈话、定时入户、开展走访教育，确保重点人员不脱管、不漏管、不失管。</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三是积极应对极端天气。</w:t>
      </w:r>
      <w:r>
        <w:rPr>
          <w:rFonts w:hint="eastAsia" w:ascii="仿宋_GB2312" w:hAnsi="仿宋_GB2312" w:eastAsia="仿宋_GB2312" w:cs="仿宋_GB2312"/>
          <w:sz w:val="36"/>
          <w:szCs w:val="36"/>
          <w:lang w:val="en-US" w:eastAsia="zh-CN"/>
        </w:rPr>
        <w:t>密切关注天气变化趋势，定时发布雨雪降温天气预警信息，全面开展交通安全、消防安全、汛期安全等领域的安全隐患大排查，发现隐患及时整改，做到一旦发生突发事件，第一时间响应，第一时间应对。</w:t>
      </w:r>
    </w:p>
    <w:p w14:paraId="42E06A31">
      <w:pPr>
        <w:keepNext w:val="0"/>
        <w:keepLines w:val="0"/>
        <w:pageBreakBefore w:val="0"/>
        <w:widowControl w:val="0"/>
        <w:kinsoku/>
        <w:wordWrap/>
        <w:overflowPunct/>
        <w:topLinePunct w:val="0"/>
        <w:bidi w:val="0"/>
        <w:adjustRightInd/>
        <w:snapToGrid/>
        <w:spacing w:line="560" w:lineRule="exact"/>
        <w:ind w:left="0" w:leftChars="0" w:firstLine="720" w:firstLineChars="200"/>
        <w:jc w:val="both"/>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sz w:val="36"/>
          <w:szCs w:val="36"/>
          <w:highlight w:val="none"/>
          <w:lang w:val="en-US" w:eastAsia="zh-CN" w:bidi="ar-SA"/>
        </w:rPr>
        <w:t>——这一年，政府建设交出高效答卷。</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深入学习习近平总书记视察山西重要讲话重要指示精神，坚决贯彻落实县委、县政府各项决策部署。主动接受镇人大监督，高质量办理镇人大代表意见建议。“13710”督办事项高效办理，“12345”热线办理高效回复，群众满意度大幅提升。同时，</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深入推进党风廉政建设，</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全镇教育、计生、妇联、团委、工会、残联等各项事业取得长足发展。</w:t>
      </w:r>
    </w:p>
    <w:p w14:paraId="7EB4E6F8">
      <w:pPr>
        <w:keepNext w:val="0"/>
        <w:keepLines w:val="0"/>
        <w:pageBreakBefore w:val="0"/>
        <w:widowControl w:val="0"/>
        <w:kinsoku/>
        <w:wordWrap/>
        <w:overflowPunct/>
        <w:topLinePunct w:val="0"/>
        <w:bidi w:val="0"/>
        <w:adjustRightInd/>
        <w:snapToGrid/>
        <w:spacing w:line="560" w:lineRule="exact"/>
        <w:ind w:left="0" w:leftChars="0" w:firstLine="720" w:firstLineChars="200"/>
        <w:jc w:val="both"/>
        <w:textAlignment w:val="auto"/>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pP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各位代表！</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过去的一年，我们坚持“第一议题”学习常态化、人居环境整治常态化、干部能上能下适时调整常态化等十个常态化机制，实现</w:t>
      </w:r>
      <w:r>
        <w:rPr>
          <w:rFonts w:hint="eastAsia" w:ascii="仿宋_GB2312" w:hAnsi="仿宋_GB2312" w:eastAsia="仿宋_GB2312" w:cs="仿宋_GB2312"/>
          <w:sz w:val="36"/>
          <w:szCs w:val="36"/>
          <w:lang w:val="en-US" w:eastAsia="zh-CN"/>
        </w:rPr>
        <w:t>人居环境整治垃圾清零、重点项目遗留问题清零、信访案件百日攻坚清零等“五个清零”，各项工作走在了全县的前列，今年获得全县“红旗乡镇”、“全国文明乡镇”等多个荣誉称号。获得了市级以上新闻媒体宣传报道丹朱亮点工作13次，迎接了上级检查观摩调研50余次，全面展示了全镇干部群众在</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应对挑战中开创新局面、在克服困难中实现新发展、在干事创业中</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展现新作为的良好形象。这些成绩的取得，</w:t>
      </w:r>
      <w:r>
        <w:rPr>
          <w:rFonts w:hint="eastAsia" w:ascii="仿宋_GB2312" w:eastAsia="仿宋_GB2312"/>
          <w:sz w:val="36"/>
          <w:szCs w:val="36"/>
        </w:rPr>
        <w:t>是</w:t>
      </w:r>
      <w:r>
        <w:rPr>
          <w:rFonts w:hint="eastAsia" w:ascii="仿宋_GB2312" w:eastAsia="仿宋_GB2312"/>
          <w:sz w:val="36"/>
          <w:szCs w:val="36"/>
          <w:lang w:val="en-US" w:eastAsia="zh-CN"/>
        </w:rPr>
        <w:t>县委、县政府坚强领导</w:t>
      </w:r>
      <w:r>
        <w:rPr>
          <w:rFonts w:hint="eastAsia" w:ascii="仿宋_GB2312" w:eastAsia="仿宋_GB2312"/>
          <w:sz w:val="36"/>
          <w:szCs w:val="36"/>
        </w:rPr>
        <w:t>的结果，是</w:t>
      </w:r>
      <w:r>
        <w:rPr>
          <w:rFonts w:hint="eastAsia" w:ascii="仿宋_GB2312" w:eastAsia="仿宋_GB2312"/>
          <w:sz w:val="36"/>
          <w:szCs w:val="36"/>
          <w:lang w:val="en-US" w:eastAsia="zh-CN"/>
        </w:rPr>
        <w:t>镇党委正确指引</w:t>
      </w:r>
      <w:r>
        <w:rPr>
          <w:rFonts w:hint="eastAsia" w:ascii="仿宋_GB2312" w:eastAsia="仿宋_GB2312"/>
          <w:sz w:val="36"/>
          <w:szCs w:val="36"/>
        </w:rPr>
        <w:t>的结果，是</w:t>
      </w:r>
      <w:r>
        <w:rPr>
          <w:rFonts w:hint="eastAsia" w:ascii="仿宋_GB2312" w:eastAsia="仿宋_GB2312"/>
          <w:sz w:val="36"/>
          <w:szCs w:val="36"/>
          <w:lang w:val="en-US" w:eastAsia="zh-CN"/>
        </w:rPr>
        <w:t>镇</w:t>
      </w:r>
      <w:r>
        <w:rPr>
          <w:rFonts w:hint="eastAsia" w:ascii="仿宋_GB2312" w:eastAsia="仿宋_GB2312"/>
          <w:sz w:val="36"/>
          <w:szCs w:val="36"/>
        </w:rPr>
        <w:t>人大监督支持的结果，是全</w:t>
      </w:r>
      <w:r>
        <w:rPr>
          <w:rFonts w:hint="eastAsia" w:ascii="仿宋_GB2312" w:eastAsia="仿宋_GB2312"/>
          <w:sz w:val="36"/>
          <w:szCs w:val="36"/>
          <w:lang w:val="en-US" w:eastAsia="zh-CN"/>
        </w:rPr>
        <w:t>镇</w:t>
      </w:r>
      <w:r>
        <w:rPr>
          <w:rFonts w:hint="eastAsia" w:ascii="仿宋_GB2312" w:eastAsia="仿宋_GB2312"/>
          <w:sz w:val="36"/>
          <w:szCs w:val="36"/>
        </w:rPr>
        <w:t>干部群众</w:t>
      </w:r>
      <w:r>
        <w:rPr>
          <w:rFonts w:hint="eastAsia" w:ascii="仿宋_GB2312" w:eastAsia="仿宋_GB2312"/>
          <w:sz w:val="36"/>
          <w:szCs w:val="36"/>
          <w:lang w:eastAsia="zh-CN"/>
        </w:rPr>
        <w:t>接续奋斗</w:t>
      </w:r>
      <w:r>
        <w:rPr>
          <w:rFonts w:hint="eastAsia" w:ascii="仿宋_GB2312" w:eastAsia="仿宋_GB2312"/>
          <w:sz w:val="36"/>
          <w:szCs w:val="36"/>
        </w:rPr>
        <w:t>的结果。</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在此，我谨代表镇政府向全镇人民、</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向</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各位人大代表及所有关心、支持</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丹朱</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发展的各级领导和社会各界人士表示</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最衷心的</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感谢！</w:t>
      </w:r>
    </w:p>
    <w:p w14:paraId="6D5A3006">
      <w:pPr>
        <w:pStyle w:val="10"/>
        <w:keepNext w:val="0"/>
        <w:keepLines w:val="0"/>
        <w:pageBreakBefore w:val="0"/>
        <w:kinsoku/>
        <w:wordWrap/>
        <w:overflowPunct/>
        <w:topLinePunct w:val="0"/>
        <w:autoSpaceDE/>
        <w:autoSpaceDN w:val="0"/>
        <w:bidi w:val="0"/>
        <w:adjustRightInd w:val="0"/>
        <w:snapToGrid w:val="0"/>
        <w:spacing w:line="560" w:lineRule="exact"/>
        <w:ind w:left="0" w:leftChars="0" w:firstLine="720" w:firstLineChars="200"/>
        <w:jc w:val="both"/>
        <w:textAlignment w:val="auto"/>
        <w:rPr>
          <w:rFonts w:hint="default"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回顾过往，</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在肯定成绩的同时，我们也清醒地认识到,与</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县委、县政府</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要求和群众期盼相比，</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我们</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的工作还有</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很大</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差距</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和不足</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，表现在</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项目建设上，专业市场虽已建成，但招商运营模式落后，部分市场还未运营；</w:t>
      </w:r>
    </w:p>
    <w:p w14:paraId="17CB3268">
      <w:pPr>
        <w:pStyle w:val="10"/>
        <w:keepNext w:val="0"/>
        <w:keepLines w:val="0"/>
        <w:pageBreakBefore w:val="0"/>
        <w:kinsoku/>
        <w:wordWrap/>
        <w:overflowPunct/>
        <w:topLinePunct w:val="0"/>
        <w:autoSpaceDE/>
        <w:autoSpaceDN w:val="0"/>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pP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表现在人居环境整治上，个别城郊村和社区环境卫生出现反弹，严重影响了丹朱形象；表现在民生问题上，道路建设、环境卫生、村庄绿化等工作推进不快、效果不好；表现在社会治理上，一些上访户问题还没有彻底解决，进京赴省上访现象没有彻底绝迹；表现在干部作风上，个别村干部在其位不谋其政，落实不力、执行不快，不敢担当、不会担当，不敢惹人、不想干事等等。</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对此，</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本着对人民负责的态度，</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我们必须高度重视，</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必须以最坚决的态度、最有力的举措、最严格的要求，</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采取有</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效</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措施</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认真加以</w:t>
      </w:r>
      <w:r>
        <w:rPr>
          <w:rFonts w:hint="eastAsia" w:ascii="仿宋_GB2312" w:hAnsi="仿宋_GB2312" w:eastAsia="仿宋_GB2312" w:cs="仿宋_GB2312"/>
          <w:i w:val="0"/>
          <w:iCs w:val="0"/>
          <w:caps w:val="0"/>
          <w:color w:val="auto"/>
          <w:spacing w:val="0"/>
          <w:kern w:val="2"/>
          <w:sz w:val="36"/>
          <w:szCs w:val="36"/>
          <w:shd w:val="clear" w:color="auto" w:fill="FFFFFF"/>
          <w:lang w:val="zh-CN" w:eastAsia="zh-CN" w:bidi="ar-SA"/>
        </w:rPr>
        <w:t>解决。</w:t>
      </w:r>
    </w:p>
    <w:p w14:paraId="5B617F9F">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rightChars="0" w:firstLine="640"/>
        <w:jc w:val="left"/>
        <w:textAlignment w:val="auto"/>
        <w:rPr>
          <w:rFonts w:hint="default"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二、下一步政府重点工作</w:t>
      </w:r>
    </w:p>
    <w:p w14:paraId="11D5F311">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黑体" w:hAnsi="黑体" w:eastAsia="黑体" w:cs="黑体"/>
          <w:color w:val="auto"/>
          <w:sz w:val="36"/>
          <w:szCs w:val="36"/>
        </w:rPr>
      </w:pP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2025年，是“十四五”规划收官之年，也是“十五五”规划谋划之年。今年政府工作的总体要求是：</w:t>
      </w:r>
      <w:r>
        <w:rPr>
          <w:rFonts w:hint="eastAsia" w:ascii="黑体" w:hAnsi="黑体" w:eastAsia="黑体"/>
          <w:color w:val="000000"/>
          <w:sz w:val="36"/>
          <w:szCs w:val="36"/>
        </w:rPr>
        <w:t>坚持以习</w:t>
      </w:r>
      <w:r>
        <w:rPr>
          <w:rFonts w:hint="eastAsia" w:ascii="黑体" w:hAnsi="黑体" w:eastAsia="黑体"/>
          <w:color w:val="000000"/>
          <w:sz w:val="36"/>
          <w:szCs w:val="36"/>
          <w:u w:val="none"/>
        </w:rPr>
        <w:t>近平新时代中国特色社会主义思想为指导，全面贯彻落实党的二十大和二十届二中</w:t>
      </w:r>
      <w:r>
        <w:rPr>
          <w:rFonts w:hint="eastAsia" w:ascii="黑体" w:hAnsi="黑体" w:eastAsia="黑体"/>
          <w:color w:val="000000"/>
          <w:sz w:val="36"/>
          <w:szCs w:val="36"/>
          <w:u w:val="none"/>
          <w:lang w:eastAsia="zh-CN"/>
        </w:rPr>
        <w:t>、</w:t>
      </w:r>
      <w:r>
        <w:rPr>
          <w:rFonts w:hint="eastAsia" w:ascii="黑体" w:hAnsi="黑体" w:eastAsia="黑体"/>
          <w:color w:val="000000"/>
          <w:sz w:val="36"/>
          <w:szCs w:val="36"/>
          <w:u w:val="none"/>
          <w:lang w:val="en-US" w:eastAsia="zh-CN"/>
        </w:rPr>
        <w:t>三中</w:t>
      </w:r>
      <w:r>
        <w:rPr>
          <w:rFonts w:hint="eastAsia" w:ascii="黑体" w:hAnsi="黑体" w:eastAsia="黑体"/>
          <w:color w:val="000000"/>
          <w:sz w:val="36"/>
          <w:szCs w:val="36"/>
          <w:u w:val="none"/>
        </w:rPr>
        <w:t>全会精神，深入学习贯彻习近平总书记</w:t>
      </w:r>
      <w:r>
        <w:rPr>
          <w:rFonts w:hint="eastAsia" w:ascii="黑体" w:hAnsi="黑体" w:eastAsia="黑体"/>
          <w:color w:val="000000"/>
          <w:sz w:val="36"/>
          <w:szCs w:val="36"/>
          <w:u w:val="none"/>
          <w:lang w:val="en-US" w:eastAsia="zh-CN"/>
        </w:rPr>
        <w:t>视察</w:t>
      </w:r>
      <w:r>
        <w:rPr>
          <w:rFonts w:hint="eastAsia" w:ascii="黑体" w:hAnsi="黑体" w:eastAsia="黑体"/>
          <w:color w:val="000000"/>
          <w:sz w:val="36"/>
          <w:szCs w:val="36"/>
          <w:u w:val="none"/>
        </w:rPr>
        <w:t>山西重要讲话重要指示精神，按照中央、省委、市委、县委经济工作会议部署，</w:t>
      </w:r>
      <w:r>
        <w:rPr>
          <w:rFonts w:hint="eastAsia" w:ascii="黑体" w:hAnsi="黑体" w:eastAsia="黑体" w:cs="黑体"/>
          <w:color w:val="auto"/>
          <w:sz w:val="36"/>
          <w:szCs w:val="36"/>
          <w:u w:val="none"/>
        </w:rPr>
        <w:t>紧紧围绕“建设现代化太行山水名城长子示范区”发展目标不动摇，坚持稳中求</w:t>
      </w:r>
      <w:r>
        <w:rPr>
          <w:rFonts w:hint="eastAsia" w:ascii="黑体" w:hAnsi="黑体" w:eastAsia="黑体" w:cs="黑体"/>
          <w:color w:val="auto"/>
          <w:sz w:val="36"/>
          <w:szCs w:val="36"/>
        </w:rPr>
        <w:t>进</w:t>
      </w:r>
      <w:r>
        <w:rPr>
          <w:rFonts w:hint="eastAsia" w:ascii="黑体" w:hAnsi="黑体" w:eastAsia="黑体" w:cs="黑体"/>
          <w:color w:val="auto"/>
          <w:sz w:val="36"/>
          <w:szCs w:val="36"/>
          <w:lang w:eastAsia="zh-CN"/>
        </w:rPr>
        <w:t>、以进促稳</w:t>
      </w:r>
      <w:r>
        <w:rPr>
          <w:rFonts w:hint="eastAsia" w:ascii="黑体" w:hAnsi="黑体" w:eastAsia="黑体" w:cs="黑体"/>
          <w:color w:val="auto"/>
          <w:sz w:val="36"/>
          <w:szCs w:val="36"/>
        </w:rPr>
        <w:t>工作总基调，完整准确全面贯彻新发展理念，用好“七措并举”经济工作主抓手，推进“重大项目建设年”活动，持续深化全方位转型，统筹城乡融合发展，防范化解风险隐患，保持社会和谐稳定，高质量完成“十四五”规划目标任务，为实现“十五五”良好开局打牢扎实基础，奋力开创</w:t>
      </w:r>
      <w:r>
        <w:rPr>
          <w:rFonts w:hint="eastAsia" w:ascii="黑体" w:hAnsi="黑体" w:eastAsia="黑体" w:cs="黑体"/>
          <w:color w:val="auto"/>
          <w:sz w:val="36"/>
          <w:szCs w:val="36"/>
          <w:lang w:val="en-US" w:eastAsia="zh-CN"/>
        </w:rPr>
        <w:t>丹朱</w:t>
      </w:r>
      <w:r>
        <w:rPr>
          <w:rFonts w:hint="eastAsia" w:ascii="黑体" w:hAnsi="黑体" w:eastAsia="黑体" w:cs="黑体"/>
          <w:color w:val="auto"/>
          <w:sz w:val="36"/>
          <w:szCs w:val="36"/>
        </w:rPr>
        <w:t>高质量发展新局面。</w:t>
      </w:r>
    </w:p>
    <w:p w14:paraId="6951685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_GB2312" w:hAnsi="仿宋_GB2312" w:eastAsia="仿宋_GB2312" w:cs="仿宋_GB2312"/>
          <w:sz w:val="36"/>
          <w:szCs w:val="36"/>
        </w:rPr>
      </w:pP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各位代表，做好今年的各项工作，</w:t>
      </w:r>
      <w:r>
        <w:rPr>
          <w:rFonts w:hint="eastAsia" w:ascii="仿宋_GB2312" w:hAnsi="仿宋_GB2312" w:eastAsia="仿宋_GB2312" w:cs="仿宋_GB2312"/>
          <w:sz w:val="36"/>
          <w:szCs w:val="36"/>
          <w:lang w:val="en-US" w:eastAsia="zh-CN" w:bidi="ar-SA"/>
        </w:rPr>
        <w:t>任务艰巨，责任重大。我们要坚持稳中求进、以进促稳，守正创新、先立后破，系统集成、协同配合，</w:t>
      </w:r>
      <w:r>
        <w:rPr>
          <w:rFonts w:hint="eastAsia" w:ascii="仿宋_GB2312" w:hAnsi="仿宋_GB2312" w:eastAsia="仿宋_GB2312" w:cs="仿宋_GB2312"/>
          <w:sz w:val="36"/>
          <w:szCs w:val="36"/>
        </w:rPr>
        <w:t>重点</w:t>
      </w:r>
      <w:r>
        <w:rPr>
          <w:rFonts w:hint="eastAsia" w:ascii="仿宋_GB2312" w:hAnsi="仿宋_GB2312" w:eastAsia="仿宋_GB2312" w:cs="仿宋_GB2312"/>
          <w:sz w:val="36"/>
          <w:szCs w:val="36"/>
          <w:lang w:val="en-US" w:eastAsia="zh-CN"/>
        </w:rPr>
        <w:t>抓好</w:t>
      </w:r>
      <w:r>
        <w:rPr>
          <w:rFonts w:hint="eastAsia" w:ascii="仿宋_GB2312" w:hAnsi="仿宋_GB2312" w:eastAsia="仿宋_GB2312" w:cs="仿宋_GB2312"/>
          <w:sz w:val="36"/>
          <w:szCs w:val="36"/>
        </w:rPr>
        <w:t>以下</w:t>
      </w:r>
      <w:r>
        <w:rPr>
          <w:rFonts w:hint="eastAsia" w:ascii="仿宋_GB2312" w:hAnsi="仿宋_GB2312" w:eastAsia="仿宋_GB2312" w:cs="仿宋_GB2312"/>
          <w:sz w:val="36"/>
          <w:szCs w:val="36"/>
          <w:lang w:val="en-US" w:eastAsia="zh-CN"/>
        </w:rPr>
        <w:t>八方面工作</w:t>
      </w:r>
      <w:r>
        <w:rPr>
          <w:rFonts w:hint="eastAsia" w:ascii="仿宋_GB2312" w:hAnsi="仿宋_GB2312" w:eastAsia="仿宋_GB2312" w:cs="仿宋_GB2312"/>
          <w:sz w:val="36"/>
          <w:szCs w:val="36"/>
        </w:rPr>
        <w:t>。</w:t>
      </w:r>
    </w:p>
    <w:p w14:paraId="2561DA99">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kern w:val="0"/>
          <w:sz w:val="36"/>
          <w:szCs w:val="36"/>
          <w:highlight w:val="none"/>
          <w:lang w:val="en-US" w:eastAsia="zh-CN" w:bidi="ar-SA"/>
        </w:rPr>
        <w:t>（一）大力实施招商引资工程。</w:t>
      </w:r>
      <w:r>
        <w:rPr>
          <w:rFonts w:hint="eastAsia" w:cs="仿宋"/>
          <w:b/>
          <w:bCs/>
          <w:color w:val="auto"/>
          <w:kern w:val="0"/>
          <w:sz w:val="36"/>
          <w:szCs w:val="36"/>
          <w:highlight w:val="none"/>
          <w:lang w:val="en-US" w:eastAsia="zh-CN"/>
        </w:rPr>
        <w:t>加大</w:t>
      </w:r>
      <w:r>
        <w:rPr>
          <w:rFonts w:hint="eastAsia" w:ascii="仿宋" w:hAnsi="仿宋" w:eastAsia="仿宋" w:cs="仿宋"/>
          <w:b/>
          <w:bCs/>
          <w:color w:val="auto"/>
          <w:kern w:val="0"/>
          <w:sz w:val="36"/>
          <w:szCs w:val="36"/>
          <w:highlight w:val="none"/>
          <w:lang w:val="en-US" w:eastAsia="zh-CN"/>
        </w:rPr>
        <w:t>争资</w:t>
      </w:r>
      <w:r>
        <w:rPr>
          <w:rFonts w:hint="eastAsia" w:cs="仿宋"/>
          <w:b/>
          <w:bCs/>
          <w:color w:val="auto"/>
          <w:kern w:val="0"/>
          <w:sz w:val="36"/>
          <w:szCs w:val="36"/>
          <w:highlight w:val="none"/>
          <w:lang w:val="en-US" w:eastAsia="zh-CN"/>
        </w:rPr>
        <w:t>争</w:t>
      </w:r>
      <w:r>
        <w:rPr>
          <w:rFonts w:hint="eastAsia" w:ascii="仿宋" w:hAnsi="仿宋" w:eastAsia="仿宋" w:cs="仿宋"/>
          <w:b/>
          <w:bCs/>
          <w:color w:val="auto"/>
          <w:kern w:val="0"/>
          <w:sz w:val="36"/>
          <w:szCs w:val="36"/>
          <w:highlight w:val="none"/>
          <w:lang w:val="en-US" w:eastAsia="zh-CN"/>
        </w:rPr>
        <w:t>项</w:t>
      </w:r>
      <w:r>
        <w:rPr>
          <w:rFonts w:hint="eastAsia" w:cs="仿宋"/>
          <w:b/>
          <w:bCs/>
          <w:color w:val="auto"/>
          <w:kern w:val="0"/>
          <w:sz w:val="36"/>
          <w:szCs w:val="36"/>
          <w:highlight w:val="none"/>
          <w:lang w:val="en-US" w:eastAsia="zh-CN"/>
        </w:rPr>
        <w:t>热度。</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以“重大项目建设年”为契机，加大“跑市进省、跑部进厅”力度，各分管领导要善于主动捕捉信息，加大与上级部门的对接力度，坚持快跑快进，做到脑勤、嘴勤、腿勤，形成“人人争资、个个争项”的浓厚氛围。</w:t>
      </w:r>
      <w:r>
        <w:rPr>
          <w:rFonts w:hint="eastAsia" w:ascii="仿宋_GB2312" w:hAnsi="仿宋_GB2312" w:eastAsia="仿宋_GB2312" w:cs="仿宋_GB2312"/>
          <w:sz w:val="36"/>
          <w:szCs w:val="36"/>
          <w:lang w:val="en-US" w:eastAsia="zh-CN"/>
        </w:rPr>
        <w:t>统筹“硬投资”和“软建设”，争取更多中央和省市政策资金支持，持续扩大医疗、养老、托育、住房等领域有效投资，以高效益投资赋能经济高质量发展。</w:t>
      </w:r>
      <w:r>
        <w:rPr>
          <w:rFonts w:hint="eastAsia" w:ascii="仿宋" w:hAnsi="仿宋" w:eastAsia="仿宋" w:cs="仿宋"/>
          <w:b/>
          <w:bCs/>
          <w:color w:val="auto"/>
          <w:kern w:val="0"/>
          <w:sz w:val="36"/>
          <w:szCs w:val="36"/>
          <w:highlight w:val="none"/>
          <w:lang w:val="en-US" w:eastAsia="zh-CN"/>
        </w:rPr>
        <w:t>加大招商引资强度</w:t>
      </w:r>
      <w:r>
        <w:rPr>
          <w:rFonts w:hint="eastAsia" w:cs="仿宋"/>
          <w:b/>
          <w:bCs/>
          <w:color w:val="auto"/>
          <w:kern w:val="0"/>
          <w:sz w:val="36"/>
          <w:szCs w:val="36"/>
          <w:highlight w:val="none"/>
          <w:lang w:val="en-US" w:eastAsia="zh-CN"/>
        </w:rPr>
        <w:t>。</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利用丹朱丰富的人脉和资源，与北京丰台区精准对接，做到把准方向招商、吃透政策招商，确保招商一个、成功一个、落地一个。</w:t>
      </w:r>
      <w:r>
        <w:rPr>
          <w:rFonts w:hint="eastAsia" w:cs="仿宋"/>
          <w:b/>
          <w:bCs/>
          <w:color w:val="auto"/>
          <w:kern w:val="0"/>
          <w:sz w:val="36"/>
          <w:szCs w:val="36"/>
          <w:highlight w:val="none"/>
          <w:lang w:val="en-US" w:eastAsia="zh-CN"/>
        </w:rPr>
        <w:t>加大挖掘固投力度。</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做好项目的前期手续办理和各类要素保障，充分挖潜农业、工业、第三产业等方面的潜力，积极为项目申报、实施、推进想办法、出实招，要科学分析，逐月研判，细化指标，确保完成全年固投任务，并力争为全县固投多做贡献。</w:t>
      </w:r>
    </w:p>
    <w:p w14:paraId="6EEF33DD">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kern w:val="0"/>
          <w:sz w:val="36"/>
          <w:szCs w:val="36"/>
          <w:highlight w:val="none"/>
          <w:lang w:val="en-US" w:eastAsia="zh-CN" w:bidi="ar-SA"/>
        </w:rPr>
        <w:t>（二）大力实施重点项目建设工程。</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牢牢抓住项目作为转型发展的“命门”，凝聚起“没有项目就没有地</w:t>
      </w:r>
      <w:r>
        <w:rPr>
          <w:rFonts w:hint="eastAsia" w:ascii="仿宋_GB2312" w:hAnsi="仿宋_GB2312" w:eastAsia="仿宋_GB2312" w:cs="仿宋_GB2312"/>
          <w:i w:val="0"/>
          <w:iCs w:val="0"/>
          <w:caps w:val="0"/>
          <w:color w:val="auto"/>
          <w:spacing w:val="0"/>
          <w:kern w:val="2"/>
          <w:sz w:val="36"/>
          <w:szCs w:val="36"/>
          <w:highlight w:val="none"/>
          <w:shd w:val="clear" w:color="auto" w:fill="FFFFFF"/>
          <w:lang w:val="en-US" w:eastAsia="zh-CN" w:bidi="ar-SA"/>
        </w:rPr>
        <w:t>位、没有项目就没有未来、没有项目就没有出路”的共识。</w:t>
      </w:r>
      <w:r>
        <w:rPr>
          <w:rFonts w:hint="eastAsia" w:ascii="仿宋_GB2312" w:hAnsi="仿宋_GB2312" w:eastAsia="仿宋_GB2312" w:cs="仿宋_GB2312"/>
          <w:b/>
          <w:bCs/>
          <w:i w:val="0"/>
          <w:iCs w:val="0"/>
          <w:caps w:val="0"/>
          <w:color w:val="auto"/>
          <w:spacing w:val="0"/>
          <w:kern w:val="2"/>
          <w:sz w:val="36"/>
          <w:szCs w:val="36"/>
          <w:highlight w:val="none"/>
          <w:shd w:val="clear" w:color="auto" w:fill="FFFFFF"/>
          <w:lang w:val="en-US" w:eastAsia="zh-CN" w:bidi="ar-SA"/>
        </w:rPr>
        <w:t>一是</w:t>
      </w:r>
      <w:r>
        <w:rPr>
          <w:rFonts w:hint="eastAsia" w:cs="仿宋"/>
          <w:b/>
          <w:bCs/>
          <w:color w:val="auto"/>
          <w:kern w:val="0"/>
          <w:sz w:val="36"/>
          <w:szCs w:val="36"/>
          <w:highlight w:val="none"/>
          <w:lang w:val="en-US" w:eastAsia="zh-CN"/>
        </w:rPr>
        <w:t>全力服务保障全县重点项目建设。</w:t>
      </w:r>
      <w:r>
        <w:rPr>
          <w:rFonts w:hint="eastAsia" w:ascii="仿宋_GB2312" w:hAnsi="仿宋_GB2312" w:eastAsia="仿宋_GB2312" w:cs="仿宋_GB2312"/>
          <w:i w:val="0"/>
          <w:iCs w:val="0"/>
          <w:caps w:val="0"/>
          <w:color w:val="auto"/>
          <w:spacing w:val="0"/>
          <w:kern w:val="2"/>
          <w:sz w:val="36"/>
          <w:szCs w:val="36"/>
          <w:highlight w:val="none"/>
          <w:shd w:val="clear" w:color="auto" w:fill="FFFFFF"/>
          <w:lang w:val="en-US" w:eastAsia="zh-CN" w:bidi="ar-SA"/>
        </w:rPr>
        <w:t>今年要全面完成防洪排涝、丹朱总部经济区、银耳项目等重点项目征迁、土地报件手续上报等工作。</w:t>
      </w:r>
      <w:r>
        <w:rPr>
          <w:rFonts w:hint="eastAsia" w:ascii="仿宋_GB2312" w:hAnsi="仿宋_GB2312" w:eastAsia="仿宋_GB2312" w:cs="仿宋_GB2312"/>
          <w:b/>
          <w:bCs/>
          <w:i w:val="0"/>
          <w:iCs w:val="0"/>
          <w:caps w:val="0"/>
          <w:color w:val="auto"/>
          <w:spacing w:val="0"/>
          <w:kern w:val="2"/>
          <w:sz w:val="36"/>
          <w:szCs w:val="36"/>
          <w:highlight w:val="none"/>
          <w:shd w:val="clear" w:color="auto" w:fill="FFFFFF"/>
          <w:lang w:val="en-US" w:eastAsia="zh-CN" w:bidi="ar-SA"/>
        </w:rPr>
        <w:t>二是</w:t>
      </w:r>
      <w:r>
        <w:rPr>
          <w:rFonts w:hint="eastAsia" w:ascii="仿宋" w:hAnsi="仿宋" w:eastAsia="仿宋" w:cs="仿宋"/>
          <w:b/>
          <w:bCs/>
          <w:color w:val="auto"/>
          <w:kern w:val="0"/>
          <w:sz w:val="36"/>
          <w:szCs w:val="36"/>
          <w:highlight w:val="none"/>
          <w:lang w:val="en-US" w:eastAsia="zh-CN"/>
        </w:rPr>
        <w:t>全力</w:t>
      </w:r>
      <w:r>
        <w:rPr>
          <w:rFonts w:hint="eastAsia" w:cs="仿宋"/>
          <w:b/>
          <w:bCs/>
          <w:color w:val="auto"/>
          <w:kern w:val="0"/>
          <w:sz w:val="36"/>
          <w:szCs w:val="36"/>
          <w:highlight w:val="none"/>
          <w:lang w:val="en-US" w:eastAsia="zh-CN"/>
        </w:rPr>
        <w:t>抓好13个专业市场运营。</w:t>
      </w:r>
      <w:r>
        <w:rPr>
          <w:rFonts w:hint="eastAsia" w:ascii="仿宋_GB2312" w:hAnsi="仿宋_GB2312" w:eastAsia="仿宋_GB2312" w:cs="仿宋_GB2312"/>
          <w:i w:val="0"/>
          <w:iCs w:val="0"/>
          <w:caps w:val="0"/>
          <w:color w:val="auto"/>
          <w:spacing w:val="0"/>
          <w:kern w:val="2"/>
          <w:sz w:val="36"/>
          <w:szCs w:val="36"/>
          <w:highlight w:val="none"/>
          <w:shd w:val="clear" w:color="auto" w:fill="FFFFFF"/>
          <w:lang w:val="en-US" w:eastAsia="zh-CN" w:bidi="ar-SA"/>
        </w:rPr>
        <w:t>在同昱、南刘、同旺、泊</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里、同贺、同福、陈家庄、鲍庄等8个专业市场投入运营的基础上，确保南刘塑钢彩钢门窗厂、南刘农贸市场今年全部完工并投入使用，南刘未来万家机电园力争年内开工建设。</w:t>
      </w:r>
    </w:p>
    <w:p w14:paraId="61835E98">
      <w:pPr>
        <w:keepNext w:val="0"/>
        <w:keepLines w:val="0"/>
        <w:pageBreakBefore w:val="0"/>
        <w:pBdr>
          <w:bottom w:val="single" w:color="FFFFFF" w:sz="4" w:space="31"/>
        </w:pBdr>
        <w:kinsoku/>
        <w:wordWrap/>
        <w:overflowPunct/>
        <w:topLinePunct w:val="0"/>
        <w:bidi w:val="0"/>
        <w:spacing w:line="560" w:lineRule="exact"/>
        <w:ind w:firstLine="64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kern w:val="0"/>
          <w:sz w:val="36"/>
          <w:szCs w:val="36"/>
          <w:highlight w:val="none"/>
          <w:lang w:val="en-US" w:eastAsia="zh-CN" w:bidi="ar-SA"/>
        </w:rPr>
        <w:t>（三）大力实施乡村振兴提升工程。</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一是发展一批产业。</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巩固拓展“一县一业”发展成果，今年要大力发展设施蔬菜大棚1000多个，在长临连接线两侧南川庄、大刘、西寺头发展1万亩设施蔬菜，让村村有产业、户户有产业蔚然成风。</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二是带强一批弱村。</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通过强村投资、弱村土地入股分红，带动一批弱村发展，促进农民增收，壮大村集体经济，实现区域内全面发展。</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三是巩固一批成果。</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持续落实防返贫监测帮扶机制，强化产业帮扶和就业帮扶举措，做好防返贫监测预警和动态帮扶，有效化解返贫致贫风险。充分发挥项目对稳定脱贫增收的支撑作用，扎实推进脱贫劳动力稳岗就业。完善联农带农机制，确保全镇脱贫人口人均纯收入增幅高于全县农民人均可支配收入增幅。</w:t>
      </w:r>
    </w:p>
    <w:p w14:paraId="16B7C033">
      <w:pPr>
        <w:keepNext w:val="0"/>
        <w:keepLines w:val="0"/>
        <w:pageBreakBefore w:val="0"/>
        <w:pBdr>
          <w:bottom w:val="single" w:color="FFFFFF" w:sz="4" w:space="31"/>
        </w:pBdr>
        <w:kinsoku/>
        <w:wordWrap/>
        <w:overflowPunct/>
        <w:topLinePunct w:val="0"/>
        <w:bidi w:val="0"/>
        <w:spacing w:line="560" w:lineRule="exact"/>
        <w:ind w:firstLine="640"/>
        <w:textAlignment w:val="auto"/>
        <w:rPr>
          <w:rFonts w:hint="default"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kern w:val="0"/>
          <w:sz w:val="36"/>
          <w:szCs w:val="36"/>
          <w:highlight w:val="none"/>
          <w:lang w:val="en-US" w:eastAsia="zh-CN" w:bidi="ar-SA"/>
        </w:rPr>
        <w:t>（四）大力实施“千万工程”。</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学习运用“千万工程”经验，推进乡村建设，加快农业农村现代化，推动农业基础更加稳固、农村地区更加繁荣、农民生活更加红火。</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一是实施“千万工程”村庄建设。</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以省级乡村振兴示范乡镇为契机，</w:t>
      </w:r>
      <w:r>
        <w:rPr>
          <w:rFonts w:hint="eastAsia" w:ascii="仿宋_GB2312" w:hAnsi="仿宋_GB2312" w:eastAsia="仿宋_GB2312" w:cs="仿宋_GB2312"/>
          <w:b w:val="0"/>
          <w:bCs w:val="0"/>
          <w:i w:val="0"/>
          <w:iCs w:val="0"/>
          <w:caps w:val="0"/>
          <w:color w:val="auto"/>
          <w:spacing w:val="0"/>
          <w:kern w:val="2"/>
          <w:sz w:val="36"/>
          <w:szCs w:val="36"/>
          <w:shd w:val="clear" w:color="auto" w:fill="FFFFFF"/>
          <w:lang w:val="en-US" w:eastAsia="zh-CN" w:bidi="ar-SA"/>
        </w:rPr>
        <w:t>今年要</w:t>
      </w:r>
      <w:r>
        <w:rPr>
          <w:rFonts w:hint="eastAsia" w:ascii="仿宋_GB2312" w:eastAsia="仿宋_GB2312"/>
          <w:b w:val="0"/>
          <w:bCs w:val="0"/>
          <w:sz w:val="36"/>
          <w:szCs w:val="36"/>
          <w:lang w:eastAsia="zh-CN"/>
        </w:rPr>
        <w:t>全面</w:t>
      </w:r>
      <w:r>
        <w:rPr>
          <w:rFonts w:hint="eastAsia" w:ascii="仿宋_GB2312" w:eastAsia="仿宋_GB2312"/>
          <w:b w:val="0"/>
          <w:bCs w:val="0"/>
          <w:sz w:val="36"/>
          <w:szCs w:val="36"/>
          <w:lang w:val="en-US" w:eastAsia="zh-CN"/>
        </w:rPr>
        <w:t>实施“千万工程”精品</w:t>
      </w:r>
      <w:r>
        <w:rPr>
          <w:rFonts w:ascii="仿宋_GB2312" w:eastAsia="仿宋_GB2312"/>
          <w:b w:val="0"/>
          <w:bCs w:val="0"/>
          <w:sz w:val="36"/>
          <w:szCs w:val="36"/>
        </w:rPr>
        <w:t>示范村</w:t>
      </w:r>
      <w:r>
        <w:rPr>
          <w:rFonts w:hint="eastAsia" w:ascii="仿宋_GB2312" w:eastAsia="仿宋_GB2312"/>
          <w:b w:val="0"/>
          <w:bCs w:val="0"/>
          <w:sz w:val="36"/>
          <w:szCs w:val="36"/>
          <w:lang w:val="en-US" w:eastAsia="zh-CN"/>
        </w:rPr>
        <w:t>和提档升级村</w:t>
      </w:r>
      <w:r>
        <w:rPr>
          <w:rFonts w:ascii="仿宋_GB2312" w:eastAsia="仿宋_GB2312"/>
          <w:b w:val="0"/>
          <w:bCs w:val="0"/>
          <w:sz w:val="36"/>
          <w:szCs w:val="36"/>
        </w:rPr>
        <w:t>建设，</w:t>
      </w:r>
      <w:r>
        <w:rPr>
          <w:rFonts w:hint="eastAsia" w:ascii="仿宋_GB2312" w:eastAsia="仿宋_GB2312"/>
          <w:sz w:val="36"/>
          <w:szCs w:val="36"/>
          <w:lang w:val="en-US" w:eastAsia="zh-CN"/>
        </w:rPr>
        <w:t>要集全镇之力、聚全镇之智，倾力打造下霍村1</w:t>
      </w:r>
      <w:r>
        <w:rPr>
          <w:rFonts w:ascii="仿宋_GB2312" w:eastAsia="仿宋_GB2312"/>
          <w:sz w:val="36"/>
          <w:szCs w:val="36"/>
        </w:rPr>
        <w:t>个</w:t>
      </w:r>
      <w:r>
        <w:rPr>
          <w:rFonts w:hint="eastAsia" w:ascii="仿宋_GB2312" w:eastAsia="仿宋_GB2312"/>
          <w:sz w:val="36"/>
          <w:szCs w:val="36"/>
          <w:lang w:val="en-US" w:eastAsia="zh-CN"/>
        </w:rPr>
        <w:t>精品</w:t>
      </w:r>
      <w:r>
        <w:rPr>
          <w:rFonts w:ascii="仿宋_GB2312" w:eastAsia="仿宋_GB2312"/>
          <w:sz w:val="36"/>
          <w:szCs w:val="36"/>
        </w:rPr>
        <w:t>示范村</w:t>
      </w:r>
      <w:r>
        <w:rPr>
          <w:rFonts w:hint="eastAsia" w:ascii="仿宋_GB2312" w:eastAsia="仿宋_GB2312"/>
          <w:sz w:val="36"/>
          <w:szCs w:val="36"/>
          <w:lang w:val="en-US" w:eastAsia="zh-CN"/>
        </w:rPr>
        <w:t>和陈家庄、草坊、孟家庄、泊里、背山5个提档升级村</w:t>
      </w:r>
      <w:r>
        <w:rPr>
          <w:rFonts w:hint="eastAsia" w:ascii="仿宋_GB2312" w:eastAsia="仿宋_GB2312"/>
          <w:sz w:val="36"/>
          <w:szCs w:val="36"/>
          <w:lang w:eastAsia="zh-CN"/>
        </w:rPr>
        <w:t>，</w:t>
      </w:r>
      <w:r>
        <w:rPr>
          <w:rFonts w:hint="eastAsia" w:ascii="仿宋_GB2312" w:eastAsia="仿宋_GB2312"/>
          <w:sz w:val="36"/>
          <w:szCs w:val="36"/>
          <w:lang w:val="en-US" w:eastAsia="zh-CN"/>
        </w:rPr>
        <w:t>打造</w:t>
      </w:r>
      <w:r>
        <w:rPr>
          <w:rFonts w:hint="eastAsia" w:ascii="仿宋_GB2312" w:eastAsia="仿宋_GB2312"/>
          <w:sz w:val="36"/>
          <w:szCs w:val="36"/>
          <w:highlight w:val="none"/>
          <w:lang w:val="en-US" w:eastAsia="zh-CN"/>
        </w:rPr>
        <w:t>全县全市乃至全省全国的“千万工程”示范村、样板村。</w:t>
      </w:r>
      <w:r>
        <w:rPr>
          <w:rFonts w:hint="eastAsia" w:ascii="仿宋_GB2312" w:hAnsi="仿宋_GB2312" w:eastAsia="仿宋_GB2312" w:cs="仿宋_GB2312"/>
          <w:b/>
          <w:bCs/>
          <w:i w:val="0"/>
          <w:iCs w:val="0"/>
          <w:caps w:val="0"/>
          <w:color w:val="auto"/>
          <w:spacing w:val="0"/>
          <w:kern w:val="2"/>
          <w:sz w:val="36"/>
          <w:szCs w:val="36"/>
          <w:highlight w:val="none"/>
          <w:shd w:val="clear" w:color="auto" w:fill="FFFFFF"/>
          <w:lang w:val="en-US" w:eastAsia="zh-CN" w:bidi="ar-SA"/>
        </w:rPr>
        <w:t>二是发展产业带动工程。</w:t>
      </w:r>
      <w:r>
        <w:rPr>
          <w:rFonts w:hint="eastAsia" w:ascii="仿宋_GB2312" w:hAnsi="仿宋_GB2312" w:eastAsia="仿宋_GB2312" w:cs="仿宋_GB2312"/>
          <w:i w:val="0"/>
          <w:iCs w:val="0"/>
          <w:caps w:val="0"/>
          <w:color w:val="auto"/>
          <w:spacing w:val="0"/>
          <w:kern w:val="2"/>
          <w:sz w:val="36"/>
          <w:szCs w:val="36"/>
          <w:highlight w:val="none"/>
          <w:shd w:val="clear" w:color="auto" w:fill="FFFFFF"/>
          <w:lang w:val="en-US" w:eastAsia="zh-CN" w:bidi="ar-SA"/>
        </w:rPr>
        <w:t>全力支持“千万工程”村产业发展，以大刘阳光农业园区、南川庄辛安农牧园区、大京村中药材种植基地为示范引领，大力发展青（尖）椒种植，发展现代农业产业。</w:t>
      </w:r>
      <w:r>
        <w:rPr>
          <w:rFonts w:hint="eastAsia" w:ascii="仿宋_GB2312" w:eastAsia="仿宋_GB2312"/>
          <w:b/>
          <w:bCs/>
          <w:sz w:val="36"/>
          <w:szCs w:val="36"/>
          <w:highlight w:val="none"/>
          <w:lang w:val="en-US" w:eastAsia="zh-CN"/>
        </w:rPr>
        <w:t>三是引进特色</w:t>
      </w:r>
      <w:r>
        <w:rPr>
          <w:rFonts w:hint="eastAsia" w:ascii="仿宋_GB2312" w:hAnsi="仿宋_GB2312" w:eastAsia="仿宋_GB2312" w:cs="仿宋_GB2312"/>
          <w:i w:val="0"/>
          <w:iCs w:val="0"/>
          <w:caps w:val="0"/>
          <w:color w:val="auto"/>
          <w:spacing w:val="0"/>
          <w:kern w:val="2"/>
          <w:sz w:val="36"/>
          <w:szCs w:val="36"/>
          <w:highlight w:val="none"/>
          <w:shd w:val="clear" w:color="auto" w:fill="FFFFFF"/>
          <w:lang w:val="en-US" w:eastAsia="zh-CN" w:bidi="ar-SA"/>
        </w:rPr>
        <w:t>e</w:t>
      </w:r>
      <w:r>
        <w:rPr>
          <w:rFonts w:hint="eastAsia" w:ascii="仿宋_GB2312" w:eastAsia="仿宋_GB2312"/>
          <w:b/>
          <w:bCs/>
          <w:sz w:val="36"/>
          <w:szCs w:val="36"/>
          <w:highlight w:val="none"/>
          <w:lang w:val="en-US" w:eastAsia="zh-CN"/>
        </w:rPr>
        <w:t>镇。</w:t>
      </w:r>
      <w:r>
        <w:rPr>
          <w:rFonts w:hint="eastAsia" w:ascii="仿宋_GB2312" w:hAnsi="仿宋_GB2312" w:eastAsia="仿宋_GB2312" w:cs="仿宋_GB2312"/>
          <w:i w:val="0"/>
          <w:iCs w:val="0"/>
          <w:caps w:val="0"/>
          <w:color w:val="auto"/>
          <w:spacing w:val="0"/>
          <w:kern w:val="2"/>
          <w:sz w:val="36"/>
          <w:szCs w:val="36"/>
          <w:highlight w:val="none"/>
          <w:shd w:val="clear" w:color="auto" w:fill="FFFFFF"/>
          <w:lang w:val="en-US" w:eastAsia="zh-CN" w:bidi="ar-SA"/>
        </w:rPr>
        <w:t>积极争取上级资金，强力推进丹朱“电商</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e镇”建设，吸纳小河豆腐、猪头肉、坡底麻糖、寺头紫皮蒜、中郜面粉等本地产品入驻，打造特优农产品、小商品电商品牌，发展丹朱名优特农产品“一镇一业”。</w:t>
      </w:r>
    </w:p>
    <w:p w14:paraId="0C2A5F7B">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kern w:val="0"/>
          <w:sz w:val="36"/>
          <w:szCs w:val="36"/>
          <w:highlight w:val="none"/>
          <w:lang w:val="en-US" w:eastAsia="zh-CN" w:bidi="ar-SA"/>
        </w:rPr>
        <w:t>（五）大力实施民生福祉普惠工程。</w:t>
      </w:r>
      <w:r>
        <w:rPr>
          <w:rFonts w:hint="eastAsia" w:cs="仿宋"/>
          <w:b/>
          <w:bCs/>
          <w:color w:val="auto"/>
          <w:kern w:val="2"/>
          <w:sz w:val="36"/>
          <w:szCs w:val="36"/>
          <w:highlight w:val="none"/>
          <w:lang w:val="en-US" w:eastAsia="zh-CN" w:bidi="ar-SA"/>
        </w:rPr>
        <w:t>一是实施创环境无忧年工程。</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聚焦党建引领、项目建设、信访维稳等十项工作，按照“十个常态化保障机制”和“五个清零”工作需要，做好强基固本、信访维稳、环境整治、文化惠民、机制保障等十项民生工程，让全镇干部群众工作无忧、环境无忧、生活无忧。</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二是实施村庄绿化工程。</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以“千万工程”为契机，新建一批口袋公园、小微绿地，确保新增绿地面积20万平方米，县城建成区绿化率达到40%，实现“裸地”清零，做到还景于民、还绿于民、还绿于大自然。</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二是实施各项民生福祉工程。</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在做好同富村失地农民养老保险缴纳工作的基础上，稳步推进城内失地村农民养老保险工作。高效推进高标准农田建设工程，确保农作物丰收；持续抓好河道治理，重点对雍河河道进行清淤，落实好2条河流19个村级河长责任制，确保河道畅通、水清景美。</w:t>
      </w:r>
    </w:p>
    <w:p w14:paraId="21328C95">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left="0" w:leftChars="0" w:firstLine="720" w:firstLineChars="20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kern w:val="0"/>
          <w:sz w:val="36"/>
          <w:szCs w:val="36"/>
          <w:highlight w:val="none"/>
          <w:lang w:val="en-US" w:eastAsia="zh-CN" w:bidi="ar-SA"/>
        </w:rPr>
        <w:t>（六）大力实施“文明丹朱”提质工程。</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硬实力上，加强丹乐社区、丹祥社区、同新村、同旺村等9个村、社区新时代文明实践站建设，确保文明实践有阵地、有活动。软实力上，以创建“全国文明乡镇”为契机，大力实施“理论武装”和“文化惠民”工程，充分挖掘青椒文化、豆腐文化、麻糖文化等历史渊源和传统工艺精髓，精心打造“中国青椒文化长廊”、“小河豆腐文化园”、“坡底香麻园”等非遗文化，全面叫响丹朱、叫响长子特色文化品牌。</w:t>
      </w:r>
    </w:p>
    <w:p w14:paraId="3AE81DE0">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kern w:val="0"/>
          <w:sz w:val="36"/>
          <w:szCs w:val="36"/>
          <w:highlight w:val="none"/>
          <w:lang w:val="en-US" w:eastAsia="zh-CN" w:bidi="ar-SA"/>
        </w:rPr>
        <w:t>（七）大力实施人居环境“清零”工程</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一是实施“垃圾清零”。</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扎实开展人居环境整治“回头看”行动，常态化整治“四堆”反弹问题，健全完善人居环境整治常态化保洁制度，今年要重点抓好南鲍运煤专线道路绿化提升工程。</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二是实施“秸秆清零”。</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加强地头岸边秸秆杂草清理力度，加大防火巡逻巡查力度，强化禁烧秸秆宣传，加大违规野外用火行为处罚，确保辖区不发生一起火情；</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三是实施“散煤清零”。</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在去年完成</w:t>
      </w:r>
      <w:r>
        <w:rPr>
          <w:rFonts w:hint="eastAsia" w:ascii="仿宋_GB2312" w:hAnsi="仿宋_GB2312" w:eastAsia="仿宋_GB2312" w:cs="仿宋_GB2312"/>
          <w:color w:val="auto"/>
          <w:kern w:val="2"/>
          <w:sz w:val="36"/>
          <w:szCs w:val="36"/>
          <w:lang w:val="en-US" w:eastAsia="zh-CN" w:bidi="ar-SA"/>
        </w:rPr>
        <w:t>西鲍、东寺头、西寺头、河北、河西5个村集中供暖工程的基础上</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，加快推进草坊、坝里、邓家坪等12个村的集中供暖工程，加大散煤清理力度，保证禁煤区无煤无烟。</w:t>
      </w:r>
    </w:p>
    <w:p w14:paraId="489E697A">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 w:hAnsi="楷体" w:eastAsia="楷体" w:cs="楷体"/>
          <w:b w:val="0"/>
          <w:bCs w:val="0"/>
          <w:color w:val="auto"/>
          <w:kern w:val="0"/>
          <w:sz w:val="36"/>
          <w:szCs w:val="36"/>
          <w:highlight w:val="none"/>
          <w:lang w:val="en-US" w:eastAsia="zh-CN" w:bidi="ar-SA"/>
        </w:rPr>
        <w:t>（八）大力实施安全稳定保障工程。</w:t>
      </w:r>
      <w:r>
        <w:rPr>
          <w:rFonts w:hint="eastAsia" w:ascii="仿宋_GB2312" w:eastAsia="仿宋_GB2312"/>
          <w:sz w:val="36"/>
          <w:szCs w:val="36"/>
          <w:lang w:eastAsia="zh-CN"/>
        </w:rPr>
        <w:t>筑牢</w:t>
      </w:r>
      <w:r>
        <w:rPr>
          <w:rFonts w:ascii="仿宋_GB2312" w:eastAsia="仿宋_GB2312"/>
          <w:sz w:val="36"/>
          <w:szCs w:val="36"/>
        </w:rPr>
        <w:t>安全</w:t>
      </w:r>
      <w:r>
        <w:rPr>
          <w:rFonts w:hint="eastAsia" w:ascii="仿宋_GB2312" w:eastAsia="仿宋_GB2312"/>
          <w:sz w:val="36"/>
          <w:szCs w:val="36"/>
          <w:lang w:val="en-US" w:eastAsia="zh-CN"/>
        </w:rPr>
        <w:t>防线</w:t>
      </w:r>
      <w:r>
        <w:rPr>
          <w:rFonts w:hint="eastAsia" w:ascii="仿宋_GB2312" w:eastAsia="仿宋_GB2312"/>
          <w:sz w:val="36"/>
          <w:szCs w:val="36"/>
        </w:rPr>
        <w:t>，</w:t>
      </w:r>
      <w:r>
        <w:rPr>
          <w:rFonts w:hint="eastAsia" w:ascii="仿宋_GB2312" w:eastAsia="仿宋_GB2312"/>
          <w:sz w:val="36"/>
          <w:szCs w:val="36"/>
          <w:lang w:val="en-US" w:eastAsia="zh-CN"/>
        </w:rPr>
        <w:t>守牢发展底线，</w:t>
      </w:r>
      <w:r>
        <w:rPr>
          <w:rFonts w:hint="eastAsia" w:ascii="仿宋_GB2312" w:eastAsia="仿宋_GB2312"/>
          <w:sz w:val="36"/>
          <w:szCs w:val="36"/>
        </w:rPr>
        <w:t>防范化解各类风险，让发展更安全、社会更安定、人民更安宁。</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一是开展安全生产整治。</w:t>
      </w:r>
      <w:r>
        <w:rPr>
          <w:rFonts w:hint="eastAsia" w:ascii="仿宋_GB2312" w:hAnsi="仿宋_GB2312" w:eastAsia="仿宋_GB2312" w:cs="仿宋_GB2312"/>
          <w:b w:val="0"/>
          <w:bCs w:val="0"/>
          <w:i w:val="0"/>
          <w:iCs w:val="0"/>
          <w:caps w:val="0"/>
          <w:color w:val="auto"/>
          <w:spacing w:val="0"/>
          <w:kern w:val="2"/>
          <w:sz w:val="36"/>
          <w:szCs w:val="36"/>
          <w:shd w:val="clear" w:color="auto" w:fill="FFFFFF"/>
          <w:lang w:val="en-US" w:eastAsia="zh-CN" w:bidi="ar-SA"/>
        </w:rPr>
        <w:t>坚持“三管三必须”，深化安全生产治本攻坚三年行动，重点抓好煤矿、燃气、交通、食药品、危化品、建筑施工等领域安全生产，坚决遏制重特大事故，减少一般事故。加快应急广播体系建设，有效防范森林火灾发生。做好气象、地震、人防等工作，积极应对极端天气、地质灾害等自然灾害，提升应急管理和处突能力。</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二是开展防风险专项整治。</w:t>
      </w:r>
      <w:r>
        <w:rPr>
          <w:rFonts w:hint="eastAsia" w:ascii="仿宋_GB2312" w:hAnsi="仿宋_GB2312" w:eastAsia="仿宋_GB2312" w:cs="仿宋_GB2312"/>
          <w:sz w:val="36"/>
          <w:szCs w:val="36"/>
        </w:rPr>
        <w:t>有效防范化解重点领域风险</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落实政府债务风险协调预警机制，妥善化解政府存量隐性债务，坚决防止新增隐性债务。足额保障基层“三保”，有效防范基层财政运行风险。</w:t>
      </w:r>
      <w:r>
        <w:rPr>
          <w:rFonts w:hint="eastAsia" w:ascii="仿宋_GB2312" w:hAnsi="仿宋_GB2312" w:eastAsia="仿宋_GB2312" w:cs="仿宋_GB2312"/>
          <w:sz w:val="36"/>
          <w:szCs w:val="36"/>
          <w:lang w:eastAsia="zh-CN"/>
        </w:rPr>
        <w:t>稳妥处置中小金融机构风险，</w:t>
      </w:r>
      <w:r>
        <w:rPr>
          <w:rFonts w:hint="eastAsia" w:ascii="仿宋_GB2312" w:hAnsi="仿宋_GB2312" w:eastAsia="仿宋_GB2312" w:cs="仿宋_GB2312"/>
          <w:sz w:val="36"/>
          <w:szCs w:val="36"/>
        </w:rPr>
        <w:t>严厉打击非法金融活动，</w:t>
      </w:r>
      <w:r>
        <w:rPr>
          <w:rFonts w:hint="eastAsia" w:ascii="仿宋_GB2312" w:hAnsi="仿宋_GB2312" w:eastAsia="仿宋_GB2312" w:cs="仿宋_GB2312"/>
          <w:sz w:val="36"/>
          <w:szCs w:val="36"/>
          <w:lang w:eastAsia="zh-CN"/>
        </w:rPr>
        <w:t>坚决守住</w:t>
      </w:r>
      <w:r>
        <w:rPr>
          <w:rFonts w:hint="eastAsia" w:ascii="仿宋_GB2312" w:hAnsi="仿宋_GB2312" w:eastAsia="仿宋_GB2312" w:cs="仿宋_GB2312"/>
          <w:sz w:val="36"/>
          <w:szCs w:val="36"/>
        </w:rPr>
        <w:t>不发生系统性金融风险底线。</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三是开展信访案件化解。</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加快推进信访多元解纷一体化建设，从源头预防化解风险隐患。畅通群众诉求表达渠道，严格落实“三三制”“五包一”制度，主动接访约访，及时化解各类矛盾。坚持和发展新时代“枫桥经验”，加强矛盾纠纷预防调处化解，抓好信访问题源头治理。常态化开展扫黑除恶，严厉打击电信网络诈骗。更好发挥工会、妇联、团委等群团组织作用，大力发展妇女、儿童、老龄、残疾人和红十字等事业。支持国防和军队建设，深化军民融合发展，赓续红色文化基因，做好退役军人工作，广泛开展纪念抗战胜利80周年活动。不断加强未成年人保护、民族宗教、外事侨务工作，扎实做好统计、科普、史志、档案和新时代社会工作。</w:t>
      </w:r>
    </w:p>
    <w:p w14:paraId="355E2D32">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kern w:val="0"/>
          <w:sz w:val="36"/>
          <w:szCs w:val="36"/>
          <w:lang w:val="en-US" w:eastAsia="zh-CN"/>
        </w:rPr>
      </w:pPr>
      <w:r>
        <w:rPr>
          <w:rFonts w:hint="eastAsia" w:ascii="仿宋_GB2312" w:hAnsi="仿宋_GB2312" w:eastAsia="仿宋_GB2312" w:cs="仿宋_GB2312"/>
          <w:kern w:val="0"/>
          <w:sz w:val="36"/>
          <w:szCs w:val="36"/>
          <w:lang w:val="en-US" w:eastAsia="zh-CN"/>
        </w:rPr>
        <w:t>各位代表，民生福祉是人民生活的基石。我们要</w:t>
      </w:r>
      <w:r>
        <w:rPr>
          <w:rFonts w:hint="eastAsia" w:ascii="仿宋_GB2312" w:hAnsi="仿宋_GB2312" w:eastAsia="仿宋_GB2312" w:cs="仿宋_GB2312"/>
          <w:kern w:val="0"/>
          <w:sz w:val="36"/>
          <w:szCs w:val="36"/>
          <w:lang w:val="en-US" w:eastAsia="zh-CN"/>
        </w:rPr>
        <w:fldChar w:fldCharType="begin"/>
      </w:r>
      <w:r>
        <w:rPr>
          <w:rFonts w:hint="eastAsia" w:ascii="仿宋_GB2312" w:hAnsi="仿宋_GB2312" w:eastAsia="仿宋_GB2312" w:cs="仿宋_GB2312"/>
          <w:kern w:val="0"/>
          <w:sz w:val="36"/>
          <w:szCs w:val="36"/>
          <w:lang w:val="en-US" w:eastAsia="zh-CN"/>
        </w:rPr>
        <w:instrText xml:space="preserve"> HYPERLINK "https://www.baidu.com/link?url=El6CE-hG6a7XLM4qMgFdpb3QhTbStddDXXtS1pgYDO_HqPNpfg1bz0MGRxnaOg3apCym27952VP1Z7O7n3Va_EbKACXPlccmb1jtIrQhoSW&amp;wd=&amp;eqid=cd330275000115a8000000026805affa" \t "/home/user/Documents\\x/_blank" </w:instrText>
      </w:r>
      <w:r>
        <w:rPr>
          <w:rFonts w:hint="eastAsia" w:ascii="仿宋_GB2312" w:hAnsi="仿宋_GB2312" w:eastAsia="仿宋_GB2312" w:cs="仿宋_GB2312"/>
          <w:kern w:val="0"/>
          <w:sz w:val="36"/>
          <w:szCs w:val="36"/>
          <w:lang w:val="en-US" w:eastAsia="zh-CN"/>
        </w:rPr>
        <w:fldChar w:fldCharType="separate"/>
      </w:r>
      <w:r>
        <w:rPr>
          <w:rFonts w:hint="eastAsia" w:ascii="仿宋_GB2312" w:hAnsi="仿宋_GB2312" w:eastAsia="仿宋_GB2312" w:cs="仿宋_GB2312"/>
          <w:kern w:val="0"/>
          <w:sz w:val="36"/>
          <w:szCs w:val="36"/>
          <w:lang w:val="en-US" w:eastAsia="zh-CN"/>
        </w:rPr>
        <w:t>突出人民至上、民生为本，</w:t>
      </w:r>
      <w:r>
        <w:rPr>
          <w:rFonts w:hint="eastAsia" w:ascii="仿宋_GB2312" w:hAnsi="仿宋_GB2312" w:eastAsia="仿宋_GB2312" w:cs="仿宋_GB2312"/>
          <w:kern w:val="0"/>
          <w:sz w:val="36"/>
          <w:szCs w:val="36"/>
          <w:lang w:val="en-US" w:eastAsia="zh-CN"/>
        </w:rPr>
        <w:fldChar w:fldCharType="end"/>
      </w:r>
      <w:r>
        <w:rPr>
          <w:rFonts w:hint="eastAsia" w:ascii="仿宋_GB2312" w:hAnsi="仿宋_GB2312" w:eastAsia="仿宋_GB2312" w:cs="仿宋_GB2312"/>
          <w:kern w:val="0"/>
          <w:sz w:val="36"/>
          <w:szCs w:val="36"/>
          <w:lang w:val="en-US" w:eastAsia="zh-CN"/>
        </w:rPr>
        <w:t>以“枝叶关情”的温度，时刻关注“安稳冷暖”，认真解决“急难愁盼”，用心用力办好“关键小事”，把“民生清单”变成“幸福账单”，让老百姓的笑容更多、心里更暖、生活品质更高！</w:t>
      </w:r>
    </w:p>
    <w:p w14:paraId="6AE7974D">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黑体" w:hAnsi="黑体" w:eastAsia="黑体" w:cs="黑体"/>
          <w:color w:val="auto"/>
          <w:sz w:val="36"/>
          <w:szCs w:val="36"/>
          <w:highlight w:val="none"/>
        </w:rPr>
      </w:pPr>
      <w:r>
        <w:rPr>
          <w:rFonts w:hint="eastAsia" w:ascii="黑体" w:hAnsi="黑体" w:eastAsia="黑体" w:cs="黑体"/>
          <w:b w:val="0"/>
          <w:bCs/>
          <w:color w:val="auto"/>
          <w:sz w:val="36"/>
          <w:szCs w:val="36"/>
          <w:highlight w:val="none"/>
          <w:lang w:val="en-US" w:eastAsia="zh-CN"/>
        </w:rPr>
        <w:t>三</w:t>
      </w:r>
      <w:r>
        <w:rPr>
          <w:rFonts w:hint="eastAsia" w:ascii="黑体" w:hAnsi="黑体" w:eastAsia="黑体" w:cs="黑体"/>
          <w:color w:val="auto"/>
          <w:sz w:val="36"/>
          <w:szCs w:val="36"/>
          <w:highlight w:val="none"/>
          <w:lang w:eastAsia="zh-CN"/>
        </w:rPr>
        <w:t>、</w:t>
      </w:r>
      <w:r>
        <w:rPr>
          <w:rFonts w:hint="eastAsia" w:ascii="黑体" w:hAnsi="黑体" w:eastAsia="黑体" w:cs="黑体"/>
          <w:color w:val="auto"/>
          <w:sz w:val="36"/>
          <w:szCs w:val="36"/>
          <w:highlight w:val="none"/>
          <w:lang w:val="en-US" w:eastAsia="zh-CN"/>
        </w:rPr>
        <w:t>全面</w:t>
      </w:r>
      <w:r>
        <w:rPr>
          <w:rFonts w:hint="eastAsia" w:ascii="黑体" w:hAnsi="黑体" w:eastAsia="黑体" w:cs="黑体"/>
          <w:color w:val="auto"/>
          <w:sz w:val="36"/>
          <w:szCs w:val="36"/>
          <w:highlight w:val="none"/>
        </w:rPr>
        <w:t>加强政府</w:t>
      </w:r>
      <w:r>
        <w:rPr>
          <w:rFonts w:hint="eastAsia" w:ascii="黑体" w:hAnsi="黑体" w:eastAsia="黑体" w:cs="黑体"/>
          <w:color w:val="auto"/>
          <w:sz w:val="36"/>
          <w:szCs w:val="36"/>
          <w:highlight w:val="none"/>
          <w:lang w:val="en-US" w:eastAsia="zh-CN"/>
        </w:rPr>
        <w:t>自身</w:t>
      </w:r>
      <w:r>
        <w:rPr>
          <w:rFonts w:hint="eastAsia" w:ascii="黑体" w:hAnsi="黑体" w:eastAsia="黑体" w:cs="黑体"/>
          <w:color w:val="auto"/>
          <w:sz w:val="36"/>
          <w:szCs w:val="36"/>
          <w:highlight w:val="none"/>
        </w:rPr>
        <w:t>建设</w:t>
      </w:r>
    </w:p>
    <w:p w14:paraId="7F00A8A8">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lang w:val="en-US" w:eastAsia="zh-CN" w:bidi="ar-SA"/>
        </w:rPr>
      </w:pP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丹朱人民的重托庄严而神圣，丹朱政府的使命光荣而艰巨。</w:t>
      </w:r>
      <w:r>
        <w:rPr>
          <w:rFonts w:hint="eastAsia" w:ascii="仿宋_GB2312" w:hAnsi="仿宋_GB2312" w:eastAsia="仿宋_GB2312" w:cs="仿宋_GB2312"/>
          <w:sz w:val="36"/>
          <w:szCs w:val="36"/>
          <w:lang w:val="en-US" w:eastAsia="zh-CN" w:bidi="ar-SA"/>
        </w:rPr>
        <w:t>新形势、新任务、新挑战，对政府自身建设提出了新的更高要求。我们要坚持干字当头，狠抓末端落实，干出更大业绩，交出更优答卷。</w:t>
      </w:r>
    </w:p>
    <w:p w14:paraId="568166E2">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_GB2312" w:hAnsi="楷体_GB2312" w:eastAsia="楷体_GB2312" w:cs="楷体_GB2312"/>
          <w:color w:val="000000"/>
          <w:sz w:val="36"/>
          <w:szCs w:val="36"/>
          <w:lang w:val="en-US" w:eastAsia="zh-CN"/>
        </w:rPr>
        <w:t>一是以绝对忠诚铸造政治底色</w:t>
      </w:r>
      <w:r>
        <w:rPr>
          <w:rFonts w:hint="eastAsia" w:ascii="仿宋_GB2312" w:hAnsi="仿宋_GB2312" w:eastAsia="仿宋_GB2312" w:cs="仿宋_GB2312"/>
          <w:b/>
          <w:bCs/>
          <w:i w:val="0"/>
          <w:iCs w:val="0"/>
          <w:caps w:val="0"/>
          <w:color w:val="auto"/>
          <w:spacing w:val="0"/>
          <w:kern w:val="2"/>
          <w:sz w:val="36"/>
          <w:szCs w:val="36"/>
          <w:shd w:val="clear" w:color="auto" w:fill="FFFFFF"/>
          <w:lang w:val="en-US" w:eastAsia="zh-CN" w:bidi="ar-SA"/>
        </w:rPr>
        <w:t>。</w:t>
      </w:r>
      <w:r>
        <w:rPr>
          <w:rFonts w:hint="eastAsia" w:ascii="仿宋_GB2312" w:hAnsi="仿宋_GB2312" w:eastAsia="仿宋_GB2312" w:cs="仿宋_GB2312"/>
          <w:sz w:val="36"/>
          <w:szCs w:val="36"/>
          <w:lang w:val="en-US" w:eastAsia="zh-CN" w:bidi="ar-SA"/>
        </w:rPr>
        <w:t>把政治忠诚摆在首位，认真落实“第一议题”制度、意识形态工作责任制，坚定捍卫“两个确立”，坚决做到“两个维护”，在政治上见行见效、思想上对标对表、行动上紧跟紧随、执行上坚定坚决，不折不扣贯彻中央、省市县决策部署，</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确保政令畅通、执行有力、快速落实。</w:t>
      </w:r>
    </w:p>
    <w:p w14:paraId="430DACAA">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lang w:val="en-US" w:eastAsia="zh-CN" w:bidi="ar-SA"/>
        </w:rPr>
      </w:pPr>
      <w:r>
        <w:rPr>
          <w:rFonts w:hint="eastAsia" w:ascii="楷体_GB2312" w:hAnsi="楷体_GB2312" w:eastAsia="楷体_GB2312" w:cs="楷体_GB2312"/>
          <w:color w:val="000000"/>
          <w:sz w:val="36"/>
          <w:szCs w:val="36"/>
          <w:lang w:val="en-US" w:eastAsia="zh-CN"/>
        </w:rPr>
        <w:t>二是以民主法治彰显干事正色。</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深入践行习近平法治思想，深化法治政府建设，</w:t>
      </w:r>
      <w:r>
        <w:rPr>
          <w:rFonts w:hint="eastAsia" w:ascii="仿宋_GB2312" w:hAnsi="仿宋_GB2312" w:eastAsia="仿宋_GB2312" w:cs="仿宋_GB2312"/>
          <w:sz w:val="36"/>
          <w:szCs w:val="36"/>
          <w:lang w:val="en-US" w:eastAsia="zh-CN" w:bidi="ar-SA"/>
        </w:rPr>
        <w:t>坚持依法行政，将法治思维贯穿政府工作全过程，做到办事依法、遇事找法、解决问题用法。坚持民主决策，落实重大事项决策程序，严格规范公正文明执法。严格执行人大及其常委会决议决定，自觉接受人大、政协监督，认真办好建议、提案。高标准编制“十五五”规划。</w:t>
      </w:r>
    </w:p>
    <w:p w14:paraId="63D2F699">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lang w:val="en-US" w:eastAsia="zh-CN" w:bidi="ar-SA"/>
        </w:rPr>
      </w:pPr>
      <w:r>
        <w:rPr>
          <w:rFonts w:hint="eastAsia" w:ascii="楷体_GB2312" w:hAnsi="楷体_GB2312" w:eastAsia="楷体_GB2312" w:cs="楷体_GB2312"/>
          <w:color w:val="000000"/>
          <w:sz w:val="36"/>
          <w:szCs w:val="36"/>
          <w:lang w:val="en-US" w:eastAsia="zh-CN"/>
        </w:rPr>
        <w:t>三是以果敢担当提升工作成色。</w:t>
      </w:r>
      <w:r>
        <w:rPr>
          <w:rFonts w:hint="eastAsia" w:ascii="仿宋_GB2312" w:hAnsi="仿宋_GB2312" w:eastAsia="仿宋_GB2312" w:cs="仿宋_GB2312"/>
          <w:sz w:val="36"/>
          <w:szCs w:val="36"/>
          <w:lang w:val="en-US" w:eastAsia="zh-CN" w:bidi="ar-SA"/>
        </w:rPr>
        <w:t>聚焦市委“七项举措”“五大行动”、县委“十大攻势”，凝聚同题共答合力，把发展重任谋准谋细，把敲定事项抓紧抓实，把承诺事情办成办好，以只争朝夕的干劲、敢闯敢试的拼劲、百折不挠的韧劲，抓好新质生产力、经济运行、乡村振兴、民生改善、安全稳定各项工作。</w:t>
      </w:r>
    </w:p>
    <w:p w14:paraId="4126B019">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pPr>
      <w:r>
        <w:rPr>
          <w:rFonts w:hint="eastAsia" w:ascii="楷体_GB2312" w:hAnsi="楷体_GB2312" w:eastAsia="楷体_GB2312" w:cs="楷体_GB2312"/>
          <w:color w:val="000000"/>
          <w:sz w:val="36"/>
          <w:szCs w:val="36"/>
          <w:lang w:val="en-US" w:eastAsia="zh-CN"/>
        </w:rPr>
        <w:t>四是以厚植为民增强服务亮色。</w:t>
      </w: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深入践行以人民为中心的发展思想，深化调查研究，践行“四下基层”，用心用情用力解决“急难愁盼”问题，集中力量抓好办成一批群众可感可及的实事，聚焦全镇教育、医疗、低保、就业等重点领域，切实解决好群众的各项事情，努力把“民生账单”变成全镇群众的“幸福清单”。</w:t>
      </w:r>
    </w:p>
    <w:p w14:paraId="1E984543">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lang w:val="en-US" w:eastAsia="zh-CN" w:bidi="ar-SA"/>
        </w:rPr>
      </w:pPr>
      <w:r>
        <w:rPr>
          <w:rFonts w:hint="eastAsia" w:ascii="楷体_GB2312" w:hAnsi="楷体_GB2312" w:eastAsia="楷体_GB2312" w:cs="楷体_GB2312"/>
          <w:color w:val="000000"/>
          <w:sz w:val="36"/>
          <w:szCs w:val="36"/>
          <w:lang w:val="en-US" w:eastAsia="zh-CN"/>
        </w:rPr>
        <w:t>五是以高效从政永葆廉洁本色。</w:t>
      </w:r>
      <w:r>
        <w:rPr>
          <w:rFonts w:hint="eastAsia" w:ascii="仿宋_GB2312" w:hAnsi="仿宋_GB2312" w:eastAsia="仿宋_GB2312" w:cs="仿宋_GB2312"/>
          <w:sz w:val="36"/>
          <w:szCs w:val="36"/>
          <w:lang w:val="en-US" w:eastAsia="zh-CN" w:bidi="ar-SA"/>
        </w:rPr>
        <w:t>扛牢全面从严治党政治责任，巩固拓展党纪学习教育成果，常态整治群众身边不正之风和腐败问题，扎实开展深入贯彻中央八项规定精神学习教育，保持纠治“四风”高压态势，持续整治形式主义，切实为基层减负、为干部松绑。落实习惯过“紧日子”要求，兜牢“三保”底线，把更多“真金白银”投入到为群众服务上来。</w:t>
      </w:r>
    </w:p>
    <w:p w14:paraId="53FE668E">
      <w:pPr>
        <w:keepNext w:val="0"/>
        <w:keepLines w:val="0"/>
        <w:pageBreakBefore w:val="0"/>
        <w:widowControl w:val="0"/>
        <w:pBdr>
          <w:bottom w:val="single" w:color="FFFFFF" w:sz="4" w:space="31"/>
        </w:pBdr>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i w:val="0"/>
          <w:iCs w:val="0"/>
          <w:caps w:val="0"/>
          <w:color w:val="auto"/>
          <w:spacing w:val="0"/>
          <w:kern w:val="2"/>
          <w:sz w:val="36"/>
          <w:szCs w:val="36"/>
          <w:shd w:val="clear" w:color="auto" w:fill="FFFFFF"/>
          <w:lang w:val="en-US" w:eastAsia="zh-CN" w:bidi="ar-SA"/>
        </w:rPr>
        <w:t>各位代表，让我们紧密团结在以习近平同志为核心的党中央周围，坚持以党的二十大精神为指引，在县委、县政府和镇党委的坚强领导下，瞄准目标、埋头苦干，提振精神、奋楫笃行，团结一致，努力把丹朱的各项事业干实干好、干出成效，</w:t>
      </w:r>
      <w:r>
        <w:rPr>
          <w:rFonts w:hint="eastAsia" w:ascii="仿宋_GB2312" w:eastAsia="仿宋_GB2312"/>
          <w:sz w:val="36"/>
          <w:szCs w:val="36"/>
        </w:rPr>
        <w:t>奋力谱写</w:t>
      </w:r>
      <w:r>
        <w:rPr>
          <w:rFonts w:hint="eastAsia" w:ascii="仿宋_GB2312" w:eastAsia="仿宋_GB2312"/>
          <w:sz w:val="36"/>
          <w:szCs w:val="36"/>
          <w:lang w:val="en-US" w:eastAsia="zh-CN"/>
        </w:rPr>
        <w:t>美丽丹朱</w:t>
      </w:r>
      <w:r>
        <w:rPr>
          <w:rFonts w:hint="eastAsia" w:ascii="仿宋_GB2312" w:eastAsia="仿宋_GB2312"/>
          <w:sz w:val="36"/>
          <w:szCs w:val="36"/>
        </w:rPr>
        <w:t>建设新篇章</w:t>
      </w:r>
      <w:r>
        <w:rPr>
          <w:rFonts w:hint="eastAsia" w:ascii="仿宋_GB2312" w:eastAsia="仿宋_GB2312"/>
          <w:color w:val="000000"/>
          <w:sz w:val="36"/>
          <w:szCs w:val="36"/>
        </w:rPr>
        <w:t>，</w:t>
      </w:r>
      <w:r>
        <w:rPr>
          <w:rFonts w:hint="eastAsia" w:ascii="仿宋_GB2312" w:hAnsi="仿宋_GB2312" w:eastAsia="仿宋_GB2312" w:cs="仿宋_GB2312"/>
          <w:spacing w:val="4"/>
          <w:sz w:val="36"/>
          <w:szCs w:val="36"/>
        </w:rPr>
        <w:t>为谱写中国式现代化</w:t>
      </w:r>
      <w:r>
        <w:rPr>
          <w:rFonts w:hint="eastAsia" w:ascii="仿宋_GB2312" w:hAnsi="仿宋_GB2312" w:eastAsia="仿宋_GB2312" w:cs="仿宋_GB2312"/>
          <w:spacing w:val="4"/>
          <w:sz w:val="36"/>
          <w:szCs w:val="36"/>
          <w:lang w:val="en-US" w:eastAsia="zh-CN"/>
        </w:rPr>
        <w:t>丹朱</w:t>
      </w:r>
      <w:r>
        <w:rPr>
          <w:rFonts w:hint="eastAsia" w:ascii="仿宋_GB2312" w:hAnsi="仿宋_GB2312" w:eastAsia="仿宋_GB2312" w:cs="仿宋_GB2312"/>
          <w:spacing w:val="4"/>
          <w:sz w:val="36"/>
          <w:szCs w:val="36"/>
        </w:rPr>
        <w:t>篇章而</w:t>
      </w:r>
      <w:r>
        <w:rPr>
          <w:rFonts w:hint="eastAsia" w:ascii="仿宋_GB2312" w:hAnsi="仿宋_GB2312" w:eastAsia="仿宋_GB2312" w:cs="仿宋_GB2312"/>
          <w:spacing w:val="4"/>
          <w:sz w:val="36"/>
          <w:szCs w:val="36"/>
          <w:lang w:eastAsia="zh-CN"/>
        </w:rPr>
        <w:t>不懈</w:t>
      </w:r>
      <w:r>
        <w:rPr>
          <w:rFonts w:hint="eastAsia" w:ascii="仿宋_GB2312" w:hAnsi="仿宋_GB2312" w:eastAsia="仿宋_GB2312" w:cs="仿宋_GB2312"/>
          <w:spacing w:val="4"/>
          <w:sz w:val="36"/>
          <w:szCs w:val="36"/>
        </w:rPr>
        <w:t>奋斗！</w:t>
      </w:r>
    </w:p>
    <w:p w14:paraId="5B0E76E4">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仿宋_GB2312" w:hAnsi="仿宋_GB2312" w:eastAsia="仿宋_GB2312" w:cs="仿宋_GB2312"/>
          <w:i w:val="0"/>
          <w:iCs w:val="0"/>
          <w:caps w:val="0"/>
          <w:color w:val="auto"/>
          <w:spacing w:val="0"/>
          <w:kern w:val="2"/>
          <w:sz w:val="36"/>
          <w:szCs w:val="36"/>
          <w:shd w:val="clear" w:color="auto" w:fill="FFFFFF"/>
          <w:lang w:val="en-US" w:eastAsia="zh-CN" w:bidi="ar-SA"/>
        </w:rPr>
      </w:pPr>
    </w:p>
    <w:p w14:paraId="40095672"/>
    <w:p w14:paraId="401142C7">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仿宋_GB2312" w:hAnsi="仿宋_GB2312" w:eastAsia="仿宋_GB2312" w:cs="仿宋_GB2312"/>
          <w:i w:val="0"/>
          <w:iCs w:val="0"/>
          <w:caps w:val="0"/>
          <w:color w:val="auto"/>
          <w:spacing w:val="0"/>
          <w:kern w:val="2"/>
          <w:sz w:val="36"/>
          <w:szCs w:val="36"/>
          <w:shd w:val="clear" w:color="auto" w:fill="FFFFFF"/>
          <w:lang w:val="en-US" w:eastAsia="zh-CN" w:bidi="ar-SA"/>
        </w:rPr>
      </w:pPr>
    </w:p>
    <w:p w14:paraId="661E6193"/>
    <w:p w14:paraId="39810217">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rPr>
          <w:rFonts w:hint="eastAsia" w:ascii="楷体" w:hAnsi="楷体" w:eastAsia="楷体" w:cs="楷体"/>
          <w:color w:val="auto"/>
          <w:sz w:val="36"/>
          <w:szCs w:val="36"/>
          <w:highlight w:val="none"/>
          <w:lang w:val="en-US" w:eastAsia="zh-CN"/>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D8B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065A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05065A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MDUzYWIwZmM3MDc0MjdlYTQxZmEzNTE2Y2I1MTUifQ=="/>
  </w:docVars>
  <w:rsids>
    <w:rsidRoot w:val="010564F2"/>
    <w:rsid w:val="010564F2"/>
    <w:rsid w:val="02C46BBB"/>
    <w:rsid w:val="037E4C72"/>
    <w:rsid w:val="03D01F0C"/>
    <w:rsid w:val="06530982"/>
    <w:rsid w:val="10C009C2"/>
    <w:rsid w:val="17562080"/>
    <w:rsid w:val="176F1DA7"/>
    <w:rsid w:val="195E346D"/>
    <w:rsid w:val="1E8618BB"/>
    <w:rsid w:val="22364F87"/>
    <w:rsid w:val="25BF110C"/>
    <w:rsid w:val="268B755B"/>
    <w:rsid w:val="280B2A12"/>
    <w:rsid w:val="29737F02"/>
    <w:rsid w:val="2ABD608E"/>
    <w:rsid w:val="2AEF03C9"/>
    <w:rsid w:val="308B2942"/>
    <w:rsid w:val="3653029E"/>
    <w:rsid w:val="3BC907C3"/>
    <w:rsid w:val="48FD7CFE"/>
    <w:rsid w:val="4A9B77CE"/>
    <w:rsid w:val="4B143A05"/>
    <w:rsid w:val="4BE42172"/>
    <w:rsid w:val="4E754D79"/>
    <w:rsid w:val="50584B15"/>
    <w:rsid w:val="516A534F"/>
    <w:rsid w:val="52026629"/>
    <w:rsid w:val="559D7BB7"/>
    <w:rsid w:val="576553EC"/>
    <w:rsid w:val="5BC22E0D"/>
    <w:rsid w:val="5EC55099"/>
    <w:rsid w:val="5EFD23AE"/>
    <w:rsid w:val="5FAE4F5E"/>
    <w:rsid w:val="62EA67E3"/>
    <w:rsid w:val="63953FA2"/>
    <w:rsid w:val="6A1434C1"/>
    <w:rsid w:val="6A2904FB"/>
    <w:rsid w:val="6C956225"/>
    <w:rsid w:val="6E3D5869"/>
    <w:rsid w:val="70270B1C"/>
    <w:rsid w:val="71812492"/>
    <w:rsid w:val="7A001BA9"/>
    <w:rsid w:val="7A8772A3"/>
    <w:rsid w:val="7ACA3B10"/>
    <w:rsid w:val="7BBA5457"/>
    <w:rsid w:val="7E2D0162"/>
    <w:rsid w:val="FBD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912" w:firstLineChars="200"/>
      <w:jc w:val="left"/>
    </w:pPr>
    <w:rPr>
      <w:rFonts w:ascii="仿宋" w:hAnsi="仿宋" w:eastAsia="仿宋" w:cs="仿宋"/>
      <w:kern w:val="2"/>
      <w:sz w:val="32"/>
      <w:szCs w:val="32"/>
      <w:lang w:val="en-US" w:eastAsia="zh-CN" w:bidi="ar-SA"/>
    </w:rPr>
  </w:style>
  <w:style w:type="paragraph" w:styleId="3">
    <w:name w:val="heading 1"/>
    <w:basedOn w:val="1"/>
    <w:next w:val="1"/>
    <w:qFormat/>
    <w:uiPriority w:val="0"/>
    <w:pPr>
      <w:keepNext w:val="0"/>
      <w:keepLines w:val="0"/>
      <w:spacing w:beforeLines="0" w:beforeAutospacing="0" w:afterLines="0" w:afterAutospacing="0" w:line="600" w:lineRule="exact"/>
      <w:ind w:firstLine="0" w:firstLineChars="0"/>
      <w:jc w:val="center"/>
      <w:outlineLvl w:val="0"/>
    </w:pPr>
    <w:rPr>
      <w:rFonts w:ascii="方正小标宋简体" w:hAnsi="方正小标宋简体" w:eastAsia="方正小标宋简体" w:cs="方正小标宋简体"/>
      <w:kern w:val="44"/>
      <w:sz w:val="44"/>
    </w:rPr>
  </w:style>
  <w:style w:type="paragraph" w:styleId="4">
    <w:name w:val="heading 2"/>
    <w:basedOn w:val="1"/>
    <w:next w:val="1"/>
    <w:semiHidden/>
    <w:unhideWhenUsed/>
    <w:qFormat/>
    <w:uiPriority w:val="0"/>
    <w:pPr>
      <w:keepNext w:val="0"/>
      <w:keepLines w:val="0"/>
      <w:spacing w:beforeLines="0" w:beforeAutospacing="0" w:afterLines="0" w:afterAutospacing="0" w:line="600" w:lineRule="exact"/>
      <w:outlineLvl w:val="1"/>
    </w:pPr>
    <w:rPr>
      <w:rFonts w:ascii="黑体" w:hAnsi="黑体" w:eastAsia="黑体" w:cs="黑体"/>
    </w:rPr>
  </w:style>
  <w:style w:type="paragraph" w:styleId="2">
    <w:name w:val="heading 3"/>
    <w:basedOn w:val="1"/>
    <w:next w:val="1"/>
    <w:semiHidden/>
    <w:unhideWhenUsed/>
    <w:qFormat/>
    <w:uiPriority w:val="0"/>
    <w:pPr>
      <w:keepNext w:val="0"/>
      <w:keepLines w:val="0"/>
      <w:spacing w:beforeLines="0" w:beforeAutospacing="0" w:afterLines="0" w:afterAutospacing="0" w:line="600" w:lineRule="exact"/>
      <w:outlineLvl w:val="2"/>
    </w:pPr>
    <w:rPr>
      <w:rFonts w:ascii="楷体_GB2312" w:hAnsi="楷体_GB2312" w:eastAsia="楷体_GB2312" w:cs="楷体_GB2312"/>
    </w:rPr>
  </w:style>
  <w:style w:type="paragraph" w:styleId="5">
    <w:name w:val="heading 4"/>
    <w:basedOn w:val="1"/>
    <w:next w:val="1"/>
    <w:semiHidden/>
    <w:unhideWhenUsed/>
    <w:qFormat/>
    <w:uiPriority w:val="0"/>
    <w:pPr>
      <w:keepNext w:val="0"/>
      <w:keepLines w:val="0"/>
      <w:spacing w:beforeLines="0" w:beforeAutospacing="0" w:afterLines="0" w:afterAutospacing="0" w:line="600" w:lineRule="exact"/>
      <w:outlineLvl w:val="3"/>
    </w:pPr>
    <w:rPr>
      <w:rFonts w:ascii="仿宋_GB2312" w:hAnsi="仿宋_GB2312" w:eastAsia="仿宋_GB2312"/>
      <w:b/>
      <w:bCs/>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p0"/>
    <w:basedOn w:val="1"/>
    <w:qFormat/>
    <w:uiPriority w:val="0"/>
    <w:pPr>
      <w:widowControl/>
      <w:jc w:val="left"/>
    </w:pPr>
    <w:rPr>
      <w:kern w:val="0"/>
      <w:sz w:val="24"/>
    </w:rPr>
  </w:style>
  <w:style w:type="paragraph" w:customStyle="1" w:styleId="11">
    <w:name w:val="Heading2"/>
    <w:basedOn w:val="1"/>
    <w:next w:val="1"/>
    <w:qFormat/>
    <w:uiPriority w:val="0"/>
    <w:pPr>
      <w:keepNext/>
      <w:keepLines/>
      <w:spacing w:before="260" w:after="260" w:line="416" w:lineRule="auto"/>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758</Words>
  <Characters>792</Characters>
  <Lines>0</Lines>
  <Paragraphs>0</Paragraphs>
  <TotalTime>2</TotalTime>
  <ScaleCrop>false</ScaleCrop>
  <LinksUpToDate>false</LinksUpToDate>
  <CharactersWithSpaces>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2024-06-12T09:29:00Z</dcterms:created>
  <dc:creator>HONOR</dc:creator>
  <cp:lastModifiedBy>Administrator</cp:lastModifiedBy>
  <cp:lastPrinted>2024-06-13T19:28:00Z</cp:lastPrinted>
  <dcterms:modified xsi:type="dcterms:W3CDTF">2025-08-14T07:37:02Z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7D46CB02D9CA42A8A5EE5AD86E352AE0_13</vt:lpwstr>
  </property>
  <property fmtid="{D5CDD505-2E9C-101B-9397-08002B2CF9AE}" pid="4" name="KSOTemplateDocerSaveRecord">
    <vt:lpwstr>eyJoZGlkIjoiM2M4ODk1M2U0ZWE1N2RkNmJjYzUxOWJkMjRmMDFjYmMifQ==</vt:lpwstr>
  </property>
</Properties>
</file>