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188" w:beforeLines="60" w:line="600" w:lineRule="exact"/>
        <w:textAlignment w:val="auto"/>
        <w:rPr>
          <w:rFonts w:hint="eastAsia" w:ascii="Calibri" w:hAnsi="Calibri" w:eastAsia="宋体" w:cs="Times New Roman"/>
          <w:sz w:val="32"/>
          <w:szCs w:val="32"/>
          <w:lang w:eastAsia="zh-CN"/>
        </w:rPr>
      </w:pPr>
      <w:r>
        <w:rPr>
          <w:rFonts w:hint="eastAsia" w:ascii="仿宋" w:eastAsia="仿宋" w:cs="仿宋"/>
          <w:sz w:val="32"/>
          <w:szCs w:val="32"/>
        </w:rPr>
        <w:t>长子水办发〔</w:t>
      </w: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rPr>
        <w:t>〕</w:t>
      </w:r>
      <w:r>
        <w:rPr>
          <w:rFonts w:hint="eastAsia" w:ascii="仿宋" w:eastAsia="仿宋" w:cs="仿宋"/>
          <w:sz w:val="32"/>
          <w:szCs w:val="32"/>
          <w:lang w:val="en-US" w:eastAsia="zh-CN"/>
        </w:rPr>
        <w:t>101</w:t>
      </w:r>
      <w:r>
        <w:rPr>
          <w:rFonts w:hint="eastAsia" w:ascii="仿宋" w:eastAsia="仿宋" w:cs="仿宋"/>
          <w:sz w:val="32"/>
          <w:szCs w:val="32"/>
        </w:rPr>
        <w:t>号</w:t>
      </w:r>
      <w:r>
        <w:rPr>
          <w:rFonts w:ascii="仿宋" w:eastAsia="仿宋" w:cs="仿宋"/>
          <w:sz w:val="32"/>
          <w:szCs w:val="32"/>
        </w:rPr>
        <w:t xml:space="preserve">               </w:t>
      </w:r>
      <w:r>
        <w:rPr>
          <w:rFonts w:hint="eastAsia" w:ascii="仿宋" w:eastAsia="仿宋" w:cs="仿宋"/>
          <w:sz w:val="32"/>
          <w:szCs w:val="32"/>
        </w:rPr>
        <w:t>签发人：</w:t>
      </w:r>
      <w:r>
        <w:rPr>
          <w:rFonts w:hint="eastAsia" w:ascii="仿宋" w:eastAsia="仿宋" w:cs="仿宋"/>
          <w:sz w:val="32"/>
          <w:szCs w:val="32"/>
          <w:lang w:val="en-US" w:eastAsia="zh-CN"/>
        </w:rPr>
        <w:t>师向东</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eastAsia="方正小标宋简体" w:cs="方正小标宋简体"/>
          <w:sz w:val="44"/>
          <w:szCs w:val="44"/>
          <w:lang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auto"/>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Calibri" w:eastAsia="方正小标宋简体" w:cs="方正小标宋简体"/>
          <w:sz w:val="44"/>
          <w:szCs w:val="44"/>
          <w:lang w:val="en-US" w:eastAsia="zh-CN" w:bidi="ar-SA"/>
        </w:rPr>
      </w:pPr>
      <w:r>
        <w:rPr>
          <w:rFonts w:hint="eastAsia" w:ascii="方正小标宋简体" w:hAnsi="Calibri" w:eastAsia="方正小标宋简体" w:cs="方正小标宋简体"/>
          <w:sz w:val="44"/>
          <w:szCs w:val="44"/>
          <w:lang w:val="en-US" w:eastAsia="zh-CN" w:bidi="ar-SA"/>
        </w:rPr>
        <w:t>长子县水利局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Calibri" w:eastAsia="方正小标宋简体" w:cs="方正小标宋简体"/>
          <w:sz w:val="44"/>
          <w:szCs w:val="44"/>
          <w:lang w:val="en-US" w:eastAsia="zh-CN" w:bidi="ar-SA"/>
        </w:rPr>
      </w:pPr>
      <w:r>
        <w:rPr>
          <w:rFonts w:hint="eastAsia" w:ascii="方正小标宋简体" w:hAnsi="Calibri" w:eastAsia="方正小标宋简体" w:cs="方正小标宋简体"/>
          <w:sz w:val="44"/>
          <w:szCs w:val="44"/>
          <w:lang w:val="en-US" w:eastAsia="zh-CN" w:bidi="ar-SA"/>
        </w:rPr>
        <w:t>关于印发《长子县河道采砂管理制度》的通知</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Calibri" w:eastAsia="方正小标宋简体" w:cs="方正小标宋简体"/>
          <w:sz w:val="44"/>
          <w:szCs w:val="44"/>
          <w:lang w:val="en-US" w:eastAsia="zh-CN" w:bidi="ar-SA"/>
        </w:rPr>
      </w:pPr>
    </w:p>
    <w:p>
      <w:pPr>
        <w:pStyle w:val="4"/>
        <w:shd w:val="clear" w:color="auto" w:fill="FFFFFF"/>
        <w:adjustRightInd w:val="0"/>
        <w:snapToGrid w:val="0"/>
        <w:spacing w:before="0" w:beforeAutospacing="0" w:after="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乡镇、中心及河长制成员单位</w:t>
      </w:r>
      <w:r>
        <w:rPr>
          <w:rFonts w:ascii="Times New Roman" w:hAnsi="Times New Roman" w:eastAsia="仿宋_GB2312" w:cs="Times New Roman"/>
          <w:sz w:val="32"/>
          <w:szCs w:val="32"/>
        </w:rPr>
        <w:t>：</w:t>
      </w:r>
    </w:p>
    <w:p>
      <w:pPr>
        <w:pStyle w:val="4"/>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为进一步加强河道采砂管理，根据《水法》《</w:t>
      </w:r>
      <w:r>
        <w:rPr>
          <w:rFonts w:hint="eastAsia" w:ascii="Times New Roman" w:hAnsi="Times New Roman" w:eastAsia="仿宋_GB2312" w:cs="Times New Roman"/>
          <w:sz w:val="32"/>
          <w:szCs w:val="32"/>
        </w:rPr>
        <w:t>防洪法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《河道管理条例》及水利部关于河道采砂管理工作的指导意见（水河湖〔2019〕58号）</w:t>
      </w:r>
      <w:r>
        <w:rPr>
          <w:rFonts w:ascii="Times New Roman" w:hAnsi="Times New Roman" w:eastAsia="仿宋_GB2312" w:cs="Times New Roman"/>
          <w:sz w:val="32"/>
          <w:szCs w:val="32"/>
        </w:rPr>
        <w:t>等相关法律法规、文件精神，</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水利局组织起草了《</w:t>
      </w:r>
      <w:r>
        <w:rPr>
          <w:rFonts w:hint="eastAsia" w:ascii="Times New Roman" w:hAnsi="Times New Roman" w:eastAsia="仿宋_GB2312" w:cs="Times New Roman"/>
          <w:sz w:val="32"/>
          <w:szCs w:val="32"/>
          <w:lang w:val="en-US" w:eastAsia="zh-CN"/>
        </w:rPr>
        <w:t>长子县</w:t>
      </w:r>
      <w:r>
        <w:rPr>
          <w:rFonts w:hint="eastAsia" w:ascii="Times New Roman" w:hAnsi="Times New Roman" w:eastAsia="仿宋_GB2312" w:cs="Times New Roman"/>
          <w:sz w:val="32"/>
          <w:szCs w:val="32"/>
        </w:rPr>
        <w:t>河道采砂管理制度》，现印发给你们，请认真遵照执行。</w:t>
      </w:r>
    </w:p>
    <w:p>
      <w:pPr>
        <w:pStyle w:val="4"/>
        <w:shd w:val="clear" w:color="auto" w:fill="FFFFFF"/>
        <w:adjustRightInd w:val="0"/>
        <w:snapToGrid w:val="0"/>
        <w:spacing w:before="0" w:beforeAutospacing="0" w:after="0" w:afterAutospacing="0" w:line="600" w:lineRule="exact"/>
        <w:ind w:firstLine="6080" w:firstLineChars="1900"/>
        <w:jc w:val="both"/>
        <w:rPr>
          <w:rFonts w:hint="eastAsia" w:ascii="Times New Roman" w:hAnsi="Times New Roman" w:eastAsia="仿宋_GB2312" w:cs="Times New Roman"/>
          <w:sz w:val="32"/>
          <w:szCs w:val="32"/>
          <w:lang w:val="en-US" w:eastAsia="zh-CN"/>
        </w:rPr>
      </w:pPr>
    </w:p>
    <w:p>
      <w:pPr>
        <w:pStyle w:val="4"/>
        <w:shd w:val="clear" w:color="auto" w:fill="FFFFFF"/>
        <w:adjustRightInd w:val="0"/>
        <w:snapToGrid w:val="0"/>
        <w:spacing w:before="0" w:beforeAutospacing="0" w:after="0" w:afterAutospacing="0" w:line="600" w:lineRule="exact"/>
        <w:ind w:firstLine="6080" w:firstLineChars="19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长子县</w:t>
      </w:r>
      <w:r>
        <w:rPr>
          <w:rFonts w:hint="eastAsia" w:ascii="Times New Roman" w:hAnsi="Times New Roman" w:eastAsia="仿宋_GB2312" w:cs="Times New Roman"/>
          <w:sz w:val="32"/>
          <w:szCs w:val="32"/>
        </w:rPr>
        <w:t>水利局</w:t>
      </w:r>
    </w:p>
    <w:p>
      <w:pPr>
        <w:pStyle w:val="4"/>
        <w:shd w:val="clear" w:color="auto" w:fill="FFFFFF"/>
        <w:adjustRightInd w:val="0"/>
        <w:snapToGrid w:val="0"/>
        <w:spacing w:before="0" w:beforeAutospacing="0" w:after="0" w:afterAutospacing="0" w:line="600" w:lineRule="exact"/>
        <w:ind w:firstLine="5920" w:firstLineChars="18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4"/>
        <w:shd w:val="clear" w:color="auto" w:fill="FFFFFF"/>
        <w:adjustRightInd w:val="0"/>
        <w:snapToGrid w:val="0"/>
        <w:spacing w:before="0" w:beforeAutospacing="0" w:after="0" w:afterAutospacing="0" w:line="600" w:lineRule="exact"/>
        <w:jc w:val="center"/>
        <w:rPr>
          <w:rFonts w:ascii="Times New Roman" w:hAnsi="Times New Roman" w:eastAsia="仿宋_GB2312" w:cs="Times New Roman"/>
          <w:sz w:val="32"/>
          <w:szCs w:val="32"/>
        </w:rPr>
      </w:pPr>
      <w:r>
        <w:rPr>
          <w:rFonts w:hint="eastAsia" w:ascii="Times New Roman" w:hAnsi="Times New Roman" w:eastAsia="方正小标宋简体" w:cs="Times New Roman"/>
          <w:bCs/>
          <w:sz w:val="44"/>
          <w:szCs w:val="44"/>
          <w:lang w:eastAsia="zh-CN"/>
        </w:rPr>
        <w:t>长子县</w:t>
      </w:r>
      <w:r>
        <w:rPr>
          <w:rFonts w:ascii="Times New Roman" w:hAnsi="Times New Roman" w:eastAsia="方正小标宋简体" w:cs="Times New Roman"/>
          <w:bCs/>
          <w:sz w:val="44"/>
          <w:szCs w:val="44"/>
        </w:rPr>
        <w:t>河道采砂管理</w:t>
      </w:r>
      <w:r>
        <w:rPr>
          <w:rFonts w:hint="eastAsia" w:ascii="Times New Roman" w:hAnsi="Times New Roman" w:eastAsia="方正小标宋简体" w:cs="Times New Roman"/>
          <w:bCs/>
          <w:sz w:val="44"/>
          <w:szCs w:val="44"/>
        </w:rPr>
        <w:t>制度</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面推行河湖长制以来，采砂日常监管和执法检查日益加强，加之严厉打击违法违规采砂行为，河道采砂秩序“由乱到治”取得一定成效，但“由治到规范”还有一定距离，河道采砂“小、散、乱”和监管难问题还是时有发生，为更好规范开采和有效监管，维护河湖生态健康，特制定本制度。</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一、提高对河道采砂管理重要性的认识</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乡镇、中心及河长制成员单位</w:t>
      </w:r>
      <w:r>
        <w:rPr>
          <w:rFonts w:ascii="Times New Roman" w:hAnsi="Times New Roman" w:eastAsia="仿宋_GB2312" w:cs="Times New Roman"/>
          <w:sz w:val="32"/>
          <w:szCs w:val="32"/>
        </w:rPr>
        <w:t>要深入贯彻落实习近平生态文明思想，积极践行人与自然和谐共生的理念，充分认识河道采砂管理工作的重要性、艰巨性、复杂性和长期性，按照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保护优先、科学规划、规范许可、有效监管、确保安全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的原则，确保河道采砂管理秩序稳定向好，维护河湖健康生命。</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各级河湖长</w:t>
      </w:r>
      <w:r>
        <w:rPr>
          <w:rFonts w:ascii="Times New Roman" w:hAnsi="Times New Roman" w:eastAsia="仿宋_GB2312" w:cs="Times New Roman"/>
          <w:sz w:val="32"/>
          <w:szCs w:val="32"/>
        </w:rPr>
        <w:t>要坚持守河有责、守河担责、守河尽责，切实承担起河道采砂管理法定职责，加强统一监督管理。建立政府主导、水利部门牵头、有关部门分工负责、社会监督的采砂管理联动机制，将河湖长制与采砂管理责任制有机结合，形成河道采砂监管合力。</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二、规范河道采砂许可和监管</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（一）落实河道采砂规划制度。</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根据河道管理权限，对有采砂任务的河道，按照河道综合治理规划和有关技术规范要求，组织编制采砂规划。要严格规定禁采期，科学划定禁采区、保留区、可采区，合理确定可采区的采砂总量、年度开采总量、可采范围与开采控制高程，明确具体监管目标和要求，强化采砂河段修复，推进河道采砂与河道综合治理相结合。河道采砂规划的规划期一般为3～5年。</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经批准的河道采砂规划，不得擅自修改；确需修改的，应当依照原批准程序报批。水行政主管部门要适时组织开展采砂规划实施情况的监测、评估，及时发现并纠正规划实施中的问题。</w:t>
      </w:r>
      <w:r>
        <w:rPr>
          <w:rFonts w:hint="eastAsia" w:ascii="Times New Roman" w:hAnsi="Times New Roman" w:eastAsia="仿宋_GB2312" w:cs="Times New Roman"/>
          <w:sz w:val="32"/>
          <w:szCs w:val="32"/>
        </w:rPr>
        <w:t>已实施河道采砂规划的</w:t>
      </w:r>
      <w:r>
        <w:rPr>
          <w:rFonts w:ascii="Times New Roman" w:hAnsi="Times New Roman" w:eastAsia="仿宋_GB2312" w:cs="Times New Roman"/>
          <w:sz w:val="32"/>
          <w:szCs w:val="32"/>
        </w:rPr>
        <w:t>，在编制下一轮采砂规划前，应先对上一轮河道采砂规划实施情况及影响进行后评估。</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（二）严格河道采砂许可。</w:t>
      </w:r>
      <w:r>
        <w:rPr>
          <w:rFonts w:ascii="Times New Roman" w:hAnsi="Times New Roman" w:eastAsia="仿宋_GB2312" w:cs="Times New Roman"/>
          <w:sz w:val="32"/>
          <w:szCs w:val="32"/>
        </w:rPr>
        <w:t>河道采砂许可应以批复的采砂规划、年度采砂计划为依据，依法依规办理。对于无可采区实施方案、堆砂场设置方案及河道修复方案的，不得许可河道采砂。采砂许可应对采砂作业范围、作业方式、作业时间、采砂船只和机具数量及规格、砂石运输方式等予以明确规定。砂石开采的收益，应优先用于水利工程建设与管理、河湖整治及生态修复等。</w:t>
      </w:r>
    </w:p>
    <w:p>
      <w:pPr>
        <w:pStyle w:val="4"/>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（三）加强开采过程监管。</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采砂点</w:t>
      </w:r>
      <w:r>
        <w:rPr>
          <w:rFonts w:ascii="Times New Roman" w:hAnsi="Times New Roman" w:eastAsia="仿宋_GB2312" w:cs="Times New Roman"/>
          <w:sz w:val="32"/>
          <w:szCs w:val="32"/>
        </w:rPr>
        <w:t>要成立采区现场监管机构，对采区开采实行旁站式监管，防止超范围、超深度、超采砂机具数、超期限、超许可量开采。要建立进出场计重、监控、登记等制度，确保采、运砂现场监管全覆盖、无盲区。采砂现场应设立明显标志，载明相关许可信息，确保作业安全。依法开采的河道管理范围内砂石，其运输、过驳、装卸、堆存等，需严格执行河道砂石采运管理单制度。</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（四）强化采砂河道修复。</w:t>
      </w:r>
      <w:r>
        <w:rPr>
          <w:rFonts w:ascii="Times New Roman" w:hAnsi="Times New Roman" w:eastAsia="仿宋_GB2312" w:cs="Times New Roman"/>
          <w:sz w:val="32"/>
          <w:szCs w:val="32"/>
        </w:rPr>
        <w:t>采砂企业或个人应及时清除开采的砂石和弃料堆体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修复损坏的河道堤防等工程设施，不得在河道管理范围内擅自设置砂场、堆积砂石或废弃物。采区现场</w:t>
      </w:r>
      <w:r>
        <w:rPr>
          <w:rFonts w:hint="eastAsia" w:ascii="Times New Roman" w:hAnsi="Times New Roman" w:eastAsia="仿宋_GB2312" w:cs="Times New Roman"/>
          <w:sz w:val="32"/>
          <w:szCs w:val="32"/>
          <w:lang w:val="en-US" w:eastAsia="zh-CN"/>
        </w:rPr>
        <w:t>乡镇</w:t>
      </w:r>
      <w:r>
        <w:rPr>
          <w:rFonts w:ascii="Times New Roman" w:hAnsi="Times New Roman" w:eastAsia="仿宋_GB2312" w:cs="Times New Roman"/>
          <w:sz w:val="32"/>
          <w:szCs w:val="32"/>
        </w:rPr>
        <w:t>要督促采砂主体按照批准的河道修复方案，及时落实采砂河段河道平整、生态修复等措施，防止批采不符、只采不复等问题发生。</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三、有序推进河道疏浚砂综合利用</w:t>
      </w:r>
    </w:p>
    <w:p>
      <w:pPr>
        <w:pStyle w:val="4"/>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（五）落实疏浚砂综合利用要求。</w:t>
      </w:r>
      <w:r>
        <w:rPr>
          <w:rFonts w:ascii="Times New Roman" w:hAnsi="Times New Roman" w:eastAsia="仿宋_GB2312" w:cs="Times New Roman"/>
          <w:sz w:val="32"/>
          <w:szCs w:val="32"/>
        </w:rPr>
        <w:t>疏浚砂综合利用应坚持政府主导，部门联动。在各级政府领导下，强化各相关部门的协同配合。坚持资源国有，统一处置。河道疏浚作业中产生的砂（含土、卵石等）上岸利用的，由政府</w:t>
      </w:r>
      <w:r>
        <w:rPr>
          <w:rFonts w:hint="eastAsia" w:ascii="Times New Roman" w:hAnsi="Times New Roman" w:eastAsia="仿宋_GB2312" w:cs="Times New Roman"/>
          <w:sz w:val="32"/>
          <w:szCs w:val="32"/>
        </w:rPr>
        <w:t>或自然资源部门批准同意后</w:t>
      </w:r>
      <w:r>
        <w:rPr>
          <w:rFonts w:ascii="Times New Roman" w:hAnsi="Times New Roman" w:eastAsia="仿宋_GB2312" w:cs="Times New Roman"/>
          <w:sz w:val="32"/>
          <w:szCs w:val="32"/>
        </w:rPr>
        <w:t>统一处置，不得由企业或个人自行销售。坚持重点保障，统筹利用。疏浚砂综合利用优先保障重点基础设施建设和民生工程，有条件的情况下可兼顾社会市场需求。坚持严格监管，规范实施。强化监管责任、监管制度和监管措施的落实，对疏浚砂综合利用实行全过程监管，确保疏浚砂综合利用高效、安全、规范、有序。</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（六）规范疏浚砂综合利用程序。</w:t>
      </w:r>
      <w:r>
        <w:rPr>
          <w:rFonts w:ascii="Times New Roman" w:hAnsi="Times New Roman" w:eastAsia="仿宋_GB2312" w:cs="Times New Roman"/>
          <w:sz w:val="32"/>
          <w:szCs w:val="32"/>
        </w:rPr>
        <w:t>河道整治、水库清淤、航道整治、码头维护疏浚等涉水工程建设项目，涉及疏浚砂综合利用的，需首先取得项目涉水行政许可。其中，河道整治、水库清淤等水利基建项目，应履行初步设计文件审批程序；航道整治、码头维护疏浚等河道管理范围内建设项目，应履行洪水影响评价类审批程序。水土保持等其他行政许可按有关规定办理。</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疏浚砂直接用于河道管理范围内河势控制、防洪及堤防加固等工程的，在项目涉水行政许可中审批</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，不再编报实施方案；疏浚砂上岸综合利用的，</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明确疏浚砂上岸总量、上岸（运输）方式、疏浚砂堆存位置、实施主体以及监管措施等。</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（七）强化疏浚砂综合利用监管。</w:t>
      </w:r>
      <w:r>
        <w:rPr>
          <w:rFonts w:ascii="Times New Roman" w:hAnsi="Times New Roman" w:eastAsia="仿宋_GB2312" w:cs="Times New Roman"/>
          <w:sz w:val="32"/>
          <w:szCs w:val="32"/>
        </w:rPr>
        <w:t>疏浚砂综合利用监督管理，要在当地政府的统一领导下，各部门协同配合。各级水行政主管部门负责河道管理范围内疏浚作业至上岸堆存的监管，要落实河道砂石采运管理单制度，加强对疏浚作业及运输船只、机具的在线监控与轨迹管理。上岸的疏浚砂应堆存至河道管理范围外，堆存之后的处置和监管由本级人民政府负责，优先用于重点基础设施建设和民生工程等；仍有剩余的，利用当地公共资源交易平台处置。严禁企业或个人自行处置、销售疏浚砂，从严查处借疏浚之名行采砂之实的行为。</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四、严厉打击河道非法采砂</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（八）强化河道采砂巡查监管。</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严格落实河道采砂巡查、监管制度，采取人防+技防相结合，坚持24小时值班值守，不断加大监管和巡查力度，对重点河段、敏感水域、交界水域加密巡查频次。要持续组织开展打击河道非法采砂专项执法行动，始终保持对非法采砂高压严打态势。</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（九）提高采砂管理“技防”水平。</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要加大采砂管理信息化建设力度，整合、利用有关部门的视频监控资源，</w:t>
      </w:r>
      <w:r>
        <w:rPr>
          <w:rFonts w:hint="eastAsia" w:ascii="Times New Roman" w:hAnsi="Times New Roman" w:eastAsia="仿宋_GB2312" w:cs="Times New Roman"/>
          <w:sz w:val="32"/>
          <w:szCs w:val="32"/>
        </w:rPr>
        <w:t>有条件的可以利用</w:t>
      </w:r>
      <w:r>
        <w:rPr>
          <w:rFonts w:ascii="Times New Roman" w:hAnsi="Times New Roman" w:eastAsia="仿宋_GB2312" w:cs="Times New Roman"/>
          <w:sz w:val="32"/>
          <w:szCs w:val="32"/>
        </w:rPr>
        <w:t>夜视高清视频、无人机、</w:t>
      </w:r>
      <w:r>
        <w:rPr>
          <w:rFonts w:hint="eastAsia" w:ascii="Times New Roman" w:hAnsi="Times New Roman" w:eastAsia="仿宋_GB2312" w:cs="Times New Roman"/>
          <w:sz w:val="32"/>
          <w:szCs w:val="32"/>
        </w:rPr>
        <w:t>声呐</w:t>
      </w:r>
      <w:bookmarkStart w:id="0" w:name="_GoBack"/>
      <w:bookmarkEnd w:id="0"/>
      <w:r>
        <w:rPr>
          <w:rFonts w:ascii="Times New Roman" w:hAnsi="Times New Roman" w:eastAsia="仿宋_GB2312" w:cs="Times New Roman"/>
          <w:sz w:val="32"/>
          <w:szCs w:val="32"/>
        </w:rPr>
        <w:t>探测仪等开展河道采砂监管。不断</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完善“人防+技防”采砂管理模式，对非法采砂实施精准打击。</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（十）加强部门、区域联防联控。</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联合公安、交通运输、市场监管等部门，开展联防联控。完善部门间定期会商、信息共享、联合检查、联合执法、案件移交等制度，强化协调联动，提高执法效能。常态化开展扫黑除恶斗争，做好河道采砂行政执法与刑事司法的衔接。</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（十一）加强涉砂</w:t>
      </w:r>
      <w:r>
        <w:rPr>
          <w:rFonts w:hint="eastAsia" w:ascii="Times New Roman" w:hAnsi="Times New Roman" w:eastAsia="楷体_GB2312" w:cs="Times New Roman"/>
          <w:b/>
          <w:bCs/>
          <w:sz w:val="32"/>
          <w:szCs w:val="32"/>
        </w:rPr>
        <w:t>机具</w:t>
      </w:r>
      <w:r>
        <w:rPr>
          <w:rFonts w:ascii="Times New Roman" w:hAnsi="Times New Roman" w:eastAsia="楷体_GB2312" w:cs="Times New Roman"/>
          <w:b/>
          <w:bCs/>
          <w:sz w:val="32"/>
          <w:szCs w:val="32"/>
        </w:rPr>
        <w:t>源头管控。</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加强采砂机具管理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严查证件不齐采砂机具，严禁对采砂机具进行非法改装以及建造伪装、隐藏采砂设备。对无法提供有效证照及非法改造的采砂机具，依法采取扣押、没收、拆解等方式进行处置。</w:t>
      </w:r>
    </w:p>
    <w:p>
      <w:pPr>
        <w:pStyle w:val="4"/>
        <w:shd w:val="clear" w:color="auto" w:fill="FFFFFF"/>
        <w:adjustRightInd w:val="0"/>
        <w:snapToGrid w:val="0"/>
        <w:spacing w:before="0" w:beforeAutospacing="0" w:after="0" w:afterAutospacing="0"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五、加强河道采砂管理执法保障</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（十二）加强能力建设。</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w:t>
      </w:r>
      <w:r>
        <w:rPr>
          <w:rFonts w:hint="eastAsia" w:ascii="Times New Roman" w:hAnsi="Times New Roman" w:eastAsia="仿宋_GB2312" w:cs="Times New Roman"/>
          <w:sz w:val="32"/>
          <w:szCs w:val="32"/>
        </w:rPr>
        <w:t>人民政府</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结合行政执法职权下放的现状，做好组织乡镇（街道）执法人员加强</w:t>
      </w:r>
      <w:r>
        <w:rPr>
          <w:rFonts w:ascii="Times New Roman" w:hAnsi="Times New Roman" w:eastAsia="仿宋_GB2312" w:cs="Times New Roman"/>
          <w:sz w:val="32"/>
          <w:szCs w:val="32"/>
        </w:rPr>
        <w:t>河道采砂监管和执法力量，配备必要的执法装备，落实执法经费</w:t>
      </w:r>
      <w:r>
        <w:rPr>
          <w:rFonts w:hint="eastAsia" w:ascii="Times New Roman" w:hAnsi="Times New Roman" w:eastAsia="仿宋_GB2312" w:cs="Times New Roman"/>
          <w:sz w:val="32"/>
          <w:szCs w:val="32"/>
        </w:rPr>
        <w:t>，县级水行政主管部门要做好业务指导</w:t>
      </w:r>
      <w:r>
        <w:rPr>
          <w:rFonts w:ascii="Times New Roman" w:hAnsi="Times New Roman" w:eastAsia="仿宋_GB2312" w:cs="Times New Roman"/>
          <w:sz w:val="32"/>
          <w:szCs w:val="32"/>
        </w:rPr>
        <w:t>。</w:t>
      </w:r>
    </w:p>
    <w:p>
      <w:pPr>
        <w:pStyle w:val="4"/>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（十三）加强社会监督。</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加大河道采砂管理政策法规宣传力度，凝聚全社会关心支持采砂管理的强大合力，营造打击河道非法采砂、规范利用砂石资源的良好氛围。畅通社会监督渠道，依法公开采砂管理责任人、采砂许可及疏浚砂综合利用项目等信息，充分发挥新闻媒体和社会各界的监督作用。</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MTNmMzc4MWRhNzcwYmMwZTY3YjliNzgyNWQ3NTEifQ=="/>
  </w:docVars>
  <w:rsids>
    <w:rsidRoot w:val="0082043C"/>
    <w:rsid w:val="0000071A"/>
    <w:rsid w:val="00044207"/>
    <w:rsid w:val="000527BA"/>
    <w:rsid w:val="00053309"/>
    <w:rsid w:val="00071B65"/>
    <w:rsid w:val="00091543"/>
    <w:rsid w:val="000F3FFE"/>
    <w:rsid w:val="00120102"/>
    <w:rsid w:val="001268CA"/>
    <w:rsid w:val="00160258"/>
    <w:rsid w:val="001B225D"/>
    <w:rsid w:val="00256324"/>
    <w:rsid w:val="00262874"/>
    <w:rsid w:val="00335FC8"/>
    <w:rsid w:val="003D1584"/>
    <w:rsid w:val="003D57F1"/>
    <w:rsid w:val="004320ED"/>
    <w:rsid w:val="00453E88"/>
    <w:rsid w:val="005A4F22"/>
    <w:rsid w:val="005B55CE"/>
    <w:rsid w:val="00627C8C"/>
    <w:rsid w:val="00752D7D"/>
    <w:rsid w:val="00760B45"/>
    <w:rsid w:val="00803C05"/>
    <w:rsid w:val="0082043C"/>
    <w:rsid w:val="00821903"/>
    <w:rsid w:val="00A80052"/>
    <w:rsid w:val="00B14781"/>
    <w:rsid w:val="00B4771E"/>
    <w:rsid w:val="00C41565"/>
    <w:rsid w:val="00CE65AD"/>
    <w:rsid w:val="00CF042B"/>
    <w:rsid w:val="00D74A61"/>
    <w:rsid w:val="00DC5CF1"/>
    <w:rsid w:val="00E17760"/>
    <w:rsid w:val="00E478FB"/>
    <w:rsid w:val="00EE4660"/>
    <w:rsid w:val="00F020A2"/>
    <w:rsid w:val="00F549D5"/>
    <w:rsid w:val="0C013CF8"/>
    <w:rsid w:val="102313C5"/>
    <w:rsid w:val="1BEF2D2A"/>
    <w:rsid w:val="209C30E9"/>
    <w:rsid w:val="346E4AA3"/>
    <w:rsid w:val="47577B1B"/>
    <w:rsid w:val="4E872543"/>
    <w:rsid w:val="566D68B4"/>
    <w:rsid w:val="5A4A57F4"/>
    <w:rsid w:val="5FC87AE6"/>
    <w:rsid w:val="65DC0F6F"/>
    <w:rsid w:val="70147FBF"/>
    <w:rsid w:val="72E94CCB"/>
    <w:rsid w:val="7CB63E70"/>
    <w:rsid w:val="FFBEF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2901</Words>
  <Characters>2914</Characters>
  <Lines>20</Lines>
  <Paragraphs>5</Paragraphs>
  <TotalTime>3</TotalTime>
  <ScaleCrop>false</ScaleCrop>
  <LinksUpToDate>false</LinksUpToDate>
  <CharactersWithSpaces>2929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2024-06-21T12:10:00Z</dcterms:created>
  <dc:creator>lenovo</dc:creator>
  <cp:lastModifiedBy>user</cp:lastModifiedBy>
  <cp:lastPrinted>2024-08-09T17:12:00Z</cp:lastPrinted>
  <dcterms:modified xsi:type="dcterms:W3CDTF">2024-12-12T17:53:35Z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D58F5DC7C6A44643B312A0BFF61B3E52_13</vt:lpwstr>
  </property>
</Properties>
</file>