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outlineLvl w:val="9"/>
        <w:rPr>
          <w:rFonts w:hint="eastAsia" w:ascii="宋体" w:hAnsi="宋体" w:eastAsia="宋体" w:cs="宋体"/>
          <w:b/>
          <w:sz w:val="48"/>
          <w:szCs w:val="48"/>
          <w:lang w:val="en-US" w:eastAsia="zh-CN"/>
        </w:rPr>
      </w:pPr>
      <w:bookmarkStart w:id="0" w:name="_Toc14129"/>
      <w:bookmarkStart w:id="1" w:name="_Toc11392"/>
      <w:bookmarkStart w:id="2" w:name="_Toc13143"/>
    </w:p>
    <w:p>
      <w:pPr>
        <w:pStyle w:val="3"/>
        <w:bidi w:val="0"/>
        <w:jc w:val="center"/>
        <w:rPr>
          <w:rFonts w:ascii="黑体" w:hAnsi="黑体" w:eastAsia="黑体" w:cs="黑体"/>
          <w:sz w:val="36"/>
          <w:szCs w:val="36"/>
        </w:rPr>
      </w:pPr>
      <w:bookmarkStart w:id="3" w:name="_Toc10802"/>
      <w:r>
        <w:rPr>
          <w:rFonts w:hint="eastAsia" w:ascii="宋体" w:hAnsi="宋体" w:eastAsia="宋体" w:cs="宋体"/>
          <w:b/>
          <w:sz w:val="48"/>
          <w:szCs w:val="48"/>
          <w:lang w:val="en-US" w:eastAsia="zh-CN"/>
        </w:rPr>
        <w:t>长子县常张乡常张村</w:t>
      </w:r>
      <w:bookmarkEnd w:id="0"/>
      <w:bookmarkEnd w:id="1"/>
      <w:bookmarkEnd w:id="2"/>
      <w:r>
        <w:rPr>
          <w:rFonts w:hint="eastAsia" w:ascii="宋体" w:hAnsi="宋体" w:eastAsia="宋体" w:cs="宋体"/>
          <w:color w:val="auto"/>
          <w:sz w:val="48"/>
          <w:szCs w:val="48"/>
          <w:lang w:eastAsia="zh-CN"/>
        </w:rPr>
        <w:t>常丰蔬菜种植园区</w:t>
      </w:r>
      <w:bookmarkEnd w:id="3"/>
    </w:p>
    <w:p>
      <w:pPr>
        <w:jc w:val="center"/>
        <w:outlineLvl w:val="0"/>
        <w:rPr>
          <w:rFonts w:hint="eastAsia" w:ascii="新宋体" w:eastAsia="新宋体"/>
          <w:b/>
          <w:sz w:val="48"/>
          <w:szCs w:val="48"/>
          <w:lang w:eastAsia="zh-CN"/>
        </w:rPr>
      </w:pPr>
      <w:bookmarkStart w:id="4" w:name="_Toc26634"/>
      <w:r>
        <w:rPr>
          <w:rFonts w:hint="eastAsia" w:ascii="新宋体" w:eastAsia="新宋体"/>
          <w:b/>
          <w:sz w:val="48"/>
          <w:szCs w:val="48"/>
          <w:lang w:eastAsia="zh-CN"/>
        </w:rPr>
        <w:t>建设项目</w:t>
      </w:r>
      <w:bookmarkEnd w:id="4"/>
    </w:p>
    <w:p>
      <w:pPr>
        <w:jc w:val="center"/>
        <w:rPr>
          <w:b/>
          <w:sz w:val="84"/>
          <w:szCs w:val="84"/>
        </w:rPr>
      </w:pPr>
    </w:p>
    <w:p>
      <w:pPr>
        <w:jc w:val="center"/>
        <w:outlineLvl w:val="0"/>
        <w:rPr>
          <w:b/>
          <w:sz w:val="84"/>
          <w:szCs w:val="84"/>
        </w:rPr>
      </w:pPr>
      <w:bookmarkStart w:id="5" w:name="_Toc12968"/>
      <w:r>
        <w:rPr>
          <w:rFonts w:hint="eastAsia"/>
          <w:b/>
          <w:sz w:val="84"/>
          <w:szCs w:val="84"/>
        </w:rPr>
        <w:t>实</w:t>
      </w:r>
      <w:bookmarkEnd w:id="5"/>
    </w:p>
    <w:p>
      <w:pPr>
        <w:jc w:val="center"/>
        <w:rPr>
          <w:b/>
          <w:sz w:val="44"/>
          <w:szCs w:val="44"/>
        </w:rPr>
      </w:pPr>
    </w:p>
    <w:p>
      <w:pPr>
        <w:jc w:val="center"/>
        <w:outlineLvl w:val="0"/>
        <w:rPr>
          <w:b/>
          <w:sz w:val="84"/>
          <w:szCs w:val="84"/>
        </w:rPr>
      </w:pPr>
      <w:bookmarkStart w:id="6" w:name="_Toc12811"/>
      <w:r>
        <w:rPr>
          <w:rFonts w:hint="eastAsia"/>
          <w:b/>
          <w:sz w:val="84"/>
          <w:szCs w:val="84"/>
        </w:rPr>
        <w:t>施</w:t>
      </w:r>
      <w:bookmarkEnd w:id="6"/>
    </w:p>
    <w:p>
      <w:pPr>
        <w:jc w:val="center"/>
        <w:rPr>
          <w:b/>
          <w:sz w:val="44"/>
          <w:szCs w:val="44"/>
        </w:rPr>
      </w:pPr>
    </w:p>
    <w:p>
      <w:pPr>
        <w:jc w:val="center"/>
        <w:outlineLvl w:val="0"/>
        <w:rPr>
          <w:b/>
          <w:sz w:val="84"/>
          <w:szCs w:val="84"/>
        </w:rPr>
      </w:pPr>
      <w:bookmarkStart w:id="7" w:name="_Toc4899"/>
      <w:r>
        <w:rPr>
          <w:rFonts w:hint="eastAsia"/>
          <w:b/>
          <w:sz w:val="84"/>
          <w:szCs w:val="84"/>
        </w:rPr>
        <w:t>方</w:t>
      </w:r>
      <w:bookmarkEnd w:id="7"/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案</w:t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jc w:val="center"/>
        <w:outlineLvl w:val="0"/>
        <w:rPr>
          <w:rFonts w:eastAsia="宋体"/>
          <w:b/>
          <w:sz w:val="36"/>
          <w:szCs w:val="36"/>
        </w:rPr>
      </w:pPr>
      <w:bookmarkStart w:id="8" w:name="_Toc6985"/>
      <w:r>
        <w:rPr>
          <w:rFonts w:hint="eastAsia" w:cs="宋体"/>
          <w:b/>
          <w:sz w:val="36"/>
          <w:szCs w:val="36"/>
          <w:lang w:eastAsia="zh-CN"/>
        </w:rPr>
        <w:t>长子县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常张乡常张村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  <w:t>股份经济合作社</w:t>
      </w:r>
      <w:bookmarkEnd w:id="8"/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spacing w:before="0" w:after="0" w:line="240" w:lineRule="auto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before="0" w:after="0" w:line="240" w:lineRule="auto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before="0" w:after="0" w:line="240" w:lineRule="auto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目录</w:t>
      </w:r>
    </w:p>
    <w:p>
      <w:pPr>
        <w:pStyle w:val="12"/>
        <w:tabs>
          <w:tab w:val="right" w:leader="dot" w:pos="8306"/>
        </w:tabs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TOC \o "1-2" \h \u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</w:p>
    <w:p>
      <w:pPr>
        <w:pStyle w:val="12"/>
        <w:tabs>
          <w:tab w:val="right" w:leader="dot" w:pos="8306"/>
        </w:tabs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HYPERLINK \l _Toc29736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村级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现状</w:t>
      </w:r>
      <w:r>
        <w:rPr>
          <w:rFonts w:hint="eastAsia" w:ascii="宋体" w:hAnsi="宋体" w:eastAsia="宋体" w:cs="宋体"/>
          <w:b/>
          <w:sz w:val="28"/>
          <w:szCs w:val="28"/>
        </w:rPr>
        <w:tab/>
      </w: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PAGEREF _Toc29736 \h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</w:p>
    <w:p>
      <w:pPr>
        <w:pStyle w:val="12"/>
        <w:tabs>
          <w:tab w:val="right" w:leader="dot" w:pos="8306"/>
        </w:tabs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HYPERLINK \l _Toc2508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sz w:val="28"/>
          <w:szCs w:val="28"/>
        </w:rPr>
        <w:t>二、项目建设的必要性与可行性</w:t>
      </w:r>
      <w:r>
        <w:rPr>
          <w:rFonts w:hint="eastAsia" w:ascii="宋体" w:hAnsi="宋体" w:eastAsia="宋体" w:cs="宋体"/>
          <w:b/>
          <w:sz w:val="28"/>
          <w:szCs w:val="28"/>
        </w:rPr>
        <w:tab/>
      </w: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PAGEREF _Toc2508 \h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sz w:val="28"/>
          <w:szCs w:val="28"/>
        </w:rPr>
        <w:t>4</w: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</w:p>
    <w:p>
      <w:pPr>
        <w:pStyle w:val="12"/>
        <w:tabs>
          <w:tab w:val="right" w:leader="dot" w:pos="8306"/>
        </w:tabs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HYPERLINK \l _Toc27274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sz w:val="28"/>
          <w:szCs w:val="28"/>
        </w:rPr>
        <w:t>三、项目建设地点、规模与建设时间</w:t>
      </w:r>
      <w:r>
        <w:rPr>
          <w:rFonts w:hint="eastAsia" w:ascii="宋体" w:hAnsi="宋体" w:eastAsia="宋体" w:cs="宋体"/>
          <w:b/>
          <w:sz w:val="28"/>
          <w:szCs w:val="28"/>
        </w:rPr>
        <w:tab/>
      </w: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PAGEREF _Toc27274 \h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sz w:val="28"/>
          <w:szCs w:val="28"/>
        </w:rPr>
        <w:t>5</w: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</w:p>
    <w:p>
      <w:pPr>
        <w:pStyle w:val="12"/>
        <w:tabs>
          <w:tab w:val="right" w:leader="dot" w:pos="8306"/>
        </w:tabs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HYPERLINK \l _Toc25830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sz w:val="28"/>
          <w:szCs w:val="28"/>
        </w:rPr>
        <w:t>四、技术措施</w:t>
      </w:r>
      <w:r>
        <w:rPr>
          <w:rFonts w:hint="eastAsia" w:ascii="宋体" w:hAnsi="宋体" w:eastAsia="宋体" w:cs="宋体"/>
          <w:b/>
          <w:sz w:val="28"/>
          <w:szCs w:val="28"/>
        </w:rPr>
        <w:tab/>
      </w: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PAGEREF _Toc25830 \h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sz w:val="28"/>
          <w:szCs w:val="28"/>
        </w:rPr>
        <w:t>5</w: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</w:p>
    <w:p>
      <w:pPr>
        <w:pStyle w:val="12"/>
        <w:tabs>
          <w:tab w:val="right" w:leader="dot" w:pos="8306"/>
        </w:tabs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HYPERLINK \l _Toc26111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sz w:val="28"/>
          <w:szCs w:val="28"/>
        </w:rPr>
        <w:t>五、建设内容与资金使用计划</w:t>
      </w:r>
      <w:r>
        <w:rPr>
          <w:rFonts w:hint="eastAsia" w:ascii="宋体" w:hAnsi="宋体" w:eastAsia="宋体" w:cs="宋体"/>
          <w:b/>
          <w:sz w:val="28"/>
          <w:szCs w:val="28"/>
        </w:rPr>
        <w:tab/>
      </w: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PAGEREF _Toc26111 \h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sz w:val="28"/>
          <w:szCs w:val="28"/>
        </w:rPr>
        <w:t>9</w: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</w:p>
    <w:p>
      <w:pPr>
        <w:pStyle w:val="12"/>
        <w:tabs>
          <w:tab w:val="right" w:leader="dot" w:pos="8306"/>
        </w:tabs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HYPERLINK \l _Toc22324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六、项目总投资及资金来源</w:t>
      </w:r>
      <w:r>
        <w:rPr>
          <w:rFonts w:hint="eastAsia" w:ascii="宋体" w:hAnsi="宋体" w:eastAsia="宋体" w:cs="宋体"/>
          <w:b/>
          <w:sz w:val="28"/>
          <w:szCs w:val="28"/>
        </w:rPr>
        <w:tab/>
      </w: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PAGEREF _Toc22324 \h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sz w:val="28"/>
          <w:szCs w:val="28"/>
        </w:rPr>
        <w:t>9</w: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</w:p>
    <w:p>
      <w:pPr>
        <w:pStyle w:val="12"/>
        <w:tabs>
          <w:tab w:val="right" w:leader="dot" w:pos="8306"/>
        </w:tabs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HYPERLINK \l _Toc3706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sz w:val="28"/>
          <w:szCs w:val="28"/>
        </w:rPr>
        <w:t>七、组织及管理措施</w:t>
      </w:r>
      <w:r>
        <w:rPr>
          <w:rFonts w:hint="eastAsia" w:ascii="宋体" w:hAnsi="宋体" w:eastAsia="宋体" w:cs="宋体"/>
          <w:b/>
          <w:sz w:val="28"/>
          <w:szCs w:val="28"/>
        </w:rPr>
        <w:tab/>
      </w: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PAGEREF _Toc3706 \h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sz w:val="28"/>
          <w:szCs w:val="28"/>
        </w:rPr>
        <w:t>9</w: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</w:p>
    <w:p>
      <w:pPr>
        <w:pStyle w:val="12"/>
        <w:tabs>
          <w:tab w:val="right" w:leader="dot" w:pos="8306"/>
        </w:tabs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HYPERLINK \l _Toc12058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sz w:val="28"/>
          <w:szCs w:val="28"/>
        </w:rPr>
        <w:t>八、项目效益评价</w:t>
      </w:r>
      <w:r>
        <w:rPr>
          <w:rFonts w:hint="eastAsia" w:ascii="宋体" w:hAnsi="宋体" w:eastAsia="宋体" w:cs="宋体"/>
          <w:b/>
          <w:sz w:val="28"/>
          <w:szCs w:val="28"/>
        </w:rPr>
        <w:tab/>
      </w: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PAGEREF _Toc12058 \h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sz w:val="28"/>
          <w:szCs w:val="28"/>
        </w:rPr>
        <w:t>11</w: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</w:p>
    <w:p>
      <w:pPr>
        <w:pStyle w:val="13"/>
        <w:tabs>
          <w:tab w:val="right" w:leader="dot" w:pos="8306"/>
        </w:tabs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_Toc29092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1.社会效益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_Toc29092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pStyle w:val="13"/>
        <w:tabs>
          <w:tab w:val="right" w:leader="dot" w:pos="8306"/>
        </w:tabs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_Toc27387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2.经济效益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_Toc27387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pStyle w:val="13"/>
        <w:tabs>
          <w:tab w:val="right" w:leader="dot" w:pos="8306"/>
        </w:tabs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_Toc28546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3.生态效益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_Toc28546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</w:p>
    <w:p>
      <w:pPr>
        <w:pStyle w:val="3"/>
        <w:bidi w:val="0"/>
        <w:jc w:val="center"/>
        <w:rPr>
          <w:rFonts w:hint="eastAsia" w:ascii="宋体" w:hAnsi="宋体" w:eastAsia="宋体" w:cs="宋体"/>
          <w:b/>
          <w:sz w:val="48"/>
          <w:szCs w:val="48"/>
          <w:lang w:val="en-US" w:eastAsia="zh-CN"/>
        </w:rPr>
      </w:pPr>
      <w:bookmarkStart w:id="9" w:name="_Toc25850"/>
    </w:p>
    <w:p>
      <w:pPr>
        <w:pStyle w:val="3"/>
        <w:bidi w:val="0"/>
        <w:jc w:val="center"/>
        <w:rPr>
          <w:rFonts w:hint="eastAsia" w:ascii="宋体" w:hAnsi="宋体" w:eastAsia="宋体" w:cs="宋体"/>
          <w:b/>
          <w:sz w:val="48"/>
          <w:szCs w:val="48"/>
          <w:lang w:val="en-US" w:eastAsia="zh-CN"/>
        </w:rPr>
      </w:pPr>
    </w:p>
    <w:p>
      <w:pPr>
        <w:pStyle w:val="3"/>
        <w:bidi w:val="0"/>
        <w:jc w:val="center"/>
        <w:rPr>
          <w:rFonts w:hint="eastAsia" w:ascii="宋体" w:hAnsi="宋体" w:eastAsia="宋体" w:cs="宋体"/>
          <w:b/>
          <w:sz w:val="48"/>
          <w:szCs w:val="48"/>
          <w:lang w:val="en-US" w:eastAsia="zh-CN"/>
        </w:rPr>
      </w:pPr>
    </w:p>
    <w:p>
      <w:pPr>
        <w:pStyle w:val="3"/>
        <w:bidi w:val="0"/>
        <w:jc w:val="center"/>
        <w:rPr>
          <w:rFonts w:hint="eastAsia" w:ascii="宋体" w:hAnsi="宋体" w:eastAsia="宋体" w:cs="宋体"/>
          <w:b/>
          <w:sz w:val="48"/>
          <w:szCs w:val="48"/>
          <w:lang w:val="en-US" w:eastAsia="zh-CN"/>
        </w:rPr>
      </w:pPr>
    </w:p>
    <w:p>
      <w:pPr>
        <w:pStyle w:val="3"/>
        <w:bidi w:val="0"/>
        <w:jc w:val="center"/>
        <w:rPr>
          <w:rFonts w:hint="eastAsia" w:ascii="宋体" w:hAnsi="宋体" w:eastAsia="宋体" w:cs="宋体"/>
          <w:b/>
          <w:sz w:val="48"/>
          <w:szCs w:val="48"/>
          <w:lang w:val="en-US" w:eastAsia="zh-CN"/>
        </w:rPr>
      </w:pPr>
    </w:p>
    <w:p>
      <w:pPr>
        <w:pStyle w:val="3"/>
        <w:bidi w:val="0"/>
        <w:jc w:val="center"/>
        <w:rPr>
          <w:rFonts w:hint="eastAsia" w:ascii="宋体" w:hAnsi="宋体" w:eastAsia="宋体" w:cs="宋体"/>
          <w:b/>
          <w:sz w:val="48"/>
          <w:szCs w:val="48"/>
          <w:lang w:val="en-US" w:eastAsia="zh-CN"/>
        </w:rPr>
      </w:pPr>
    </w:p>
    <w:p>
      <w:pPr>
        <w:pStyle w:val="3"/>
        <w:bidi w:val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宋体" w:hAnsi="宋体" w:eastAsia="宋体" w:cs="宋体"/>
          <w:b/>
          <w:sz w:val="48"/>
          <w:szCs w:val="48"/>
          <w:lang w:val="en-US" w:eastAsia="zh-CN"/>
        </w:rPr>
        <w:t>长子县常张乡常张村</w:t>
      </w:r>
      <w:r>
        <w:rPr>
          <w:rFonts w:hint="eastAsia" w:ascii="宋体" w:hAnsi="宋体" w:eastAsia="宋体" w:cs="宋体"/>
          <w:color w:val="auto"/>
          <w:sz w:val="48"/>
          <w:szCs w:val="48"/>
          <w:lang w:eastAsia="zh-CN"/>
        </w:rPr>
        <w:t>常丰蔬菜种植园区</w:t>
      </w:r>
      <w:bookmarkEnd w:id="9"/>
    </w:p>
    <w:p>
      <w:pPr>
        <w:jc w:val="center"/>
        <w:rPr>
          <w:rFonts w:hint="eastAsia" w:ascii="新宋体" w:eastAsia="新宋体"/>
          <w:b/>
          <w:sz w:val="36"/>
          <w:szCs w:val="36"/>
          <w:lang w:eastAsia="zh-CN"/>
        </w:rPr>
      </w:pPr>
      <w:r>
        <w:rPr>
          <w:rFonts w:hint="eastAsia" w:ascii="新宋体" w:eastAsia="新宋体"/>
          <w:b/>
          <w:sz w:val="48"/>
          <w:szCs w:val="48"/>
          <w:lang w:eastAsia="zh-CN"/>
        </w:rPr>
        <w:t>建设项目</w:t>
      </w:r>
      <w:r>
        <w:rPr>
          <w:rFonts w:hint="eastAsia" w:ascii="新宋体" w:eastAsia="新宋体"/>
          <w:b/>
          <w:sz w:val="36"/>
          <w:szCs w:val="36"/>
          <w:lang w:eastAsia="zh-CN"/>
        </w:rPr>
        <w:t xml:space="preserve"> </w:t>
      </w:r>
    </w:p>
    <w:p>
      <w:pPr>
        <w:ind w:firstLine="707" w:firstLineChars="220"/>
        <w:rPr>
          <w:b/>
          <w:bCs/>
          <w:color w:val="000000"/>
          <w:sz w:val="32"/>
          <w:szCs w:val="32"/>
        </w:rPr>
      </w:pPr>
    </w:p>
    <w:p>
      <w:pPr>
        <w:ind w:firstLine="707" w:firstLineChars="220"/>
        <w:outlineLvl w:val="0"/>
        <w:rPr>
          <w:rFonts w:eastAsia="宋体"/>
          <w:b/>
          <w:bCs/>
          <w:sz w:val="32"/>
          <w:szCs w:val="32"/>
        </w:rPr>
      </w:pPr>
      <w:bookmarkStart w:id="10" w:name="_Toc29736"/>
      <w:r>
        <w:rPr>
          <w:rFonts w:hint="eastAsia"/>
          <w:b/>
          <w:bCs/>
          <w:color w:val="000000"/>
          <w:sz w:val="32"/>
          <w:szCs w:val="32"/>
        </w:rPr>
        <w:t>一</w:t>
      </w:r>
      <w:r>
        <w:rPr>
          <w:rFonts w:hint="eastAsia"/>
          <w:b/>
          <w:bCs/>
          <w:sz w:val="32"/>
          <w:szCs w:val="32"/>
        </w:rPr>
        <w:t>、</w:t>
      </w:r>
      <w:r>
        <w:rPr>
          <w:rFonts w:hint="eastAsia"/>
          <w:b/>
          <w:bCs/>
          <w:sz w:val="32"/>
          <w:szCs w:val="32"/>
          <w:lang w:eastAsia="zh-CN"/>
        </w:rPr>
        <w:t>村级</w:t>
      </w:r>
      <w:r>
        <w:rPr>
          <w:rFonts w:hint="eastAsia"/>
          <w:b/>
          <w:bCs/>
          <w:sz w:val="32"/>
          <w:szCs w:val="32"/>
        </w:rPr>
        <w:t>现状</w:t>
      </w:r>
      <w:bookmarkEnd w:id="10"/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长子县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常张乡常张村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股份经济合作社成立于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2020年3月，法人代表为郭晓辉，主要经营范围为：常张乡常张村集体资产经营与管理、集体资源开发与利用、农业生产发展与服务等。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常张乡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常张</w:t>
      </w:r>
      <w:r>
        <w:rPr>
          <w:rFonts w:hint="eastAsia" w:ascii="仿宋_GB2312" w:hAnsi="仿宋_GB2312" w:eastAsia="仿宋_GB2312" w:cs="仿宋_GB2312"/>
          <w:sz w:val="32"/>
          <w:szCs w:val="32"/>
        </w:rPr>
        <w:t>村位于长子县城西，距离县城五公里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村域面积 2.73 平方公里，耕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3000亩，主要以种植玉米、苹果、大棚蔬菜为主。户籍人口435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</w:rPr>
        <w:t>1384人，常住人口260户830人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。常张村村民主要收入来源为农业生产，由于当地少数村民从事蔬菜种植生产，经济增收速度快，带头示范效果较好，村民</w:t>
      </w:r>
      <w:bookmarkStart w:id="34" w:name="_GoBack"/>
      <w:bookmarkEnd w:id="34"/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强烈要求进一步扩大设施蔬菜种植面积，引进蔬菜绿色标准化种植新技术、新品种、种植新模式，在当地进行试验示范推广。为此，合作社主要领导与成员计划建设高标准覆被式钢架大棚4座、日光温室大棚3座，总占地面积80亩，用于进行绿色蔬菜标准化生产新模式试验示范。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长子县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常张乡常张村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股份经济合作社，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积极探索集体经济发展途径和管理模式，逐步形成具有活力、后劲、激励机制健全，管理制度规范的村级集体经济组织。整合集体资产，进行土地发包等多途径创收，年收入为3.6万元以上，用于集体经济再发展投资与村内基础设施建设。目前合作社为</w:t>
      </w:r>
      <w:r>
        <w:rPr>
          <w:rFonts w:hint="eastAsia" w:ascii="仿宋_GB2312" w:eastAsia="仿宋_GB2312" w:cs="仿宋_GB2312"/>
          <w:sz w:val="32"/>
          <w:szCs w:val="32"/>
        </w:rPr>
        <w:t>示范带动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本村</w:t>
      </w:r>
      <w:r>
        <w:rPr>
          <w:rFonts w:hint="eastAsia" w:ascii="仿宋_GB2312" w:eastAsia="仿宋_GB2312" w:cs="仿宋_GB2312"/>
          <w:sz w:val="32"/>
          <w:szCs w:val="32"/>
        </w:rPr>
        <w:t>农户进行科学规范种植蔬菜，进一步增加农户收益，带动当地经济发展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决定实施“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常丰蔬菜种植园区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建设项目</w:t>
      </w:r>
      <w:r>
        <w:rPr>
          <w:rFonts w:hint="eastAsia" w:ascii="仿宋_GB2312" w:eastAsia="仿宋_GB2312" w:cs="仿宋_GB2312"/>
          <w:sz w:val="32"/>
          <w:szCs w:val="32"/>
        </w:rPr>
        <w:t>”。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常张村</w:t>
      </w:r>
      <w:r>
        <w:rPr>
          <w:rFonts w:hint="eastAsia" w:ascii="仿宋_GB2312" w:eastAsia="仿宋_GB2312" w:cs="仿宋_GB2312"/>
          <w:sz w:val="32"/>
          <w:szCs w:val="32"/>
        </w:rPr>
        <w:t>现有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脱贫户及监测户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户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人，项目建成后，</w:t>
      </w:r>
      <w:r>
        <w:rPr>
          <w:rFonts w:hint="eastAsia" w:ascii="仿宋_GB2312" w:eastAsia="仿宋_GB2312" w:cs="仿宋_GB2312"/>
          <w:sz w:val="32"/>
          <w:szCs w:val="32"/>
        </w:rPr>
        <w:t>每年生产蔬菜获得的收益部分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以不少于下拨资金的7%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，一部分统筹</w:t>
      </w:r>
      <w:r>
        <w:rPr>
          <w:rFonts w:hint="eastAsia" w:ascii="仿宋_GB2312" w:eastAsia="仿宋_GB2312" w:cs="仿宋_GB2312"/>
          <w:sz w:val="32"/>
          <w:szCs w:val="32"/>
        </w:rPr>
        <w:t>用于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全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脱贫户及监测户中的困难群体帮扶，一部分继续用于发展壮大集体经济</w:t>
      </w:r>
      <w:r>
        <w:rPr>
          <w:rFonts w:hint="eastAsia" w:asci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园区</w:t>
      </w:r>
      <w:r>
        <w:rPr>
          <w:rFonts w:hint="eastAsia" w:ascii="仿宋_GB2312" w:eastAsia="仿宋_GB2312" w:cs="仿宋_GB2312"/>
          <w:sz w:val="32"/>
          <w:szCs w:val="32"/>
        </w:rPr>
        <w:t>内蔬菜生产过程中雇用工人主要从本村农户与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脱贫户及监测户</w:t>
      </w:r>
      <w:r>
        <w:rPr>
          <w:rFonts w:hint="eastAsia" w:ascii="仿宋_GB2312" w:eastAsia="仿宋_GB2312" w:cs="仿宋_GB2312"/>
          <w:sz w:val="32"/>
          <w:szCs w:val="32"/>
        </w:rPr>
        <w:t>中选择，从而增加本村农户与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脱贫户及监测户</w:t>
      </w:r>
      <w:r>
        <w:rPr>
          <w:rFonts w:hint="eastAsia" w:ascii="仿宋_GB2312" w:eastAsia="仿宋_GB2312" w:cs="仿宋_GB2312"/>
          <w:sz w:val="32"/>
          <w:szCs w:val="32"/>
        </w:rPr>
        <w:t>收益渠道，助力本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eastAsia="仿宋_GB2312" w:cs="仿宋_GB2312"/>
          <w:sz w:val="32"/>
          <w:szCs w:val="32"/>
        </w:rPr>
        <w:t>乡村振兴与新农村建设工作。</w:t>
      </w:r>
    </w:p>
    <w:p>
      <w:pPr>
        <w:ind w:firstLine="707" w:firstLineChars="220"/>
        <w:outlineLvl w:val="0"/>
        <w:rPr>
          <w:b/>
          <w:sz w:val="32"/>
          <w:szCs w:val="32"/>
        </w:rPr>
      </w:pPr>
      <w:bookmarkStart w:id="11" w:name="_Toc2508"/>
      <w:r>
        <w:rPr>
          <w:rFonts w:hint="eastAsia"/>
          <w:b/>
          <w:sz w:val="32"/>
          <w:szCs w:val="32"/>
        </w:rPr>
        <w:t>二、</w:t>
      </w:r>
      <w:r>
        <w:rPr>
          <w:b/>
          <w:sz w:val="32"/>
          <w:szCs w:val="32"/>
        </w:rPr>
        <w:t>项目建设的必要性与可行性</w:t>
      </w:r>
      <w:bookmarkEnd w:id="11"/>
    </w:p>
    <w:p>
      <w:pPr>
        <w:ind w:firstLine="704" w:firstLineChars="220"/>
        <w:outlineLvl w:val="1"/>
        <w:rPr>
          <w:rFonts w:ascii="仿宋_GB2312" w:eastAsia="仿宋_GB2312" w:cs="仿宋_GB2312"/>
          <w:sz w:val="32"/>
          <w:szCs w:val="32"/>
        </w:rPr>
      </w:pPr>
      <w:bookmarkStart w:id="12" w:name="_Toc10123"/>
      <w:r>
        <w:rPr>
          <w:rFonts w:hint="eastAsia" w:ascii="仿宋_GB2312" w:eastAsia="仿宋_GB2312" w:cs="仿宋_GB2312"/>
          <w:sz w:val="32"/>
          <w:szCs w:val="32"/>
        </w:rPr>
        <w:t>1、项目建设的必要性</w:t>
      </w:r>
      <w:bookmarkEnd w:id="12"/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常张乡常张村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耕地主要种植玉米，近年来发展了少数设施大棚，由于缺乏种植技术与经验，日常管理中不断出现这样那样的问题，村民自己又无法解决，种植过程中不敢引进新品种与新技术，导致种植收益提高不快，为尽快带动当地农户种菜积极性，增加村民对蔬菜种植新技术、新品种、新模式的认识，合作社决定建设示范区进行试验示范，然后向全村推广，进而带动周边村庄进行种植。</w:t>
      </w:r>
    </w:p>
    <w:p>
      <w:pPr>
        <w:ind w:firstLine="704" w:firstLineChars="220"/>
        <w:outlineLvl w:val="1"/>
        <w:rPr>
          <w:rFonts w:ascii="仿宋_GB2312" w:eastAsia="仿宋_GB2312" w:cs="仿宋_GB2312"/>
          <w:sz w:val="32"/>
          <w:szCs w:val="32"/>
        </w:rPr>
      </w:pPr>
      <w:bookmarkStart w:id="13" w:name="_Toc31165"/>
      <w:r>
        <w:rPr>
          <w:rFonts w:hint="eastAsia" w:ascii="仿宋_GB2312" w:eastAsia="仿宋_GB2312" w:cs="仿宋_GB2312"/>
          <w:sz w:val="32"/>
          <w:szCs w:val="32"/>
        </w:rPr>
        <w:t>2、项目建设的可行性</w:t>
      </w:r>
      <w:bookmarkEnd w:id="13"/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项目区</w:t>
      </w:r>
      <w:r>
        <w:rPr>
          <w:rFonts w:hint="eastAsia" w:ascii="仿宋_GB2312" w:eastAsia="仿宋_GB2312" w:cs="仿宋_GB2312"/>
          <w:sz w:val="32"/>
          <w:szCs w:val="32"/>
        </w:rPr>
        <w:t>所在地地平水浅，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合作社已与农户签订了土地租赁合同，合作社部分成员从事过蔬菜生产，有蔬菜规模化生产的管理经验，有蔬菜产品外销渠道，了解当地蔬菜在全国蔬菜市场销售空档期生产的认知，从事蔬菜生产风险小，收益高。周围</w:t>
      </w:r>
      <w:r>
        <w:rPr>
          <w:rFonts w:hint="eastAsia" w:ascii="仿宋_GB2312" w:eastAsia="仿宋_GB2312" w:cs="仿宋_GB2312"/>
          <w:sz w:val="32"/>
          <w:szCs w:val="32"/>
        </w:rPr>
        <w:t>农户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种蔬菜积极性高，愿意从事蔬菜生产工作。</w:t>
      </w:r>
    </w:p>
    <w:p>
      <w:pPr>
        <w:ind w:firstLine="707" w:firstLineChars="220"/>
        <w:outlineLvl w:val="0"/>
        <w:rPr>
          <w:b/>
          <w:sz w:val="32"/>
          <w:szCs w:val="32"/>
        </w:rPr>
      </w:pPr>
      <w:bookmarkStart w:id="14" w:name="_Toc27274"/>
      <w:r>
        <w:rPr>
          <w:b/>
          <w:sz w:val="32"/>
          <w:szCs w:val="32"/>
        </w:rPr>
        <w:t>三、</w:t>
      </w:r>
      <w:r>
        <w:rPr>
          <w:rFonts w:hint="eastAsia"/>
          <w:b/>
          <w:sz w:val="32"/>
          <w:szCs w:val="32"/>
        </w:rPr>
        <w:t>项目</w:t>
      </w:r>
      <w:r>
        <w:rPr>
          <w:b/>
          <w:sz w:val="32"/>
          <w:szCs w:val="32"/>
        </w:rPr>
        <w:t>建设</w:t>
      </w:r>
      <w:r>
        <w:rPr>
          <w:rFonts w:hint="eastAsia"/>
          <w:b/>
          <w:sz w:val="32"/>
          <w:szCs w:val="32"/>
        </w:rPr>
        <w:t>地点、规</w:t>
      </w:r>
      <w:r>
        <w:rPr>
          <w:b/>
          <w:sz w:val="32"/>
          <w:szCs w:val="32"/>
        </w:rPr>
        <w:t>模</w:t>
      </w:r>
      <w:r>
        <w:rPr>
          <w:rFonts w:hint="eastAsia"/>
          <w:b/>
          <w:sz w:val="32"/>
          <w:szCs w:val="32"/>
        </w:rPr>
        <w:t>与建设时间</w:t>
      </w:r>
      <w:bookmarkEnd w:id="14"/>
    </w:p>
    <w:p>
      <w:pPr>
        <w:ind w:firstLine="704" w:firstLineChars="220"/>
        <w:rPr>
          <w:rFonts w:hint="default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z w:val="32"/>
          <w:szCs w:val="32"/>
        </w:rPr>
        <w:t>项目建</w:t>
      </w:r>
      <w:r>
        <w:rPr>
          <w:rFonts w:ascii="仿宋_GB2312" w:eastAsia="仿宋_GB2312" w:cs="仿宋_GB2312"/>
          <w:sz w:val="32"/>
          <w:szCs w:val="32"/>
        </w:rPr>
        <w:t>设</w:t>
      </w:r>
      <w:r>
        <w:rPr>
          <w:rFonts w:hint="eastAsia" w:ascii="仿宋_GB2312" w:eastAsia="仿宋_GB2312" w:cs="仿宋_GB2312"/>
          <w:sz w:val="32"/>
          <w:szCs w:val="32"/>
        </w:rPr>
        <w:t>地点为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常张乡常张村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建设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规模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为80</w:t>
      </w:r>
      <w:r>
        <w:rPr>
          <w:rFonts w:hint="eastAsia" w:ascii="仿宋_GB2312" w:eastAsia="仿宋_GB2312" w:cs="仿宋_GB2312"/>
          <w:sz w:val="32"/>
          <w:szCs w:val="32"/>
        </w:rPr>
        <w:t>亩，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建设内容为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栋高标准覆被式钢架大棚和3座日光温室大棚。每栋覆被式大棚宽20米，棚长235米，占地面积为4700平方米，4栋覆被式大棚总占地面积为18800平方米，每栋大棚棚间距为3米。每栋日光温室大棚宽18米，棚长150米，占地面积为2700平方米，3栋日光温室大棚总占地面积为8100平方米，每栋大棚棚间距为6米，基地总面积为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80亩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配套建设水电管网及滴灌设施，安装棚内电动运输轨道，购置旋耕机1台、除草机1台、全自动打药机3台。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项目建设时间为202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仿宋_GB2312"/>
          <w:sz w:val="32"/>
          <w:szCs w:val="32"/>
        </w:rPr>
        <w:t>月－202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月，共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个月时间。</w:t>
      </w:r>
    </w:p>
    <w:p>
      <w:pPr>
        <w:ind w:firstLine="674" w:firstLineChars="321"/>
        <w:outlineLvl w:val="0"/>
        <w:rPr>
          <w:b/>
          <w:sz w:val="32"/>
          <w:szCs w:val="32"/>
        </w:rPr>
      </w:pPr>
      <w:bookmarkStart w:id="15" w:name="_Toc25830"/>
      <w:r>
        <w:fldChar w:fldCharType="begin"/>
      </w:r>
      <w:r>
        <w:instrText xml:space="preserve"> HYPERLINK "file:///C:\\Users\\Administrator\\Desktop\\绿色蔬菜扶贫基地建设项目%20(3).doc%23_Toc334460065" </w:instrText>
      </w:r>
      <w:r>
        <w:fldChar w:fldCharType="separate"/>
      </w:r>
      <w:r>
        <w:rPr>
          <w:rFonts w:hint="eastAsia"/>
          <w:b/>
          <w:sz w:val="32"/>
          <w:szCs w:val="32"/>
        </w:rPr>
        <w:t>四、技术措施</w:t>
      </w:r>
      <w:r>
        <w:rPr>
          <w:rFonts w:hint="eastAsia"/>
          <w:b/>
          <w:sz w:val="32"/>
          <w:szCs w:val="32"/>
        </w:rPr>
        <w:fldChar w:fldCharType="end"/>
      </w:r>
      <w:bookmarkEnd w:id="15"/>
    </w:p>
    <w:p>
      <w:pPr>
        <w:ind w:firstLine="707" w:firstLineChars="221"/>
        <w:outlineLvl w:val="1"/>
        <w:rPr>
          <w:rFonts w:hint="eastAsia" w:eastAsia="宋体"/>
          <w:b w:val="0"/>
          <w:bCs w:val="0"/>
          <w:sz w:val="32"/>
          <w:szCs w:val="32"/>
          <w:lang w:eastAsia="zh-CN"/>
        </w:rPr>
      </w:pPr>
      <w:bookmarkStart w:id="16" w:name="_Toc18103"/>
      <w:r>
        <w:rPr>
          <w:b w:val="0"/>
          <w:bCs w:val="0"/>
          <w:sz w:val="32"/>
          <w:szCs w:val="32"/>
        </w:rPr>
        <w:t>一）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高标准</w:t>
      </w:r>
      <w:r>
        <w:rPr>
          <w:rFonts w:hint="eastAsia"/>
          <w:b w:val="0"/>
          <w:bCs w:val="0"/>
          <w:sz w:val="32"/>
          <w:szCs w:val="32"/>
          <w:lang w:eastAsia="zh-CN"/>
        </w:rPr>
        <w:t>覆被式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钢架</w:t>
      </w:r>
      <w:r>
        <w:rPr>
          <w:rFonts w:hint="eastAsia"/>
          <w:b w:val="0"/>
          <w:bCs w:val="0"/>
          <w:sz w:val="32"/>
          <w:szCs w:val="32"/>
          <w:lang w:eastAsia="zh-CN"/>
        </w:rPr>
        <w:t>大棚建设</w:t>
      </w:r>
      <w:bookmarkEnd w:id="16"/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①规划方位:覆被式大棚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 w:bidi="ar-SA"/>
        </w:rPr>
        <w:t>采取南北走向，大棚东西占地宽20米，棚长235米，棚间距3米。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 xml:space="preserve">②开挖拱架基础，埋地锚：在规划好的地块上，沿东西两侧边沿开挖拱架基础，浇铸混凝土，用于固定拱架，并打两排压线地锚坑，坑深80厘米、坑口直径40厘米，对称排列，其中靠近地块南北边沿的第一行和最后一行地锚坑离开地边1米。地锚坑打好后埋压线地锚，埋地锚时将环形一端露出地面5-10厘米，另一端（系水泥堆一端）埋入坑内，踩压结实。 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③安装钢架：在东西横向两撑线地锚坑之间，从中间向两侧顺次对称插入钢架，并进行固定。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④安装边架：在规划好地块的东端和西端分别安装两个边架并进行固定。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⑤扣棚膜：选择在早晨无风天气进行。棚膜拉好后，要将东西两端边架外侧棚膜埋入土中，并保持棚面南北不留皱褶，东西呈绷紧状态，用卡环将膜压入卡槽进行固定，加装圈膜器。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⑥固定压线：扣好棚膜后，在棚膜上用压线拉紧压实，将棚膜压紧，做成内撑外压型。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instrText xml:space="preserve"> = 7 \* GB3 \* MERGEFORMAT </w:instrTex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⑦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安装防虫网：在卡槽内镶入防虫网，在通风透气的过程中，减少飞虫进入，从而减少病害的发生。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instrText xml:space="preserve"> = 8 \* GB3 \* MERGEFORMAT </w:instrTex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⑧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安装棉被：在棚顶部中央固定卷帘机与卷杆，卷起棉被固定在棚顶，外界温度降低时，放下棉被，起到保温作用。</w:t>
      </w:r>
    </w:p>
    <w:p>
      <w:pPr>
        <w:pStyle w:val="2"/>
        <w:numPr>
          <w:ilvl w:val="0"/>
          <w:numId w:val="1"/>
        </w:numPr>
        <w:ind w:firstLine="640" w:firstLineChars="200"/>
        <w:outlineLvl w:val="1"/>
        <w:rPr>
          <w:rFonts w:hint="eastAsia"/>
          <w:b w:val="0"/>
          <w:bCs w:val="0"/>
          <w:sz w:val="32"/>
          <w:szCs w:val="32"/>
          <w:highlight w:val="none"/>
          <w:lang w:eastAsia="zh-CN"/>
        </w:rPr>
      </w:pPr>
      <w:bookmarkStart w:id="17" w:name="_Toc18698"/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日光温室</w:t>
      </w:r>
      <w:r>
        <w:rPr>
          <w:rFonts w:hint="eastAsia"/>
          <w:b w:val="0"/>
          <w:bCs w:val="0"/>
          <w:sz w:val="32"/>
          <w:szCs w:val="32"/>
          <w:highlight w:val="none"/>
          <w:lang w:eastAsia="zh-CN"/>
        </w:rPr>
        <w:t>大棚建设</w:t>
      </w:r>
      <w:bookmarkEnd w:id="17"/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8" w:space="17"/>
          <w:bottom w:val="none" w:color="auto" w:sz="0" w:space="0"/>
          <w:right w:val="none" w:color="auto" w:sz="0" w:space="0"/>
        </w:pBdr>
        <w:spacing w:before="200" w:beforeAutospacing="0" w:after="0" w:afterAutospacing="0"/>
        <w:ind w:left="170" w:right="0" w:hanging="360"/>
        <w:jc w:val="both"/>
        <w:rPr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①规划方位:日光温室大棚采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 w:bidi="ar-SA"/>
        </w:rPr>
        <w:t>取东西走向，大棚南北占地宽18米，棚长150米，棚间距6米。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搭建主体钢骨架部分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所需的材料有桁架前拱、桁架后拱、地脚连接件、后墙连接件、脊部连接件、纵向横拉杆、支撑梁、压板、后坡卡槽、内脊瓦、外脊瓦以及连接用的标准件。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dotted" w:color="E4E4E4" w:sz="8" w:space="17"/>
          <w:bottom w:val="none" w:color="auto" w:sz="0" w:space="0"/>
          <w:right w:val="none" w:color="auto" w:sz="0" w:space="0"/>
        </w:pBdr>
        <w:shd w:val="clear" w:color="auto" w:fill="FFFFFF"/>
        <w:spacing w:before="10" w:beforeAutospacing="0" w:after="0" w:afterAutospacing="0" w:line="32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铺设外层覆盖材料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需要用的材料有底部裙膜、顶部薄膜、下部薄膜、卡簧、卡槽、压膜线、双钩、压膜卡、卡槽连接片以及一些标准件。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dotted" w:color="E4E4E4" w:sz="8" w:space="17"/>
          <w:bottom w:val="none" w:color="auto" w:sz="0" w:space="0"/>
          <w:right w:val="none" w:color="auto" w:sz="0" w:space="0"/>
        </w:pBdr>
        <w:shd w:val="clear" w:color="auto" w:fill="FFFFFF"/>
        <w:spacing w:before="10" w:beforeAutospacing="0" w:after="0" w:afterAutospacing="0" w:line="32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加装外部保温被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保温被（需要根本地里气候环境确定用多厚的保温被），还有卷帘轴、卷帘机、配套电机、卷被支架、瓦垫以及各类螺丝和标准件。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dotted" w:color="E4E4E4" w:sz="8" w:space="17"/>
          <w:bottom w:val="none" w:color="auto" w:sz="0" w:space="0"/>
          <w:right w:val="none" w:color="auto" w:sz="0" w:space="0"/>
        </w:pBdr>
        <w:shd w:val="clear" w:color="auto" w:fill="FFFFFF"/>
        <w:spacing w:before="10" w:beforeAutospacing="0" w:after="0" w:afterAutospacing="0" w:line="32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安装大棚顶窗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所需材料有防虫网、卷膜轴、拉链式卷膜器、侧部卷膜器以及标准件。</w:t>
      </w:r>
    </w:p>
    <w:p>
      <w:pPr>
        <w:numPr>
          <w:ilvl w:val="0"/>
          <w:numId w:val="0"/>
        </w:numPr>
        <w:tabs>
          <w:tab w:val="left" w:pos="0"/>
        </w:tabs>
        <w:ind w:leftChars="221" w:firstLine="320" w:firstLineChars="100"/>
        <w:outlineLvl w:val="1"/>
        <w:rPr>
          <w:rFonts w:hint="eastAsia"/>
          <w:b w:val="0"/>
          <w:bCs w:val="0"/>
          <w:sz w:val="32"/>
          <w:szCs w:val="32"/>
          <w:lang w:eastAsia="zh-CN"/>
        </w:rPr>
      </w:pPr>
      <w:bookmarkStart w:id="18" w:name="_Toc15219"/>
      <w:r>
        <w:rPr>
          <w:rFonts w:hint="eastAsia"/>
          <w:b w:val="0"/>
          <w:bCs w:val="0"/>
          <w:sz w:val="32"/>
          <w:szCs w:val="32"/>
          <w:lang w:eastAsia="zh-CN"/>
        </w:rPr>
        <w:t>三）</w:t>
      </w:r>
      <w:r>
        <w:rPr>
          <w:b w:val="0"/>
          <w:bCs w:val="0"/>
          <w:sz w:val="32"/>
          <w:szCs w:val="32"/>
          <w:lang w:eastAsia="zh-CN"/>
        </w:rPr>
        <w:t>蔬菜种植技术</w:t>
      </w:r>
      <w:bookmarkEnd w:id="18"/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种植模式为一年两茬绿色标准化种植，采取春提早，秋延后，根据市场需求，合理安排种植茬口。选择市场畅销蔬菜种植品种，进行科学种植，所需秧苗按照种植时期与茬口安排，提前订购优质商品苗，进一步保证产品品质与增加经营收益。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bookmarkStart w:id="19" w:name="_Hlt526001182"/>
      <w:bookmarkEnd w:id="19"/>
      <w:bookmarkStart w:id="20" w:name="_Hlt526001183"/>
      <w:bookmarkEnd w:id="20"/>
      <w:bookmarkStart w:id="21" w:name="_Hlt526001203"/>
      <w:bookmarkEnd w:id="21"/>
      <w:r>
        <w:rPr>
          <w:rFonts w:hint="eastAsia" w:ascii="仿宋_GB2312" w:eastAsia="仿宋_GB2312"/>
          <w:sz w:val="32"/>
        </w:rPr>
        <w:t>（1）定植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①施足底肥，精细整地。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前茬蔬菜</w:t>
      </w:r>
      <w:r>
        <w:rPr>
          <w:rFonts w:hint="eastAsia" w:ascii="仿宋_GB2312" w:eastAsia="仿宋_GB2312"/>
          <w:sz w:val="32"/>
        </w:rPr>
        <w:t>要求一次性施足底肥，每亩施优质</w:t>
      </w:r>
      <w:r>
        <w:rPr>
          <w:rFonts w:hint="eastAsia" w:ascii="仿宋_GB2312" w:eastAsia="仿宋_GB2312"/>
          <w:sz w:val="32"/>
          <w:lang w:eastAsia="zh-CN"/>
        </w:rPr>
        <w:t>无菌</w:t>
      </w:r>
      <w:r>
        <w:rPr>
          <w:rFonts w:hint="eastAsia" w:ascii="仿宋_GB2312" w:eastAsia="仿宋_GB2312"/>
          <w:sz w:val="32"/>
        </w:rPr>
        <w:t>农家肥</w:t>
      </w:r>
      <w:r>
        <w:rPr>
          <w:rFonts w:hint="eastAsia" w:ascii="仿宋_GB2312" w:eastAsia="仿宋_GB2312"/>
          <w:sz w:val="32"/>
          <w:lang w:val="en-US" w:eastAsia="zh-CN"/>
        </w:rPr>
        <w:t>果菜类5-6方，叶菜类3-4方</w:t>
      </w:r>
      <w:r>
        <w:rPr>
          <w:rFonts w:hint="eastAsia" w:ascii="仿宋_GB2312" w:eastAsia="仿宋_GB2312"/>
          <w:sz w:val="32"/>
        </w:rPr>
        <w:t>，配合</w:t>
      </w:r>
      <w:r>
        <w:rPr>
          <w:rFonts w:hint="eastAsia" w:ascii="仿宋_GB2312" w:eastAsia="仿宋_GB2312"/>
          <w:sz w:val="32"/>
          <w:lang w:eastAsia="zh-CN"/>
        </w:rPr>
        <w:t>测土配方肥</w:t>
      </w:r>
      <w:r>
        <w:rPr>
          <w:rFonts w:hint="eastAsia" w:ascii="仿宋_GB2312" w:eastAsia="仿宋_GB2312"/>
          <w:sz w:val="32"/>
        </w:rPr>
        <w:t>,随整地将底肥一次施入。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②</w:t>
      </w:r>
      <w:r>
        <w:rPr>
          <w:rFonts w:hint="eastAsia" w:ascii="仿宋_GB2312" w:eastAsia="仿宋_GB2312"/>
          <w:sz w:val="32"/>
          <w:lang w:eastAsia="zh-CN"/>
        </w:rPr>
        <w:t>适时定植。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整地前要深耕细耙，耕深达到25</w:t>
      </w:r>
      <w:r>
        <w:rPr>
          <w:rFonts w:hint="eastAsia" w:ascii="仿宋_GB2312" w:eastAsia="仿宋_GB2312"/>
          <w:sz w:val="32"/>
          <w:lang w:val="en-US" w:eastAsia="zh-CN"/>
        </w:rPr>
        <w:t>cm</w:t>
      </w:r>
      <w:r>
        <w:rPr>
          <w:rFonts w:hint="eastAsia" w:ascii="仿宋_GB2312" w:eastAsia="仿宋_GB2312"/>
          <w:sz w:val="32"/>
        </w:rPr>
        <w:t>左右为宜，要求土壤细碎无坷垃。</w:t>
      </w:r>
      <w:r>
        <w:rPr>
          <w:rFonts w:hint="eastAsia" w:ascii="仿宋_GB2312" w:eastAsia="仿宋_GB2312"/>
          <w:sz w:val="32"/>
          <w:lang w:eastAsia="zh-CN"/>
        </w:rPr>
        <w:t>定植前完成打畦铺膜。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fldChar w:fldCharType="begin"/>
      </w:r>
      <w:r>
        <w:rPr>
          <w:rFonts w:hint="eastAsia" w:ascii="仿宋_GB2312" w:eastAsia="仿宋_GB2312"/>
          <w:sz w:val="32"/>
        </w:rPr>
        <w:instrText xml:space="preserve"> = 3 \* GB3 </w:instrText>
      </w:r>
      <w:r>
        <w:rPr>
          <w:rFonts w:hint="eastAsia" w:ascii="仿宋_GB2312" w:eastAsia="仿宋_GB2312"/>
          <w:sz w:val="32"/>
        </w:rPr>
        <w:fldChar w:fldCharType="separate"/>
      </w:r>
      <w:r>
        <w:rPr>
          <w:rFonts w:hint="eastAsia" w:ascii="仿宋_GB2312" w:eastAsia="仿宋_GB2312"/>
          <w:sz w:val="32"/>
        </w:rPr>
        <w:t>③</w:t>
      </w:r>
      <w:r>
        <w:rPr>
          <w:rFonts w:hint="eastAsia" w:ascii="仿宋_GB2312" w:eastAsia="仿宋_GB2312"/>
          <w:sz w:val="32"/>
        </w:rPr>
        <w:fldChar w:fldCharType="end"/>
      </w:r>
      <w:r>
        <w:rPr>
          <w:rFonts w:hint="eastAsia" w:ascii="仿宋_GB2312" w:eastAsia="仿宋_GB2312"/>
          <w:sz w:val="32"/>
        </w:rPr>
        <w:t>壮苗早栽合理密植，</w:t>
      </w:r>
      <w:r>
        <w:rPr>
          <w:rFonts w:hint="eastAsia" w:ascii="仿宋_GB2312" w:eastAsia="仿宋_GB2312"/>
          <w:sz w:val="32"/>
          <w:lang w:val="en-US" w:eastAsia="zh-CN"/>
        </w:rPr>
        <w:t>大棚建设完成及时进行第一茬蔬菜定植，</w:t>
      </w:r>
      <w:r>
        <w:rPr>
          <w:rFonts w:hint="eastAsia" w:ascii="仿宋_GB2312" w:eastAsia="仿宋_GB2312"/>
          <w:sz w:val="32"/>
          <w:lang w:eastAsia="zh-CN"/>
        </w:rPr>
        <w:t>坐水定植秧苗，</w:t>
      </w:r>
      <w:r>
        <w:rPr>
          <w:rFonts w:hint="eastAsia" w:ascii="仿宋_GB2312" w:eastAsia="仿宋_GB2312"/>
          <w:sz w:val="32"/>
        </w:rPr>
        <w:t>秧苗栽在垄边上，每垄2行，栽苗位置以浇水时能湿到根部为宜。</w:t>
      </w:r>
      <w:r>
        <w:rPr>
          <w:rFonts w:hint="eastAsia" w:ascii="仿宋_GB2312" w:eastAsia="仿宋_GB2312"/>
          <w:sz w:val="32"/>
          <w:lang w:eastAsia="zh-CN"/>
        </w:rPr>
        <w:t>定植完成后及时整理铺设滴灌带，浇一次透水，有利于缓苗，缓苗后及时进行蹲苗</w:t>
      </w:r>
      <w:r>
        <w:rPr>
          <w:rFonts w:hint="eastAsia" w:ascii="仿宋_GB2312" w:eastAsia="仿宋_GB2312"/>
          <w:sz w:val="32"/>
        </w:rPr>
        <w:t>。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（2）中期管理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大棚</w:t>
      </w:r>
      <w:r>
        <w:rPr>
          <w:rFonts w:hint="eastAsia" w:ascii="仿宋_GB2312" w:eastAsia="仿宋_GB2312"/>
          <w:sz w:val="32"/>
        </w:rPr>
        <w:t>温度管理很重要，白天温度控制在25-</w:t>
      </w:r>
      <w:r>
        <w:rPr>
          <w:rFonts w:hint="eastAsia" w:ascii="仿宋_GB2312" w:eastAsia="仿宋_GB2312"/>
          <w:sz w:val="32"/>
          <w:lang w:val="en-US" w:eastAsia="zh-CN"/>
        </w:rPr>
        <w:t>32</w:t>
      </w:r>
      <w:r>
        <w:rPr>
          <w:rFonts w:hint="eastAsia" w:ascii="仿宋_GB2312" w:eastAsia="仿宋_GB2312"/>
          <w:sz w:val="32"/>
        </w:rPr>
        <w:t>°C，夜晚温度控制在18°C</w:t>
      </w:r>
      <w:r>
        <w:rPr>
          <w:rFonts w:hint="eastAsia" w:ascii="仿宋_GB2312" w:eastAsia="仿宋_GB2312"/>
          <w:sz w:val="32"/>
          <w:lang w:eastAsia="zh-CN"/>
        </w:rPr>
        <w:t>以下</w:t>
      </w:r>
      <w:r>
        <w:rPr>
          <w:rFonts w:hint="eastAsia" w:ascii="仿宋_GB2312" w:eastAsia="仿宋_GB2312"/>
          <w:sz w:val="32"/>
        </w:rPr>
        <w:t>，浇水见干见湿，</w:t>
      </w:r>
      <w:r>
        <w:rPr>
          <w:rFonts w:hint="eastAsia" w:ascii="仿宋_GB2312" w:eastAsia="仿宋_GB2312"/>
          <w:sz w:val="32"/>
          <w:lang w:eastAsia="zh-CN"/>
        </w:rPr>
        <w:t>从</w:t>
      </w:r>
      <w:r>
        <w:rPr>
          <w:rFonts w:hint="eastAsia" w:ascii="仿宋_GB2312" w:eastAsia="仿宋_GB2312"/>
          <w:sz w:val="32"/>
        </w:rPr>
        <w:t>采收</w:t>
      </w:r>
      <w:r>
        <w:rPr>
          <w:rFonts w:hint="eastAsia" w:ascii="仿宋_GB2312" w:eastAsia="仿宋_GB2312"/>
          <w:sz w:val="32"/>
          <w:lang w:eastAsia="zh-CN"/>
        </w:rPr>
        <w:t>蔬菜开始，每</w:t>
      </w:r>
      <w:r>
        <w:rPr>
          <w:rFonts w:hint="eastAsia" w:ascii="仿宋_GB2312" w:eastAsia="仿宋_GB2312"/>
          <w:sz w:val="32"/>
          <w:lang w:val="en-US" w:eastAsia="zh-CN"/>
        </w:rPr>
        <w:t>20天追一次肥。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（3）病虫害防治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①用75%的百菌清配成800倍液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一次防治</w:t>
      </w:r>
      <w:r>
        <w:rPr>
          <w:rFonts w:hint="eastAsia" w:ascii="仿宋_GB2312" w:eastAsia="仿宋_GB2312"/>
          <w:sz w:val="32"/>
          <w:lang w:eastAsia="zh-CN"/>
        </w:rPr>
        <w:t>多种病害，以防为主，减少病害发生。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②防治蚜虫可用50%</w:t>
      </w:r>
      <w:r>
        <w:rPr>
          <w:rFonts w:hint="eastAsia" w:ascii="仿宋_GB2312" w:eastAsia="仿宋_GB2312"/>
          <w:sz w:val="32"/>
          <w:lang w:eastAsia="zh-CN"/>
        </w:rPr>
        <w:t>阿维菌素</w:t>
      </w:r>
      <w:r>
        <w:rPr>
          <w:rFonts w:hint="eastAsia" w:ascii="仿宋_GB2312" w:eastAsia="仿宋_GB2312"/>
          <w:sz w:val="32"/>
        </w:rPr>
        <w:t>1500倍液喷雾</w:t>
      </w:r>
      <w:r>
        <w:rPr>
          <w:rFonts w:hint="eastAsia" w:ascii="仿宋_GB2312" w:eastAsia="仿宋_GB2312"/>
          <w:sz w:val="32"/>
          <w:lang w:eastAsia="zh-CN"/>
        </w:rPr>
        <w:t>，防治其他虫害可用甲维盐进行喷雾</w:t>
      </w:r>
      <w:r>
        <w:rPr>
          <w:rFonts w:hint="eastAsia" w:ascii="仿宋_GB2312" w:eastAsia="仿宋_GB2312"/>
          <w:sz w:val="32"/>
        </w:rPr>
        <w:t>。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（3）适时采收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蔬菜成熟时，</w:t>
      </w:r>
      <w:r>
        <w:rPr>
          <w:rFonts w:hint="eastAsia" w:ascii="仿宋_GB2312" w:eastAsia="仿宋_GB2312"/>
          <w:sz w:val="32"/>
        </w:rPr>
        <w:t>按市场收购要求及时</w:t>
      </w:r>
      <w:r>
        <w:rPr>
          <w:rFonts w:hint="eastAsia" w:ascii="仿宋_GB2312" w:eastAsia="仿宋_GB2312"/>
          <w:sz w:val="32"/>
          <w:lang w:eastAsia="zh-CN"/>
        </w:rPr>
        <w:t>在晴天上午</w:t>
      </w:r>
      <w:r>
        <w:rPr>
          <w:rFonts w:hint="eastAsia" w:ascii="仿宋_GB2312" w:eastAsia="仿宋_GB2312"/>
          <w:sz w:val="32"/>
        </w:rPr>
        <w:t>采摘</w:t>
      </w:r>
      <w:r>
        <w:rPr>
          <w:rFonts w:hint="eastAsia" w:ascii="仿宋_GB2312" w:eastAsia="仿宋_GB2312"/>
          <w:sz w:val="32"/>
          <w:lang w:eastAsia="zh-CN"/>
        </w:rPr>
        <w:t>，减少植株病虫感染</w:t>
      </w:r>
      <w:r>
        <w:rPr>
          <w:rFonts w:hint="eastAsia" w:ascii="仿宋_GB2312" w:eastAsia="仿宋_GB2312"/>
          <w:sz w:val="32"/>
        </w:rPr>
        <w:t>。</w:t>
      </w:r>
    </w:p>
    <w:p>
      <w:pPr>
        <w:widowControl/>
        <w:spacing w:line="580" w:lineRule="exact"/>
        <w:ind w:firstLine="640" w:firstLineChars="200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  <w:lang w:eastAsia="zh-CN"/>
        </w:rPr>
        <w:t>）前茬蔬菜采收后期，及早进行下茬蔬菜种植计划，预定秧苗，合理安排茬口。</w:t>
      </w:r>
    </w:p>
    <w:p>
      <w:pPr>
        <w:widowControl/>
        <w:spacing w:line="580" w:lineRule="exact"/>
        <w:ind w:firstLine="643" w:firstLineChars="200"/>
        <w:outlineLvl w:val="0"/>
        <w:rPr>
          <w:rFonts w:hint="eastAsia" w:ascii="宋体" w:hAnsi="宋体" w:eastAsia="宋体" w:cs="宋体"/>
          <w:b/>
          <w:color w:val="FF0000"/>
          <w:sz w:val="32"/>
          <w:szCs w:val="32"/>
        </w:rPr>
      </w:pPr>
      <w:bookmarkStart w:id="22" w:name="_Toc26111"/>
      <w:r>
        <w:rPr>
          <w:rFonts w:hint="eastAsia" w:ascii="宋体" w:hAnsi="宋体" w:eastAsia="宋体" w:cs="宋体"/>
          <w:b/>
          <w:color w:val="FF0000"/>
          <w:sz w:val="32"/>
          <w:szCs w:val="32"/>
        </w:rPr>
        <w:t>五、建设内容与资金使用计划</w:t>
      </w:r>
      <w:bookmarkEnd w:id="22"/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项目建设内容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 w:cs="仿宋_GB2312"/>
          <w:color w:val="FF0000"/>
          <w:sz w:val="32"/>
          <w:szCs w:val="32"/>
          <w:lang w:val="en-US" w:eastAsia="zh-CN"/>
        </w:rPr>
        <w:t>4栋高标准覆被式钢架大棚和3座日光温室大棚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，使用完全部资金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238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（其中包括土地租赁及平整、大棚本体、大棚监控系统、管理用房（彩钢板房）、深度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80米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水源井、水泵、开关，电线架设、灌溉给水管道及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卷帘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、卷杆等相关配套设备）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。分别为：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详见后附表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）</w:t>
      </w:r>
    </w:p>
    <w:p>
      <w:pPr>
        <w:spacing w:line="360" w:lineRule="auto"/>
        <w:ind w:firstLine="704" w:firstLineChars="220"/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Calibri" w:hAnsi="Calibri" w:eastAsia="仿宋" w:cs="Calibri"/>
          <w:color w:val="FF0000"/>
          <w:sz w:val="32"/>
          <w:szCs w:val="32"/>
          <w:highlight w:val="none"/>
        </w:rPr>
        <w:t>①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eastAsia="zh-CN"/>
        </w:rPr>
        <w:t>土地租赁、及平整费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  <w:t>7.6807万元；</w:t>
      </w:r>
    </w:p>
    <w:p>
      <w:pPr>
        <w:spacing w:line="360" w:lineRule="auto"/>
        <w:ind w:firstLine="704" w:firstLineChars="220"/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Calibri" w:hAnsi="Calibri" w:eastAsia="仿宋" w:cs="Calibri"/>
          <w:color w:val="FF0000"/>
          <w:sz w:val="32"/>
          <w:szCs w:val="32"/>
          <w:highlight w:val="none"/>
        </w:rPr>
        <w:t>②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  <w:t>大棚本体需资金223.88万元；</w:t>
      </w:r>
    </w:p>
    <w:p>
      <w:pPr>
        <w:spacing w:line="360" w:lineRule="auto"/>
        <w:ind w:firstLine="704" w:firstLineChars="220"/>
        <w:rPr>
          <w:rFonts w:hint="default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Calibri" w:hAnsi="Calibri" w:eastAsia="仿宋" w:cs="Calibri"/>
          <w:color w:val="FF0000"/>
          <w:sz w:val="32"/>
          <w:szCs w:val="32"/>
          <w:highlight w:val="none"/>
          <w:lang w:val="en-US" w:eastAsia="zh-CN"/>
        </w:rPr>
        <w:t>③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  <w:t>相关配套设备：6.4393万元；</w:t>
      </w:r>
    </w:p>
    <w:p>
      <w:pPr>
        <w:ind w:firstLine="674" w:firstLineChars="321"/>
        <w:outlineLvl w:val="0"/>
        <w:rPr>
          <w:b/>
          <w:color w:val="FF0000"/>
          <w:sz w:val="32"/>
          <w:szCs w:val="32"/>
          <w:highlight w:val="none"/>
        </w:rPr>
      </w:pPr>
      <w:bookmarkStart w:id="23" w:name="_Toc22324"/>
      <w:r>
        <w:rPr>
          <w:color w:val="FF0000"/>
          <w:highlight w:val="none"/>
        </w:rPr>
        <w:fldChar w:fldCharType="begin"/>
      </w:r>
      <w:r>
        <w:rPr>
          <w:color w:val="FF0000"/>
          <w:highlight w:val="none"/>
        </w:rPr>
        <w:instrText xml:space="preserve"> HYPERLINK "file:///C:\\Users\\Administrator\\Desktop\\绿色蔬菜扶贫基地建设项目%20(3).doc%23_Toc334460067" </w:instrText>
      </w:r>
      <w:r>
        <w:rPr>
          <w:color w:val="FF0000"/>
          <w:highlight w:val="none"/>
        </w:rPr>
        <w:fldChar w:fldCharType="separate"/>
      </w:r>
      <w:r>
        <w:rPr>
          <w:rFonts w:hint="eastAsia"/>
          <w:b/>
          <w:color w:val="FF0000"/>
          <w:sz w:val="32"/>
          <w:szCs w:val="32"/>
          <w:highlight w:val="none"/>
        </w:rPr>
        <w:t>六、项目总投资及资金来源</w:t>
      </w:r>
      <w:r>
        <w:rPr>
          <w:rFonts w:hint="eastAsia"/>
          <w:b/>
          <w:color w:val="FF0000"/>
          <w:sz w:val="32"/>
          <w:szCs w:val="32"/>
          <w:highlight w:val="none"/>
        </w:rPr>
        <w:fldChar w:fldCharType="end"/>
      </w:r>
      <w:bookmarkEnd w:id="23"/>
    </w:p>
    <w:p>
      <w:pPr>
        <w:ind w:firstLine="704" w:firstLineChars="220"/>
        <w:rPr>
          <w:rFonts w:hint="default" w:asci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FF0000"/>
          <w:sz w:val="32"/>
          <w:szCs w:val="32"/>
          <w:highlight w:val="none"/>
        </w:rPr>
        <w:t>项目总投资</w:t>
      </w:r>
      <w:r>
        <w:rPr>
          <w:rFonts w:hint="eastAsia" w:asci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238</w:t>
      </w:r>
      <w:r>
        <w:rPr>
          <w:rFonts w:hint="eastAsia" w:ascii="仿宋_GB2312" w:eastAsia="仿宋_GB2312" w:cs="仿宋_GB2312"/>
          <w:color w:val="FF0000"/>
          <w:sz w:val="32"/>
          <w:szCs w:val="32"/>
          <w:highlight w:val="none"/>
        </w:rPr>
        <w:t>万元</w:t>
      </w:r>
      <w:r>
        <w:rPr>
          <w:rFonts w:hint="eastAsia" w:ascii="仿宋_GB2312" w:eastAsia="仿宋_GB2312" w:cs="仿宋_GB2312"/>
          <w:color w:val="FF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4栋高标准覆被式钢架大棚每栋宽20米，棚长235米，3座日光温室大棚每栋宽18米，棚长150米，共7座。前期土地租赁及平整7.6807万元；大棚本体</w:t>
      </w:r>
      <w:r>
        <w:rPr>
          <w:rFonts w:hint="eastAsia" w:ascii="仿宋_GB2312" w:eastAsia="仿宋_GB2312" w:cs="仿宋_GB2312"/>
          <w:color w:val="FF0000"/>
          <w:sz w:val="32"/>
          <w:szCs w:val="32"/>
          <w:highlight w:val="none"/>
          <w:lang w:eastAsia="zh-CN"/>
        </w:rPr>
        <w:t>需资金</w:t>
      </w:r>
      <w:r>
        <w:rPr>
          <w:rFonts w:hint="eastAsia" w:asci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223.88万元；相关配套设备6.4393万元。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FF0000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来源为两部分：一是县级部门资助190万元；二是合作社自筹48万元。</w:t>
      </w:r>
    </w:p>
    <w:p>
      <w:pPr>
        <w:ind w:firstLine="704" w:firstLineChars="220"/>
        <w:rPr>
          <w:rFonts w:hint="eastAsia" w:asci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FF0000"/>
          <w:sz w:val="32"/>
          <w:szCs w:val="32"/>
          <w:highlight w:val="none"/>
        </w:rPr>
        <w:t>县级部门资助资</w:t>
      </w:r>
      <w:r>
        <w:rPr>
          <w:rFonts w:ascii="仿宋_GB2312" w:eastAsia="仿宋_GB2312" w:cs="仿宋_GB2312"/>
          <w:color w:val="FF0000"/>
          <w:sz w:val="32"/>
          <w:szCs w:val="32"/>
          <w:highlight w:val="none"/>
        </w:rPr>
        <w:t>金</w:t>
      </w:r>
      <w:r>
        <w:rPr>
          <w:rFonts w:hint="eastAsia" w:asci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190</w:t>
      </w:r>
      <w:r>
        <w:rPr>
          <w:rFonts w:hint="eastAsia" w:ascii="仿宋_GB2312" w:eastAsia="仿宋_GB2312" w:cs="仿宋_GB2312"/>
          <w:color w:val="FF0000"/>
          <w:sz w:val="32"/>
          <w:szCs w:val="32"/>
          <w:highlight w:val="none"/>
        </w:rPr>
        <w:t>万元，</w:t>
      </w:r>
      <w:r>
        <w:rPr>
          <w:rFonts w:hint="eastAsia" w:ascii="仿宋_GB2312" w:eastAsia="仿宋_GB2312" w:cs="仿宋_GB2312"/>
          <w:color w:val="FF0000"/>
          <w:sz w:val="32"/>
          <w:szCs w:val="32"/>
          <w:highlight w:val="none"/>
          <w:lang w:eastAsia="zh-CN"/>
        </w:rPr>
        <w:t>全部用于</w:t>
      </w:r>
      <w:r>
        <w:rPr>
          <w:rFonts w:hint="eastAsia" w:asci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 w:cs="仿宋_GB2312"/>
          <w:color w:val="FF0000"/>
          <w:sz w:val="32"/>
          <w:szCs w:val="32"/>
          <w:highlight w:val="none"/>
          <w:lang w:eastAsia="zh-CN"/>
        </w:rPr>
        <w:t>座大棚本</w:t>
      </w:r>
      <w:r>
        <w:rPr>
          <w:rFonts w:hint="eastAsia" w:asci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体</w:t>
      </w:r>
      <w:r>
        <w:rPr>
          <w:rFonts w:hint="eastAsia" w:ascii="仿宋_GB2312" w:eastAsia="仿宋_GB2312" w:cs="仿宋_GB2312"/>
          <w:color w:val="FF0000"/>
          <w:sz w:val="32"/>
          <w:szCs w:val="32"/>
          <w:highlight w:val="none"/>
          <w:lang w:eastAsia="zh-CN"/>
        </w:rPr>
        <w:t>施工资金</w:t>
      </w:r>
      <w:r>
        <w:rPr>
          <w:rFonts w:hint="eastAsia" w:asci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223.88万元（不足部分从</w:t>
      </w:r>
      <w:r>
        <w:rPr>
          <w:rFonts w:hint="eastAsia" w:ascii="仿宋_GB2312" w:eastAsia="仿宋_GB2312" w:cs="仿宋_GB2312"/>
          <w:color w:val="FF0000"/>
          <w:sz w:val="32"/>
          <w:szCs w:val="32"/>
          <w:lang w:val="en-US" w:eastAsia="zh-CN"/>
        </w:rPr>
        <w:t xml:space="preserve">合作社自筹资金中解决）。   </w:t>
      </w:r>
    </w:p>
    <w:p>
      <w:pPr>
        <w:ind w:firstLine="704" w:firstLineChars="220"/>
        <w:rPr>
          <w:rFonts w:hint="eastAsia" w:asci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FF0000"/>
          <w:sz w:val="32"/>
          <w:szCs w:val="32"/>
          <w:lang w:val="en-US" w:eastAsia="zh-CN"/>
        </w:rPr>
        <w:t>自筹资金48</w:t>
      </w:r>
      <w:r>
        <w:rPr>
          <w:rFonts w:hint="eastAsia" w:ascii="仿宋_GB2312" w:eastAsia="仿宋_GB2312" w:cs="仿宋_GB2312"/>
          <w:color w:val="FF0000"/>
          <w:sz w:val="32"/>
          <w:szCs w:val="32"/>
        </w:rPr>
        <w:t>万元</w:t>
      </w:r>
      <w:r>
        <w:rPr>
          <w:rFonts w:hint="eastAsia" w:ascii="仿宋_GB2312" w:eastAsia="仿宋_GB2312" w:cs="仿宋_GB2312"/>
          <w:color w:val="FF000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FF0000"/>
          <w:sz w:val="32"/>
          <w:szCs w:val="32"/>
          <w:lang w:val="en-US" w:eastAsia="zh-CN"/>
        </w:rPr>
        <w:t>用于支付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土地租赁、及平整及后期相关配套设备。</w:t>
      </w:r>
    </w:p>
    <w:p>
      <w:pPr>
        <w:numPr>
          <w:ilvl w:val="0"/>
          <w:numId w:val="0"/>
        </w:numPr>
        <w:ind w:left="0" w:leftChars="0" w:firstLine="630" w:firstLineChars="300"/>
        <w:outlineLvl w:val="0"/>
        <w:rPr>
          <w:b/>
          <w:sz w:val="32"/>
          <w:szCs w:val="32"/>
        </w:rPr>
      </w:pPr>
      <w:bookmarkStart w:id="24" w:name="_Toc3706"/>
      <w:r>
        <w:fldChar w:fldCharType="begin"/>
      </w:r>
      <w:r>
        <w:instrText xml:space="preserve"> HYPERLINK "file:///C:\\Users\\Administrator\\Desktop\\绿色蔬菜扶贫基地建设项目%20(3).doc%23_Toc334460068" </w:instrText>
      </w:r>
      <w:r>
        <w:fldChar w:fldCharType="separate"/>
      </w:r>
      <w:r>
        <w:rPr>
          <w:rFonts w:hint="eastAsia"/>
          <w:b/>
          <w:sz w:val="32"/>
          <w:szCs w:val="32"/>
        </w:rPr>
        <w:t>七、组织及管理措施</w:t>
      </w:r>
      <w:r>
        <w:rPr>
          <w:rFonts w:hint="eastAsia"/>
          <w:b/>
          <w:sz w:val="32"/>
          <w:szCs w:val="32"/>
        </w:rPr>
        <w:fldChar w:fldCharType="end"/>
      </w:r>
      <w:bookmarkEnd w:id="24"/>
    </w:p>
    <w:p>
      <w:pPr>
        <w:ind w:firstLine="704" w:firstLineChars="220"/>
        <w:outlineLvl w:val="1"/>
        <w:rPr>
          <w:rFonts w:ascii="仿宋_GB2312" w:eastAsia="仿宋_GB2312" w:cs="仿宋_GB2312"/>
          <w:sz w:val="32"/>
          <w:szCs w:val="32"/>
        </w:rPr>
      </w:pPr>
      <w:bookmarkStart w:id="25" w:name="_Toc28581"/>
      <w:r>
        <w:rPr>
          <w:rFonts w:hint="eastAsia" w:ascii="仿宋_GB2312" w:eastAsia="仿宋_GB2312" w:cs="仿宋_GB2312"/>
          <w:sz w:val="32"/>
          <w:szCs w:val="32"/>
        </w:rPr>
        <w:t>1.项目组织管理</w:t>
      </w:r>
      <w:bookmarkEnd w:id="25"/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建设单位遵循“务实”、“高效”、“精干”的原则，成立项目单位法人为组长的项目领导组，具体负责制定项目实施方案及重要的资金开支，参与协调各涉项单位的工作，提供各种资料报表，落实项目建设的各项措施，组织项目工程实施，做好项目投资必要的财务和会计记录，对项目建设中各期资料进行收集整理、归档，组织实施项目初期验收工作。</w:t>
      </w:r>
    </w:p>
    <w:p>
      <w:pPr>
        <w:ind w:firstLine="704" w:firstLineChars="220"/>
        <w:outlineLvl w:val="1"/>
        <w:rPr>
          <w:rFonts w:ascii="仿宋_GB2312" w:eastAsia="仿宋_GB2312" w:cs="仿宋_GB2312"/>
          <w:sz w:val="32"/>
          <w:szCs w:val="32"/>
        </w:rPr>
      </w:pPr>
      <w:bookmarkStart w:id="26" w:name="_Toc29"/>
      <w:r>
        <w:rPr>
          <w:rFonts w:hint="eastAsia" w:ascii="仿宋_GB2312" w:eastAsia="仿宋_GB2312" w:cs="仿宋_GB2312"/>
          <w:sz w:val="32"/>
          <w:szCs w:val="32"/>
        </w:rPr>
        <w:t>2.项目建设管理</w:t>
      </w:r>
      <w:bookmarkEnd w:id="26"/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建设过程中严格遵守主管部门要求建设程序，严格按照批复的实施方案组织项目实施，确保项目的建设性质、建设内容、建设标准、建设规模和建设地点与实施方案一致，坚决杜绝擅自随意更改实施方案内容的行为和做法。项目实施方案批复后，抓紧实施，实施过程中从施工直至竣工验收等各个阶段严把质量关，项目建成后请示主管部门进行验收，未经验收或验收不合格的不交付使用。</w:t>
      </w:r>
    </w:p>
    <w:p>
      <w:pPr>
        <w:ind w:firstLine="704" w:firstLineChars="220"/>
        <w:outlineLvl w:val="1"/>
        <w:rPr>
          <w:rFonts w:ascii="仿宋_GB2312" w:eastAsia="仿宋_GB2312" w:cs="仿宋_GB2312"/>
          <w:sz w:val="32"/>
          <w:szCs w:val="32"/>
        </w:rPr>
      </w:pPr>
      <w:bookmarkStart w:id="27" w:name="_Toc6143"/>
      <w:r>
        <w:rPr>
          <w:rFonts w:hint="eastAsia" w:ascii="仿宋_GB2312" w:eastAsia="仿宋_GB2312" w:cs="仿宋_GB2312"/>
          <w:sz w:val="32"/>
          <w:szCs w:val="32"/>
        </w:rPr>
        <w:t>3.项目财务管理</w:t>
      </w:r>
      <w:bookmarkEnd w:id="27"/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按国家有关规定建立会计核算账册，专款专用，严格按批复方案下达的投资计划执行，不挤占、挪用项目建设资金。</w:t>
      </w:r>
    </w:p>
    <w:p>
      <w:pPr>
        <w:ind w:firstLine="704" w:firstLineChars="220"/>
        <w:outlineLvl w:val="1"/>
        <w:rPr>
          <w:rFonts w:ascii="仿宋_GB2312" w:eastAsia="仿宋_GB2312" w:cs="仿宋_GB2312"/>
          <w:sz w:val="32"/>
          <w:szCs w:val="32"/>
        </w:rPr>
      </w:pPr>
      <w:bookmarkStart w:id="28" w:name="_Toc1260"/>
      <w:r>
        <w:rPr>
          <w:rFonts w:hint="eastAsia" w:ascii="仿宋_GB2312" w:eastAsia="仿宋_GB2312" w:cs="仿宋_GB2312"/>
          <w:sz w:val="32"/>
          <w:szCs w:val="32"/>
        </w:rPr>
        <w:t>4.项目运行管理</w:t>
      </w:r>
      <w:bookmarkEnd w:id="28"/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为保证项目顺利实施和圆满完成，须确立专人对资金的使用及建设进度进行监管，项目资金实行专款、专人管理，同时接受上级有关部门的检查、监督；搞好项目的竣工验收和档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案管理</w:t>
      </w:r>
      <w:r>
        <w:rPr>
          <w:rFonts w:hint="eastAsia" w:ascii="仿宋_GB2312" w:eastAsia="仿宋_GB2312" w:cs="仿宋_GB2312"/>
          <w:sz w:val="32"/>
          <w:szCs w:val="32"/>
        </w:rPr>
        <w:t>工作，将从项目申报到竣工验收各环节的文件资料，按有关规定收集、整理、归档。</w:t>
      </w:r>
    </w:p>
    <w:p>
      <w:pPr>
        <w:ind w:firstLine="674" w:firstLineChars="321"/>
        <w:outlineLvl w:val="0"/>
        <w:rPr>
          <w:b/>
          <w:sz w:val="32"/>
          <w:szCs w:val="32"/>
        </w:rPr>
      </w:pPr>
      <w:bookmarkStart w:id="29" w:name="_Toc12058"/>
      <w:r>
        <w:fldChar w:fldCharType="begin"/>
      </w:r>
      <w:r>
        <w:instrText xml:space="preserve"> HYPERLINK "file:///C:\\Users\\Administrator\\Desktop\\绿色蔬菜扶贫基地建设项目%20(3).doc%23_Toc334460070" </w:instrText>
      </w:r>
      <w:r>
        <w:fldChar w:fldCharType="separate"/>
      </w:r>
      <w:r>
        <w:rPr>
          <w:rFonts w:hint="eastAsia"/>
          <w:b/>
          <w:sz w:val="32"/>
          <w:szCs w:val="32"/>
        </w:rPr>
        <w:t>八、项目效益评价</w:t>
      </w:r>
      <w:r>
        <w:rPr>
          <w:rFonts w:hint="eastAsia"/>
          <w:b/>
          <w:sz w:val="32"/>
          <w:szCs w:val="32"/>
        </w:rPr>
        <w:fldChar w:fldCharType="end"/>
      </w:r>
      <w:bookmarkEnd w:id="29"/>
    </w:p>
    <w:p>
      <w:pPr>
        <w:ind w:firstLine="704" w:firstLineChars="220"/>
        <w:outlineLvl w:val="1"/>
        <w:rPr>
          <w:rFonts w:ascii="仿宋_GB2312" w:eastAsia="仿宋_GB2312" w:cs="仿宋_GB2312"/>
          <w:sz w:val="32"/>
          <w:szCs w:val="32"/>
        </w:rPr>
      </w:pPr>
      <w:bookmarkStart w:id="30" w:name="_Toc29092"/>
      <w:r>
        <w:rPr>
          <w:rFonts w:hint="eastAsia" w:ascii="仿宋_GB2312" w:eastAsia="仿宋_GB2312" w:cs="仿宋_GB2312"/>
          <w:sz w:val="32"/>
          <w:szCs w:val="32"/>
        </w:rPr>
        <w:t>1.</w:t>
      </w:r>
      <w:r>
        <w:fldChar w:fldCharType="begin"/>
      </w:r>
      <w:r>
        <w:instrText xml:space="preserve"> HYPERLINK "file:///C:\\Users\\Administrator\\Desktop\\绿色蔬菜扶贫基地建设项目%20(3).doc%23_Toc334460071" </w:instrText>
      </w:r>
      <w:r>
        <w:fldChar w:fldCharType="separate"/>
      </w:r>
      <w:r>
        <w:rPr>
          <w:rFonts w:hint="eastAsia" w:ascii="仿宋_GB2312" w:eastAsia="仿宋_GB2312" w:cs="仿宋_GB2312"/>
          <w:sz w:val="32"/>
          <w:szCs w:val="32"/>
        </w:rPr>
        <w:t>社会效益</w:t>
      </w:r>
      <w:r>
        <w:rPr>
          <w:rFonts w:hint="eastAsia" w:ascii="仿宋_GB2312" w:eastAsia="仿宋_GB2312" w:cs="仿宋_GB2312"/>
          <w:sz w:val="32"/>
          <w:szCs w:val="32"/>
        </w:rPr>
        <w:fldChar w:fldCharType="end"/>
      </w:r>
      <w:bookmarkEnd w:id="30"/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项目建成后，常年吸收当地劳动力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人以上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务工人员</w:t>
      </w:r>
      <w:r>
        <w:rPr>
          <w:rFonts w:hint="eastAsia" w:ascii="仿宋_GB2312" w:eastAsia="仿宋_GB2312" w:cs="仿宋_GB2312"/>
          <w:sz w:val="32"/>
          <w:szCs w:val="32"/>
        </w:rPr>
        <w:t>，每人年工资收入1.6万元以</w:t>
      </w:r>
      <w:r>
        <w:rPr>
          <w:rFonts w:ascii="仿宋_GB2312" w:eastAsia="仿宋_GB2312" w:cs="仿宋_GB2312"/>
          <w:sz w:val="32"/>
          <w:szCs w:val="32"/>
        </w:rPr>
        <w:t>上</w:t>
      </w:r>
      <w:r>
        <w:rPr>
          <w:rFonts w:hint="eastAsia" w:ascii="仿宋_GB2312" w:eastAsia="仿宋_GB2312" w:cs="仿宋_GB2312"/>
          <w:sz w:val="32"/>
          <w:szCs w:val="32"/>
        </w:rPr>
        <w:t>，其中包括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人</w:t>
      </w:r>
      <w:r>
        <w:rPr>
          <w:rFonts w:hint="eastAsia" w:ascii="仿宋_GB2312" w:eastAsia="仿宋_GB2312" w:cs="仿宋_GB2312"/>
          <w:sz w:val="32"/>
          <w:szCs w:val="32"/>
        </w:rPr>
        <w:t>以上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脱贫户及监测户</w:t>
      </w:r>
      <w:r>
        <w:rPr>
          <w:rFonts w:hint="eastAsia" w:ascii="仿宋_GB2312" w:eastAsia="仿宋_GB2312" w:cs="仿宋_GB2312"/>
          <w:sz w:val="32"/>
          <w:szCs w:val="32"/>
        </w:rPr>
        <w:t>务工人员，带动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eastAsia="仿宋_GB2312" w:cs="仿宋_GB2312"/>
          <w:sz w:val="32"/>
          <w:szCs w:val="32"/>
        </w:rPr>
        <w:t>地农户、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监测户</w:t>
      </w:r>
      <w:r>
        <w:rPr>
          <w:rFonts w:hint="eastAsia" w:ascii="仿宋_GB2312" w:eastAsia="仿宋_GB2312" w:cs="仿宋_GB2312"/>
          <w:sz w:val="32"/>
          <w:szCs w:val="32"/>
        </w:rPr>
        <w:t>增收致富，劳有所得。另外，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合作社</w:t>
      </w:r>
      <w:r>
        <w:rPr>
          <w:rFonts w:hint="eastAsia" w:ascii="仿宋_GB2312" w:eastAsia="仿宋_GB2312" w:cs="仿宋_GB2312"/>
          <w:sz w:val="32"/>
          <w:szCs w:val="32"/>
        </w:rPr>
        <w:t>租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赁</w:t>
      </w:r>
      <w:r>
        <w:rPr>
          <w:rFonts w:hint="eastAsia" w:ascii="仿宋_GB2312" w:eastAsia="仿宋_GB2312" w:cs="仿宋_GB2312"/>
          <w:sz w:val="32"/>
          <w:szCs w:val="32"/>
        </w:rPr>
        <w:t>本村耕地每亩1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00元，能够增加当地村民耕地收入，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种植</w:t>
      </w:r>
      <w:r>
        <w:rPr>
          <w:rFonts w:hint="eastAsia" w:ascii="仿宋_GB2312" w:eastAsia="仿宋_GB2312" w:cs="仿宋_GB2312"/>
          <w:sz w:val="32"/>
          <w:szCs w:val="32"/>
        </w:rPr>
        <w:t>蔬菜销售获得的利润以不少于下拨资金的7%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，一部分</w:t>
      </w:r>
      <w:r>
        <w:rPr>
          <w:rFonts w:hint="eastAsia" w:ascii="仿宋_GB2312" w:eastAsia="仿宋_GB2312" w:cs="仿宋_GB2312"/>
          <w:sz w:val="32"/>
          <w:szCs w:val="32"/>
        </w:rPr>
        <w:t>用于对全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eastAsia="仿宋_GB2312" w:cs="仿宋_GB2312"/>
          <w:sz w:val="32"/>
          <w:szCs w:val="32"/>
        </w:rPr>
        <w:t>现</w:t>
      </w:r>
      <w:r>
        <w:rPr>
          <w:rFonts w:ascii="仿宋_GB2312" w:eastAsia="仿宋_GB2312" w:cs="仿宋_GB2312"/>
          <w:sz w:val="32"/>
          <w:szCs w:val="32"/>
        </w:rPr>
        <w:t>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脱贫户及监测户中困难群体帮扶</w:t>
      </w:r>
      <w:r>
        <w:rPr>
          <w:rFonts w:hint="eastAsia" w:ascii="仿宋_GB2312" w:eastAsia="仿宋_GB2312" w:cs="仿宋_GB2312"/>
          <w:sz w:val="32"/>
          <w:szCs w:val="32"/>
        </w:rPr>
        <w:t>，带动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脱贫户及监测户</w:t>
      </w:r>
      <w:r>
        <w:rPr>
          <w:rFonts w:hint="eastAsia" w:ascii="仿宋_GB2312" w:eastAsia="仿宋_GB2312" w:cs="仿宋_GB2312"/>
          <w:sz w:val="32"/>
          <w:szCs w:val="32"/>
        </w:rPr>
        <w:t>加快增收步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伐，一部分持续发展壮大村级集体经济。</w:t>
      </w:r>
    </w:p>
    <w:p>
      <w:pPr>
        <w:ind w:firstLine="704" w:firstLineChars="220"/>
        <w:outlineLvl w:val="1"/>
        <w:rPr>
          <w:rFonts w:ascii="仿宋_GB2312" w:eastAsia="仿宋_GB2312" w:cs="仿宋_GB2312"/>
          <w:sz w:val="32"/>
          <w:szCs w:val="32"/>
        </w:rPr>
      </w:pPr>
      <w:bookmarkStart w:id="31" w:name="_Toc27387"/>
      <w:r>
        <w:rPr>
          <w:rFonts w:hint="eastAsia" w:ascii="仿宋_GB2312" w:eastAsia="仿宋_GB2312" w:cs="仿宋_GB2312"/>
          <w:sz w:val="32"/>
          <w:szCs w:val="32"/>
        </w:rPr>
        <w:t>2.</w:t>
      </w:r>
      <w:r>
        <w:fldChar w:fldCharType="begin"/>
      </w:r>
      <w:r>
        <w:instrText xml:space="preserve"> HYPERLINK "file:///C:\\Users\\Administrator\\Desktop\\绿色蔬菜扶贫基地建设项目%20(3).doc%23_Toc334460072" </w:instrText>
      </w:r>
      <w:r>
        <w:fldChar w:fldCharType="separate"/>
      </w:r>
      <w:r>
        <w:rPr>
          <w:rFonts w:hint="eastAsia" w:ascii="仿宋_GB2312" w:eastAsia="仿宋_GB2312" w:cs="仿宋_GB2312"/>
          <w:sz w:val="32"/>
          <w:szCs w:val="32"/>
        </w:rPr>
        <w:t>经济效益</w:t>
      </w:r>
      <w:r>
        <w:rPr>
          <w:rFonts w:hint="eastAsia" w:ascii="仿宋_GB2312" w:eastAsia="仿宋_GB2312" w:cs="仿宋_GB2312"/>
          <w:sz w:val="32"/>
          <w:szCs w:val="32"/>
        </w:rPr>
        <w:fldChar w:fldCharType="end"/>
      </w:r>
      <w:bookmarkEnd w:id="31"/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建成</w:t>
      </w:r>
      <w:r>
        <w:rPr>
          <w:rFonts w:hint="eastAsia" w:ascii="仿宋_GB2312" w:eastAsia="仿宋_GB2312" w:cs="仿宋_GB2312"/>
          <w:sz w:val="32"/>
          <w:szCs w:val="32"/>
        </w:rPr>
        <w:t>后，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4栋覆被式大棚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净种植面积为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18800平方米，合28.2亩，</w:t>
      </w:r>
      <w:r>
        <w:rPr>
          <w:rFonts w:hint="eastAsia" w:ascii="仿宋_GB2312" w:eastAsia="仿宋_GB2312" w:cs="仿宋_GB2312"/>
          <w:sz w:val="32"/>
          <w:szCs w:val="32"/>
        </w:rPr>
        <w:t>一</w:t>
      </w:r>
      <w:r>
        <w:rPr>
          <w:rFonts w:ascii="仿宋_GB2312" w:eastAsia="仿宋_GB2312" w:cs="仿宋_GB2312"/>
          <w:sz w:val="32"/>
          <w:szCs w:val="32"/>
        </w:rPr>
        <w:t>年两茬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平均亩产蔬菜1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000公斤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每公斤平</w:t>
      </w:r>
      <w:r>
        <w:rPr>
          <w:rFonts w:ascii="仿宋_GB2312" w:eastAsia="仿宋_GB2312" w:cs="仿宋_GB2312"/>
          <w:sz w:val="32"/>
          <w:szCs w:val="32"/>
        </w:rPr>
        <w:t>均</w:t>
      </w:r>
      <w:r>
        <w:rPr>
          <w:rFonts w:hint="eastAsia" w:ascii="仿宋_GB2312" w:eastAsia="仿宋_GB2312" w:cs="仿宋_GB2312"/>
          <w:sz w:val="32"/>
          <w:szCs w:val="32"/>
        </w:rPr>
        <w:t>售价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元，亩销</w:t>
      </w:r>
      <w:r>
        <w:rPr>
          <w:rFonts w:ascii="仿宋_GB2312" w:eastAsia="仿宋_GB2312" w:cs="仿宋_GB2312"/>
          <w:sz w:val="32"/>
          <w:szCs w:val="32"/>
        </w:rPr>
        <w:t>售值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3.6</w:t>
      </w:r>
      <w:r>
        <w:rPr>
          <w:rFonts w:hint="eastAsia" w:ascii="仿宋_GB2312" w:eastAsia="仿宋_GB2312" w:cs="仿宋_GB2312"/>
          <w:sz w:val="32"/>
          <w:szCs w:val="32"/>
        </w:rPr>
        <w:t>万元，总产量为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338.4</w:t>
      </w:r>
      <w:r>
        <w:rPr>
          <w:rFonts w:hint="eastAsia" w:ascii="仿宋_GB2312" w:eastAsia="仿宋_GB2312" w:cs="仿宋_GB2312"/>
          <w:sz w:val="32"/>
          <w:szCs w:val="32"/>
        </w:rPr>
        <w:t>吨，总销售值为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101.52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</w:rPr>
        <w:t>平</w:t>
      </w:r>
      <w:r>
        <w:rPr>
          <w:rFonts w:ascii="仿宋_GB2312" w:eastAsia="仿宋_GB2312" w:cs="仿宋_GB2312"/>
          <w:sz w:val="32"/>
          <w:szCs w:val="32"/>
        </w:rPr>
        <w:t>均利润</w:t>
      </w:r>
      <w:r>
        <w:rPr>
          <w:rFonts w:hint="eastAsia" w:ascii="仿宋_GB2312" w:eastAsia="仿宋_GB2312" w:cs="仿宋_GB2312"/>
          <w:sz w:val="32"/>
          <w:szCs w:val="32"/>
        </w:rPr>
        <w:t>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eastAsia="仿宋_GB2312" w:cs="仿宋_GB2312"/>
          <w:sz w:val="32"/>
          <w:szCs w:val="32"/>
        </w:rPr>
        <w:t>万</w:t>
      </w:r>
      <w:r>
        <w:rPr>
          <w:rFonts w:ascii="仿宋_GB2312" w:eastAsia="仿宋_GB2312" w:cs="仿宋_GB2312"/>
          <w:sz w:val="32"/>
          <w:szCs w:val="32"/>
        </w:rPr>
        <w:t>元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pStyle w:val="2"/>
        <w:ind w:firstLine="640" w:firstLineChars="200"/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3栋日光温室大棚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净种植面积为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8100平方米，合12.15亩，</w:t>
      </w:r>
      <w:r>
        <w:rPr>
          <w:rFonts w:hint="eastAsia" w:ascii="仿宋_GB2312" w:eastAsia="仿宋_GB2312" w:cs="仿宋_GB2312"/>
          <w:sz w:val="32"/>
          <w:szCs w:val="32"/>
        </w:rPr>
        <w:t>一</w:t>
      </w:r>
      <w:r>
        <w:rPr>
          <w:rFonts w:ascii="仿宋_GB2312" w:eastAsia="仿宋_GB2312" w:cs="仿宋_GB2312"/>
          <w:sz w:val="32"/>
          <w:szCs w:val="32"/>
        </w:rPr>
        <w:t>年两茬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平均亩产蔬菜1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000公斤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每公斤平</w:t>
      </w:r>
      <w:r>
        <w:rPr>
          <w:rFonts w:ascii="仿宋_GB2312" w:eastAsia="仿宋_GB2312" w:cs="仿宋_GB2312"/>
          <w:sz w:val="32"/>
          <w:szCs w:val="32"/>
          <w:highlight w:val="none"/>
        </w:rPr>
        <w:t>均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售价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元，亩销</w:t>
      </w:r>
      <w:r>
        <w:rPr>
          <w:rFonts w:ascii="仿宋_GB2312" w:eastAsia="仿宋_GB2312" w:cs="仿宋_GB2312"/>
          <w:sz w:val="32"/>
          <w:szCs w:val="32"/>
          <w:highlight w:val="none"/>
        </w:rPr>
        <w:t>售值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万元，总产量为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121.5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吨，总销售值为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36.45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万元，</w:t>
      </w:r>
      <w:r>
        <w:rPr>
          <w:rFonts w:asci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平</w:t>
      </w:r>
      <w:r>
        <w:rPr>
          <w:rFonts w:ascii="仿宋_GB2312" w:eastAsia="仿宋_GB2312" w:cs="仿宋_GB2312"/>
          <w:sz w:val="32"/>
          <w:szCs w:val="32"/>
          <w:highlight w:val="none"/>
        </w:rPr>
        <w:t>均利润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为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</w:t>
      </w:r>
      <w:r>
        <w:rPr>
          <w:rFonts w:asci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。</w:t>
      </w:r>
    </w:p>
    <w:p>
      <w:pPr>
        <w:ind w:firstLine="704" w:firstLineChars="220"/>
        <w:outlineLvl w:val="1"/>
        <w:rPr>
          <w:rFonts w:ascii="仿宋_GB2312" w:eastAsia="仿宋_GB2312" w:cs="仿宋_GB2312"/>
          <w:sz w:val="32"/>
          <w:szCs w:val="32"/>
        </w:rPr>
      </w:pPr>
      <w:bookmarkStart w:id="32" w:name="_Toc28546"/>
      <w:r>
        <w:rPr>
          <w:rFonts w:hint="eastAsia" w:ascii="仿宋_GB2312" w:eastAsia="仿宋_GB2312" w:cs="仿宋_GB2312"/>
          <w:sz w:val="32"/>
          <w:szCs w:val="32"/>
        </w:rPr>
        <w:t>3.</w:t>
      </w:r>
      <w:r>
        <w:fldChar w:fldCharType="begin"/>
      </w:r>
      <w:r>
        <w:instrText xml:space="preserve"> HYPERLINK "file:///C:\\Users\\Administrator\\Desktop\\绿色蔬菜扶贫基地建设项目%20(3).doc%23_Toc334460073" </w:instrText>
      </w:r>
      <w:r>
        <w:fldChar w:fldCharType="separate"/>
      </w:r>
      <w:r>
        <w:rPr>
          <w:rFonts w:hint="eastAsia" w:ascii="仿宋_GB2312" w:eastAsia="仿宋_GB2312" w:cs="仿宋_GB2312"/>
          <w:sz w:val="32"/>
          <w:szCs w:val="32"/>
        </w:rPr>
        <w:t>生态效益</w:t>
      </w:r>
      <w:r>
        <w:rPr>
          <w:rFonts w:hint="eastAsia" w:ascii="仿宋_GB2312" w:eastAsia="仿宋_GB2312" w:cs="仿宋_GB2312"/>
          <w:sz w:val="32"/>
          <w:szCs w:val="32"/>
        </w:rPr>
        <w:fldChar w:fldCharType="end"/>
      </w:r>
      <w:bookmarkEnd w:id="32"/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项目的实施过程不产生有害物质，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合作社</w:t>
      </w:r>
      <w:r>
        <w:rPr>
          <w:rFonts w:hint="eastAsia" w:ascii="仿宋_GB2312" w:eastAsia="仿宋_GB2312" w:cs="仿宋_GB2312"/>
          <w:sz w:val="32"/>
          <w:szCs w:val="32"/>
        </w:rPr>
        <w:t>经营方式采用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绿色</w:t>
      </w:r>
      <w:r>
        <w:rPr>
          <w:rFonts w:hint="eastAsia" w:ascii="仿宋_GB2312" w:eastAsia="仿宋_GB2312" w:cs="仿宋_GB2312"/>
          <w:sz w:val="32"/>
          <w:szCs w:val="32"/>
        </w:rPr>
        <w:t>标准化种</w:t>
      </w:r>
      <w:r>
        <w:rPr>
          <w:rFonts w:ascii="仿宋_GB2312" w:eastAsia="仿宋_GB2312" w:cs="仿宋_GB2312"/>
          <w:sz w:val="32"/>
          <w:szCs w:val="32"/>
        </w:rPr>
        <w:t>植</w:t>
      </w:r>
      <w:r>
        <w:rPr>
          <w:rFonts w:hint="eastAsia" w:ascii="仿宋_GB2312" w:eastAsia="仿宋_GB2312" w:cs="仿宋_GB2312"/>
          <w:sz w:val="32"/>
          <w:szCs w:val="32"/>
        </w:rPr>
        <w:t>技术，可减少病虫害的发生，减少农药施用量，间接改善生态环境。</w:t>
      </w:r>
    </w:p>
    <w:p>
      <w:pPr>
        <w:ind w:firstLine="704" w:firstLineChars="220"/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</w:t>
      </w: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新宋体" w:eastAsia="新宋体"/>
          <w:b/>
          <w:sz w:val="28"/>
          <w:szCs w:val="28"/>
          <w:lang w:val="en-US" w:eastAsia="zh-CN"/>
        </w:rPr>
      </w:pPr>
    </w:p>
    <w:p>
      <w:pPr>
        <w:jc w:val="both"/>
        <w:rPr>
          <w:rFonts w:hint="eastAsia" w:ascii="新宋体" w:eastAsia="新宋体"/>
          <w:b/>
          <w:sz w:val="28"/>
          <w:szCs w:val="28"/>
          <w:lang w:val="en-US" w:eastAsia="zh-CN"/>
        </w:rPr>
      </w:pPr>
    </w:p>
    <w:p>
      <w:pPr>
        <w:jc w:val="both"/>
        <w:rPr>
          <w:rFonts w:hint="eastAsia" w:ascii="新宋体" w:eastAsia="新宋体"/>
          <w:b/>
          <w:sz w:val="28"/>
          <w:szCs w:val="28"/>
          <w:lang w:val="en-US" w:eastAsia="zh-CN"/>
        </w:rPr>
      </w:pPr>
    </w:p>
    <w:p>
      <w:pPr>
        <w:jc w:val="both"/>
        <w:rPr>
          <w:rFonts w:hint="eastAsia" w:ascii="新宋体" w:eastAsia="新宋体"/>
          <w:b/>
          <w:sz w:val="28"/>
          <w:szCs w:val="28"/>
          <w:lang w:val="en-US" w:eastAsia="zh-CN"/>
        </w:rPr>
      </w:pPr>
    </w:p>
    <w:p>
      <w:pPr>
        <w:jc w:val="both"/>
        <w:rPr>
          <w:rFonts w:hint="eastAsia" w:ascii="新宋体" w:eastAsia="新宋体"/>
          <w:b/>
          <w:sz w:val="28"/>
          <w:szCs w:val="28"/>
          <w:lang w:val="en-US" w:eastAsia="zh-CN"/>
        </w:rPr>
      </w:pPr>
    </w:p>
    <w:p>
      <w:pPr>
        <w:jc w:val="both"/>
        <w:rPr>
          <w:rFonts w:hint="eastAsia" w:ascii="新宋体" w:eastAsia="新宋体"/>
          <w:b/>
          <w:sz w:val="28"/>
          <w:szCs w:val="28"/>
          <w:lang w:val="en-US" w:eastAsia="zh-CN"/>
        </w:rPr>
      </w:pPr>
    </w:p>
    <w:p>
      <w:pPr>
        <w:jc w:val="both"/>
        <w:rPr>
          <w:rFonts w:hint="eastAsia" w:ascii="新宋体" w:eastAsia="新宋体"/>
          <w:b/>
          <w:sz w:val="28"/>
          <w:szCs w:val="28"/>
          <w:lang w:val="en-US" w:eastAsia="zh-CN"/>
        </w:rPr>
      </w:pPr>
    </w:p>
    <w:p>
      <w:pPr>
        <w:jc w:val="center"/>
        <w:outlineLvl w:val="0"/>
        <w:rPr>
          <w:rFonts w:hint="eastAsia" w:ascii="新宋体" w:eastAsia="新宋体"/>
          <w:b/>
          <w:sz w:val="28"/>
          <w:szCs w:val="28"/>
          <w:lang w:val="en-US" w:eastAsia="zh-CN"/>
        </w:rPr>
      </w:pPr>
      <w:bookmarkStart w:id="33" w:name="_Toc13812"/>
    </w:p>
    <w:p>
      <w:pPr>
        <w:jc w:val="center"/>
        <w:outlineLvl w:val="0"/>
        <w:rPr>
          <w:rFonts w:hint="eastAsia" w:ascii="新宋体" w:eastAsia="新宋体"/>
          <w:b/>
          <w:sz w:val="28"/>
          <w:szCs w:val="28"/>
          <w:lang w:val="en-US" w:eastAsia="zh-CN"/>
        </w:rPr>
      </w:pPr>
    </w:p>
    <w:p>
      <w:pPr>
        <w:jc w:val="center"/>
        <w:outlineLvl w:val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新宋体" w:eastAsia="新宋体"/>
          <w:b/>
          <w:sz w:val="28"/>
          <w:szCs w:val="28"/>
          <w:lang w:val="en-US" w:eastAsia="zh-CN"/>
        </w:rPr>
        <w:t>覆被式大棚蔬菜标准化生产</w:t>
      </w:r>
      <w:r>
        <w:rPr>
          <w:rFonts w:hint="eastAsia" w:ascii="新宋体" w:eastAsia="新宋体"/>
          <w:b/>
          <w:sz w:val="28"/>
          <w:szCs w:val="28"/>
          <w:lang w:eastAsia="zh-CN"/>
        </w:rPr>
        <w:t>基地各项费用明细表（单位：万元）</w:t>
      </w:r>
      <w:bookmarkEnd w:id="33"/>
    </w:p>
    <w:tbl>
      <w:tblPr>
        <w:tblStyle w:val="8"/>
        <w:tblpPr w:leftFromText="180" w:rightFromText="180" w:vertAnchor="text" w:horzAnchor="page" w:tblpX="1099" w:tblpY="1021"/>
        <w:tblOverlap w:val="never"/>
        <w:tblW w:w="10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101"/>
        <w:gridCol w:w="3350"/>
        <w:gridCol w:w="1149"/>
        <w:gridCol w:w="1423"/>
        <w:gridCol w:w="1320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451" w:type="dxa"/>
            <w:gridSpan w:val="2"/>
            <w:vAlign w:val="center"/>
          </w:tcPr>
          <w:p>
            <w:pPr>
              <w:jc w:val="center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423" w:type="dxa"/>
            <w:shd w:val="clear" w:color="auto" w:fill="auto"/>
          </w:tcPr>
          <w:p>
            <w:pPr>
              <w:jc w:val="center"/>
              <w:rPr>
                <w:rFonts w:hint="eastAsia" w:ascii="新宋体" w:hAnsi="Calibri" w:eastAsia="新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  <w:t>总价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  <w:t>合价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66" w:type="dxa"/>
            <w:vMerge w:val="restart"/>
            <w:vAlign w:val="center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451" w:type="dxa"/>
            <w:gridSpan w:val="2"/>
            <w:vAlign w:val="center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  <w:t>土地租赁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亩</w:t>
            </w:r>
          </w:p>
        </w:tc>
        <w:tc>
          <w:tcPr>
            <w:tcW w:w="1423" w:type="dxa"/>
            <w:shd w:val="clear" w:color="auto" w:fill="auto"/>
          </w:tcPr>
          <w:p>
            <w:pPr>
              <w:jc w:val="center"/>
              <w:rPr>
                <w:rFonts w:hint="default" w:ascii="新宋体" w:hAnsi="Calibri" w:eastAsia="新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新宋体" w:eastAsia="新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7.6807</w:t>
            </w:r>
          </w:p>
        </w:tc>
        <w:tc>
          <w:tcPr>
            <w:tcW w:w="788" w:type="dxa"/>
            <w:vMerge w:val="restart"/>
          </w:tcPr>
          <w:p>
            <w:pPr>
              <w:jc w:val="center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51" w:type="dxa"/>
            <w:gridSpan w:val="2"/>
            <w:vAlign w:val="center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  <w:t>土地平整、除草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  <w:t>项</w:t>
            </w:r>
          </w:p>
        </w:tc>
        <w:tc>
          <w:tcPr>
            <w:tcW w:w="1423" w:type="dxa"/>
            <w:shd w:val="clear" w:color="auto" w:fill="auto"/>
          </w:tcPr>
          <w:p>
            <w:pPr>
              <w:jc w:val="center"/>
              <w:rPr>
                <w:rFonts w:hint="default" w:ascii="新宋体" w:hAnsi="Calibri" w:eastAsia="新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1.6807</w:t>
            </w:r>
          </w:p>
        </w:tc>
        <w:tc>
          <w:tcPr>
            <w:tcW w:w="1320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8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966" w:type="dxa"/>
            <w:vMerge w:val="restart"/>
            <w:vAlign w:val="center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  <w:t>大棚</w:t>
            </w:r>
          </w:p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  <w:t>本体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高标准覆被式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钢架大棚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4栋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142.88</w:t>
            </w:r>
          </w:p>
        </w:tc>
        <w:tc>
          <w:tcPr>
            <w:tcW w:w="1320" w:type="dxa"/>
            <w:vMerge w:val="restart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223.88</w:t>
            </w:r>
          </w:p>
        </w:tc>
        <w:tc>
          <w:tcPr>
            <w:tcW w:w="788" w:type="dxa"/>
            <w:vMerge w:val="restart"/>
          </w:tcPr>
          <w:p>
            <w:pPr>
              <w:jc w:val="center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详见后附表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日光温室大棚</w:t>
            </w:r>
          </w:p>
        </w:tc>
        <w:tc>
          <w:tcPr>
            <w:tcW w:w="1149" w:type="dxa"/>
          </w:tcPr>
          <w:p>
            <w:pPr>
              <w:jc w:val="both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3座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81</w:t>
            </w:r>
          </w:p>
        </w:tc>
        <w:tc>
          <w:tcPr>
            <w:tcW w:w="1320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8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966" w:type="dxa"/>
            <w:vMerge w:val="restart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01" w:type="dxa"/>
            <w:vMerge w:val="restart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  <w:t>相关配套设备</w:t>
            </w:r>
          </w:p>
        </w:tc>
        <w:tc>
          <w:tcPr>
            <w:tcW w:w="3350" w:type="dxa"/>
          </w:tcPr>
          <w:p>
            <w:pPr>
              <w:ind w:firstLine="616" w:firstLineChars="22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3TGO-4HA除草机1台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320" w:type="dxa"/>
            <w:vMerge w:val="restart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6.4393</w:t>
            </w:r>
          </w:p>
        </w:tc>
        <w:tc>
          <w:tcPr>
            <w:tcW w:w="788" w:type="dxa"/>
            <w:vMerge w:val="restart"/>
          </w:tcPr>
          <w:p>
            <w:pPr>
              <w:jc w:val="center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6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5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全自动打药机3台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4.455</w:t>
            </w:r>
          </w:p>
        </w:tc>
        <w:tc>
          <w:tcPr>
            <w:tcW w:w="1320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50" w:type="dxa"/>
          </w:tcPr>
          <w:p>
            <w:pPr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3TGQ-48微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耕机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0.7843</w:t>
            </w:r>
          </w:p>
        </w:tc>
        <w:tc>
          <w:tcPr>
            <w:tcW w:w="1320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66" w:type="dxa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23" w:type="dxa"/>
            <w:gridSpan w:val="4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  <w:t>合</w:t>
            </w: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  <w:t>计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238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097" w:type="dxa"/>
            <w:gridSpan w:val="7"/>
          </w:tcPr>
          <w:p>
            <w:pPr>
              <w:jc w:val="left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  <w:t>注：以上所有费用均为含税价格</w:t>
            </w:r>
          </w:p>
        </w:tc>
      </w:tr>
    </w:tbl>
    <w:p>
      <w:pPr>
        <w:jc w:val="center"/>
        <w:rPr>
          <w:rFonts w:hint="eastAsia" w:ascii="新宋体" w:eastAsia="新宋体"/>
          <w:b/>
          <w:sz w:val="28"/>
          <w:szCs w:val="28"/>
          <w:lang w:eastAsia="zh-CN"/>
        </w:rPr>
      </w:pPr>
    </w:p>
    <w:p>
      <w:pPr>
        <w:jc w:val="left"/>
        <w:rPr>
          <w:rFonts w:hint="eastAsia" w:ascii="新宋体" w:eastAsia="新宋体"/>
          <w:b/>
          <w:sz w:val="32"/>
          <w:szCs w:val="32"/>
          <w:lang w:eastAsia="zh-CN"/>
        </w:rPr>
      </w:pPr>
    </w:p>
    <w:p>
      <w:pPr>
        <w:jc w:val="left"/>
        <w:rPr>
          <w:rFonts w:hint="eastAsia" w:ascii="新宋体" w:eastAsia="新宋体"/>
          <w:b/>
          <w:sz w:val="32"/>
          <w:szCs w:val="32"/>
          <w:lang w:eastAsia="zh-CN"/>
        </w:rPr>
      </w:pPr>
    </w:p>
    <w:p>
      <w:pPr>
        <w:jc w:val="left"/>
        <w:rPr>
          <w:rFonts w:hint="eastAsia" w:ascii="新宋体" w:eastAsia="新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新宋体" w:eastAsia="新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新宋体" w:eastAsia="新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新宋体" w:eastAsia="新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新宋体" w:eastAsia="新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新宋体" w:eastAsia="新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新宋体" w:eastAsia="新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新宋体" w:eastAsia="新宋体"/>
          <w:b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</w:pPr>
    <w:r>
      <w:fldChar w:fldCharType="begin"/>
    </w:r>
    <w:r>
      <w:rPr>
        <w:rStyle w:val="10"/>
      </w:rPr>
      <w:instrText xml:space="preserve">Page</w:instrText>
    </w:r>
    <w:r>
      <w:fldChar w:fldCharType="separate"/>
    </w:r>
    <w:r>
      <w:rPr>
        <w:rStyle w:val="10"/>
      </w:rPr>
      <w:t>16</w:t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chineseCounting"/>
      <w:suff w:val="nothing"/>
      <w:lvlText w:val="%1）"/>
      <w:lvlJc w:val="left"/>
      <w:rPr>
        <w:rFonts w:hint="eastAsia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00000000"/>
    <w:rsid w:val="210359DC"/>
    <w:rsid w:val="253A705A"/>
    <w:rsid w:val="293B5E21"/>
    <w:rsid w:val="DDE3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Times New Roman" w:eastAsia="宋体" w:cs="宋体"/>
      <w:b/>
      <w:kern w:val="44"/>
      <w:sz w:val="48"/>
      <w:szCs w:val="48"/>
      <w:lang w:val="en-US" w:eastAsia="zh-CN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Times New Roman" w:hAnsi="Times New Roman" w:eastAsia="宋体" w:cs="Times New Roman"/>
      <w:szCs w:val="24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4306</Words>
  <Characters>4559</Characters>
  <Paragraphs>224</Paragraphs>
  <TotalTime>24</TotalTime>
  <ScaleCrop>false</ScaleCrop>
  <LinksUpToDate>false</LinksUpToDate>
  <CharactersWithSpaces>4603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2024-09-19T17:55:00Z</dcterms:created>
  <dc:creator>sugon</dc:creator>
  <cp:lastModifiedBy>張雅華</cp:lastModifiedBy>
  <cp:lastPrinted>2024-10-29T15:11:00Z</cp:lastPrinted>
  <dcterms:modified xsi:type="dcterms:W3CDTF">2024-12-26T07:39:19Z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F30C95A70A014240892983258FF3113B_13</vt:lpwstr>
  </property>
</Properties>
</file>