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长子县教育局</w:t>
      </w:r>
      <w:r>
        <w:rPr>
          <w:rFonts w:hint="eastAsia" w:ascii="华文中宋" w:hAnsi="华文中宋" w:eastAsia="华文中宋"/>
          <w:sz w:val="44"/>
          <w:szCs w:val="44"/>
        </w:rPr>
        <w:t>单位决算公开报告</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仿宋" w:hAnsi="仿宋" w:eastAsia="仿宋" w:cs="宋体"/>
          <w:color w:val="000000" w:themeColor="text1"/>
          <w:sz w:val="32"/>
          <w:szCs w:val="32"/>
          <w:shd w:val="pct10" w:color="auto" w:fill="FFFFFF"/>
        </w:rPr>
        <w:fldChar w:fldCharType="begin"/>
      </w:r>
      <w:r>
        <w:rPr>
          <w:rFonts w:hint="eastAsia" w:ascii="仿宋" w:hAnsi="仿宋" w:eastAsia="仿宋" w:cs="宋体"/>
          <w:color w:val="000000" w:themeColor="text1"/>
          <w:sz w:val="32"/>
          <w:szCs w:val="32"/>
          <w:shd w:val="pct10" w:color="auto" w:fill="FFFFFF"/>
        </w:rPr>
        <w:instrText xml:space="preserve">TOC \o "1-2" \h \u </w:instrText>
      </w:r>
      <w:r>
        <w:rPr>
          <w:rFonts w:hint="eastAsia" w:ascii="仿宋" w:hAnsi="仿宋" w:eastAsia="仿宋" w:cs="宋体"/>
          <w:color w:val="000000" w:themeColor="text1"/>
          <w:sz w:val="32"/>
          <w:szCs w:val="32"/>
          <w:shd w:val="pct10" w:color="auto" w:fill="FFFFFF"/>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一、单位职责</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二、单位机构设置</w:t>
      </w:r>
    </w:p>
    <w:p>
      <w:pPr>
        <w:pStyle w:val="13"/>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rPr>
        <w:t>第二部分  2021年度单位决算情况说明</w:t>
      </w:r>
      <w:r>
        <w:rPr>
          <w:rFonts w:hint="eastAsia" w:ascii="华文中宋" w:hAnsi="华文中宋" w:eastAsia="华文中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rPr>
        <w:t>一、收入情况</w:t>
      </w:r>
      <w:r>
        <w:rPr>
          <w:rFonts w:hint="eastAsia" w:ascii="仿宋" w:hAnsi="仿宋" w:eastAsia="仿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rPr>
        <w:t>二、支出情况</w:t>
      </w:r>
      <w:r>
        <w:rPr>
          <w:rFonts w:hint="eastAsia" w:ascii="仿宋" w:hAnsi="仿宋" w:eastAsia="仿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三、“三公”经费情况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四、机关运行经费情况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五、政府采购情况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六、国有资产占用情况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七、重点绩效评价情况</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一、财政拨款收入 </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二、事业收入</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三、其他收入</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四、年初结转和结余</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六、年末结转和结余</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七、基本支出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八、项目支出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九、“三公”经费</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2021年度单位决算表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10、单位决算公开相关信息统计表(公开10表)</w:t>
      </w:r>
    </w:p>
    <w:p>
      <w:pPr>
        <w:pStyle w:val="13"/>
        <w:tabs>
          <w:tab w:val="right" w:leader="dot" w:pos="8307"/>
        </w:tabs>
        <w:rPr>
          <w:rFonts w:ascii="仿宋" w:hAnsi="仿宋" w:eastAsia="仿宋" w:cs="宋体"/>
          <w:color w:val="000000" w:themeColor="text1"/>
          <w:sz w:val="32"/>
          <w:szCs w:val="32"/>
          <w:shd w:val="pct10" w:color="auto" w:fill="FFFFFF"/>
        </w:rPr>
      </w:pPr>
    </w:p>
    <w:p>
      <w:pPr>
        <w:pStyle w:val="13"/>
        <w:tabs>
          <w:tab w:val="right" w:leader="dot" w:pos="8307"/>
        </w:tabs>
        <w:rPr>
          <w:rFonts w:hAnsi="宋体" w:cs="宋体"/>
          <w:sz w:val="32"/>
          <w:szCs w:val="32"/>
        </w:rPr>
      </w:pPr>
      <w:r>
        <w:rPr>
          <w:rFonts w:hint="eastAsia" w:ascii="仿宋" w:hAnsi="仿宋" w:eastAsia="仿宋" w:cs="宋体"/>
          <w:color w:val="000000" w:themeColor="text1"/>
          <w:sz w:val="32"/>
          <w:szCs w:val="32"/>
          <w:shd w:val="pct10" w:color="auto" w:fill="FFFFFF"/>
        </w:rPr>
        <w:fldChar w:fldCharType="end"/>
      </w: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长子县教育局</w:t>
      </w:r>
      <w:r>
        <w:rPr>
          <w:rFonts w:hint="eastAsia" w:ascii="华文中宋" w:hAnsi="华文中宋" w:eastAsia="华文中宋"/>
          <w:sz w:val="44"/>
          <w:szCs w:val="44"/>
        </w:rPr>
        <w:t>单位决算公开报告</w:t>
      </w:r>
    </w:p>
    <w:p>
      <w:pPr>
        <w:wordWrap w:val="0"/>
        <w:spacing w:line="503" w:lineRule="atLeast"/>
        <w:jc w:val="center"/>
        <w:rPr>
          <w:rFonts w:ascii="宋体 !important" w:eastAsia="宋体 !important"/>
          <w:color w:val="222222"/>
        </w:rPr>
      </w:pPr>
      <w:r>
        <w:rPr>
          <w:rFonts w:hint="eastAsia"/>
          <w:b/>
          <w:bCs/>
          <w:color w:val="333333"/>
          <w:sz w:val="44"/>
          <w:szCs w:val="44"/>
        </w:rPr>
        <w:t> </w:t>
      </w:r>
    </w:p>
    <w:p>
      <w:pPr>
        <w:pStyle w:val="13"/>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3"/>
        <w:numPr>
          <w:ilvl w:val="0"/>
          <w:numId w:val="1"/>
        </w:numPr>
        <w:tabs>
          <w:tab w:val="right" w:leader="dot" w:pos="8307"/>
        </w:tabs>
        <w:ind w:firstLine="640" w:firstLineChars="200"/>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黑体" w:hAnsi="黑体" w:eastAsia="黑体" w:cs="宋体"/>
          <w:color w:val="000000" w:themeColor="text1"/>
          <w:sz w:val="32"/>
          <w:szCs w:val="32"/>
        </w:rPr>
        <w:t>单位职责</w:t>
      </w:r>
    </w:p>
    <w:p>
      <w:pPr>
        <w:pStyle w:val="13"/>
        <w:numPr>
          <w:ilvl w:val="0"/>
          <w:numId w:val="0"/>
        </w:numPr>
        <w:tabs>
          <w:tab w:val="right" w:leader="dot" w:pos="8307"/>
        </w:tabs>
        <w:ind w:firstLine="640" w:firstLineChars="200"/>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黑体" w:hAnsi="黑体" w:eastAsia="黑体" w:cs="宋体"/>
          <w:color w:val="000000" w:themeColor="text1"/>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shd w:val="clear" w:color="auto" w:fill="FFFFFF"/>
          <w:lang w:val="en-US" w:eastAsia="zh-CN"/>
        </w:rPr>
        <w:t>1、</w:t>
      </w:r>
      <w:r>
        <w:rPr>
          <w:rFonts w:hint="eastAsia" w:ascii="仿宋_GB2312" w:hAnsi="仿宋_GB2312" w:eastAsia="仿宋_GB2312" w:cs="仿宋_GB2312"/>
          <w:i w:val="0"/>
          <w:iCs w:val="0"/>
          <w:caps w:val="0"/>
          <w:color w:val="222222"/>
          <w:spacing w:val="0"/>
          <w:sz w:val="32"/>
          <w:szCs w:val="32"/>
          <w:shd w:val="clear" w:color="auto" w:fill="FFFFFF"/>
        </w:rPr>
        <w:t>负责各级各类教育的统筹规划和协调管理，会同有关部门制定各级各类学校的设置标准；指导各级各类学校的教育教学改革，负责教育基本信息的统计、分析和公布。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2、</w:t>
      </w:r>
      <w:r>
        <w:rPr>
          <w:rFonts w:hint="eastAsia" w:ascii="仿宋_GB2312" w:hAnsi="仿宋_GB2312" w:eastAsia="仿宋_GB2312" w:cs="仿宋_GB2312"/>
          <w:i w:val="0"/>
          <w:iCs w:val="0"/>
          <w:caps w:val="0"/>
          <w:color w:val="222222"/>
          <w:spacing w:val="0"/>
          <w:sz w:val="32"/>
          <w:szCs w:val="32"/>
          <w:shd w:val="clear" w:color="auto" w:fill="FFFFFF"/>
        </w:rPr>
        <w:t xml:space="preserve">负责推进义务教育均衡发展和促进教育公平，负责义务教育的宏观指导和协调，指导普通高中教育、幼儿教育和特殊教育工作。制定基础教育教学基本要求和有关文件，监督管理全县中小学教材的征订和使用，全面实施素质教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3、</w:t>
      </w:r>
      <w:r>
        <w:rPr>
          <w:rFonts w:hint="eastAsia" w:ascii="仿宋_GB2312" w:hAnsi="仿宋_GB2312" w:eastAsia="仿宋_GB2312" w:cs="仿宋_GB2312"/>
          <w:i w:val="0"/>
          <w:iCs w:val="0"/>
          <w:caps w:val="0"/>
          <w:color w:val="222222"/>
          <w:spacing w:val="0"/>
          <w:sz w:val="32"/>
          <w:szCs w:val="32"/>
          <w:shd w:val="clear" w:color="auto" w:fill="FFFFFF"/>
        </w:rPr>
        <w:t>负责全县教育督导工作，组织全县学校的督导检查和评估验收工作，负责基础教育发展水平、质量的监测工作。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4、</w:t>
      </w:r>
      <w:r>
        <w:rPr>
          <w:rFonts w:hint="eastAsia" w:ascii="仿宋_GB2312" w:hAnsi="仿宋_GB2312" w:eastAsia="仿宋_GB2312" w:cs="仿宋_GB2312"/>
          <w:i w:val="0"/>
          <w:iCs w:val="0"/>
          <w:caps w:val="0"/>
          <w:color w:val="222222"/>
          <w:spacing w:val="0"/>
          <w:sz w:val="32"/>
          <w:szCs w:val="32"/>
          <w:shd w:val="clear" w:color="auto" w:fill="FFFFFF"/>
        </w:rPr>
        <w:t>指导以就业为导向的职业教育的发展和改革，制定职业教育教学基本要求和教学指导性文件；监督指导职业教育文化和专业教材的征订和使用以及职业指导工作。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5、</w:t>
      </w:r>
      <w:r>
        <w:rPr>
          <w:rFonts w:hint="eastAsia" w:ascii="仿宋_GB2312" w:hAnsi="仿宋_GB2312" w:eastAsia="仿宋_GB2312" w:cs="仿宋_GB2312"/>
          <w:i w:val="0"/>
          <w:iCs w:val="0"/>
          <w:caps w:val="0"/>
          <w:color w:val="222222"/>
          <w:spacing w:val="0"/>
          <w:sz w:val="32"/>
          <w:szCs w:val="32"/>
          <w:shd w:val="clear" w:color="auto" w:fill="FFFFFF"/>
        </w:rPr>
        <w:t>会同有关部门拟订全县教育系统人事、劳资、职称管理工作的有关政策，指导全县中小学的学校管理，对全县的教师队伍进行管理，制定教师培训计划并组织实施，组织</w:t>
      </w:r>
      <w:r>
        <w:rPr>
          <w:rFonts w:hint="eastAsia" w:ascii="仿宋_GB2312" w:hAnsi="仿宋_GB2312" w:eastAsia="仿宋_GB2312" w:cs="仿宋_GB2312"/>
          <w:i w:val="0"/>
          <w:iCs w:val="0"/>
          <w:caps w:val="0"/>
          <w:color w:val="222222"/>
          <w:spacing w:val="0"/>
          <w:sz w:val="32"/>
          <w:szCs w:val="32"/>
          <w:shd w:val="clear" w:color="auto" w:fill="FFFFFF"/>
          <w:lang w:eastAsia="zh-CN"/>
        </w:rPr>
        <w:t>全</w:t>
      </w:r>
      <w:r>
        <w:rPr>
          <w:rFonts w:hint="eastAsia" w:ascii="仿宋_GB2312" w:hAnsi="仿宋_GB2312" w:eastAsia="仿宋_GB2312" w:cs="仿宋_GB2312"/>
          <w:i w:val="0"/>
          <w:iCs w:val="0"/>
          <w:caps w:val="0"/>
          <w:color w:val="222222"/>
          <w:spacing w:val="0"/>
          <w:sz w:val="32"/>
          <w:szCs w:val="32"/>
          <w:shd w:val="clear" w:color="auto" w:fill="FFFFFF"/>
        </w:rPr>
        <w:t>县教职工专业技术职务评审。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6、</w:t>
      </w:r>
      <w:r>
        <w:rPr>
          <w:rFonts w:hint="eastAsia" w:ascii="仿宋_GB2312" w:hAnsi="仿宋_GB2312" w:eastAsia="仿宋_GB2312" w:cs="仿宋_GB2312"/>
          <w:i w:val="0"/>
          <w:iCs w:val="0"/>
          <w:caps w:val="0"/>
          <w:color w:val="222222"/>
          <w:spacing w:val="0"/>
          <w:sz w:val="32"/>
          <w:szCs w:val="32"/>
          <w:shd w:val="clear" w:color="auto" w:fill="FFFFFF"/>
        </w:rPr>
        <w:t>负责本部门教育经费的统筹管理，参与拟订教育经费筹措、教育拨款、教育基建投资的政策，负责统</w:t>
      </w:r>
      <w:r>
        <w:rPr>
          <w:rFonts w:hint="eastAsia" w:ascii="仿宋_GB2312" w:hAnsi="仿宋_GB2312" w:eastAsia="仿宋_GB2312" w:cs="仿宋_GB2312"/>
          <w:i w:val="0"/>
          <w:iCs w:val="0"/>
          <w:caps w:val="0"/>
          <w:color w:val="222222"/>
          <w:spacing w:val="0"/>
          <w:sz w:val="32"/>
          <w:szCs w:val="32"/>
          <w:shd w:val="clear" w:color="auto" w:fill="FFFFFF"/>
          <w:lang w:eastAsia="zh-CN"/>
        </w:rPr>
        <w:t>计</w:t>
      </w:r>
      <w:r>
        <w:rPr>
          <w:rFonts w:hint="eastAsia" w:ascii="仿宋_GB2312" w:hAnsi="仿宋_GB2312" w:eastAsia="仿宋_GB2312" w:cs="仿宋_GB2312"/>
          <w:i w:val="0"/>
          <w:iCs w:val="0"/>
          <w:caps w:val="0"/>
          <w:color w:val="222222"/>
          <w:spacing w:val="0"/>
          <w:sz w:val="32"/>
          <w:szCs w:val="32"/>
          <w:shd w:val="clear" w:color="auto" w:fill="FFFFFF"/>
        </w:rPr>
        <w:t>全县教育经费投入情况，监督全县教育经费的筹措和使用情况，负责对我县教育援助和教育贷款的管理。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7、</w:t>
      </w:r>
      <w:r>
        <w:rPr>
          <w:rFonts w:hint="eastAsia" w:ascii="仿宋_GB2312" w:hAnsi="仿宋_GB2312" w:eastAsia="仿宋_GB2312" w:cs="仿宋_GB2312"/>
          <w:i w:val="0"/>
          <w:iCs w:val="0"/>
          <w:caps w:val="0"/>
          <w:color w:val="222222"/>
          <w:spacing w:val="0"/>
          <w:sz w:val="32"/>
          <w:szCs w:val="32"/>
          <w:shd w:val="clear" w:color="auto" w:fill="FFFFFF"/>
        </w:rPr>
        <w:t>指导各级各类学校的思想政治工作、德育工作、体育卫生与艺术教育工作和国防教育工作。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8、</w:t>
      </w:r>
      <w:r>
        <w:rPr>
          <w:rFonts w:hint="eastAsia" w:ascii="仿宋_GB2312" w:hAnsi="仿宋_GB2312" w:eastAsia="仿宋_GB2312" w:cs="仿宋_GB2312"/>
          <w:i w:val="0"/>
          <w:iCs w:val="0"/>
          <w:caps w:val="0"/>
          <w:color w:val="222222"/>
          <w:spacing w:val="0"/>
          <w:sz w:val="32"/>
          <w:szCs w:val="32"/>
          <w:shd w:val="clear" w:color="auto" w:fill="FFFFFF"/>
        </w:rPr>
        <w:t>负责</w:t>
      </w:r>
      <w:r>
        <w:rPr>
          <w:rFonts w:hint="eastAsia" w:ascii="仿宋_GB2312" w:hAnsi="仿宋_GB2312" w:eastAsia="仿宋_GB2312" w:cs="仿宋_GB2312"/>
          <w:i w:val="0"/>
          <w:iCs w:val="0"/>
          <w:caps w:val="0"/>
          <w:color w:val="222222"/>
          <w:spacing w:val="0"/>
          <w:sz w:val="32"/>
          <w:szCs w:val="32"/>
          <w:shd w:val="clear" w:color="auto" w:fill="FFFFFF"/>
          <w:lang w:eastAsia="zh-CN"/>
        </w:rPr>
        <w:t>全县教育系统</w:t>
      </w:r>
      <w:r>
        <w:rPr>
          <w:rFonts w:hint="eastAsia" w:ascii="仿宋_GB2312" w:hAnsi="仿宋_GB2312" w:eastAsia="仿宋_GB2312" w:cs="仿宋_GB2312"/>
          <w:i w:val="0"/>
          <w:iCs w:val="0"/>
          <w:caps w:val="0"/>
          <w:color w:val="222222"/>
          <w:spacing w:val="0"/>
          <w:sz w:val="32"/>
          <w:szCs w:val="32"/>
          <w:shd w:val="clear" w:color="auto" w:fill="FFFFFF"/>
        </w:rPr>
        <w:t>的党建、统战、稳定、组织、宣传和精神文明建设工作。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9、</w:t>
      </w:r>
      <w:r>
        <w:rPr>
          <w:rFonts w:hint="eastAsia" w:ascii="仿宋_GB2312" w:hAnsi="仿宋_GB2312" w:eastAsia="仿宋_GB2312" w:cs="仿宋_GB2312"/>
          <w:i w:val="0"/>
          <w:iCs w:val="0"/>
          <w:caps w:val="0"/>
          <w:color w:val="222222"/>
          <w:spacing w:val="0"/>
          <w:sz w:val="32"/>
          <w:szCs w:val="32"/>
          <w:shd w:val="clear" w:color="auto" w:fill="FFFFFF"/>
        </w:rPr>
        <w:t>负责全县各类</w:t>
      </w:r>
      <w:r>
        <w:rPr>
          <w:rFonts w:hint="eastAsia" w:ascii="仿宋_GB2312" w:hAnsi="仿宋_GB2312" w:eastAsia="仿宋_GB2312" w:cs="仿宋_GB2312"/>
          <w:i w:val="0"/>
          <w:iCs w:val="0"/>
          <w:caps w:val="0"/>
          <w:color w:val="222222"/>
          <w:spacing w:val="0"/>
          <w:sz w:val="32"/>
          <w:szCs w:val="32"/>
          <w:shd w:val="clear" w:color="auto" w:fill="FFFFFF"/>
          <w:lang w:eastAsia="zh-CN"/>
        </w:rPr>
        <w:t>国家</w:t>
      </w:r>
      <w:r>
        <w:rPr>
          <w:rFonts w:hint="eastAsia" w:ascii="仿宋_GB2312" w:hAnsi="仿宋_GB2312" w:eastAsia="仿宋_GB2312" w:cs="仿宋_GB2312"/>
          <w:i w:val="0"/>
          <w:iCs w:val="0"/>
          <w:caps w:val="0"/>
          <w:color w:val="222222"/>
          <w:spacing w:val="0"/>
          <w:sz w:val="32"/>
          <w:szCs w:val="32"/>
          <w:shd w:val="clear" w:color="auto" w:fill="FFFFFF"/>
        </w:rPr>
        <w:t>招生考试</w:t>
      </w:r>
      <w:r>
        <w:rPr>
          <w:rFonts w:hint="eastAsia" w:ascii="仿宋_GB2312" w:hAnsi="仿宋_GB2312" w:eastAsia="仿宋_GB2312" w:cs="仿宋_GB2312"/>
          <w:i w:val="0"/>
          <w:iCs w:val="0"/>
          <w:caps w:val="0"/>
          <w:color w:val="222222"/>
          <w:spacing w:val="0"/>
          <w:sz w:val="32"/>
          <w:szCs w:val="32"/>
          <w:shd w:val="clear" w:color="auto" w:fill="FFFFFF"/>
          <w:lang w:eastAsia="zh-CN"/>
        </w:rPr>
        <w:t>，</w:t>
      </w:r>
      <w:r>
        <w:rPr>
          <w:rFonts w:hint="eastAsia" w:ascii="仿宋_GB2312" w:hAnsi="仿宋_GB2312" w:eastAsia="仿宋_GB2312" w:cs="仿宋_GB2312"/>
          <w:i w:val="0"/>
          <w:iCs w:val="0"/>
          <w:caps w:val="0"/>
          <w:color w:val="222222"/>
          <w:spacing w:val="0"/>
          <w:sz w:val="32"/>
          <w:szCs w:val="32"/>
          <w:shd w:val="clear" w:color="auto" w:fill="FFFFFF"/>
        </w:rPr>
        <w:t>义务教育阶段</w:t>
      </w:r>
      <w:r>
        <w:rPr>
          <w:rFonts w:hint="eastAsia" w:ascii="仿宋_GB2312" w:hAnsi="仿宋_GB2312" w:eastAsia="仿宋_GB2312" w:cs="仿宋_GB2312"/>
          <w:i w:val="0"/>
          <w:iCs w:val="0"/>
          <w:caps w:val="0"/>
          <w:color w:val="222222"/>
          <w:spacing w:val="0"/>
          <w:sz w:val="32"/>
          <w:szCs w:val="32"/>
          <w:shd w:val="clear" w:color="auto" w:fill="FFFFFF"/>
          <w:lang w:eastAsia="zh-CN"/>
        </w:rPr>
        <w:t>和学前教育</w:t>
      </w:r>
      <w:r>
        <w:rPr>
          <w:rFonts w:hint="eastAsia" w:ascii="仿宋_GB2312" w:hAnsi="仿宋_GB2312" w:eastAsia="仿宋_GB2312" w:cs="仿宋_GB2312"/>
          <w:i w:val="0"/>
          <w:iCs w:val="0"/>
          <w:caps w:val="0"/>
          <w:color w:val="222222"/>
          <w:spacing w:val="0"/>
          <w:sz w:val="32"/>
          <w:szCs w:val="32"/>
          <w:shd w:val="clear" w:color="auto" w:fill="FFFFFF"/>
        </w:rPr>
        <w:t>学生的学籍管理工作。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10、</w:t>
      </w:r>
      <w:r>
        <w:rPr>
          <w:rFonts w:hint="eastAsia" w:ascii="仿宋_GB2312" w:hAnsi="仿宋_GB2312" w:eastAsia="仿宋_GB2312" w:cs="仿宋_GB2312"/>
          <w:i w:val="0"/>
          <w:iCs w:val="0"/>
          <w:caps w:val="0"/>
          <w:color w:val="222222"/>
          <w:spacing w:val="0"/>
          <w:sz w:val="32"/>
          <w:szCs w:val="32"/>
          <w:shd w:val="clear" w:color="auto" w:fill="FFFFFF"/>
        </w:rPr>
        <w:t>监管全县学校、幼儿园的安全工作；负责制定全县学校、幼儿园安全工作的有关制度；开展学校安全教育，保证学校和师生的生命及财产安全。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11、</w:t>
      </w:r>
      <w:r>
        <w:rPr>
          <w:rFonts w:hint="eastAsia" w:ascii="仿宋_GB2312" w:hAnsi="仿宋_GB2312" w:eastAsia="仿宋_GB2312" w:cs="仿宋_GB2312"/>
          <w:i w:val="0"/>
          <w:iCs w:val="0"/>
          <w:caps w:val="0"/>
          <w:color w:val="222222"/>
          <w:spacing w:val="0"/>
          <w:sz w:val="32"/>
          <w:szCs w:val="32"/>
          <w:shd w:val="clear" w:color="auto" w:fill="FFFFFF"/>
        </w:rPr>
        <w:t>负责贯彻落实</w:t>
      </w:r>
      <w:bookmarkStart w:id="4" w:name="_GoBack"/>
      <w:bookmarkEnd w:id="4"/>
      <w:r>
        <w:rPr>
          <w:rFonts w:hint="eastAsia" w:ascii="仿宋_GB2312" w:hAnsi="仿宋_GB2312" w:eastAsia="仿宋_GB2312" w:cs="仿宋_GB2312"/>
          <w:i w:val="0"/>
          <w:iCs w:val="0"/>
          <w:caps w:val="0"/>
          <w:color w:val="222222"/>
          <w:spacing w:val="0"/>
          <w:sz w:val="32"/>
          <w:szCs w:val="32"/>
          <w:shd w:val="clear" w:color="auto" w:fill="FFFFFF"/>
          <w:lang w:eastAsia="zh-CN"/>
        </w:rPr>
        <w:t>国家通用语言文字</w:t>
      </w:r>
      <w:r>
        <w:rPr>
          <w:rFonts w:hint="eastAsia" w:ascii="仿宋_GB2312" w:hAnsi="仿宋_GB2312" w:eastAsia="仿宋_GB2312" w:cs="仿宋_GB2312"/>
          <w:i w:val="0"/>
          <w:iCs w:val="0"/>
          <w:caps w:val="0"/>
          <w:color w:val="222222"/>
          <w:spacing w:val="0"/>
          <w:sz w:val="32"/>
          <w:szCs w:val="32"/>
          <w:shd w:val="clear" w:color="auto" w:fill="FFFFFF"/>
        </w:rPr>
        <w:t>工作方针、政策，组织协调、监督检查汉语语言文字的规范化建设，指导推广普通话工作。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12、</w:t>
      </w:r>
      <w:r>
        <w:rPr>
          <w:rFonts w:hint="eastAsia" w:ascii="仿宋_GB2312" w:hAnsi="仿宋_GB2312" w:eastAsia="仿宋_GB2312" w:cs="仿宋_GB2312"/>
          <w:i w:val="0"/>
          <w:iCs w:val="0"/>
          <w:caps w:val="0"/>
          <w:color w:val="222222"/>
          <w:spacing w:val="0"/>
          <w:sz w:val="32"/>
          <w:szCs w:val="32"/>
          <w:shd w:val="clear" w:color="auto" w:fill="FFFFFF"/>
        </w:rPr>
        <w:t>依据国家教育方针，以促进全体学生全面发展为目标，以培养学生的创新精神和实践能力为核心，根据全县实际情况</w:t>
      </w:r>
      <w:r>
        <w:rPr>
          <w:rFonts w:hint="eastAsia" w:ascii="仿宋_GB2312" w:hAnsi="仿宋_GB2312" w:eastAsia="仿宋_GB2312" w:cs="仿宋_GB2312"/>
          <w:i w:val="0"/>
          <w:iCs w:val="0"/>
          <w:caps w:val="0"/>
          <w:color w:val="222222"/>
          <w:spacing w:val="0"/>
          <w:sz w:val="32"/>
          <w:szCs w:val="32"/>
          <w:shd w:val="clear" w:color="auto" w:fill="FFFFFF"/>
          <w:lang w:eastAsia="zh-CN"/>
        </w:rPr>
        <w:t>，</w:t>
      </w:r>
      <w:r>
        <w:rPr>
          <w:rFonts w:hint="eastAsia" w:ascii="仿宋_GB2312" w:hAnsi="仿宋_GB2312" w:eastAsia="仿宋_GB2312" w:cs="仿宋_GB2312"/>
          <w:i w:val="0"/>
          <w:iCs w:val="0"/>
          <w:caps w:val="0"/>
          <w:color w:val="222222"/>
          <w:spacing w:val="0"/>
          <w:sz w:val="32"/>
          <w:szCs w:val="32"/>
          <w:shd w:val="clear" w:color="auto" w:fill="FFFFFF"/>
        </w:rPr>
        <w:t>开展教学管理、教学研究、课程改革指导、教学评价等工作，履行教育教学业务管理职能，为学校教学和教师服务。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13、</w:t>
      </w:r>
      <w:r>
        <w:rPr>
          <w:rFonts w:hint="eastAsia" w:ascii="仿宋_GB2312" w:hAnsi="仿宋_GB2312" w:eastAsia="仿宋_GB2312" w:cs="仿宋_GB2312"/>
          <w:i w:val="0"/>
          <w:iCs w:val="0"/>
          <w:caps w:val="0"/>
          <w:color w:val="222222"/>
          <w:spacing w:val="0"/>
          <w:sz w:val="32"/>
          <w:szCs w:val="32"/>
          <w:shd w:val="clear" w:color="auto" w:fill="FFFFFF"/>
        </w:rPr>
        <w:t>贯彻执行国家电化教育工作方针、政策，指导管理全县中小学现代教育技术工作；指导和实施全县电教器材、计算机、教学仪器以及图书、音体美器材的装备工作；指导学校功能馆室的建设；组织开展现代教育技术手段和方法的实验研究、信息技术与各学科整合的实验研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14、</w:t>
      </w:r>
      <w:r>
        <w:rPr>
          <w:rFonts w:hint="eastAsia" w:ascii="仿宋_GB2312" w:hAnsi="仿宋_GB2312" w:eastAsia="仿宋_GB2312" w:cs="仿宋_GB2312"/>
          <w:i w:val="0"/>
          <w:iCs w:val="0"/>
          <w:caps w:val="0"/>
          <w:color w:val="222222"/>
          <w:spacing w:val="0"/>
          <w:sz w:val="32"/>
          <w:szCs w:val="32"/>
          <w:shd w:val="clear" w:color="auto" w:fill="FFFFFF"/>
        </w:rPr>
        <w:t>指导全县教育系统党风廉政建设工作，负责党纪政纪的宣传教育；监督检查教育系统遵守党纪政纪的情况，负责纠正行业不正之风，负责指导全县学校依法治校、校务公开工作。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15、</w:t>
      </w:r>
      <w:r>
        <w:rPr>
          <w:rFonts w:hint="eastAsia" w:ascii="仿宋_GB2312" w:hAnsi="仿宋_GB2312" w:eastAsia="仿宋_GB2312" w:cs="仿宋_GB2312"/>
          <w:i w:val="0"/>
          <w:iCs w:val="0"/>
          <w:caps w:val="0"/>
          <w:color w:val="222222"/>
          <w:spacing w:val="0"/>
          <w:sz w:val="32"/>
          <w:szCs w:val="32"/>
          <w:shd w:val="clear" w:color="auto" w:fill="FFFFFF"/>
        </w:rPr>
        <w:t>承办县人民政府交办的其他事项。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宋体"/>
          <w:color w:val="FF0000"/>
          <w:sz w:val="32"/>
          <w:szCs w:val="32"/>
        </w:rPr>
      </w:pPr>
      <w:r>
        <w:rPr>
          <w:rFonts w:hint="eastAsia" w:ascii="黑体" w:hAnsi="黑体" w:eastAsia="黑体" w:cs="宋体"/>
          <w:color w:val="000000" w:themeColor="text1"/>
          <w:sz w:val="32"/>
          <w:szCs w:val="32"/>
        </w:rPr>
        <w:t>二、单位机构设置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lang w:val="en-US" w:eastAsia="zh-CN"/>
        </w:rPr>
      </w:pPr>
      <w:r>
        <w:rPr>
          <w:rFonts w:hint="eastAsia" w:ascii="仿宋" w:hAnsi="仿宋" w:eastAsia="仿宋" w:cs="仿宋"/>
          <w:sz w:val="32"/>
          <w:szCs w:val="32"/>
        </w:rPr>
        <w:t>长子县教育局为正科级，</w:t>
      </w:r>
      <w:r>
        <w:rPr>
          <w:rFonts w:hint="eastAsia" w:ascii="仿宋_GB2312" w:hAnsi="仿宋_GB2312" w:eastAsia="仿宋_GB2312" w:cs="仿宋_GB2312"/>
          <w:i w:val="0"/>
          <w:iCs w:val="0"/>
          <w:caps w:val="0"/>
          <w:color w:val="222222"/>
          <w:spacing w:val="0"/>
          <w:sz w:val="32"/>
          <w:szCs w:val="32"/>
          <w:shd w:val="clear" w:color="auto" w:fill="FFFFFF"/>
          <w:lang w:val="en-US" w:eastAsia="zh-CN"/>
        </w:rPr>
        <w:t>下属单位2个：教学研究中心、教育发展中心。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222222"/>
          <w:spacing w:val="0"/>
          <w:sz w:val="32"/>
          <w:szCs w:val="32"/>
          <w:shd w:val="clear" w:color="auto" w:fill="FFFFFF"/>
          <w:lang w:val="en-US" w:eastAsia="zh-CN"/>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内设股室19个：项目办、人事股、计财股、办公室、幼教办、招生办、学教股、信息中心、督导室、学生服务中心、监管股、职改办、监审室、党办、工会、安全股、思政股、装备股、高中及职业教育股。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宋体"/>
          <w:color w:val="FF0000"/>
          <w:sz w:val="32"/>
          <w:szCs w:val="32"/>
        </w:rPr>
      </w:pPr>
    </w:p>
    <w:p>
      <w:pPr>
        <w:pStyle w:val="13"/>
        <w:tabs>
          <w:tab w:val="right" w:leader="dot" w:pos="8307"/>
        </w:tabs>
        <w:jc w:val="center"/>
        <w:rPr>
          <w:rFonts w:ascii="华文中宋" w:hAnsi="华文中宋" w:eastAsia="华文中宋" w:cs="宋体"/>
          <w:color w:val="000000" w:themeColor="text1"/>
          <w:sz w:val="32"/>
          <w:szCs w:val="32"/>
        </w:rPr>
      </w:pPr>
      <w:bookmarkStart w:id="0" w:name="_Toc22078"/>
      <w:r>
        <w:rPr>
          <w:rFonts w:hint="eastAsia" w:ascii="华文中宋" w:hAnsi="华文中宋" w:eastAsia="华文中宋" w:cs="宋体"/>
          <w:color w:val="000000" w:themeColor="text1"/>
          <w:sz w:val="32"/>
          <w:szCs w:val="32"/>
        </w:rPr>
        <w:fldChar w:fldCharType="begin"/>
      </w:r>
      <w:r>
        <w:rPr>
          <w:rFonts w:hint="eastAsia" w:ascii="华文中宋" w:hAnsi="华文中宋" w:eastAsia="华文中宋" w:cs="宋体"/>
          <w:color w:val="000000" w:themeColor="text1"/>
          <w:sz w:val="32"/>
          <w:szCs w:val="32"/>
        </w:rPr>
        <w:instrText xml:space="preserve"> HYPERLINK \l "_Toc16415"</w:instrText>
      </w:r>
      <w:r>
        <w:rPr>
          <w:rFonts w:hint="eastAsia" w:ascii="华文中宋" w:hAnsi="华文中宋" w:eastAsia="华文中宋" w:cs="宋体"/>
          <w:color w:val="000000" w:themeColor="text1"/>
          <w:sz w:val="32"/>
          <w:szCs w:val="32"/>
        </w:rPr>
        <w:fldChar w:fldCharType="separate"/>
      </w:r>
      <w:r>
        <w:rPr>
          <w:rFonts w:hint="eastAsia" w:ascii="华文中宋" w:hAnsi="华文中宋" w:eastAsia="华文中宋" w:cs="宋体"/>
          <w:color w:val="000000" w:themeColor="text1"/>
          <w:sz w:val="32"/>
          <w:szCs w:val="32"/>
        </w:rPr>
        <w:t>第二部分  2021年度单位决算情况说明</w:t>
      </w:r>
      <w:r>
        <w:rPr>
          <w:rFonts w:hint="eastAsia" w:ascii="华文中宋" w:hAnsi="华文中宋" w:eastAsia="华文中宋" w:cs="宋体"/>
          <w:color w:val="000000" w:themeColor="text1"/>
          <w:sz w:val="32"/>
          <w:szCs w:val="32"/>
        </w:rPr>
        <w:fldChar w:fldCharType="end"/>
      </w:r>
    </w:p>
    <w:bookmarkEnd w:id="0"/>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fldChar w:fldCharType="begin"/>
      </w:r>
      <w:r>
        <w:rPr>
          <w:rFonts w:hint="eastAsia" w:ascii="黑体" w:hAnsi="黑体" w:eastAsia="黑体" w:cs="宋体"/>
          <w:color w:val="000000" w:themeColor="text1"/>
          <w:sz w:val="32"/>
          <w:szCs w:val="32"/>
        </w:rPr>
        <w:instrText xml:space="preserve"> HYPERLINK \l "_Toc22078"</w:instrText>
      </w:r>
      <w:r>
        <w:rPr>
          <w:rFonts w:hint="eastAsia" w:ascii="黑体" w:hAnsi="黑体" w:eastAsia="黑体" w:cs="宋体"/>
          <w:color w:val="000000" w:themeColor="text1"/>
          <w:sz w:val="32"/>
          <w:szCs w:val="32"/>
        </w:rPr>
        <w:fldChar w:fldCharType="separate"/>
      </w:r>
      <w:r>
        <w:rPr>
          <w:rFonts w:hint="eastAsia" w:ascii="黑体" w:hAnsi="黑体" w:eastAsia="黑体" w:cs="宋体"/>
          <w:color w:val="000000" w:themeColor="text1"/>
          <w:sz w:val="32"/>
          <w:szCs w:val="32"/>
        </w:rPr>
        <w:t>一、收入情况</w:t>
      </w:r>
      <w:r>
        <w:rPr>
          <w:rFonts w:hint="eastAsia" w:ascii="黑体" w:hAnsi="黑体" w:eastAsia="黑体" w:cs="宋体"/>
          <w:color w:val="000000" w:themeColor="text1"/>
          <w:sz w:val="32"/>
          <w:szCs w:val="32"/>
        </w:rPr>
        <w:fldChar w:fldCharType="end"/>
      </w:r>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长子县教育局</w:t>
      </w:r>
      <w:r>
        <w:rPr>
          <w:rFonts w:hint="eastAsia" w:ascii="仿宋" w:hAnsi="仿宋" w:eastAsia="仿宋" w:cs="宋体"/>
          <w:color w:val="000000" w:themeColor="text1"/>
          <w:sz w:val="32"/>
          <w:szCs w:val="32"/>
        </w:rPr>
        <w:t>2021年收入5938</w:t>
      </w:r>
      <w:r>
        <w:rPr>
          <w:rFonts w:hint="eastAsia" w:ascii="仿宋" w:hAnsi="仿宋" w:eastAsia="仿宋" w:cs="宋体"/>
          <w:color w:val="000000" w:themeColor="text1"/>
          <w:sz w:val="32"/>
          <w:szCs w:val="32"/>
          <w:lang w:val="en-US" w:eastAsia="zh-CN"/>
        </w:rPr>
        <w:t>.65</w:t>
      </w:r>
      <w:r>
        <w:rPr>
          <w:rFonts w:hint="eastAsia" w:ascii="仿宋" w:hAnsi="仿宋" w:eastAsia="仿宋" w:cs="宋体"/>
          <w:color w:val="000000" w:themeColor="text1"/>
          <w:sz w:val="32"/>
          <w:szCs w:val="32"/>
        </w:rPr>
        <w:t>万元。其中：财政拨款资金收入</w:t>
      </w:r>
      <w:r>
        <w:rPr>
          <w:rFonts w:hint="eastAsia" w:ascii="仿宋" w:hAnsi="仿宋" w:eastAsia="仿宋" w:cs="宋体"/>
          <w:color w:val="000000" w:themeColor="text1"/>
          <w:sz w:val="32"/>
          <w:szCs w:val="32"/>
          <w:lang w:val="en-US" w:eastAsia="zh-CN"/>
        </w:rPr>
        <w:t>5870.24</w:t>
      </w:r>
      <w:r>
        <w:rPr>
          <w:rFonts w:hint="eastAsia" w:ascii="仿宋" w:hAnsi="仿宋" w:eastAsia="仿宋" w:cs="宋体"/>
          <w:color w:val="000000" w:themeColor="text1"/>
          <w:sz w:val="32"/>
          <w:szCs w:val="32"/>
        </w:rPr>
        <w:t>万元，占全部收入的</w:t>
      </w:r>
      <w:r>
        <w:rPr>
          <w:rFonts w:hint="eastAsia" w:ascii="仿宋" w:hAnsi="仿宋" w:eastAsia="仿宋" w:cs="宋体"/>
          <w:color w:val="000000" w:themeColor="text1"/>
          <w:sz w:val="32"/>
          <w:szCs w:val="32"/>
          <w:lang w:val="en-US" w:eastAsia="zh-CN"/>
        </w:rPr>
        <w:t>98.85</w:t>
      </w:r>
      <w:r>
        <w:rPr>
          <w:rFonts w:hint="eastAsia" w:ascii="仿宋" w:hAnsi="仿宋" w:eastAsia="仿宋" w:cs="宋体"/>
          <w:color w:val="000000" w:themeColor="text1"/>
          <w:sz w:val="32"/>
          <w:szCs w:val="32"/>
        </w:rPr>
        <w:t>%。较2020年度</w:t>
      </w:r>
      <w:r>
        <w:rPr>
          <w:rFonts w:hint="eastAsia" w:ascii="仿宋" w:hAnsi="仿宋" w:eastAsia="仿宋" w:cs="宋体"/>
          <w:color w:val="000000" w:themeColor="text1"/>
          <w:sz w:val="32"/>
          <w:szCs w:val="32"/>
          <w:lang w:val="en-US" w:eastAsia="zh-CN"/>
        </w:rPr>
        <w:t>减少1251.05</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val="en-US" w:eastAsia="zh-CN"/>
        </w:rPr>
        <w:t>降幅</w:t>
      </w:r>
      <w:r>
        <w:rPr>
          <w:rFonts w:hint="eastAsia" w:ascii="仿宋" w:hAnsi="仿宋" w:eastAsia="仿宋" w:cs="宋体"/>
          <w:color w:val="000000" w:themeColor="text1"/>
          <w:sz w:val="32"/>
          <w:szCs w:val="32"/>
        </w:rPr>
        <w:t>为</w:t>
      </w:r>
      <w:r>
        <w:rPr>
          <w:rFonts w:hint="eastAsia" w:ascii="仿宋" w:hAnsi="仿宋" w:eastAsia="仿宋" w:cs="宋体"/>
          <w:color w:val="000000" w:themeColor="text1"/>
          <w:sz w:val="32"/>
          <w:szCs w:val="32"/>
          <w:lang w:val="en-US" w:eastAsia="zh-CN"/>
        </w:rPr>
        <w:t>17.4</w:t>
      </w:r>
      <w:r>
        <w:rPr>
          <w:rFonts w:hint="eastAsia" w:ascii="仿宋" w:hAnsi="仿宋" w:eastAsia="仿宋" w:cs="宋体"/>
          <w:color w:val="000000" w:themeColor="text1"/>
          <w:sz w:val="32"/>
          <w:szCs w:val="32"/>
        </w:rPr>
        <w:t>%。</w:t>
      </w:r>
      <w:r>
        <w:rPr>
          <w:rFonts w:hint="eastAsia" w:ascii="仿宋" w:hAnsi="仿宋" w:eastAsia="仿宋" w:cs="宋体"/>
          <w:color w:val="000000" w:themeColor="text1"/>
          <w:sz w:val="32"/>
          <w:szCs w:val="32"/>
          <w:lang w:val="en-US" w:eastAsia="zh-CN"/>
        </w:rPr>
        <w:t>减少</w:t>
      </w:r>
      <w:r>
        <w:rPr>
          <w:rFonts w:hint="eastAsia" w:ascii="仿宋" w:hAnsi="仿宋" w:eastAsia="仿宋" w:cs="宋体"/>
          <w:color w:val="000000" w:themeColor="text1"/>
          <w:sz w:val="32"/>
          <w:szCs w:val="32"/>
        </w:rPr>
        <w:t>的原因为：</w:t>
      </w:r>
      <w:r>
        <w:rPr>
          <w:rFonts w:hint="eastAsia" w:ascii="仿宋" w:hAnsi="仿宋" w:eastAsia="仿宋" w:cs="宋体"/>
          <w:color w:val="000000" w:themeColor="text1"/>
          <w:sz w:val="32"/>
          <w:szCs w:val="32"/>
          <w:lang w:val="en-US" w:eastAsia="zh-CN"/>
        </w:rPr>
        <w:t>1、2020年偿还民营企业欠款资金（县直小学工程）665万元；2、2020年体育馆内部装修项目500万元。</w:t>
      </w:r>
      <w:r>
        <w:rPr>
          <w:rFonts w:ascii="仿宋" w:hAnsi="仿宋" w:eastAsia="仿宋" w:cs="宋体"/>
          <w:color w:val="000000" w:themeColor="text1"/>
          <w:sz w:val="32"/>
          <w:szCs w:val="32"/>
        </w:rPr>
        <w:t xml:space="preserve"> </w:t>
      </w:r>
    </w:p>
    <w:p>
      <w:pPr>
        <w:pStyle w:val="13"/>
        <w:tabs>
          <w:tab w:val="right" w:leader="dot" w:pos="8307"/>
        </w:tabs>
        <w:ind w:firstLine="640" w:firstLineChars="200"/>
        <w:rPr>
          <w:rFonts w:ascii="黑体" w:hAnsi="黑体" w:eastAsia="黑体" w:cs="宋体"/>
          <w:color w:val="000000" w:themeColor="text1"/>
          <w:sz w:val="32"/>
          <w:szCs w:val="32"/>
        </w:rPr>
      </w:pPr>
      <w:bookmarkStart w:id="1" w:name="_Toc27132"/>
      <w:r>
        <w:rPr>
          <w:rFonts w:hint="eastAsia" w:ascii="黑体" w:hAnsi="黑体" w:eastAsia="黑体" w:cs="宋体"/>
          <w:color w:val="000000" w:themeColor="text1"/>
          <w:sz w:val="32"/>
          <w:szCs w:val="32"/>
        </w:rPr>
        <w:t>二、支出情况</w:t>
      </w:r>
      <w:bookmarkEnd w:id="1"/>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长子县教育局</w:t>
      </w:r>
      <w:r>
        <w:rPr>
          <w:rFonts w:hint="eastAsia" w:ascii="仿宋" w:hAnsi="仿宋" w:eastAsia="仿宋" w:cs="宋体"/>
          <w:color w:val="000000" w:themeColor="text1"/>
          <w:sz w:val="32"/>
          <w:szCs w:val="32"/>
        </w:rPr>
        <w:t>2021年支出</w:t>
      </w:r>
      <w:r>
        <w:rPr>
          <w:rFonts w:hint="eastAsia" w:ascii="仿宋" w:hAnsi="仿宋" w:eastAsia="仿宋" w:cs="宋体"/>
          <w:color w:val="000000" w:themeColor="text1"/>
          <w:sz w:val="32"/>
          <w:szCs w:val="32"/>
          <w:lang w:val="en-US" w:eastAsia="zh-CN"/>
        </w:rPr>
        <w:t>6641.22</w:t>
      </w:r>
      <w:r>
        <w:rPr>
          <w:rFonts w:hint="eastAsia" w:ascii="仿宋" w:hAnsi="仿宋" w:eastAsia="仿宋" w:cs="宋体"/>
          <w:color w:val="000000" w:themeColor="text1"/>
          <w:sz w:val="32"/>
          <w:szCs w:val="32"/>
        </w:rPr>
        <w:t>万元。其中：基本支出</w:t>
      </w:r>
      <w:r>
        <w:rPr>
          <w:rFonts w:hint="eastAsia" w:ascii="仿宋" w:hAnsi="仿宋" w:eastAsia="仿宋" w:cs="宋体"/>
          <w:color w:val="000000" w:themeColor="text1"/>
          <w:sz w:val="32"/>
          <w:szCs w:val="32"/>
          <w:lang w:val="en-US" w:eastAsia="zh-CN"/>
        </w:rPr>
        <w:t>1701.05</w:t>
      </w:r>
      <w:r>
        <w:rPr>
          <w:rFonts w:hint="eastAsia" w:ascii="仿宋" w:hAnsi="仿宋" w:eastAsia="仿宋" w:cs="宋体"/>
          <w:color w:val="000000" w:themeColor="text1"/>
          <w:sz w:val="32"/>
          <w:szCs w:val="32"/>
        </w:rPr>
        <w:t>万元，占支出的</w:t>
      </w:r>
      <w:r>
        <w:rPr>
          <w:rFonts w:hint="eastAsia" w:ascii="仿宋" w:hAnsi="仿宋" w:eastAsia="仿宋" w:cs="宋体"/>
          <w:color w:val="000000" w:themeColor="text1"/>
          <w:sz w:val="32"/>
          <w:szCs w:val="32"/>
          <w:lang w:val="en-US" w:eastAsia="zh-CN"/>
        </w:rPr>
        <w:t>25.61</w:t>
      </w:r>
      <w:r>
        <w:rPr>
          <w:rFonts w:hint="eastAsia" w:ascii="仿宋" w:hAnsi="仿宋" w:eastAsia="仿宋" w:cs="宋体"/>
          <w:color w:val="000000" w:themeColor="text1"/>
          <w:sz w:val="32"/>
          <w:szCs w:val="32"/>
        </w:rPr>
        <w:t>%；项目支出</w:t>
      </w:r>
      <w:r>
        <w:rPr>
          <w:rFonts w:hint="eastAsia" w:ascii="仿宋" w:hAnsi="仿宋" w:eastAsia="仿宋" w:cs="宋体"/>
          <w:color w:val="000000" w:themeColor="text1"/>
          <w:sz w:val="32"/>
          <w:szCs w:val="32"/>
          <w:lang w:val="en-US" w:eastAsia="zh-CN"/>
        </w:rPr>
        <w:t>4940.16</w:t>
      </w:r>
      <w:r>
        <w:rPr>
          <w:rFonts w:hint="eastAsia" w:ascii="仿宋" w:hAnsi="仿宋" w:eastAsia="仿宋" w:cs="宋体"/>
          <w:color w:val="000000" w:themeColor="text1"/>
          <w:sz w:val="32"/>
          <w:szCs w:val="32"/>
        </w:rPr>
        <w:t>万元，占支出的</w:t>
      </w:r>
      <w:r>
        <w:rPr>
          <w:rFonts w:hint="eastAsia" w:ascii="仿宋" w:hAnsi="仿宋" w:eastAsia="仿宋" w:cs="宋体"/>
          <w:color w:val="000000" w:themeColor="text1"/>
          <w:sz w:val="32"/>
          <w:szCs w:val="32"/>
          <w:lang w:val="en-US" w:eastAsia="zh-CN"/>
        </w:rPr>
        <w:t>74.39</w:t>
      </w:r>
      <w:r>
        <w:rPr>
          <w:rFonts w:hint="eastAsia" w:ascii="仿宋" w:hAnsi="仿宋" w:eastAsia="仿宋" w:cs="宋体"/>
          <w:color w:val="000000" w:themeColor="text1"/>
          <w:sz w:val="32"/>
          <w:szCs w:val="32"/>
        </w:rPr>
        <w:t>%。较2020年度比较</w:t>
      </w:r>
      <w:r>
        <w:rPr>
          <w:rFonts w:hint="eastAsia" w:ascii="仿宋" w:hAnsi="仿宋" w:eastAsia="仿宋" w:cs="宋体"/>
          <w:color w:val="000000" w:themeColor="text1"/>
          <w:sz w:val="32"/>
          <w:szCs w:val="32"/>
          <w:lang w:val="en-US" w:eastAsia="zh-CN"/>
        </w:rPr>
        <w:t>减少3332.77</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val="en-US" w:eastAsia="zh-CN"/>
        </w:rPr>
        <w:t>降幅为33.41</w:t>
      </w:r>
      <w:r>
        <w:rPr>
          <w:rFonts w:hint="eastAsia" w:ascii="仿宋" w:hAnsi="仿宋" w:eastAsia="仿宋" w:cs="宋体"/>
          <w:color w:val="000000" w:themeColor="text1"/>
          <w:sz w:val="32"/>
          <w:szCs w:val="32"/>
        </w:rPr>
        <w:t xml:space="preserve"> %。</w:t>
      </w:r>
      <w:r>
        <w:rPr>
          <w:rFonts w:hint="eastAsia" w:ascii="仿宋" w:hAnsi="仿宋" w:eastAsia="仿宋" w:cs="宋体"/>
          <w:color w:val="000000" w:themeColor="text1"/>
          <w:sz w:val="32"/>
          <w:szCs w:val="32"/>
          <w:lang w:val="en-US" w:eastAsia="zh-CN"/>
        </w:rPr>
        <w:t>减少</w:t>
      </w:r>
      <w:r>
        <w:rPr>
          <w:rFonts w:hint="eastAsia" w:ascii="仿宋" w:hAnsi="仿宋" w:eastAsia="仿宋" w:cs="宋体"/>
          <w:color w:val="000000" w:themeColor="text1"/>
          <w:sz w:val="32"/>
          <w:szCs w:val="32"/>
        </w:rPr>
        <w:t>的原因为：</w:t>
      </w:r>
      <w:r>
        <w:rPr>
          <w:rFonts w:hint="eastAsia" w:ascii="仿宋" w:hAnsi="仿宋" w:eastAsia="仿宋" w:cs="宋体"/>
          <w:color w:val="000000" w:themeColor="text1"/>
          <w:sz w:val="32"/>
          <w:szCs w:val="32"/>
          <w:lang w:val="en-US" w:eastAsia="zh-CN"/>
        </w:rPr>
        <w:t>1、2020年偿还民营企业欠款资金（县直小学工程）665万元；2、2020年体育馆内部装修项目500万元。</w:t>
      </w:r>
      <w:r>
        <w:rPr>
          <w:rFonts w:ascii="仿宋" w:hAnsi="仿宋" w:eastAsia="仿宋" w:cs="宋体"/>
          <w:color w:val="000000" w:themeColor="text1"/>
          <w:sz w:val="32"/>
          <w:szCs w:val="32"/>
        </w:rPr>
        <w:t xml:space="preserve"> </w:t>
      </w:r>
    </w:p>
    <w:p>
      <w:pPr>
        <w:wordWrap w:val="0"/>
        <w:spacing w:line="240" w:lineRule="atLeast"/>
        <w:ind w:firstLine="640" w:firstLineChars="200"/>
        <w:rPr>
          <w:rFonts w:ascii="仿宋" w:hAnsi="仿宋" w:eastAsia="仿宋" w:cs="仿宋"/>
          <w:color w:val="222222"/>
          <w:sz w:val="32"/>
          <w:szCs w:val="32"/>
        </w:rPr>
      </w:pPr>
      <w:r>
        <w:rPr>
          <w:rFonts w:hint="eastAsia" w:ascii="仿宋" w:hAnsi="仿宋" w:eastAsia="仿宋" w:cs="仿宋"/>
          <w:color w:val="333333"/>
          <w:sz w:val="32"/>
          <w:szCs w:val="32"/>
        </w:rPr>
        <w:t>1.基本支出</w:t>
      </w:r>
      <w:r>
        <w:rPr>
          <w:rFonts w:hint="eastAsia" w:ascii="仿宋" w:hAnsi="仿宋" w:eastAsia="仿宋" w:cs="仿宋"/>
          <w:color w:val="333333"/>
          <w:sz w:val="32"/>
          <w:szCs w:val="32"/>
          <w:lang w:val="en-US" w:eastAsia="zh-CN"/>
        </w:rPr>
        <w:t>1701.05</w:t>
      </w:r>
      <w:r>
        <w:rPr>
          <w:rFonts w:hint="eastAsia" w:ascii="仿宋" w:hAnsi="仿宋" w:eastAsia="仿宋" w:cs="仿宋"/>
          <w:color w:val="333333"/>
          <w:sz w:val="32"/>
          <w:szCs w:val="32"/>
        </w:rPr>
        <w:t>万元。其中：人员经费</w:t>
      </w:r>
      <w:r>
        <w:rPr>
          <w:rFonts w:hint="eastAsia" w:ascii="仿宋" w:hAnsi="仿宋" w:eastAsia="仿宋" w:cs="仿宋"/>
          <w:color w:val="333333"/>
          <w:sz w:val="32"/>
          <w:szCs w:val="32"/>
          <w:lang w:val="en-US" w:eastAsia="zh-CN"/>
        </w:rPr>
        <w:t>1086.16</w:t>
      </w:r>
      <w:r>
        <w:rPr>
          <w:rFonts w:hint="eastAsia" w:ascii="仿宋" w:hAnsi="仿宋" w:eastAsia="仿宋" w:cs="仿宋"/>
          <w:color w:val="333333"/>
          <w:sz w:val="32"/>
          <w:szCs w:val="32"/>
        </w:rPr>
        <w:t xml:space="preserve">万元，主要包括统发工资、津贴补贴等；公用经费 </w:t>
      </w:r>
      <w:r>
        <w:rPr>
          <w:rFonts w:hint="eastAsia" w:ascii="仿宋" w:hAnsi="仿宋" w:eastAsia="仿宋" w:cs="仿宋"/>
          <w:color w:val="333333"/>
          <w:sz w:val="32"/>
          <w:szCs w:val="32"/>
          <w:lang w:val="en-US" w:eastAsia="zh-CN"/>
        </w:rPr>
        <w:t>614.89</w:t>
      </w:r>
      <w:r>
        <w:rPr>
          <w:rFonts w:hint="eastAsia" w:ascii="仿宋" w:hAnsi="仿宋" w:eastAsia="仿宋" w:cs="仿宋"/>
          <w:color w:val="333333"/>
          <w:sz w:val="32"/>
          <w:szCs w:val="32"/>
        </w:rPr>
        <w:t>万元，主要包括：办公费、印刷费、水费、电费、邮电费、差旅费、办公设备购置、其他商品和服务支出等。</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2.项目支出</w:t>
      </w:r>
      <w:r>
        <w:rPr>
          <w:rFonts w:hint="eastAsia" w:ascii="仿宋" w:hAnsi="仿宋" w:eastAsia="仿宋" w:cs="仿宋"/>
          <w:color w:val="333333"/>
          <w:sz w:val="32"/>
          <w:szCs w:val="32"/>
          <w:lang w:val="en-US" w:eastAsia="zh-CN"/>
        </w:rPr>
        <w:t>4940.16</w:t>
      </w:r>
      <w:r>
        <w:rPr>
          <w:rFonts w:hint="eastAsia" w:ascii="仿宋" w:hAnsi="仿宋" w:eastAsia="仿宋" w:cs="仿宋"/>
          <w:color w:val="333333"/>
          <w:sz w:val="32"/>
          <w:szCs w:val="32"/>
        </w:rPr>
        <w:t>万元。</w:t>
      </w:r>
    </w:p>
    <w:p>
      <w:pPr>
        <w:wordWrap w:val="0"/>
        <w:spacing w:line="240" w:lineRule="atLeast"/>
        <w:ind w:firstLine="561"/>
        <w:rPr>
          <w:rFonts w:hint="default" w:ascii="仿宋" w:hAnsi="仿宋" w:eastAsia="仿宋" w:cs="仿宋"/>
          <w:b/>
          <w:bCs/>
          <w:color w:val="333333"/>
          <w:sz w:val="32"/>
          <w:szCs w:val="32"/>
          <w:lang w:val="en-US" w:eastAsia="zh-CN"/>
        </w:rPr>
      </w:pPr>
      <w:r>
        <w:rPr>
          <w:rFonts w:hint="eastAsia" w:ascii="仿宋" w:hAnsi="仿宋" w:eastAsia="仿宋" w:cs="仿宋"/>
          <w:color w:val="333333"/>
          <w:sz w:val="32"/>
          <w:szCs w:val="32"/>
        </w:rPr>
        <w:t>其中：项目支出</w:t>
      </w:r>
      <w:r>
        <w:rPr>
          <w:rFonts w:hint="eastAsia" w:ascii="仿宋" w:hAnsi="仿宋" w:eastAsia="仿宋" w:cs="仿宋"/>
          <w:color w:val="333333"/>
          <w:sz w:val="32"/>
          <w:szCs w:val="32"/>
          <w:lang w:val="en-US" w:eastAsia="zh-CN"/>
        </w:rPr>
        <w:t>4940.16</w:t>
      </w:r>
      <w:r>
        <w:rPr>
          <w:rFonts w:hint="eastAsia" w:ascii="仿宋" w:hAnsi="仿宋" w:eastAsia="仿宋" w:cs="仿宋"/>
          <w:color w:val="333333"/>
          <w:sz w:val="32"/>
          <w:szCs w:val="32"/>
        </w:rPr>
        <w:t>万元，主要用于新建漳源路幼儿园建设项目资金</w:t>
      </w:r>
      <w:r>
        <w:rPr>
          <w:rFonts w:hint="eastAsia" w:ascii="仿宋" w:hAnsi="仿宋" w:eastAsia="仿宋" w:cs="仿宋"/>
          <w:color w:val="333333"/>
          <w:sz w:val="32"/>
          <w:szCs w:val="32"/>
          <w:lang w:eastAsia="zh-CN"/>
        </w:rPr>
        <w:t>、原民办代课教师教龄补贴、学校保安工资</w:t>
      </w:r>
      <w:r>
        <w:rPr>
          <w:rFonts w:hint="eastAsia" w:ascii="仿宋" w:hAnsi="仿宋" w:eastAsia="仿宋" w:cs="仿宋"/>
          <w:b/>
          <w:bCs/>
          <w:color w:val="333333"/>
          <w:sz w:val="32"/>
          <w:szCs w:val="32"/>
          <w:lang w:eastAsia="zh-CN"/>
        </w:rPr>
        <w:t>、</w:t>
      </w:r>
      <w:r>
        <w:rPr>
          <w:rFonts w:hint="eastAsia" w:ascii="仿宋" w:hAnsi="仿宋" w:eastAsia="仿宋" w:cs="仿宋"/>
          <w:b w:val="0"/>
          <w:bCs w:val="0"/>
          <w:color w:val="333333"/>
          <w:sz w:val="32"/>
          <w:szCs w:val="32"/>
          <w:lang w:eastAsia="zh-CN"/>
        </w:rPr>
        <w:t>熨台幼儿园玩教具及设施设备购置、漳源幼儿园设施设备购置、漳源幼儿园前期费用、幼儿免费教材、世纪城小区配套幼儿园移交项目资金</w:t>
      </w:r>
      <w:r>
        <w:rPr>
          <w:rFonts w:hint="eastAsia" w:ascii="仿宋" w:hAnsi="仿宋" w:eastAsia="仿宋" w:cs="仿宋"/>
          <w:b w:val="0"/>
          <w:bCs w:val="0"/>
          <w:color w:val="333333"/>
          <w:sz w:val="32"/>
          <w:szCs w:val="32"/>
          <w:lang w:val="en-US" w:eastAsia="zh-CN"/>
        </w:rPr>
        <w:t>等。</w:t>
      </w:r>
    </w:p>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三、“三公”经费情况</w:t>
      </w:r>
    </w:p>
    <w:p>
      <w:pPr>
        <w:shd w:val="clear" w:color="auto" w:fill="FFFFFF"/>
        <w:wordWrap w:val="0"/>
        <w:spacing w:line="240" w:lineRule="atLeast"/>
        <w:ind w:firstLine="560"/>
        <w:rPr>
          <w:rFonts w:hint="eastAsia" w:ascii="仿宋" w:hAnsi="仿宋" w:eastAsia="仿宋" w:cs="宋体"/>
          <w:color w:val="000000" w:themeColor="text1"/>
          <w:kern w:val="0"/>
          <w:sz w:val="32"/>
          <w:szCs w:val="32"/>
          <w:lang w:val="en-US" w:eastAsia="zh-CN"/>
        </w:rPr>
      </w:pPr>
      <w:r>
        <w:rPr>
          <w:rFonts w:hint="eastAsia" w:ascii="仿宋" w:hAnsi="仿宋" w:eastAsia="仿宋" w:cs="宋体"/>
          <w:color w:val="000000" w:themeColor="text1"/>
          <w:kern w:val="0"/>
          <w:sz w:val="32"/>
          <w:szCs w:val="32"/>
          <w:lang w:val="en-US" w:eastAsia="zh-CN"/>
        </w:rPr>
        <w:t>长子县教育局</w:t>
      </w:r>
      <w:r>
        <w:rPr>
          <w:rFonts w:hint="eastAsia" w:ascii="仿宋" w:hAnsi="仿宋" w:eastAsia="仿宋" w:cs="宋体"/>
          <w:color w:val="000000" w:themeColor="text1"/>
          <w:kern w:val="0"/>
          <w:sz w:val="32"/>
          <w:szCs w:val="32"/>
        </w:rPr>
        <w:t xml:space="preserve">2021年 一般公共预算“三公”经费支出  </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 xml:space="preserve">万元。其中：因公出国（境）费 </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万元，公务接待费</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万元，公务用车购置及运行维护费 万元。</w:t>
      </w:r>
      <w:r>
        <w:rPr>
          <w:rFonts w:hint="eastAsia" w:ascii="仿宋" w:hAnsi="仿宋" w:eastAsia="仿宋" w:cs="宋体"/>
          <w:color w:val="000000" w:themeColor="text1"/>
          <w:kern w:val="0"/>
          <w:sz w:val="32"/>
          <w:szCs w:val="32"/>
          <w:lang w:val="en-US" w:eastAsia="zh-CN"/>
        </w:rPr>
        <w:t>教育局本年无三公经费的预算。</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xml:space="preserve">2021年因公出国（境）人数 </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人，公务接待</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批次，</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人，公务用车购置</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辆，保有</w:t>
      </w:r>
      <w:r>
        <w:rPr>
          <w:rFonts w:hint="eastAsia" w:ascii="仿宋" w:hAnsi="仿宋" w:eastAsia="仿宋" w:cs="宋体"/>
          <w:color w:val="000000" w:themeColor="text1"/>
          <w:kern w:val="0"/>
          <w:sz w:val="32"/>
          <w:szCs w:val="32"/>
          <w:lang w:val="en-US" w:eastAsia="zh-CN"/>
        </w:rPr>
        <w:t>3</w:t>
      </w:r>
      <w:r>
        <w:rPr>
          <w:rFonts w:hint="eastAsia" w:ascii="仿宋" w:hAnsi="仿宋" w:eastAsia="仿宋" w:cs="宋体"/>
          <w:color w:val="000000" w:themeColor="text1"/>
          <w:kern w:val="0"/>
          <w:sz w:val="32"/>
          <w:szCs w:val="32"/>
        </w:rPr>
        <w:t>辆。</w:t>
      </w:r>
    </w:p>
    <w:p>
      <w:pPr>
        <w:pStyle w:val="13"/>
        <w:tabs>
          <w:tab w:val="right" w:leader="dot" w:pos="8307"/>
        </w:tabs>
        <w:ind w:firstLine="640" w:firstLineChars="200"/>
        <w:rPr>
          <w:rFonts w:ascii="黑体" w:hAnsi="黑体" w:eastAsia="黑体" w:cs="宋体"/>
          <w:color w:val="FF0000"/>
          <w:sz w:val="32"/>
          <w:szCs w:val="32"/>
        </w:rPr>
      </w:pPr>
      <w:r>
        <w:rPr>
          <w:rFonts w:hint="eastAsia" w:ascii="黑体" w:hAnsi="黑体" w:eastAsia="黑体" w:cs="宋体"/>
          <w:color w:val="000000" w:themeColor="text1"/>
          <w:sz w:val="32"/>
          <w:szCs w:val="32"/>
        </w:rPr>
        <w:t>四、机关运行经费情况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2021年机关运行经费支出</w:t>
      </w:r>
      <w:r>
        <w:rPr>
          <w:rFonts w:hint="eastAsia" w:ascii="仿宋" w:hAnsi="仿宋" w:eastAsia="仿宋" w:cs="宋体"/>
          <w:color w:val="000000" w:themeColor="text1"/>
          <w:kern w:val="0"/>
          <w:sz w:val="32"/>
          <w:szCs w:val="32"/>
          <w:lang w:val="en-US" w:eastAsia="zh-CN"/>
        </w:rPr>
        <w:t>304.48</w:t>
      </w:r>
      <w:r>
        <w:rPr>
          <w:rFonts w:hint="eastAsia" w:ascii="仿宋" w:hAnsi="仿宋" w:eastAsia="仿宋" w:cs="宋体"/>
          <w:color w:val="000000" w:themeColor="text1"/>
          <w:kern w:val="0"/>
          <w:sz w:val="32"/>
          <w:szCs w:val="32"/>
        </w:rPr>
        <w:t>万元，主要为保障单位运行和购买货物和服务的各项资金，包括办公费、水电费、邮电费、差旅费、日常维修（护）费及其他费用。</w:t>
      </w:r>
    </w:p>
    <w:p>
      <w:pPr>
        <w:pStyle w:val="13"/>
        <w:tabs>
          <w:tab w:val="right" w:leader="dot" w:pos="8307"/>
        </w:tabs>
        <w:ind w:firstLine="640" w:firstLineChars="200"/>
        <w:rPr>
          <w:rFonts w:ascii="黑体" w:hAnsi="黑体" w:eastAsia="黑体" w:cs="宋体"/>
          <w:color w:val="000000" w:themeColor="text1"/>
          <w:sz w:val="32"/>
          <w:szCs w:val="32"/>
        </w:rPr>
      </w:pPr>
      <w:bookmarkStart w:id="2" w:name="_Toc22795"/>
      <w:r>
        <w:rPr>
          <w:rFonts w:hint="eastAsia" w:ascii="黑体" w:hAnsi="黑体" w:eastAsia="黑体" w:cs="宋体"/>
          <w:color w:val="000000" w:themeColor="text1"/>
          <w:sz w:val="32"/>
          <w:szCs w:val="32"/>
        </w:rPr>
        <w:t>五、政府采购情况</w:t>
      </w:r>
      <w:bookmarkEnd w:id="2"/>
    </w:p>
    <w:p>
      <w:pPr>
        <w:shd w:val="clear" w:color="auto" w:fill="FFFFFF"/>
        <w:wordWrap w:val="0"/>
        <w:spacing w:line="240" w:lineRule="atLeast"/>
        <w:ind w:firstLine="560"/>
        <w:rPr>
          <w:rFonts w:hint="eastAsia" w:ascii="仿宋" w:hAnsi="仿宋" w:eastAsia="仿宋" w:cs="宋体"/>
          <w:color w:val="000000" w:themeColor="text1"/>
          <w:kern w:val="0"/>
          <w:sz w:val="32"/>
          <w:szCs w:val="32"/>
          <w:lang w:val="en-US" w:eastAsia="zh-CN"/>
        </w:rPr>
      </w:pPr>
      <w:r>
        <w:rPr>
          <w:rFonts w:hint="eastAsia" w:ascii="仿宋" w:hAnsi="仿宋" w:eastAsia="仿宋" w:cs="宋体"/>
          <w:color w:val="000000" w:themeColor="text1"/>
          <w:kern w:val="0"/>
          <w:sz w:val="32"/>
          <w:szCs w:val="32"/>
        </w:rPr>
        <w:t>2021年采购支出总额</w:t>
      </w:r>
      <w:r>
        <w:rPr>
          <w:rFonts w:hint="eastAsia" w:ascii="仿宋" w:hAnsi="仿宋" w:eastAsia="仿宋" w:cs="宋体"/>
          <w:color w:val="000000" w:themeColor="text1"/>
          <w:kern w:val="0"/>
          <w:sz w:val="32"/>
          <w:szCs w:val="32"/>
          <w:lang w:val="en-US" w:eastAsia="zh-CN"/>
        </w:rPr>
        <w:t>730.47</w:t>
      </w:r>
      <w:r>
        <w:rPr>
          <w:rFonts w:hint="eastAsia" w:ascii="仿宋" w:hAnsi="仿宋" w:eastAsia="仿宋" w:cs="宋体"/>
          <w:color w:val="000000" w:themeColor="text1"/>
          <w:kern w:val="0"/>
          <w:sz w:val="32"/>
          <w:szCs w:val="32"/>
        </w:rPr>
        <w:t>万元，其中：政府采购货物支出</w:t>
      </w:r>
      <w:r>
        <w:rPr>
          <w:rFonts w:hint="eastAsia" w:ascii="仿宋" w:hAnsi="仿宋" w:eastAsia="仿宋" w:cs="宋体"/>
          <w:color w:val="000000" w:themeColor="text1"/>
          <w:kern w:val="0"/>
          <w:sz w:val="32"/>
          <w:szCs w:val="32"/>
          <w:lang w:val="en-US" w:eastAsia="zh-CN"/>
        </w:rPr>
        <w:t>730.47</w:t>
      </w:r>
      <w:r>
        <w:rPr>
          <w:rFonts w:hint="eastAsia" w:ascii="仿宋" w:hAnsi="仿宋" w:eastAsia="仿宋" w:cs="宋体"/>
          <w:color w:val="000000" w:themeColor="text1"/>
          <w:kern w:val="0"/>
          <w:sz w:val="32"/>
          <w:szCs w:val="32"/>
        </w:rPr>
        <w:t>万元,占采购支出总额的</w:t>
      </w:r>
      <w:r>
        <w:rPr>
          <w:rFonts w:hint="eastAsia" w:ascii="仿宋" w:hAnsi="仿宋" w:eastAsia="仿宋" w:cs="宋体"/>
          <w:color w:val="000000" w:themeColor="text1"/>
          <w:kern w:val="0"/>
          <w:sz w:val="32"/>
          <w:szCs w:val="32"/>
          <w:lang w:val="en-US" w:eastAsia="zh-CN"/>
        </w:rPr>
        <w:t>100</w:t>
      </w:r>
      <w:r>
        <w:rPr>
          <w:rFonts w:hint="eastAsia"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32"/>
          <w:szCs w:val="32"/>
          <w:lang w:eastAsia="zh-CN"/>
        </w:rPr>
        <w:t>。</w:t>
      </w:r>
    </w:p>
    <w:p>
      <w:pPr>
        <w:pStyle w:val="13"/>
        <w:tabs>
          <w:tab w:val="right" w:leader="dot" w:pos="8307"/>
        </w:tabs>
        <w:ind w:firstLine="640" w:firstLineChars="200"/>
        <w:rPr>
          <w:rFonts w:ascii="黑体" w:hAnsi="黑体" w:eastAsia="黑体" w:cs="宋体"/>
          <w:color w:val="000000" w:themeColor="text1"/>
          <w:sz w:val="32"/>
          <w:szCs w:val="32"/>
        </w:rPr>
      </w:pPr>
      <w:bookmarkStart w:id="3" w:name="_Toc26587"/>
      <w:r>
        <w:rPr>
          <w:rFonts w:hint="eastAsia" w:ascii="黑体" w:hAnsi="黑体" w:eastAsia="黑体" w:cs="宋体"/>
          <w:color w:val="000000" w:themeColor="text1"/>
          <w:sz w:val="32"/>
          <w:szCs w:val="32"/>
        </w:rPr>
        <w:t>六、国有资产占用情况</w:t>
      </w:r>
      <w:bookmarkEnd w:id="3"/>
    </w:p>
    <w:p>
      <w:pPr>
        <w:shd w:val="clear" w:color="auto" w:fill="FFFFFF"/>
        <w:wordWrap w:val="0"/>
        <w:spacing w:line="240" w:lineRule="atLeast"/>
        <w:ind w:firstLine="560"/>
        <w:rPr>
          <w:rFonts w:ascii="仿宋" w:hAnsi="仿宋" w:eastAsia="仿宋" w:cs="宋体"/>
          <w:color w:val="auto"/>
          <w:kern w:val="0"/>
          <w:sz w:val="32"/>
          <w:szCs w:val="32"/>
          <w:highlight w:val="none"/>
        </w:rPr>
      </w:pPr>
      <w:r>
        <w:rPr>
          <w:rFonts w:hint="eastAsia" w:ascii="仿宋" w:hAnsi="仿宋" w:eastAsia="仿宋" w:cs="宋体"/>
          <w:color w:val="000000" w:themeColor="text1"/>
          <w:kern w:val="0"/>
          <w:sz w:val="32"/>
          <w:szCs w:val="32"/>
        </w:rPr>
        <w:t>截至2021年12月31日，</w:t>
      </w:r>
      <w:r>
        <w:rPr>
          <w:rFonts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32"/>
          <w:szCs w:val="32"/>
        </w:rPr>
        <w:t>国有资产现值</w:t>
      </w:r>
      <w:r>
        <w:rPr>
          <w:rFonts w:hint="eastAsia" w:ascii="仿宋" w:hAnsi="仿宋" w:eastAsia="仿宋" w:cs="宋体"/>
          <w:color w:val="000000" w:themeColor="text1"/>
          <w:kern w:val="0"/>
          <w:sz w:val="32"/>
          <w:szCs w:val="32"/>
          <w:lang w:val="en-US" w:eastAsia="zh-CN"/>
        </w:rPr>
        <w:t>953.47</w:t>
      </w:r>
      <w:r>
        <w:rPr>
          <w:rFonts w:hint="eastAsia" w:ascii="仿宋" w:hAnsi="仿宋" w:eastAsia="仿宋" w:cs="宋体"/>
          <w:color w:val="000000" w:themeColor="text1"/>
          <w:kern w:val="0"/>
          <w:sz w:val="32"/>
          <w:szCs w:val="32"/>
        </w:rPr>
        <w:t>万元。办公用房面积</w:t>
      </w:r>
      <w:r>
        <w:rPr>
          <w:rFonts w:hint="eastAsia" w:ascii="仿宋" w:hAnsi="仿宋" w:eastAsia="仿宋" w:cs="宋体"/>
          <w:color w:val="000000" w:themeColor="text1"/>
          <w:kern w:val="0"/>
          <w:sz w:val="32"/>
          <w:szCs w:val="32"/>
          <w:lang w:val="en-US" w:eastAsia="zh-CN"/>
        </w:rPr>
        <w:t>2791</w:t>
      </w:r>
      <w:r>
        <w:rPr>
          <w:rFonts w:hint="eastAsia" w:ascii="仿宋" w:hAnsi="仿宋" w:eastAsia="仿宋" w:cs="宋体"/>
          <w:color w:val="000000" w:themeColor="text1"/>
          <w:kern w:val="0"/>
          <w:sz w:val="32"/>
          <w:szCs w:val="32"/>
        </w:rPr>
        <w:t>㎡，</w:t>
      </w:r>
      <w:r>
        <w:rPr>
          <w:rFonts w:hint="eastAsia" w:ascii="仿宋" w:hAnsi="仿宋" w:eastAsia="仿宋" w:cs="宋体"/>
          <w:color w:val="auto"/>
          <w:kern w:val="0"/>
          <w:sz w:val="32"/>
          <w:szCs w:val="32"/>
          <w:highlight w:val="none"/>
        </w:rPr>
        <w:t>公务用车</w:t>
      </w: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辆。</w:t>
      </w:r>
    </w:p>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七、重点绩效评价情况</w:t>
      </w:r>
    </w:p>
    <w:p>
      <w:pPr>
        <w:shd w:val="clear" w:color="auto" w:fill="FFFFFF"/>
        <w:wordWrap w:val="0"/>
        <w:spacing w:line="240" w:lineRule="atLeast"/>
        <w:ind w:firstLine="560"/>
        <w:rPr>
          <w:rFonts w:hint="eastAsia" w:ascii="仿宋" w:hAnsi="仿宋" w:eastAsia="仿宋" w:cs="宋体"/>
          <w:color w:val="000000" w:themeColor="text1"/>
          <w:kern w:val="0"/>
          <w:sz w:val="32"/>
          <w:szCs w:val="32"/>
          <w:lang w:val="en-US" w:eastAsia="zh-CN"/>
        </w:rPr>
      </w:pPr>
      <w:r>
        <w:rPr>
          <w:rFonts w:hint="eastAsia" w:ascii="仿宋" w:hAnsi="仿宋" w:eastAsia="仿宋" w:cs="宋体"/>
          <w:color w:val="000000" w:themeColor="text1"/>
          <w:kern w:val="0"/>
          <w:sz w:val="32"/>
          <w:szCs w:val="32"/>
        </w:rPr>
        <w:t xml:space="preserve">2021年共开展重点绩效评价项目 </w:t>
      </w:r>
      <w:r>
        <w:rPr>
          <w:rFonts w:hint="eastAsia" w:ascii="仿宋" w:hAnsi="仿宋" w:eastAsia="仿宋" w:cs="宋体"/>
          <w:color w:val="000000" w:themeColor="text1"/>
          <w:kern w:val="0"/>
          <w:sz w:val="32"/>
          <w:szCs w:val="32"/>
          <w:lang w:val="en-US" w:eastAsia="zh-CN"/>
        </w:rPr>
        <w:t>35</w:t>
      </w:r>
      <w:r>
        <w:rPr>
          <w:rFonts w:hint="eastAsia" w:ascii="仿宋" w:hAnsi="仿宋" w:eastAsia="仿宋" w:cs="宋体"/>
          <w:color w:val="000000" w:themeColor="text1"/>
          <w:kern w:val="0"/>
          <w:sz w:val="32"/>
          <w:szCs w:val="32"/>
        </w:rPr>
        <w:t>个，评价结果为：</w:t>
      </w:r>
      <w:r>
        <w:rPr>
          <w:rFonts w:hint="eastAsia" w:ascii="仿宋" w:hAnsi="仿宋" w:eastAsia="仿宋" w:cs="宋体"/>
          <w:color w:val="000000" w:themeColor="text1"/>
          <w:kern w:val="0"/>
          <w:sz w:val="32"/>
          <w:szCs w:val="32"/>
          <w:lang w:val="en-US" w:eastAsia="zh-CN"/>
        </w:rPr>
        <w:t>33个优秀，2个良好。</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shd w:val="clear" w:color="auto" w:fill="FFFFFF"/>
        <w:spacing w:line="240" w:lineRule="atLeast"/>
        <w:ind w:firstLine="640" w:firstLineChars="200"/>
        <w:rPr>
          <w:rFonts w:ascii="仿宋" w:hAnsi="仿宋" w:eastAsia="仿宋" w:cs="仿宋"/>
          <w:color w:val="222222"/>
          <w:sz w:val="32"/>
          <w:szCs w:val="32"/>
        </w:rPr>
      </w:pPr>
      <w:r>
        <w:rPr>
          <w:rFonts w:hint="eastAsia" w:ascii="仿宋" w:hAnsi="仿宋" w:eastAsia="仿宋" w:cs="宋体"/>
          <w:color w:val="000000" w:themeColor="text1"/>
          <w:sz w:val="32"/>
          <w:szCs w:val="32"/>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九、“三公”经费：</w:t>
      </w:r>
      <w:r>
        <w:rPr>
          <w:rFonts w:hint="eastAsia" w:ascii="仿宋" w:hAnsi="仿宋" w:eastAsia="仿宋" w:cs="仿宋"/>
          <w:color w:val="333333"/>
          <w:sz w:val="32"/>
          <w:szCs w:val="32"/>
        </w:rPr>
        <w:t>纳入县级财政预决算管理的“三公”经费，是指县级单位用财政拨款安排的因公出国（境）费、公务用车购置及运行费和公务接待费。</w:t>
      </w:r>
    </w:p>
    <w:p>
      <w:pPr>
        <w:pStyle w:val="13"/>
        <w:tabs>
          <w:tab w:val="right" w:leader="dot" w:pos="8307"/>
        </w:tabs>
        <w:ind w:firstLine="640" w:firstLineChars="200"/>
        <w:jc w:val="both"/>
        <w:rPr>
          <w:rFonts w:ascii="仿宋" w:hAnsi="仿宋" w:eastAsia="仿宋" w:cs="宋体"/>
          <w:color w:val="000000" w:themeColor="text1"/>
          <w:sz w:val="32"/>
          <w:szCs w:val="32"/>
        </w:rPr>
      </w:pPr>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2021年度单位决算表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10、单位决算公开相关信息统计表(公开10表)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宋体 !important">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70CB6"/>
    <w:multiLevelType w:val="singleLevel"/>
    <w:tmpl w:val="81B70C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DD0E0B"/>
    <w:rsid w:val="00290CDF"/>
    <w:rsid w:val="002F3A26"/>
    <w:rsid w:val="00346B7B"/>
    <w:rsid w:val="00393E10"/>
    <w:rsid w:val="003E5A4C"/>
    <w:rsid w:val="003E7713"/>
    <w:rsid w:val="0065490B"/>
    <w:rsid w:val="007E5BF2"/>
    <w:rsid w:val="008C4F4F"/>
    <w:rsid w:val="009A7CFB"/>
    <w:rsid w:val="009B56C9"/>
    <w:rsid w:val="00A06228"/>
    <w:rsid w:val="00A92864"/>
    <w:rsid w:val="00B45D96"/>
    <w:rsid w:val="00B47629"/>
    <w:rsid w:val="00CD5794"/>
    <w:rsid w:val="00D9088A"/>
    <w:rsid w:val="00DD0E0B"/>
    <w:rsid w:val="00E2336F"/>
    <w:rsid w:val="00E523AD"/>
    <w:rsid w:val="00EE7D1D"/>
    <w:rsid w:val="00F70AE8"/>
    <w:rsid w:val="00FD4170"/>
    <w:rsid w:val="01110247"/>
    <w:rsid w:val="068D464E"/>
    <w:rsid w:val="0AB85257"/>
    <w:rsid w:val="11B83F0F"/>
    <w:rsid w:val="14F72E20"/>
    <w:rsid w:val="156D51E2"/>
    <w:rsid w:val="175432CB"/>
    <w:rsid w:val="182C403A"/>
    <w:rsid w:val="245B6F27"/>
    <w:rsid w:val="2C83526D"/>
    <w:rsid w:val="2F7610B9"/>
    <w:rsid w:val="311957CC"/>
    <w:rsid w:val="37955C5B"/>
    <w:rsid w:val="3B02257F"/>
    <w:rsid w:val="48F05B03"/>
    <w:rsid w:val="4BBA0D7E"/>
    <w:rsid w:val="4CF07B22"/>
    <w:rsid w:val="4D8C37BC"/>
    <w:rsid w:val="4DE35714"/>
    <w:rsid w:val="4E200716"/>
    <w:rsid w:val="4EF77413"/>
    <w:rsid w:val="51F12ADC"/>
    <w:rsid w:val="52300ACD"/>
    <w:rsid w:val="59F27DE0"/>
    <w:rsid w:val="5AA43165"/>
    <w:rsid w:val="5D637F83"/>
    <w:rsid w:val="60964868"/>
    <w:rsid w:val="66727152"/>
    <w:rsid w:val="6C763FA4"/>
    <w:rsid w:val="6EBD07B4"/>
    <w:rsid w:val="76556651"/>
    <w:rsid w:val="768E1F31"/>
    <w:rsid w:val="79425135"/>
    <w:rsid w:val="7AD04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uiPriority w:val="39"/>
    <w:pPr>
      <w:ind w:left="420" w:leftChars="200"/>
    </w:p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Hyperlink"/>
    <w:autoRedefine/>
    <w:qFormat/>
    <w:uiPriority w:val="99"/>
    <w:rPr>
      <w:color w:val="0000FF"/>
      <w:u w:val="single"/>
    </w:rPr>
  </w:style>
  <w:style w:type="character" w:customStyle="1" w:styleId="11">
    <w:name w:val="页眉 Char"/>
    <w:basedOn w:val="9"/>
    <w:link w:val="4"/>
    <w:autoRedefine/>
    <w:qFormat/>
    <w:uiPriority w:val="0"/>
    <w:rPr>
      <w:kern w:val="2"/>
      <w:sz w:val="18"/>
      <w:szCs w:val="18"/>
    </w:rPr>
  </w:style>
  <w:style w:type="character" w:customStyle="1" w:styleId="12">
    <w:name w:val="页脚 Char"/>
    <w:basedOn w:val="9"/>
    <w:link w:val="3"/>
    <w:autoRedefine/>
    <w:qFormat/>
    <w:uiPriority w:val="0"/>
    <w:rPr>
      <w:kern w:val="2"/>
      <w:sz w:val="18"/>
      <w:szCs w:val="18"/>
    </w:rPr>
  </w:style>
  <w:style w:type="paragraph" w:customStyle="1" w:styleId="13">
    <w:name w:val="WPSOffice手动目录 1"/>
    <w:autoRedefine/>
    <w:qFormat/>
    <w:uiPriority w:val="0"/>
    <w:rPr>
      <w:rFonts w:ascii="Times New Roman" w:hAnsi="Times New Roman" w:eastAsia="宋体" w:cs="Times New Roman"/>
      <w:lang w:val="en-US" w:eastAsia="zh-CN" w:bidi="ar-SA"/>
    </w:rPr>
  </w:style>
  <w:style w:type="paragraph" w:customStyle="1" w:styleId="1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5">
    <w:name w:val="标题 1 Char"/>
    <w:basedOn w:val="9"/>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Pages>9</Pages>
  <Words>3112</Words>
  <Characters>3328</Characters>
  <Lines>17</Lines>
  <Paragraphs>4</Paragraphs>
  <TotalTime>0</TotalTime>
  <ScaleCrop>false</ScaleCrop>
  <LinksUpToDate>false</LinksUpToDate>
  <CharactersWithSpaces>3361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2022-09-09T07:11:00Z</dcterms:created>
  <dc:creator>ZN</dc:creator>
  <cp:lastModifiedBy>張雅華</cp:lastModifiedBy>
  <dcterms:modified xsi:type="dcterms:W3CDTF">2024-12-12T09:52:54Z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A9632102C9BB4BC9B9E692199BC78BBA_13</vt:lpwstr>
  </property>
</Properties>
</file>