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41A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bCs/>
          <w:color w:val="000000"/>
          <w:kern w:val="0"/>
          <w:sz w:val="42"/>
          <w:szCs w:val="42"/>
        </w:rPr>
      </w:pPr>
    </w:p>
    <w:p w14:paraId="5CC1D4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/>
        <w:textAlignment w:val="auto"/>
        <w:rPr>
          <w:rFonts w:hint="eastAsia" w:ascii="黑体" w:hAnsi="黑体" w:eastAsia="黑体" w:cs="黑体"/>
          <w:bCs/>
          <w:color w:val="000000"/>
          <w:kern w:val="0"/>
          <w:sz w:val="42"/>
          <w:szCs w:val="4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42"/>
          <w:szCs w:val="42"/>
        </w:rPr>
        <w:t xml:space="preserve">  </w:t>
      </w:r>
    </w:p>
    <w:p w14:paraId="501A5F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156" w:afterLines="50" w:line="1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color w:val="FF6600"/>
          <w:w w:val="50"/>
          <w:kern w:val="0"/>
          <w:sz w:val="112"/>
          <w:szCs w:val="112"/>
        </w:rPr>
      </w:pPr>
      <w:r>
        <w:rPr>
          <w:rFonts w:hint="eastAsia" w:ascii="方正小标宋简体" w:hAnsi="方正小标宋简体" w:eastAsia="方正小标宋简体" w:cs="方正小标宋简体"/>
          <w:b/>
          <w:color w:val="FF0000"/>
          <w:w w:val="50"/>
          <w:kern w:val="0"/>
          <w:sz w:val="144"/>
          <w:szCs w:val="144"/>
        </w:rPr>
        <w:t>长子县残疾人联合会文件</w:t>
      </w:r>
    </w:p>
    <w:p w14:paraId="53CCF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outlineLvl w:val="9"/>
        <w:rPr>
          <w:rFonts w:hint="eastAsia" w:ascii="仿宋_GB2312" w:eastAsia="仿宋_GB2312" w:cs="宋体"/>
          <w:b/>
          <w:color w:val="000000"/>
          <w:kern w:val="0"/>
          <w:sz w:val="30"/>
          <w:szCs w:val="30"/>
        </w:rPr>
      </w:pPr>
    </w:p>
    <w:p w14:paraId="4B22DA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both"/>
        <w:textAlignment w:val="auto"/>
        <w:outlineLvl w:val="9"/>
        <w:rPr>
          <w:rFonts w:hint="eastAsia" w:ascii="仿宋_GB2312" w:eastAsia="仿宋_GB2312" w:cs="宋体"/>
          <w:b/>
          <w:color w:val="000000"/>
          <w:kern w:val="0"/>
          <w:sz w:val="30"/>
          <w:szCs w:val="30"/>
        </w:rPr>
      </w:pPr>
    </w:p>
    <w:p w14:paraId="63BF4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" w:line="7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Times New Roman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Times New Roman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长</w:t>
      </w:r>
      <w:r>
        <w:rPr>
          <w:rFonts w:hint="eastAsia" w:ascii="仿宋" w:hAnsi="仿宋" w:eastAsia="仿宋" w:cs="Times New Roman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子</w:t>
      </w:r>
      <w:r>
        <w:rPr>
          <w:rFonts w:hint="eastAsia" w:ascii="仿宋" w:hAnsi="仿宋" w:eastAsia="仿宋" w:cs="Times New Roman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残联〔20</w:t>
      </w:r>
      <w:r>
        <w:rPr>
          <w:rFonts w:hint="eastAsia" w:ascii="仿宋" w:hAnsi="仿宋" w:eastAsia="仿宋" w:cs="Times New Roman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26</w:t>
      </w:r>
      <w:r>
        <w:rPr>
          <w:rFonts w:hint="eastAsia" w:ascii="仿宋" w:hAnsi="仿宋" w:eastAsia="仿宋" w:cs="Times New Roman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仿宋" w:hAnsi="仿宋" w:eastAsia="仿宋" w:cs="Times New Roman"/>
          <w:b w:val="0"/>
          <w:bCs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仿宋" w:hAnsi="仿宋" w:eastAsia="仿宋" w:cs="Times New Roman"/>
          <w:b w:val="0"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号</w:t>
      </w:r>
    </w:p>
    <w:p w14:paraId="3B09A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20" w:line="576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color w:val="000000" w:themeColor="text1"/>
          <w:spacing w:val="0"/>
          <w:sz w:val="44"/>
          <w:szCs w:val="44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-36830</wp:posOffset>
                </wp:positionH>
                <wp:positionV relativeFrom="paragraph">
                  <wp:posOffset>48260</wp:posOffset>
                </wp:positionV>
                <wp:extent cx="5423535" cy="635"/>
                <wp:effectExtent l="0" t="19050" r="5715" b="37465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23535" cy="635"/>
                        </a:xfrm>
                        <a:prstGeom prst="line">
                          <a:avLst/>
                        </a:prstGeom>
                        <a:ln w="381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.9pt;margin-top:3.8pt;height:0.05pt;width:427.05pt;z-index:251659264;mso-width-relative:page;mso-height-relative:page;" filled="f" stroked="t" coordsize="21600,21600" o:gfxdata="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G5dItNkAAAAGAQAADwAAAAAAAAABACAAAAAiAAAAZHJzL2Rvd25yZXYueG1sUEsBAhQAFAAAAAgA&#10;h07iQOvD/HrrAQAA3gMAAA4AAAAAAAAAAQAgAAAAKAEAAGRycy9lMm9Eb2MueG1sUEsFBgAAAAAG&#10;AAYAWQEAAIUFAAAAAA==&#10;">
                <v:fill on="f" focussize="0,0"/>
                <v:stroke weight="3pt" color="#FF0000" joinstyle="round"/>
                <v:imagedata o:title=""/>
                <o:lock v:ext="edit" aspectratio="f"/>
              </v:line>
            </w:pict>
          </mc:Fallback>
        </mc:AlternateContent>
      </w:r>
      <w:bookmarkStart w:id="0" w:name="OLE_LINK1"/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关于印发《残疾评定档案管理制度</w:t>
      </w:r>
      <w:bookmarkEnd w:id="0"/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-6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》的通知</w:t>
      </w:r>
    </w:p>
    <w:bookmarkEnd w:id="1"/>
    <w:p w14:paraId="63559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80" w:line="576" w:lineRule="exact"/>
        <w:jc w:val="both"/>
        <w:textAlignment w:val="auto"/>
        <w:outlineLvl w:val="9"/>
        <w:rPr>
          <w:rFonts w:hint="eastAsia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各乡镇（服务中心）残联：</w:t>
      </w:r>
    </w:p>
    <w:p w14:paraId="25712E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深入推进残疾等级评定不精准问题专项纠治工作，进一步规范我县残疾评定档案收集、整理、归档、保管、查阅、移交全过程管理，补齐档案管理短板，健全长效监管机制，确保残疾评定工作全程留痕、有据可查、规范可溯，经县残联班子会议研究同意，现将《残疾评定档案管理制度》印发给你们，请各乡镇（服务中心）残联工作人员严格遵照执行，切实抓好贯彻落实。</w:t>
      </w:r>
    </w:p>
    <w:p w14:paraId="795D48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313" w:beforeLines="100" w:line="560" w:lineRule="exact"/>
        <w:ind w:firstLine="640" w:firstLineChars="200"/>
        <w:jc w:val="right"/>
        <w:textAlignment w:val="auto"/>
        <w:outlineLvl w:val="9"/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长子县残疾人联合会   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</w:p>
    <w:p w14:paraId="2B638C6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outlineLvl w:val="9"/>
        <w:rPr>
          <w:rFonts w:hint="default"/>
          <w:lang w:eastAsia="zh-CN"/>
        </w:rPr>
      </w:pP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月</w:t>
      </w:r>
      <w:r>
        <w:rPr>
          <w:rFonts w:hint="eastAsia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日     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</w:p>
    <w:p w14:paraId="461405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both"/>
        <w:textAlignment w:val="auto"/>
        <w:rPr>
          <w:rFonts w:hint="default" w:ascii="方正小标宋简体" w:hAnsi="仿宋" w:eastAsia="方正小标宋简体" w:cs="仿宋"/>
          <w:sz w:val="44"/>
          <w:szCs w:val="44"/>
          <w:lang w:val="en-US" w:eastAsia="zh-CN"/>
        </w:rPr>
      </w:pPr>
    </w:p>
    <w:p w14:paraId="7D8593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center"/>
        <w:textAlignment w:val="auto"/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</w:pPr>
      <w:r>
        <w:rPr>
          <w:rFonts w:hint="eastAsia" w:ascii="方正小标宋简体" w:hAnsi="仿宋" w:eastAsia="方正小标宋简体" w:cs="仿宋"/>
          <w:sz w:val="44"/>
          <w:szCs w:val="44"/>
          <w:lang w:val="en-US" w:eastAsia="zh-CN"/>
        </w:rPr>
        <w:t>残疾评定档案管理制度</w:t>
      </w:r>
    </w:p>
    <w:p w14:paraId="2C396A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right="0"/>
        <w:jc w:val="both"/>
        <w:textAlignment w:val="auto"/>
        <w:rPr>
          <w:rFonts w:hint="eastAsia" w:ascii="方正小标宋简体" w:hAnsi="仿宋" w:eastAsia="方正小标宋简体" w:cs="仿宋"/>
          <w:sz w:val="44"/>
          <w:szCs w:val="44"/>
        </w:rPr>
      </w:pPr>
    </w:p>
    <w:p w14:paraId="0C8D099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0" w:firstLineChars="0"/>
        <w:jc w:val="center"/>
        <w:textAlignment w:val="auto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第一章 总则</w:t>
      </w:r>
    </w:p>
    <w:p w14:paraId="4F5523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第一条 为全面规范我县残疾评定档案管理工作，根治残疾评定档案资料不全、归档不及时、管理不规范、追溯性不强等突出问题，持续巩固残疾等级评定专项纠治工作成效，依据《中华人民共和国残疾人证管理办法》《残疾人档案管理规范》及省、市残联专项整治工作要求，结合我县工作实际，制定本制度。</w:t>
      </w:r>
    </w:p>
    <w:p w14:paraId="23D10D5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第二条 本制度适用于全县范围内初次评残、换证评残、等级变更、重新评定、注销证件、入户评残等所有业务产生的纸质档案和电子档案管理工作，县残联组联科为档案管理主体责任科室。</w:t>
      </w:r>
    </w:p>
    <w:p w14:paraId="0170AB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第三条 坚持一人一档、一档一卷、全程留痕、永久保存、闭环管理原则，做到材料齐全、整理规范、归档及时、保管安全、查阅有据。</w:t>
      </w:r>
    </w:p>
    <w:p w14:paraId="256B069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0" w:firstLineChars="0"/>
        <w:jc w:val="center"/>
        <w:textAlignment w:val="auto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第二章 档案收集与归档标准</w:t>
      </w:r>
    </w:p>
    <w:p w14:paraId="01DEE00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第四条 残疾评定档案必须齐全完整，每卷档案必备材料包括：残疾人证申请表、身份证及户口本复印件、监护人相关证明、住院病历、诊断证明、医学检查报告单、定点医疗机构残疾评定表、公示材料、入户核查记录、业务审批流程资料及其他相关佐证材料。</w:t>
      </w:r>
    </w:p>
    <w:p w14:paraId="3C156F5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第五条 严格材料收集时限。所有评残业务办结后3个工作日内，经办人员须完整归集全部资料，移交档案管理人员整理归档，坚决杜绝资料积压、遗失、缺项。</w:t>
      </w:r>
    </w:p>
    <w:p w14:paraId="1598264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第六条 坚持纸质档案与全国残疾人业务系统电子档案双同步、完全一致，做到纸质有卷宗、系统有扫描、件件可核验。</w:t>
      </w:r>
    </w:p>
    <w:p w14:paraId="2A38608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0" w:firstLineChars="0"/>
        <w:jc w:val="center"/>
        <w:textAlignment w:val="auto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第三章 档案整理立卷规范</w:t>
      </w:r>
    </w:p>
    <w:p w14:paraId="49BFAB2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第七条 档案实行年度分类、一人一卷管理，统一使用标准档案盒，规范填写档案盒封面信息，注明年度、乡镇、姓名、残疾类别、档案编号。</w:t>
      </w:r>
    </w:p>
    <w:p w14:paraId="6B287D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第八条 严格卷内材料排序，统一目录编制，做到目录清晰、页码规范、材料有序，卷宗整洁规范。</w:t>
      </w:r>
    </w:p>
    <w:p w14:paraId="7B61D12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0" w:firstLineChars="0"/>
        <w:jc w:val="center"/>
        <w:textAlignment w:val="auto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第四章 档案保管与安全管理</w:t>
      </w:r>
    </w:p>
    <w:p w14:paraId="73F756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第九条 残疾评定档案实行专人专管、专柜存放，存放场所做到防潮、防火、防盗、避光、防虫，严防档案损毁、丢失、霉变。</w:t>
      </w:r>
    </w:p>
    <w:p w14:paraId="1C00105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第十条 残疾评定档案为永久保存档案，任何人不得私自抽取、涂改、撤换、销毁档案材料，严禁私自篡改评定资料和病历佐证。</w:t>
      </w:r>
    </w:p>
    <w:p w14:paraId="6E0C496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第十一条 严格落实隐私保密制度，严禁工作人员泄露残疾人个人信息、病情资料、评定情况，杜绝信息泄密问题。</w:t>
      </w:r>
    </w:p>
    <w:p w14:paraId="1FB548F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0" w:firstLineChars="0"/>
        <w:jc w:val="center"/>
        <w:textAlignment w:val="auto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第五章 档案查阅、借阅与移交</w:t>
      </w:r>
    </w:p>
    <w:p w14:paraId="1686626D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第十二条 严格档案查阅审批制度。单位核查、上级督查、纪检检查查阅档案须凭公函登记；残疾人本人及监护人查阅档案须经科室负责人批准，只可复印、不得带出原件。</w:t>
      </w:r>
    </w:p>
    <w:p w14:paraId="3582DC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第十三条 工作人员岗位调整、档案交接必须逐项清点、核对卷宗，完善移交清单，签字确认，杜绝脱管、漏管、丢档问题。</w:t>
      </w:r>
    </w:p>
    <w:p w14:paraId="4A3CCC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0" w:firstLineChars="0"/>
        <w:jc w:val="center"/>
        <w:textAlignment w:val="auto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第六章 动态管理与常态化核查</w:t>
      </w:r>
    </w:p>
    <w:p w14:paraId="2728F4F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第十四条 建立档案动态更新机制。持证残疾人等级变更、换证、迁移、注销、复核等业务资料，及时补充归入原档案，实现档案动态完整。</w:t>
      </w:r>
    </w:p>
    <w:p w14:paraId="262F1D8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第十五条 结合专项纠治常态化开展档案自查，定期开展档案回头看，重点核查档案缺项、佐证不足、归档不规范等问题，立行立改、闭环整改。</w:t>
      </w:r>
    </w:p>
    <w:p w14:paraId="19168DE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0" w:firstLineChars="0"/>
        <w:jc w:val="center"/>
        <w:textAlignment w:val="auto"/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第七章 附则</w:t>
      </w:r>
    </w:p>
    <w:p w14:paraId="77B58DD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第十六条 本制度由长子县残疾人联合会负责解释。</w:t>
      </w:r>
    </w:p>
    <w:p w14:paraId="31218A4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第十七条 本制度自印发之日起正式施行。</w:t>
      </w:r>
    </w:p>
    <w:p w14:paraId="5ADC2B7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Chars="0"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1814" w:right="1701" w:bottom="1361" w:left="1701" w:header="851" w:footer="992" w:gutter="0"/>
      <w:paperSrc w:first="1" w:other="1"/>
      <w:pgNumType w:fmt="decimal"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E15D5B7-D92E-42B6-A426-181B1E8AE8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E33C86DC-0B99-4C78-A70A-3C11A09978C4}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45C0BCF9-9439-4D84-9F88-DBEDFFE5AE57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E486927-729B-4E63-9C1B-1E61F83DD0D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0C8079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1C16E3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C810DF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attachedTemplate r:id="rId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zMjZjMWNjNWJhYjdkNzFiZDM2MWMzNzJkODU5OWIifQ=="/>
  </w:docVars>
  <w:rsids>
    <w:rsidRoot w:val="2B946AAD"/>
    <w:rsid w:val="000911C3"/>
    <w:rsid w:val="000C625E"/>
    <w:rsid w:val="000F2F95"/>
    <w:rsid w:val="000F6131"/>
    <w:rsid w:val="00120C93"/>
    <w:rsid w:val="00172A27"/>
    <w:rsid w:val="001835AB"/>
    <w:rsid w:val="001E6381"/>
    <w:rsid w:val="002172AA"/>
    <w:rsid w:val="002416BD"/>
    <w:rsid w:val="002419B8"/>
    <w:rsid w:val="002B5E5F"/>
    <w:rsid w:val="0031680B"/>
    <w:rsid w:val="00371A68"/>
    <w:rsid w:val="00373180"/>
    <w:rsid w:val="003922BB"/>
    <w:rsid w:val="0051613B"/>
    <w:rsid w:val="00562736"/>
    <w:rsid w:val="005976ED"/>
    <w:rsid w:val="005A436B"/>
    <w:rsid w:val="006432D3"/>
    <w:rsid w:val="00657EC0"/>
    <w:rsid w:val="00790658"/>
    <w:rsid w:val="007D7A91"/>
    <w:rsid w:val="008173AE"/>
    <w:rsid w:val="008178E1"/>
    <w:rsid w:val="008B066F"/>
    <w:rsid w:val="008D436D"/>
    <w:rsid w:val="0092289D"/>
    <w:rsid w:val="0093101A"/>
    <w:rsid w:val="0097352C"/>
    <w:rsid w:val="009C10AB"/>
    <w:rsid w:val="009D55ED"/>
    <w:rsid w:val="00A1540B"/>
    <w:rsid w:val="00A96C08"/>
    <w:rsid w:val="00AA1674"/>
    <w:rsid w:val="00AF5A56"/>
    <w:rsid w:val="00B122EB"/>
    <w:rsid w:val="00B63E4F"/>
    <w:rsid w:val="00BD2650"/>
    <w:rsid w:val="00BE7D08"/>
    <w:rsid w:val="00C1156F"/>
    <w:rsid w:val="00CD7C32"/>
    <w:rsid w:val="00DA5078"/>
    <w:rsid w:val="00DC6195"/>
    <w:rsid w:val="00E759B9"/>
    <w:rsid w:val="00F1154F"/>
    <w:rsid w:val="00F324B8"/>
    <w:rsid w:val="00F83DF3"/>
    <w:rsid w:val="00F87820"/>
    <w:rsid w:val="00FB64E0"/>
    <w:rsid w:val="01695F2A"/>
    <w:rsid w:val="01F270A4"/>
    <w:rsid w:val="024B7116"/>
    <w:rsid w:val="0264627E"/>
    <w:rsid w:val="043C512B"/>
    <w:rsid w:val="044B0513"/>
    <w:rsid w:val="05822A3A"/>
    <w:rsid w:val="0757641B"/>
    <w:rsid w:val="08096063"/>
    <w:rsid w:val="08F72A18"/>
    <w:rsid w:val="092221E8"/>
    <w:rsid w:val="09644053"/>
    <w:rsid w:val="0B730587"/>
    <w:rsid w:val="0BDA79F7"/>
    <w:rsid w:val="0C804E43"/>
    <w:rsid w:val="10310011"/>
    <w:rsid w:val="104B48C1"/>
    <w:rsid w:val="10EC1149"/>
    <w:rsid w:val="112E6FFA"/>
    <w:rsid w:val="11B37952"/>
    <w:rsid w:val="127C3A5A"/>
    <w:rsid w:val="12C75338"/>
    <w:rsid w:val="12F55826"/>
    <w:rsid w:val="138A175B"/>
    <w:rsid w:val="15C3428D"/>
    <w:rsid w:val="16331935"/>
    <w:rsid w:val="163D4993"/>
    <w:rsid w:val="16C67F6C"/>
    <w:rsid w:val="17C40969"/>
    <w:rsid w:val="17D94FDF"/>
    <w:rsid w:val="181428C1"/>
    <w:rsid w:val="18CE3E98"/>
    <w:rsid w:val="19A74999"/>
    <w:rsid w:val="1A2C5E7B"/>
    <w:rsid w:val="1ADE1BE9"/>
    <w:rsid w:val="1B29132E"/>
    <w:rsid w:val="1B3C678E"/>
    <w:rsid w:val="1B6A3030"/>
    <w:rsid w:val="1B853D32"/>
    <w:rsid w:val="1CDD7513"/>
    <w:rsid w:val="1ED80C35"/>
    <w:rsid w:val="1F6B284B"/>
    <w:rsid w:val="21B34858"/>
    <w:rsid w:val="23B45823"/>
    <w:rsid w:val="24195D88"/>
    <w:rsid w:val="25E8150D"/>
    <w:rsid w:val="2611159E"/>
    <w:rsid w:val="262F27F6"/>
    <w:rsid w:val="26840203"/>
    <w:rsid w:val="28956CA4"/>
    <w:rsid w:val="2ADF7892"/>
    <w:rsid w:val="2B946AAD"/>
    <w:rsid w:val="2C9F3DD1"/>
    <w:rsid w:val="2D071AD2"/>
    <w:rsid w:val="2D7770D0"/>
    <w:rsid w:val="2E960AC7"/>
    <w:rsid w:val="2EC40C06"/>
    <w:rsid w:val="300332D4"/>
    <w:rsid w:val="31133B8E"/>
    <w:rsid w:val="31970FA1"/>
    <w:rsid w:val="31AB17DE"/>
    <w:rsid w:val="355450EA"/>
    <w:rsid w:val="35685B72"/>
    <w:rsid w:val="38274CBE"/>
    <w:rsid w:val="38941AE2"/>
    <w:rsid w:val="395F1D6D"/>
    <w:rsid w:val="39C9515D"/>
    <w:rsid w:val="3B8C03FD"/>
    <w:rsid w:val="3C241C67"/>
    <w:rsid w:val="3CA613D1"/>
    <w:rsid w:val="3E8A2CCA"/>
    <w:rsid w:val="4118297E"/>
    <w:rsid w:val="41613903"/>
    <w:rsid w:val="419B1CD8"/>
    <w:rsid w:val="42B936FC"/>
    <w:rsid w:val="4312450C"/>
    <w:rsid w:val="44940DBF"/>
    <w:rsid w:val="44E76012"/>
    <w:rsid w:val="451622DE"/>
    <w:rsid w:val="46973686"/>
    <w:rsid w:val="493D03FC"/>
    <w:rsid w:val="49CE669A"/>
    <w:rsid w:val="49E13AFA"/>
    <w:rsid w:val="49E728CF"/>
    <w:rsid w:val="4BE56F53"/>
    <w:rsid w:val="50966A2D"/>
    <w:rsid w:val="509D076F"/>
    <w:rsid w:val="517F4285"/>
    <w:rsid w:val="52002009"/>
    <w:rsid w:val="52455724"/>
    <w:rsid w:val="529A1593"/>
    <w:rsid w:val="53457BA2"/>
    <w:rsid w:val="53E43F27"/>
    <w:rsid w:val="54530CB8"/>
    <w:rsid w:val="54F025AB"/>
    <w:rsid w:val="559D6CC1"/>
    <w:rsid w:val="57522DF6"/>
    <w:rsid w:val="57B66AA2"/>
    <w:rsid w:val="5840486E"/>
    <w:rsid w:val="595E3C11"/>
    <w:rsid w:val="5B9C51FC"/>
    <w:rsid w:val="5C510367"/>
    <w:rsid w:val="5CE81DDA"/>
    <w:rsid w:val="5F91206F"/>
    <w:rsid w:val="63DB1FFE"/>
    <w:rsid w:val="646003B3"/>
    <w:rsid w:val="65E052B4"/>
    <w:rsid w:val="663618C0"/>
    <w:rsid w:val="67FE1F68"/>
    <w:rsid w:val="6840648D"/>
    <w:rsid w:val="698B784D"/>
    <w:rsid w:val="6A18591D"/>
    <w:rsid w:val="6A717E13"/>
    <w:rsid w:val="6A9E44DF"/>
    <w:rsid w:val="6BDA77C7"/>
    <w:rsid w:val="6C847215"/>
    <w:rsid w:val="6DE55C31"/>
    <w:rsid w:val="6E1B62B9"/>
    <w:rsid w:val="6E821C57"/>
    <w:rsid w:val="6F16141B"/>
    <w:rsid w:val="6F2B6BEF"/>
    <w:rsid w:val="6FA13044"/>
    <w:rsid w:val="71CF6093"/>
    <w:rsid w:val="73D20A9E"/>
    <w:rsid w:val="748B4A54"/>
    <w:rsid w:val="74EE365A"/>
    <w:rsid w:val="78A97544"/>
    <w:rsid w:val="7BEF7509"/>
    <w:rsid w:val="7C951F19"/>
    <w:rsid w:val="7D830C0A"/>
    <w:rsid w:val="7EBE7092"/>
    <w:rsid w:val="7F4C1FAD"/>
    <w:rsid w:val="7FBF76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eastAsia="仿宋_GB2312"/>
      <w:sz w:val="24"/>
    </w:rPr>
  </w:style>
  <w:style w:type="paragraph" w:styleId="4">
    <w:name w:val="Plain Text"/>
    <w:basedOn w:val="1"/>
    <w:qFormat/>
    <w:uiPriority w:val="0"/>
    <w:rPr>
      <w:rFonts w:ascii="??" w:hAnsi="??" w:eastAsia="??" w:cs="Courier New"/>
      <w:szCs w:val="21"/>
    </w:rPr>
  </w:style>
  <w:style w:type="paragraph" w:styleId="5">
    <w:name w:val="Body Text Indent 2"/>
    <w:basedOn w:val="1"/>
    <w:qFormat/>
    <w:uiPriority w:val="0"/>
    <w:pPr>
      <w:spacing w:line="240" w:lineRule="auto"/>
      <w:ind w:left="0" w:leftChars="0" w:firstLine="883" w:firstLineChars="200"/>
    </w:pPr>
    <w:rPr>
      <w:rFonts w:ascii="仿宋" w:hAnsi="仿宋" w:eastAsia="仿宋" w:cs="仿宋"/>
      <w:sz w:val="32"/>
      <w:szCs w:val="3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FollowedHyperlink"/>
    <w:basedOn w:val="11"/>
    <w:qFormat/>
    <w:uiPriority w:val="0"/>
    <w:rPr>
      <w:color w:val="434242"/>
      <w:u w:val="none"/>
    </w:rPr>
  </w:style>
  <w:style w:type="character" w:styleId="15">
    <w:name w:val="Emphasis"/>
    <w:basedOn w:val="11"/>
    <w:qFormat/>
    <w:uiPriority w:val="0"/>
  </w:style>
  <w:style w:type="character" w:styleId="16">
    <w:name w:val="HTML Definition"/>
    <w:basedOn w:val="11"/>
    <w:qFormat/>
    <w:uiPriority w:val="0"/>
  </w:style>
  <w:style w:type="character" w:styleId="17">
    <w:name w:val="HTML Acronym"/>
    <w:basedOn w:val="11"/>
    <w:qFormat/>
    <w:uiPriority w:val="0"/>
  </w:style>
  <w:style w:type="character" w:styleId="18">
    <w:name w:val="HTML Variable"/>
    <w:basedOn w:val="11"/>
    <w:qFormat/>
    <w:uiPriority w:val="0"/>
  </w:style>
  <w:style w:type="character" w:styleId="19">
    <w:name w:val="Hyperlink"/>
    <w:basedOn w:val="11"/>
    <w:qFormat/>
    <w:uiPriority w:val="0"/>
    <w:rPr>
      <w:color w:val="434242"/>
      <w:u w:val="none"/>
    </w:rPr>
  </w:style>
  <w:style w:type="character" w:styleId="20">
    <w:name w:val="HTML Code"/>
    <w:basedOn w:val="11"/>
    <w:qFormat/>
    <w:uiPriority w:val="0"/>
    <w:rPr>
      <w:rFonts w:ascii="Courier New" w:hAnsi="Courier New"/>
      <w:sz w:val="20"/>
    </w:rPr>
  </w:style>
  <w:style w:type="character" w:styleId="21">
    <w:name w:val="HTML Cite"/>
    <w:basedOn w:val="11"/>
    <w:qFormat/>
    <w:uiPriority w:val="0"/>
  </w:style>
  <w:style w:type="paragraph" w:customStyle="1" w:styleId="22">
    <w:name w:val="pa-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3">
    <w:name w:val="pa-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24">
    <w:name w:val="_Style 1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character" w:customStyle="1" w:styleId="25">
    <w:name w:val="ca-6"/>
    <w:basedOn w:val="11"/>
    <w:qFormat/>
    <w:uiPriority w:val="0"/>
  </w:style>
  <w:style w:type="character" w:customStyle="1" w:styleId="26">
    <w:name w:val="ca-5"/>
    <w:basedOn w:val="11"/>
    <w:qFormat/>
    <w:uiPriority w:val="0"/>
  </w:style>
  <w:style w:type="character" w:customStyle="1" w:styleId="27">
    <w:name w:val="ca-4"/>
    <w:basedOn w:val="11"/>
    <w:qFormat/>
    <w:uiPriority w:val="0"/>
  </w:style>
  <w:style w:type="character" w:customStyle="1" w:styleId="28">
    <w:name w:val="ca-3"/>
    <w:basedOn w:val="11"/>
    <w:qFormat/>
    <w:uiPriority w:val="0"/>
  </w:style>
  <w:style w:type="character" w:customStyle="1" w:styleId="29">
    <w:name w:val="article_f14"/>
    <w:basedOn w:val="11"/>
    <w:qFormat/>
    <w:uiPriority w:val="0"/>
  </w:style>
  <w:style w:type="character" w:customStyle="1" w:styleId="30">
    <w:name w:val="layui-layer-tabnow"/>
    <w:basedOn w:val="11"/>
    <w:qFormat/>
    <w:uiPriority w:val="0"/>
    <w:rPr>
      <w:bdr w:val="single" w:color="CCCCCC" w:sz="6" w:space="0"/>
      <w:shd w:val="clear" w:fill="FFFFFF"/>
    </w:rPr>
  </w:style>
  <w:style w:type="character" w:customStyle="1" w:styleId="31">
    <w:name w:val="first-child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2418;&#22836;&#25991;&#20214;\2026&#24180;&#32418;&#22836;&#25991;&#20214;\&#38271;&#23376;&#27531;&#32852;&#12308;2026&#12309;\&#38271;&#23376;&#27531;&#32852;&#12308;2026&#12309;14&#21495;%20&#20851;&#20110;&#21360;&#21457;&#12298;&#32416;&#27835;&#27531;&#30142;&#20154;&#27531;&#30142;&#31561;&#32423;&#35780;&#23450;&#19981;&#31934;&#20934;&#38382;&#39064;&#35843;&#30740;&#22238;&#35775;&#24037;&#20316;&#26041;&#26696;&#12299;&#30340;&#36890;&#30693;.doc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长子残联〔2026〕14号 关于印发《纠治残疾人残疾等级评定不精准问题调研回访工作方案》的通知.docx</Template>
  <Pages>4</Pages>
  <Words>1894</Words>
  <Characters>1901</Characters>
  <Lines>9</Lines>
  <Paragraphs>2</Paragraphs>
  <TotalTime>1</TotalTime>
  <ScaleCrop>false</ScaleCrop>
  <LinksUpToDate>false</LinksUpToDate>
  <CharactersWithSpaces>1917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2026-07-08T03:53:00Z</dcterms:created>
  <dc:creator>范梦莹</dc:creator>
  <cp:lastModifiedBy>范梦莹</cp:lastModifiedBy>
  <dcterms:modified xsi:type="dcterms:W3CDTF">2026-07-08T03:57:40Z</dcterms:modified>
  <dc:title>虞城县教育局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AC5857D7DAD248F894F6D6D194E0552C_11</vt:lpwstr>
  </property>
  <property fmtid="{D5CDD505-2E9C-101B-9397-08002B2CF9AE}" pid="4" name="KSOTemplateDocerSaveRecord">
    <vt:lpwstr>eyJoZGlkIjoiMzkzMjZjMWNjNWJhYjdkNzFiZDM2MWMzNzJkODU5OWIiLCJ1c2VySWQiOiIzMTAzNDEyNTAifQ==</vt:lpwstr>
  </property>
</Properties>
</file>