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DCD50B">
      <w:pPr>
        <w:pStyle w:val="2"/>
        <w:keepNext w:val="0"/>
        <w:keepLines w:val="0"/>
        <w:pageBreakBefore w:val="0"/>
        <w:widowControl w:val="0"/>
        <w:kinsoku/>
        <w:wordWrap/>
        <w:overflowPunct/>
        <w:topLinePunct w:val="0"/>
        <w:autoSpaceDE/>
        <w:autoSpaceDN/>
        <w:bidi w:val="0"/>
        <w:adjustRightInd/>
        <w:snapToGrid/>
        <w:spacing w:line="960" w:lineRule="exact"/>
        <w:ind w:left="0" w:leftChars="0" w:firstLine="0" w:firstLineChars="0"/>
        <w:textAlignment w:val="auto"/>
        <w:rPr>
          <w:rFonts w:hint="eastAsia" w:ascii="方正小标宋_GBK" w:hAnsi="方正小标宋_GBK" w:eastAsia="方正小标宋_GBK" w:cs="方正小标宋_GBK"/>
          <w:b w:val="0"/>
          <w:bCs w:val="0"/>
          <w:sz w:val="44"/>
          <w:szCs w:val="44"/>
        </w:rPr>
      </w:pPr>
    </w:p>
    <w:p w14:paraId="7D696033">
      <w:pPr>
        <w:pStyle w:val="2"/>
        <w:keepNext w:val="0"/>
        <w:keepLines w:val="0"/>
        <w:pageBreakBefore w:val="0"/>
        <w:widowControl w:val="0"/>
        <w:kinsoku/>
        <w:wordWrap/>
        <w:overflowPunct/>
        <w:topLinePunct w:val="0"/>
        <w:autoSpaceDE/>
        <w:autoSpaceDN/>
        <w:bidi w:val="0"/>
        <w:adjustRightInd/>
        <w:snapToGrid/>
        <w:spacing w:line="960" w:lineRule="exact"/>
        <w:textAlignment w:val="auto"/>
        <w:rPr>
          <w:rFonts w:hint="eastAsia" w:ascii="方正小标宋_GBK" w:hAnsi="方正小标宋_GBK" w:eastAsia="方正小标宋_GBK" w:cs="方正小标宋_GBK"/>
          <w:b w:val="0"/>
          <w:bCs w:val="0"/>
          <w:sz w:val="44"/>
          <w:szCs w:val="44"/>
        </w:rPr>
      </w:pPr>
    </w:p>
    <w:p w14:paraId="27A0AE86">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r>
        <w:rPr>
          <w:rFonts w:hint="eastAsia" w:ascii="仿宋_GB2312" w:hAnsi="仿宋_GB2312" w:eastAsia="仿宋_GB2312" w:cs="仿宋_GB2312"/>
          <w:sz w:val="32"/>
          <w:szCs w:val="32"/>
          <w:lang w:val="en-US" w:eastAsia="zh-CN"/>
        </w:rPr>
        <w:t xml:space="preserve">                          长子环函</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2026</w:t>
      </w:r>
      <w:r>
        <w:rPr>
          <w:rFonts w:hint="eastAsia" w:ascii="仿宋" w:hAnsi="仿宋" w:eastAsia="仿宋" w:cs="仿宋"/>
          <w:sz w:val="32"/>
          <w:szCs w:val="32"/>
          <w:lang w:val="en-US" w:eastAsia="zh-CN"/>
        </w:rPr>
        <w:t>〕</w:t>
      </w:r>
      <w:r>
        <w:rPr>
          <w:rFonts w:hint="eastAsia" w:ascii="仿宋_GB2312" w:hAnsi="仿宋_GB2312" w:eastAsia="仿宋_GB2312" w:cs="仿宋_GB2312"/>
          <w:sz w:val="32"/>
          <w:szCs w:val="32"/>
          <w:lang w:val="en-US" w:eastAsia="zh-CN"/>
        </w:rPr>
        <w:t>9号</w:t>
      </w:r>
    </w:p>
    <w:p w14:paraId="1E435B40">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p>
    <w:p w14:paraId="5A596746">
      <w:pPr>
        <w:keepNext w:val="0"/>
        <w:keepLines w:val="0"/>
        <w:pageBreakBefore w:val="0"/>
        <w:widowControl w:val="0"/>
        <w:kinsoku/>
        <w:wordWrap/>
        <w:overflowPunct/>
        <w:topLinePunct w:val="0"/>
        <w:bidi w:val="0"/>
        <w:spacing w:line="600" w:lineRule="exact"/>
        <w:ind w:left="0"/>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rPr>
        <w:t>长治市生态环境局长子分局</w:t>
      </w:r>
    </w:p>
    <w:p w14:paraId="1C8DB2F8">
      <w:pPr>
        <w:keepNext w:val="0"/>
        <w:keepLines w:val="0"/>
        <w:pageBreakBefore w:val="0"/>
        <w:kinsoku/>
        <w:wordWrap/>
        <w:overflowPunct/>
        <w:topLinePunct w:val="0"/>
        <w:bidi w:val="0"/>
        <w:adjustRightInd/>
        <w:spacing w:beforeAutospacing="0" w:line="600" w:lineRule="exact"/>
        <w:ind w:left="0" w:leftChars="0" w:right="0" w:righ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山西峰博能源再生环保科技煤矸石免烧砖等建材制造项目</w:t>
      </w:r>
      <w:r>
        <w:rPr>
          <w:rFonts w:hint="eastAsia" w:ascii="方正小标宋_GBK" w:hAnsi="方正小标宋_GBK" w:eastAsia="方正小标宋_GBK" w:cs="方正小标宋_GBK"/>
          <w:w w:val="96"/>
          <w:sz w:val="44"/>
          <w:szCs w:val="44"/>
        </w:rPr>
        <w:t>环境影响报告表的</w:t>
      </w:r>
      <w:r>
        <w:rPr>
          <w:rFonts w:hint="eastAsia" w:ascii="方正小标宋_GBK" w:hAnsi="方正小标宋_GBK" w:eastAsia="方正小标宋_GBK" w:cs="方正小标宋_GBK"/>
          <w:sz w:val="44"/>
          <w:szCs w:val="44"/>
        </w:rPr>
        <w:t>批复</w:t>
      </w:r>
    </w:p>
    <w:p w14:paraId="065B398B">
      <w:pPr>
        <w:autoSpaceDE w:val="0"/>
        <w:autoSpaceDN w:val="0"/>
        <w:snapToGrid w:val="0"/>
        <w:spacing w:line="360" w:lineRule="auto"/>
        <w:rPr>
          <w:rFonts w:hint="eastAsia" w:ascii="仿宋_GB2312" w:hAnsi="仿宋_GB2312" w:eastAsia="仿宋_GB2312" w:cs="仿宋_GB2312"/>
          <w:sz w:val="32"/>
          <w:szCs w:val="32"/>
          <w:lang w:val="en-US" w:eastAsia="zh-CN"/>
        </w:rPr>
      </w:pPr>
    </w:p>
    <w:bookmarkEnd w:id="0"/>
    <w:p w14:paraId="3127F69A">
      <w:pPr>
        <w:autoSpaceDE w:val="0"/>
        <w:autoSpaceDN w:val="0"/>
        <w:snapToGrid w:val="0"/>
        <w:spacing w:line="360" w:lineRule="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山西峰博能源再生环保科技有限责任公司：</w:t>
      </w:r>
    </w:p>
    <w:p w14:paraId="69ADB110">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你单位报送的《关于山西峰博能源再生环保科技煤矸石免烧砖等建材制造项目环境影响报告表》（以下简称《报告表》）及报批申请已收悉。经我局审批复如下：</w:t>
      </w:r>
    </w:p>
    <w:p w14:paraId="53197FE3">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一、该项目位于山西省长治市长子县慈林镇西田良村北侧，项目代码：2601-140428-89-05-852547。占地面积约22701.4m</w:t>
      </w:r>
      <w:r>
        <w:rPr>
          <w:rFonts w:hint="eastAsia" w:ascii="仿宋_GB2312" w:hAnsi="仿宋_GB2312" w:eastAsia="仿宋_GB2312" w:cs="仿宋_GB2312"/>
          <w:sz w:val="32"/>
          <w:szCs w:val="32"/>
          <w:vertAlign w:val="superscript"/>
          <w:lang w:val="en-US" w:eastAsia="zh-CN"/>
        </w:rPr>
        <w:t>2</w:t>
      </w:r>
      <w:r>
        <w:rPr>
          <w:rFonts w:hint="eastAsia" w:ascii="仿宋_GB2312" w:hAnsi="仿宋_GB2312" w:eastAsia="仿宋_GB2312" w:cs="仿宋_GB2312"/>
          <w:sz w:val="32"/>
          <w:szCs w:val="32"/>
          <w:lang w:val="en-US" w:eastAsia="zh-CN"/>
        </w:rPr>
        <w:t>,工程建设内容包括：厂区东侧建设1座全封闭钢结构的煤矸石免烧砖生产车间（一座原料库和一座水泥筒仓建筑尺寸长80m宽34m高12m）。项目总投4800万元，环保投资85万元，占项目总投资的1.77%。</w:t>
      </w:r>
    </w:p>
    <w:p w14:paraId="1B1D6567">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该建设项目符合国家有关产业政策，在全面落实《报告表》提出的各项生态保护及污染防治措施后，环境不利影响能够得到缓解和控制。我局原则同意你公司按照《报告表》中所列的建设项目性质、规模、地点和环境保护对策措施进行建设。</w:t>
      </w:r>
    </w:p>
    <w:p w14:paraId="132BD7F9">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三、项目建设及运行中应全面落实《报告表》提出的各项环境保护措施，降低对周边环境的影响，并做好以下几方面工作：</w:t>
      </w:r>
    </w:p>
    <w:p w14:paraId="1843AB84">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 加强施工期环境管理</w:t>
      </w:r>
    </w:p>
    <w:p w14:paraId="693EACDD">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施工扬尘管控。采取湿式作业，对产生扬尘的场地进行洒水；对运输车辆采取限速、加盖篷布、保证物料不遗撒外漏；设置洗车平台，对出厂车辆进行冲洗，防止泥土粘带；对工地内裸露地面，应覆盖防尘布或防尘网。</w:t>
      </w:r>
    </w:p>
    <w:p w14:paraId="48C20002">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2、施工期间产生的废水经沉淀后用于场地洒水抑尘。</w:t>
      </w:r>
    </w:p>
    <w:p w14:paraId="3302210E">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3、合理安排施工时间，尽量避免夜间施工，选用低噪声设备，确保施工场地噪声达标排放。</w:t>
      </w:r>
    </w:p>
    <w:p w14:paraId="51EC5EF6">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4、施工期间产生的建筑垃圾送废品回收站，危险废物定期交由有危废处理资质的单位进行处置，生活垃圾应做到垃圾分类处置，收集后及时清运至环卫部门指定地点处置，不得随地丢弃。</w:t>
      </w:r>
    </w:p>
    <w:p w14:paraId="1310EDB4">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（二）加强运营期环境管理</w:t>
      </w:r>
    </w:p>
    <w:p w14:paraId="2F0F1056">
      <w:pPr>
        <w:autoSpaceDE w:val="0"/>
        <w:autoSpaceDN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1、落实大气污染防治措施。进料采用全封闭运输，给料机、破碎机、筛分、搅拌设备设置集气罩，废气由集气罩收集处理后通过1根H15m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0.8m高排气筒排放；水泥筒仓顶部配套1台引风机+1台脉冲式布袋除尘器，除尘器处理后经1根H20m</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0.3m高排气筒排放。</w:t>
      </w:r>
    </w:p>
    <w:p w14:paraId="727A998B">
      <w:pPr>
        <w:autoSpaceDE w:val="0"/>
        <w:autoSpaceDN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2、严格落实水环境保护措施。厂区内设置1座三级沉淀池，单池容积10m</w:t>
      </w:r>
      <w:r>
        <w:rPr>
          <w:rFonts w:hint="eastAsia" w:ascii="仿宋_GB2312" w:hAnsi="仿宋_GB2312" w:eastAsia="仿宋_GB2312" w:cs="仿宋_GB2312"/>
          <w:sz w:val="32"/>
          <w:szCs w:val="32"/>
          <w:vertAlign w:val="superscript"/>
          <w:lang w:val="en-US" w:eastAsia="zh-CN"/>
        </w:rPr>
        <w:t>3</w:t>
      </w:r>
      <w:r>
        <w:rPr>
          <w:rFonts w:hint="eastAsia" w:ascii="仿宋_GB2312" w:hAnsi="仿宋_GB2312" w:eastAsia="仿宋_GB2312" w:cs="仿宋_GB2312"/>
          <w:sz w:val="32"/>
          <w:szCs w:val="32"/>
          <w:lang w:val="en-US" w:eastAsia="zh-CN"/>
        </w:rPr>
        <w:t>搅拌机、模具、地坪冲洗废水经沉淀后回用于物料搅拌工序，不外排；车辆冲洗废水经沉淀处理后用于洗车工序不外排；生活废水经沉淀池收集后全部用于原料库内抑尘洒水，不外排；雨水收集池经沉淀处理后用于洒水抑尘，不外排。</w:t>
      </w:r>
    </w:p>
    <w:p w14:paraId="5D5CB4EB">
      <w:pPr>
        <w:autoSpaceDE w:val="0"/>
        <w:autoSpaceDN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3、落实噪声污染防治措施。采取基础减振、隔音封闭和厂区绿化等措施，确保厂界噪声满足《工业企业厂界环境噪声排放标准》（GB12348-2008）中1类标准要求。</w:t>
      </w:r>
    </w:p>
    <w:p w14:paraId="5B8E83DC">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4、做好固体废物的分类处置和综合利用。固体废物贮存过程做好防渗透措施，合理有效的收集、储存和处置；设置危废暂存库，定期交由有资质的单位处置；生活垃圾交由环卫部门统一清运处理。</w:t>
      </w:r>
    </w:p>
    <w:p w14:paraId="66408F8B">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四、按要求做好突发环境事件应急预案的编制和备案工作，根据应急状态启动应急响应程序，确保其合理有效控制和降低环境风险。</w:t>
      </w:r>
    </w:p>
    <w:p w14:paraId="24153D82">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工程建设必须严格执行配套的环境保护设施与主体工程同时设计、同时施工、同时投产使用的环境保护“三同时”制度。工程竣工后，必须按规定程序技术规范进行竣工环境保护验收，经验收合格后，工程方可正式投入运行。</w:t>
      </w:r>
    </w:p>
    <w:p w14:paraId="66D1DEB9">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本项目《报告表》经批准后，建设项目的性质、规模、地点或采用的生产工艺、生态保护和污染防治对策措施发生重大变化的，或自批准之日起满5年后决定项目开工建设的，你公司须重新向我局报批《报告表》。</w:t>
      </w:r>
    </w:p>
    <w:p w14:paraId="42F8B52A">
      <w:pPr>
        <w:keepNext w:val="0"/>
        <w:keepLines w:val="0"/>
        <w:pageBreakBefore w:val="0"/>
        <w:widowControl w:val="0"/>
        <w:shd w:val="clear" w:color="auto" w:fill="auto"/>
        <w:kinsoku/>
        <w:wordWrap/>
        <w:overflowPunct/>
        <w:topLinePunct w:val="0"/>
        <w:autoSpaceDE/>
        <w:autoSpaceDN/>
        <w:bidi w:val="0"/>
        <w:adjustRightInd/>
        <w:snapToGrid w:val="0"/>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七、该项目取得污染物排放交易总量后方可投入运行，长子分局负责本项目施工期和运营期的日常监督管理工作。</w:t>
      </w:r>
    </w:p>
    <w:p w14:paraId="17CBBB26">
      <w:pPr>
        <w:pStyle w:val="2"/>
        <w:rPr>
          <w:rFonts w:hint="eastAsia" w:ascii="仿宋_GB2312" w:hAnsi="仿宋_GB2312" w:eastAsia="仿宋_GB2312" w:cs="仿宋_GB2312"/>
          <w:sz w:val="32"/>
          <w:szCs w:val="32"/>
          <w:lang w:val="en-US" w:eastAsia="zh-CN"/>
        </w:rPr>
      </w:pPr>
    </w:p>
    <w:p w14:paraId="6B616620">
      <w:pPr>
        <w:pStyle w:val="2"/>
        <w:rPr>
          <w:rFonts w:hint="eastAsia" w:ascii="仿宋_GB2312" w:hAnsi="仿宋_GB2312" w:eastAsia="仿宋_GB2312" w:cs="仿宋_GB2312"/>
          <w:sz w:val="32"/>
          <w:szCs w:val="32"/>
          <w:lang w:val="en-US" w:eastAsia="zh-CN"/>
        </w:rPr>
      </w:pPr>
    </w:p>
    <w:p w14:paraId="7769AB01">
      <w:pPr>
        <w:keepNext w:val="0"/>
        <w:keepLines w:val="0"/>
        <w:pageBreakBefore w:val="0"/>
        <w:widowControl w:val="0"/>
        <w:kinsoku/>
        <w:wordWrap/>
        <w:overflowPunct/>
        <w:topLinePunct w:val="0"/>
        <w:autoSpaceDE/>
        <w:autoSpaceDN/>
        <w:bidi w:val="0"/>
        <w:adjustRightInd/>
        <w:snapToGrid w:val="0"/>
        <w:spacing w:line="620" w:lineRule="exact"/>
        <w:ind w:firstLine="3200" w:firstLineChars="10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长治市生态环境局长子分局</w:t>
      </w:r>
    </w:p>
    <w:p w14:paraId="70AB0D16">
      <w:pPr>
        <w:keepNext w:val="0"/>
        <w:keepLines w:val="0"/>
        <w:pageBreakBefore w:val="0"/>
        <w:widowControl w:val="0"/>
        <w:kinsoku/>
        <w:wordWrap/>
        <w:overflowPunct/>
        <w:topLinePunct w:val="0"/>
        <w:autoSpaceDE/>
        <w:autoSpaceDN/>
        <w:bidi w:val="0"/>
        <w:adjustRightInd/>
        <w:snapToGrid w:val="0"/>
        <w:spacing w:line="620"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2026年5月16 日</w:t>
      </w:r>
    </w:p>
    <w:p w14:paraId="079CC0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CF5E72"/>
    <w:rsid w:val="10FF2D2D"/>
    <w:rsid w:val="1E0B5246"/>
    <w:rsid w:val="23FD1F36"/>
    <w:rsid w:val="2CBC252D"/>
    <w:rsid w:val="2CCF5E72"/>
    <w:rsid w:val="36F9612C"/>
    <w:rsid w:val="451C7BB5"/>
    <w:rsid w:val="4C11722B"/>
    <w:rsid w:val="51FF0643"/>
    <w:rsid w:val="54093CEA"/>
    <w:rsid w:val="57474258"/>
    <w:rsid w:val="63265417"/>
    <w:rsid w:val="6A7A48B2"/>
    <w:rsid w:val="6D4B42E5"/>
    <w:rsid w:val="6DA34120"/>
    <w:rsid w:val="6F906926"/>
    <w:rsid w:val="71866233"/>
    <w:rsid w:val="75927941"/>
    <w:rsid w:val="75A83DB2"/>
    <w:rsid w:val="771816DB"/>
    <w:rsid w:val="7D4B3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spacing w:line="440" w:lineRule="exact"/>
      <w:ind w:firstLine="544"/>
    </w:pPr>
    <w:rPr>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1426</Words>
  <Characters>1510</Characters>
  <Lines>0</Lines>
  <Paragraphs>0</Paragraphs>
  <TotalTime>56</TotalTime>
  <ScaleCrop>false</ScaleCrop>
  <LinksUpToDate>false</LinksUpToDate>
  <CharactersWithSpaces>1538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2025-12-24T01:16:00Z</dcterms:created>
  <dc:creator>Me、嬌＇</dc:creator>
  <cp:lastModifiedBy>Me、嬌＇</cp:lastModifiedBy>
  <cp:lastPrinted>2026-05-14T01:50:00Z</cp:lastPrinted>
  <dcterms:modified xsi:type="dcterms:W3CDTF">2026-05-15T07:52:49Z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E9A18B4498E148A69C9B5361A63D2327_13</vt:lpwstr>
  </property>
  <property fmtid="{D5CDD505-2E9C-101B-9397-08002B2CF9AE}" pid="4" name="KSOTemplateDocerSaveRecord">
    <vt:lpwstr>eyJoZGlkIjoiYTA3Y2Q1NjY4MmViZWZlMjA5OGZiOGVjM2I1MjZkY2EiLCJ1c2VySWQiOiI0MTY0NzcwNzcifQ==</vt:lpwstr>
  </property>
</Properties>
</file>