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0A9EF">
      <w:pPr>
        <w:jc w:val="center"/>
        <w:rPr>
          <w:rFonts w:hint="default" w:ascii="Times New Roman" w:hAnsi="Times New Roman" w:cs="Times New Roman"/>
          <w:color w:val="FF0000"/>
          <w:sz w:val="28"/>
          <w:szCs w:val="28"/>
          <w:lang w:val="en-US" w:eastAsia="zh-CN"/>
        </w:rPr>
      </w:pPr>
      <w:r>
        <w:rPr>
          <w:rFonts w:hint="eastAsia" w:ascii="仿宋_GB2312" w:hAnsi="仿宋_GB2312" w:eastAsia="仿宋_GB2312" w:cs="仿宋_GB2312"/>
          <w:sz w:val="32"/>
          <w:szCs w:val="32"/>
          <w:lang w:val="en-US" w:eastAsia="zh-CN"/>
        </w:rPr>
        <w:t xml:space="preserve">                      </w:t>
      </w:r>
    </w:p>
    <w:p w14:paraId="4AEFE45B">
      <w:pPr>
        <w:spacing w:line="600" w:lineRule="exact"/>
        <w:jc w:val="center"/>
        <w:rPr>
          <w:rFonts w:hint="eastAsia" w:ascii="方正小标宋_GBK" w:hAnsi="方正小标宋_GBK" w:eastAsia="方正小标宋_GBK" w:cs="方正小标宋_GBK"/>
          <w:bCs/>
          <w:color w:val="000000" w:themeColor="text1"/>
          <w:sz w:val="40"/>
          <w:szCs w:val="40"/>
          <w14:textFill>
            <w14:solidFill>
              <w14:schemeClr w14:val="tx1"/>
            </w14:solidFill>
          </w14:textFill>
        </w:rPr>
      </w:pPr>
      <w:r>
        <w:rPr>
          <w:rFonts w:hint="eastAsia" w:ascii="方正小标宋_GBK" w:hAnsi="方正小标宋_GBK" w:eastAsia="方正小标宋_GBK" w:cs="方正小标宋_GBK"/>
          <w:bCs/>
          <w:color w:val="000000" w:themeColor="text1"/>
          <w:sz w:val="40"/>
          <w:szCs w:val="40"/>
          <w14:textFill>
            <w14:solidFill>
              <w14:schemeClr w14:val="tx1"/>
            </w14:solidFill>
          </w14:textFill>
        </w:rPr>
        <w:t>长治市生态环境局长子分局</w:t>
      </w:r>
    </w:p>
    <w:p w14:paraId="67563266">
      <w:pPr>
        <w:spacing w:line="600" w:lineRule="exact"/>
        <w:jc w:val="center"/>
        <w:rPr>
          <w:rFonts w:hint="eastAsia" w:ascii="方正小标宋_GBK" w:hAnsi="方正小标宋_GBK" w:eastAsia="方正小标宋_GBK" w:cs="方正小标宋_GBK"/>
          <w:bCs/>
          <w:color w:val="000000" w:themeColor="text1"/>
          <w:sz w:val="40"/>
          <w:szCs w:val="40"/>
          <w:vertAlign w:val="superscript"/>
          <w14:textFill>
            <w14:solidFill>
              <w14:schemeClr w14:val="tx1"/>
            </w14:solidFill>
          </w14:textFill>
        </w:rPr>
      </w:pPr>
      <w:r>
        <w:rPr>
          <w:rFonts w:hint="eastAsia" w:ascii="方正小标宋_GBK" w:hAnsi="方正小标宋_GBK" w:eastAsia="方正小标宋_GBK" w:cs="方正小标宋_GBK"/>
          <w:bCs/>
          <w:color w:val="000000" w:themeColor="text1"/>
          <w:sz w:val="40"/>
          <w:szCs w:val="40"/>
          <w14:textFill>
            <w14:solidFill>
              <w14:schemeClr w14:val="tx1"/>
            </w14:solidFill>
          </w14:textFill>
        </w:rPr>
        <w:t>关于</w:t>
      </w:r>
      <w:r>
        <w:rPr>
          <w:rFonts w:hint="eastAsia" w:ascii="方正小标宋_GBK" w:hAnsi="方正小标宋_GBK" w:eastAsia="方正小标宋_GBK" w:cs="方正小标宋_GBK"/>
          <w:bCs/>
          <w:color w:val="000000" w:themeColor="text1"/>
          <w:sz w:val="40"/>
          <w:szCs w:val="40"/>
          <w:lang w:val="en-US" w:eastAsia="zh-CN"/>
          <w14:textFill>
            <w14:solidFill>
              <w14:schemeClr w14:val="tx1"/>
            </w14:solidFill>
          </w14:textFill>
        </w:rPr>
        <w:t>山西晋煤集团赵庄煤业有限责任公司赵庄二号井</w:t>
      </w:r>
      <w:r>
        <w:rPr>
          <w:rFonts w:hint="default" w:ascii="方正小标宋_GBK" w:hAnsi="方正小标宋_GBK" w:eastAsia="方正小标宋_GBK" w:cs="方正小标宋_GBK"/>
          <w:bCs/>
          <w:color w:val="000000" w:themeColor="text1"/>
          <w:sz w:val="40"/>
          <w:szCs w:val="40"/>
          <w:lang w:val="en-US" w:eastAsia="zh-CN"/>
          <w14:textFill>
            <w14:solidFill>
              <w14:schemeClr w14:val="tx1"/>
            </w14:solidFill>
          </w14:textFill>
        </w:rPr>
        <w:t>注浆</w:t>
      </w:r>
      <w:r>
        <w:rPr>
          <w:rFonts w:hint="eastAsia" w:ascii="方正小标宋_GBK" w:hAnsi="方正小标宋_GBK" w:eastAsia="方正小标宋_GBK" w:cs="方正小标宋_GBK"/>
          <w:bCs/>
          <w:color w:val="000000" w:themeColor="text1"/>
          <w:sz w:val="40"/>
          <w:szCs w:val="40"/>
          <w:lang w:val="en-US" w:eastAsia="zh-CN"/>
          <w14:textFill>
            <w14:solidFill>
              <w14:schemeClr w14:val="tx1"/>
            </w14:solidFill>
          </w14:textFill>
        </w:rPr>
        <w:t>站建设项目环境影响报告表的拟批复</w:t>
      </w:r>
    </w:p>
    <w:p w14:paraId="26CB6C3E">
      <w:pPr>
        <w:spacing w:line="600" w:lineRule="exact"/>
        <w:ind w:firstLine="800"/>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14:paraId="06F86E26">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山西晋煤集团赵庄煤业有限责任公司</w:t>
      </w:r>
      <w:r>
        <w:rPr>
          <w:rFonts w:hint="eastAsia" w:ascii="仿宋_GB2312" w:hAnsi="仿宋_GB2312" w:eastAsia="仿宋_GB2312" w:cs="仿宋_GB2312"/>
          <w:color w:val="000000" w:themeColor="text1"/>
          <w:sz w:val="32"/>
          <w:szCs w:val="32"/>
          <w14:textFill>
            <w14:solidFill>
              <w14:schemeClr w14:val="tx1"/>
            </w14:solidFill>
          </w14:textFill>
        </w:rPr>
        <w:t>：</w:t>
      </w:r>
    </w:p>
    <w:p w14:paraId="533FB55D">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你单位报送的《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赵庄二号井</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注浆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站建设</w:t>
      </w:r>
      <w:r>
        <w:rPr>
          <w:rFonts w:hint="eastAsia" w:ascii="仿宋_GB2312" w:hAnsi="仿宋_GB2312" w:eastAsia="仿宋_GB2312" w:cs="仿宋_GB2312"/>
          <w:color w:val="000000" w:themeColor="text1"/>
          <w:sz w:val="32"/>
          <w:szCs w:val="32"/>
          <w14:textFill>
            <w14:solidFill>
              <w14:schemeClr w14:val="tx1"/>
            </w14:solidFill>
          </w14:textFill>
        </w:rPr>
        <w:t>项目环境影响报告表》（以下简称《报告表》）及报批申请已收悉。经我局研究现批复如下：</w:t>
      </w:r>
    </w:p>
    <w:p w14:paraId="7DD015AD">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该项目（项目代码：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2503-140428-89-05-865082</w:t>
      </w:r>
      <w:r>
        <w:rPr>
          <w:rFonts w:hint="eastAsia" w:ascii="仿宋_GB2312" w:hAnsi="仿宋_GB2312" w:eastAsia="仿宋_GB2312" w:cs="仿宋_GB2312"/>
          <w:color w:val="000000" w:themeColor="text1"/>
          <w:sz w:val="32"/>
          <w:szCs w:val="32"/>
          <w14:textFill>
            <w14:solidFill>
              <w14:schemeClr w14:val="tx1"/>
            </w14:solidFill>
          </w14:textFill>
        </w:rPr>
        <w:t>）建设地点</w:t>
      </w:r>
      <w:r>
        <w:rPr>
          <w:rFonts w:hint="default" w:ascii="仿宋_GB2312" w:hAnsi="仿宋_GB2312" w:eastAsia="仿宋_GB2312" w:cs="仿宋_GB2312"/>
          <w:color w:val="000000" w:themeColor="text1"/>
          <w:sz w:val="32"/>
          <w:szCs w:val="32"/>
          <w14:textFill>
            <w14:solidFill>
              <w14:schemeClr w14:val="tx1"/>
            </w14:solidFill>
          </w14:textFill>
        </w:rPr>
        <w:t>位于长治市长子</w:t>
      </w:r>
      <w:r>
        <w:rPr>
          <w:rFonts w:hint="default"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慈林镇布村东北390米处（赵庄二号井东风井厂区内）</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占地面积4000m</w:t>
      </w:r>
      <w:r>
        <w:rPr>
          <w:rFonts w:hint="eastAsia" w:ascii="仿宋_GB2312" w:hAnsi="仿宋_GB2312" w:eastAsia="仿宋_GB2312" w:cs="仿宋_GB2312"/>
          <w:color w:val="000000" w:themeColor="text1"/>
          <w:sz w:val="32"/>
          <w:szCs w:val="32"/>
          <w:vertAlign w:val="superscript"/>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项目总投资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1100.99</w:t>
      </w:r>
      <w:r>
        <w:rPr>
          <w:rFonts w:hint="eastAsia" w:ascii="仿宋_GB2312" w:hAnsi="仿宋_GB2312" w:eastAsia="仿宋_GB2312" w:cs="仿宋_GB2312"/>
          <w:color w:val="000000" w:themeColor="text1"/>
          <w:sz w:val="32"/>
          <w:szCs w:val="32"/>
          <w14:textFill>
            <w14:solidFill>
              <w14:schemeClr w14:val="tx1"/>
            </w14:solidFill>
          </w14:textFill>
        </w:rPr>
        <w:t>万元，其中环保投资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工程建设内容主要包括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主体工程（</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制浆车间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）、储运工程（水泥筒仓6座、储矸棚1座、蓄水池1座）、辅助及配套工程</w:t>
      </w:r>
      <w:r>
        <w:rPr>
          <w:rFonts w:hint="eastAsia" w:ascii="仿宋_GB2312" w:hAnsi="仿宋_GB2312" w:eastAsia="仿宋_GB2312" w:cs="仿宋_GB2312"/>
          <w:color w:val="000000" w:themeColor="text1"/>
          <w:sz w:val="32"/>
          <w:szCs w:val="32"/>
          <w14:textFill>
            <w14:solidFill>
              <w14:schemeClr w14:val="tx1"/>
            </w14:solidFill>
          </w14:textFill>
        </w:rPr>
        <w:t>以及相应环保设施。</w:t>
      </w:r>
    </w:p>
    <w:p w14:paraId="4048B7A2">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该项目建设符合国家有关产业政策，在全面落实《报告表》提出的各项生态保护及污染防治措施后，环境不利影响能够得到缓解和控制。我分局原则同意你公司按照《报告表》中所列的建设项目性质、规模、地点和环境保护对策措施进行建设。</w:t>
      </w:r>
    </w:p>
    <w:p w14:paraId="74D37F1D">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、项目建设及运行中应全面落实《报告表》提出的各项环境保护措施，降低对周边环境的影响，并做好以下几方面工作：</w:t>
      </w:r>
    </w:p>
    <w:p w14:paraId="72551696">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加强施工期环境管理</w:t>
      </w:r>
    </w:p>
    <w:p w14:paraId="5F9C3919">
      <w:pPr>
        <w:pStyle w:val="8"/>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大气污染防治措施</w:t>
      </w:r>
    </w:p>
    <w:p w14:paraId="7C513D0E">
      <w:pPr>
        <w:pStyle w:val="8"/>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施工过程中主要大气环境影响为施工扬尘和道路运输扬尘，施工扬尘主要来自于土石方开挖、施工现场物料装卸、堆放以及渣土临时堆放等过程。</w:t>
      </w:r>
    </w:p>
    <w:p w14:paraId="35EFA2C8">
      <w:pPr>
        <w:pStyle w:val="8"/>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施工区周边围挡，施工活动要严格控制在厂区内，严禁越界或跨界施工。散装物料避免露天堆放，少量堆存的要采用抑尘网进行覆盖，挖出的土方及时清。定时对施工区及出厂道路进行洒水抑尘，严格落实六个百分百措施。</w:t>
      </w:r>
    </w:p>
    <w:p w14:paraId="5705C56C">
      <w:pPr>
        <w:pStyle w:val="8"/>
        <w:keepNext w:val="0"/>
        <w:keepLines w:val="0"/>
        <w:pageBreakBefore w:val="0"/>
        <w:numPr>
          <w:ilvl w:val="0"/>
          <w:numId w:val="2"/>
        </w:numPr>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水环境保护措施</w:t>
      </w:r>
    </w:p>
    <w:p w14:paraId="231CB854">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施工期产生的废水主要为施工设备、运输车辆的冲洗水，设置简易集水沉淀池将施工废水收集沉淀后用于施工现场洒水抑尘，生活污水排入旱厕，定期清掏，不外排。</w:t>
      </w:r>
    </w:p>
    <w:p w14:paraId="18BDDAC0">
      <w:pPr>
        <w:keepNext w:val="0"/>
        <w:keepLines w:val="0"/>
        <w:pageBreakBefore w:val="0"/>
        <w:widowControl w:val="0"/>
        <w:numPr>
          <w:ilvl w:val="0"/>
          <w:numId w:val="2"/>
        </w:numPr>
        <w:kinsoku/>
        <w:wordWrap/>
        <w:overflowPunct/>
        <w:topLinePunct w:val="0"/>
        <w:autoSpaceDE/>
        <w:autoSpaceDN/>
        <w:bidi w:val="0"/>
        <w:adjustRightInd/>
        <w:snapToGrid w:val="0"/>
        <w:spacing w:line="59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噪声污染防治措施</w:t>
      </w:r>
    </w:p>
    <w:p w14:paraId="5507F1C1">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Chars="20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期的噪声主要为机械噪声、施工作业噪声和施工车辆噪声，为避免施工噪声对周围环境造成影响，施工单位应使用符合国家标准的低噪声机械设备，规范施工和合理安排作业时间，运输车辆在经过周围村庄时限制车速，尽量减少鸣笛。</w:t>
      </w:r>
    </w:p>
    <w:p w14:paraId="7C57D2BC">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600" w:lineRule="exact"/>
        <w:ind w:leftChars="20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4、固废污染防治措施</w:t>
      </w:r>
    </w:p>
    <w:p w14:paraId="4D63B387">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600" w:lineRule="exact"/>
        <w:ind w:leftChars="20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固体废物主要为施工人员的生活垃圾、施工渣土等各种建筑材料。生活垃圾</w:t>
      </w:r>
      <w:r>
        <w:rPr>
          <w:rFonts w:hint="default" w:ascii="仿宋_GB2312" w:hAnsi="仿宋_GB2312" w:eastAsia="仿宋_GB2312" w:cs="仿宋_GB2312"/>
          <w:sz w:val="32"/>
          <w:szCs w:val="32"/>
          <w:lang w:val="en-US" w:eastAsia="zh-CN"/>
        </w:rPr>
        <w:t>由环卫部门定期清理</w:t>
      </w:r>
      <w:r>
        <w:rPr>
          <w:rFonts w:hint="eastAsia" w:ascii="仿宋_GB2312" w:hAnsi="仿宋_GB2312" w:eastAsia="仿宋_GB2312" w:cs="仿宋_GB2312"/>
          <w:sz w:val="32"/>
          <w:szCs w:val="32"/>
          <w:lang w:val="en-US" w:eastAsia="zh-CN"/>
        </w:rPr>
        <w:t>；建筑垃圾回收利用，不能回收的送往垃圾填埋场，运输车辆进行苫盖，防止散落造成二次扬尘污染。</w:t>
      </w:r>
    </w:p>
    <w:p w14:paraId="2AD03852">
      <w:pPr>
        <w:pStyle w:val="8"/>
        <w:keepNext w:val="0"/>
        <w:keepLines w:val="0"/>
        <w:pageBreakBefore w:val="0"/>
        <w:numPr>
          <w:ilvl w:val="0"/>
          <w:numId w:val="3"/>
        </w:numPr>
        <w:shd w:val="clear" w:color="auto" w:fill="FFFFFF"/>
        <w:kinsoku/>
        <w:wordWrap/>
        <w:overflowPunct/>
        <w:topLinePunct w:val="0"/>
        <w:autoSpaceDE/>
        <w:autoSpaceDN/>
        <w:bidi w:val="0"/>
        <w:adjustRightInd/>
        <w:spacing w:before="0" w:beforeAutospacing="0" w:after="0" w:afterAutospacing="0" w:line="600" w:lineRule="exact"/>
        <w:ind w:leftChars="20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加强运营期环境管理</w:t>
      </w:r>
    </w:p>
    <w:p w14:paraId="6BCA8FDF">
      <w:pPr>
        <w:pStyle w:val="8"/>
        <w:keepNext w:val="0"/>
        <w:keepLines w:val="0"/>
        <w:pageBreakBefore w:val="0"/>
        <w:numPr>
          <w:ilvl w:val="0"/>
          <w:numId w:val="4"/>
        </w:numPr>
        <w:shd w:val="clear" w:color="auto" w:fill="FFFFFF"/>
        <w:kinsoku/>
        <w:wordWrap/>
        <w:overflowPunct/>
        <w:topLinePunct w:val="0"/>
        <w:autoSpaceDE/>
        <w:autoSpaceDN/>
        <w:bidi w:val="0"/>
        <w:adjustRightInd/>
        <w:spacing w:before="0" w:beforeAutospacing="0" w:after="0" w:afterAutospacing="0" w:line="600" w:lineRule="exact"/>
        <w:ind w:leftChars="400"/>
        <w:jc w:val="both"/>
        <w:textAlignment w:val="baseline"/>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严格落实大气污染防治措施</w:t>
      </w:r>
    </w:p>
    <w:p w14:paraId="716CB6F1">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矸石受料斗入口设置1个半密闭集气罩，粉尘经收集引入1台布袋除尘器进行处理后，由1根15米高排气筒排放。6座水泥筒仓仓顶均配套设置1台袋式除尘器和1根排气筒，粉尘经各自配套袋式除尘器处理后由配套排气筒排放。制浆机上方均安装集气管道，粉尘经集气管道引入1台袋式除尘器进行处理后，由1根15米高排气筒排放。</w:t>
      </w:r>
    </w:p>
    <w:p w14:paraId="44B5163E">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kern w:val="2"/>
          <w:sz w:val="32"/>
          <w:szCs w:val="32"/>
          <w:lang w:val="en-US" w:eastAsia="zh-CN" w:bidi="ar-SA"/>
        </w:rPr>
        <w:t>物料均堆存于</w:t>
      </w:r>
      <w:r>
        <w:rPr>
          <w:rFonts w:hint="eastAsia" w:ascii="仿宋_GB2312" w:hAnsi="仿宋_GB2312" w:eastAsia="仿宋_GB2312" w:cs="仿宋_GB2312"/>
          <w:kern w:val="2"/>
          <w:sz w:val="32"/>
          <w:szCs w:val="32"/>
          <w:lang w:val="en-US" w:eastAsia="zh-CN" w:bidi="ar-SA"/>
        </w:rPr>
        <w:t>全封闭棚储存</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棚内设置喷雾除尘装置，减少扬尘的散出。</w:t>
      </w:r>
      <w:r>
        <w:rPr>
          <w:rFonts w:hint="default" w:ascii="仿宋_GB2312" w:hAnsi="仿宋_GB2312" w:eastAsia="仿宋_GB2312" w:cs="仿宋_GB2312"/>
          <w:kern w:val="2"/>
          <w:sz w:val="32"/>
          <w:szCs w:val="32"/>
          <w:lang w:val="en-US" w:eastAsia="zh-CN" w:bidi="ar-SA"/>
        </w:rPr>
        <w:t>采用</w:t>
      </w:r>
      <w:r>
        <w:rPr>
          <w:rFonts w:hint="eastAsia" w:ascii="仿宋_GB2312" w:hAnsi="仿宋_GB2312" w:eastAsia="仿宋_GB2312" w:cs="仿宋_GB2312"/>
          <w:color w:val="auto"/>
          <w:sz w:val="32"/>
          <w:szCs w:val="32"/>
          <w:lang w:val="en-US" w:eastAsia="zh-CN"/>
        </w:rPr>
        <w:t>密闭罐车运输，设置洗车平台，车辆进出厂时对车辆进行清洗，同时对</w:t>
      </w:r>
      <w:r>
        <w:rPr>
          <w:rFonts w:hint="default" w:ascii="仿宋_GB2312" w:hAnsi="仿宋_GB2312" w:eastAsia="仿宋_GB2312" w:cs="仿宋_GB2312"/>
          <w:kern w:val="2"/>
          <w:sz w:val="32"/>
          <w:szCs w:val="32"/>
          <w:lang w:val="en-US" w:eastAsia="zh-CN" w:bidi="ar-SA"/>
        </w:rPr>
        <w:t>厂区</w:t>
      </w:r>
      <w:r>
        <w:rPr>
          <w:rFonts w:hint="eastAsia" w:ascii="仿宋_GB2312" w:hAnsi="仿宋_GB2312" w:eastAsia="仿宋_GB2312" w:cs="仿宋_GB2312"/>
          <w:kern w:val="2"/>
          <w:sz w:val="32"/>
          <w:szCs w:val="32"/>
          <w:lang w:val="en-US" w:eastAsia="zh-CN" w:bidi="ar-SA"/>
        </w:rPr>
        <w:t>内运输</w:t>
      </w:r>
      <w:r>
        <w:rPr>
          <w:rFonts w:hint="default" w:ascii="仿宋_GB2312" w:hAnsi="仿宋_GB2312" w:eastAsia="仿宋_GB2312" w:cs="仿宋_GB2312"/>
          <w:kern w:val="2"/>
          <w:sz w:val="32"/>
          <w:szCs w:val="32"/>
          <w:lang w:val="en-US" w:eastAsia="zh-CN" w:bidi="ar-SA"/>
        </w:rPr>
        <w:t>道路</w:t>
      </w:r>
      <w:r>
        <w:rPr>
          <w:rFonts w:hint="eastAsia" w:ascii="仿宋_GB2312" w:hAnsi="仿宋_GB2312" w:eastAsia="仿宋_GB2312" w:cs="仿宋_GB2312"/>
          <w:kern w:val="2"/>
          <w:sz w:val="32"/>
          <w:szCs w:val="32"/>
          <w:lang w:val="en-US" w:eastAsia="zh-CN" w:bidi="ar-SA"/>
        </w:rPr>
        <w:t>采取洒水抑尘，</w:t>
      </w:r>
      <w:r>
        <w:rPr>
          <w:rFonts w:hint="eastAsia" w:ascii="仿宋_GB2312" w:hAnsi="仿宋_GB2312" w:eastAsia="仿宋_GB2312" w:cs="仿宋_GB2312"/>
          <w:color w:val="auto"/>
          <w:sz w:val="32"/>
          <w:szCs w:val="32"/>
          <w:lang w:val="en-US" w:eastAsia="zh-CN"/>
        </w:rPr>
        <w:t>定期清扫等措施。</w:t>
      </w:r>
    </w:p>
    <w:p w14:paraId="0067F25A">
      <w:pPr>
        <w:pStyle w:val="8"/>
        <w:keepNext w:val="0"/>
        <w:keepLines w:val="0"/>
        <w:pageBreakBefore w:val="0"/>
        <w:numPr>
          <w:ilvl w:val="0"/>
          <w:numId w:val="4"/>
        </w:numPr>
        <w:shd w:val="clear" w:color="auto" w:fill="FFFFFF"/>
        <w:kinsoku/>
        <w:wordWrap/>
        <w:overflowPunct/>
        <w:topLinePunct w:val="0"/>
        <w:autoSpaceDE/>
        <w:autoSpaceDN/>
        <w:bidi w:val="0"/>
        <w:adjustRightInd/>
        <w:spacing w:before="0" w:beforeAutospacing="0" w:after="0" w:afterAutospacing="0" w:line="600" w:lineRule="exact"/>
        <w:ind w:left="840" w:leftChars="400" w:firstLine="0" w:firstLineChars="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严格落实水污染防治措施</w:t>
      </w:r>
    </w:p>
    <w:p w14:paraId="269D6033">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浆料系统清洗废水依托赵庄二号井现有矿井水处理站进行处理。洗车废水经沉淀池处理后，循环利用，不外排。生活污水用于厂区洒水抑尘，不外排。在厂区地势低洼处设一座初期雨水收集池。本项目无废水外排。</w:t>
      </w:r>
    </w:p>
    <w:p w14:paraId="5DF46774">
      <w:pPr>
        <w:keepNext w:val="0"/>
        <w:keepLines w:val="0"/>
        <w:pageBreakBefore w:val="0"/>
        <w:widowControl w:val="0"/>
        <w:numPr>
          <w:ilvl w:val="0"/>
          <w:numId w:val="4"/>
        </w:numPr>
        <w:kinsoku/>
        <w:wordWrap/>
        <w:overflowPunct/>
        <w:topLinePunct w:val="0"/>
        <w:autoSpaceDE/>
        <w:autoSpaceDN/>
        <w:bidi w:val="0"/>
        <w:adjustRightInd/>
        <w:snapToGrid w:val="0"/>
        <w:spacing w:line="590" w:lineRule="exact"/>
        <w:ind w:left="840" w:leftChars="40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严格落实</w:t>
      </w:r>
      <w:r>
        <w:rPr>
          <w:rFonts w:hint="eastAsia" w:ascii="仿宋_GB2312" w:hAnsi="仿宋_GB2312" w:eastAsia="仿宋_GB2312" w:cs="仿宋_GB2312"/>
          <w:sz w:val="32"/>
          <w:szCs w:val="32"/>
          <w:lang w:val="en-US" w:eastAsia="zh-CN"/>
        </w:rPr>
        <w:t>噪声污染防治措施</w:t>
      </w:r>
    </w:p>
    <w:p w14:paraId="20147621">
      <w:pPr>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Chars="20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选用低噪声设备，并采取基础减振、隔声消音及设置绿化带等措施，确保厂界噪声满足《工业企业厂界环境噪声排放标准》（GB12348-2008）中2类标准要求。</w:t>
      </w:r>
    </w:p>
    <w:p w14:paraId="2E11D837">
      <w:pPr>
        <w:pStyle w:val="8"/>
        <w:keepNext w:val="0"/>
        <w:keepLines w:val="0"/>
        <w:pageBreakBefore w:val="0"/>
        <w:numPr>
          <w:ilvl w:val="0"/>
          <w:numId w:val="2"/>
        </w:numPr>
        <w:shd w:val="clear" w:color="auto" w:fill="FFFFFF"/>
        <w:kinsoku/>
        <w:wordWrap/>
        <w:overflowPunct/>
        <w:topLinePunct w:val="0"/>
        <w:autoSpaceDE/>
        <w:autoSpaceDN/>
        <w:bidi w:val="0"/>
        <w:adjustRightIn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严格落实</w:t>
      </w:r>
      <w:r>
        <w:rPr>
          <w:rFonts w:hint="eastAsia" w:ascii="仿宋_GB2312" w:hAnsi="仿宋_GB2312" w:eastAsia="仿宋_GB2312" w:cs="仿宋_GB2312"/>
          <w:sz w:val="32"/>
          <w:szCs w:val="32"/>
          <w:lang w:val="en-US" w:eastAsia="zh-CN"/>
        </w:rPr>
        <w:t>固废污染防治措施</w:t>
      </w:r>
    </w:p>
    <w:p w14:paraId="7BB37D96">
      <w:pPr>
        <w:pStyle w:val="8"/>
        <w:keepNext w:val="0"/>
        <w:keepLines w:val="0"/>
        <w:pageBreakBefore w:val="0"/>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按照“减量化、资源化、无害化”原则，对固体废物进行分类收集、处理和处置，严防造成次生环境。除尘灰收集后回用于搅拌工序。</w:t>
      </w:r>
      <w:r>
        <w:rPr>
          <w:rFonts w:hint="eastAsia" w:ascii="仿宋_GB2312" w:hAnsi="仿宋_GB2312" w:eastAsia="仿宋_GB2312" w:cs="仿宋_GB2312"/>
          <w:sz w:val="32"/>
          <w:szCs w:val="32"/>
          <w:lang w:val="en-US" w:eastAsia="zh-CN"/>
        </w:rPr>
        <w:t>生活垃圾</w:t>
      </w:r>
      <w:r>
        <w:rPr>
          <w:rFonts w:hint="default" w:ascii="仿宋_GB2312" w:hAnsi="仿宋_GB2312" w:eastAsia="仿宋_GB2312" w:cs="仿宋_GB2312"/>
          <w:sz w:val="32"/>
          <w:szCs w:val="32"/>
          <w:lang w:val="en-US" w:eastAsia="zh-CN"/>
        </w:rPr>
        <w:t>由环卫部门</w:t>
      </w:r>
      <w:r>
        <w:rPr>
          <w:rFonts w:hint="eastAsia" w:ascii="仿宋_GB2312" w:hAnsi="仿宋_GB2312" w:eastAsia="仿宋_GB2312" w:cs="仿宋_GB2312"/>
          <w:sz w:val="32"/>
          <w:szCs w:val="32"/>
          <w:lang w:val="en-US" w:eastAsia="zh-CN"/>
        </w:rPr>
        <w:t>统一</w:t>
      </w:r>
      <w:r>
        <w:rPr>
          <w:rFonts w:hint="default" w:ascii="仿宋_GB2312" w:hAnsi="仿宋_GB2312" w:eastAsia="仿宋_GB2312" w:cs="仿宋_GB2312"/>
          <w:sz w:val="32"/>
          <w:szCs w:val="32"/>
          <w:lang w:val="en-US" w:eastAsia="zh-CN"/>
        </w:rPr>
        <w:t>定期清理</w:t>
      </w:r>
      <w:r>
        <w:rPr>
          <w:rFonts w:hint="eastAsia" w:ascii="仿宋_GB2312" w:hAnsi="仿宋_GB2312" w:eastAsia="仿宋_GB2312" w:cs="仿宋_GB2312"/>
          <w:sz w:val="32"/>
          <w:szCs w:val="32"/>
          <w:lang w:val="en-US" w:eastAsia="zh-CN"/>
        </w:rPr>
        <w:t>。</w:t>
      </w:r>
      <w:bookmarkStart w:id="1" w:name="_GoBack"/>
      <w:bookmarkEnd w:id="1"/>
      <w:r>
        <w:rPr>
          <w:rFonts w:hint="eastAsia" w:ascii="仿宋_GB2312" w:hAnsi="仿宋_GB2312" w:eastAsia="仿宋_GB2312" w:cs="仿宋_GB2312"/>
          <w:color w:val="auto"/>
          <w:sz w:val="32"/>
          <w:szCs w:val="32"/>
          <w:lang w:val="en-US" w:eastAsia="zh-CN"/>
        </w:rPr>
        <w:t>废机油、废油桶等</w:t>
      </w:r>
      <w:r>
        <w:rPr>
          <w:rFonts w:hint="eastAsia" w:ascii="仿宋_GB2312" w:hAnsi="仿宋_GB2312" w:eastAsia="仿宋_GB2312" w:cs="仿宋_GB2312"/>
          <w:sz w:val="32"/>
          <w:szCs w:val="32"/>
          <w:lang w:val="en-US" w:eastAsia="zh-CN"/>
        </w:rPr>
        <w:t>暂存于现有危废暂存库，定期交由有资质单位进行处置。</w:t>
      </w:r>
    </w:p>
    <w:p w14:paraId="151D260F">
      <w:pPr>
        <w:pStyle w:val="8"/>
        <w:keepNext w:val="0"/>
        <w:keepLines w:val="0"/>
        <w:pageBreakBefore w:val="0"/>
        <w:numPr>
          <w:ilvl w:val="0"/>
          <w:numId w:val="2"/>
        </w:numPr>
        <w:shd w:val="clear" w:color="auto" w:fill="FFFFFF"/>
        <w:kinsoku/>
        <w:wordWrap/>
        <w:overflowPunct/>
        <w:topLinePunct w:val="0"/>
        <w:autoSpaceDE/>
        <w:autoSpaceDN/>
        <w:bidi w:val="0"/>
        <w:adjustRightInd/>
        <w:spacing w:before="0" w:beforeAutospacing="0" w:after="0" w:afterAutospacing="0" w:line="60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严格落实地下水、土壤污染防治措施</w:t>
      </w:r>
    </w:p>
    <w:p w14:paraId="3CB44F2E">
      <w:pPr>
        <w:pStyle w:val="8"/>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60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严格按照《报告表》要求，落实各项分区防渗措施，保证环保设施正常运行，确保不对地下水和土壤环境造成影响。</w:t>
      </w:r>
    </w:p>
    <w:p w14:paraId="1B195C94">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四、按要求做好突发环境事件应急预案的编制和备案工作，根据应急状态启动应急响应程序，确保其合理有效控制和降低环境风险。</w:t>
      </w:r>
    </w:p>
    <w:p w14:paraId="21F8A170">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五、严格落实污染物排放总量控制要求</w:t>
      </w:r>
    </w:p>
    <w:p w14:paraId="798EDA9D">
      <w:pPr>
        <w:pStyle w:val="18"/>
        <w:keepNext w:val="0"/>
        <w:keepLines w:val="0"/>
        <w:pageBreakBefore w:val="0"/>
        <w:widowControl w:val="0"/>
        <w:kinsoku/>
        <w:wordWrap/>
        <w:overflowPunct/>
        <w:topLinePunct w:val="0"/>
        <w:autoSpaceDE/>
        <w:autoSpaceDN/>
        <w:bidi w:val="0"/>
        <w:adjustRightInd/>
        <w:snapToGrid/>
        <w:spacing w:line="640" w:lineRule="exact"/>
        <w:ind w:left="0"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z w:val="32"/>
          <w:szCs w:val="32"/>
          <w:lang w:val="en-US" w:eastAsia="zh-CN"/>
        </w:rPr>
        <w:t>你公司必须严格确保该项目污染物排放总量满足长治市生态环境局长子分局《关于</w:t>
      </w:r>
      <w:bookmarkStart w:id="0" w:name="_Hlk128039160"/>
      <w:r>
        <w:rPr>
          <w:rFonts w:hint="eastAsia" w:ascii="仿宋_GB2312" w:hAnsi="仿宋_GB2312" w:eastAsia="仿宋_GB2312" w:cs="仿宋_GB2312"/>
          <w:color w:val="auto"/>
          <w:sz w:val="32"/>
          <w:szCs w:val="32"/>
          <w:lang w:val="en-US" w:eastAsia="zh-CN"/>
        </w:rPr>
        <w:t>山西晋煤集团赵庄煤业有限责任公司赵庄二号井东风井注浆站建设项目污染物排放总量</w:t>
      </w:r>
      <w:bookmarkEnd w:id="0"/>
      <w:r>
        <w:rPr>
          <w:rFonts w:hint="eastAsia" w:ascii="仿宋_GB2312" w:hAnsi="仿宋_GB2312" w:eastAsia="仿宋_GB2312" w:cs="仿宋_GB2312"/>
          <w:color w:val="auto"/>
          <w:sz w:val="32"/>
          <w:szCs w:val="32"/>
          <w:lang w:val="en-US" w:eastAsia="zh-CN"/>
        </w:rPr>
        <w:t>控制指标的核定意见》（</w:t>
      </w:r>
      <w:r>
        <w:rPr>
          <w:rFonts w:hint="eastAsia" w:ascii="仿宋_GB2312" w:hAnsi="仿宋_GB2312" w:eastAsia="仿宋_GB2312" w:cs="仿宋_GB2312"/>
          <w:kern w:val="2"/>
          <w:sz w:val="32"/>
          <w:szCs w:val="32"/>
          <w:lang w:val="en-US" w:eastAsia="zh-CN" w:bidi="ar-SA"/>
        </w:rPr>
        <w:t>长子环函〔2025〕9号）文件中核定的总量控制指标，颗粒物1.79吨/年。</w:t>
      </w:r>
    </w:p>
    <w:p w14:paraId="5579FA2C">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工程建设必须严格执行配套的环境保护设施与主体工程同时设计、同时施工、同时投产使用的环境保护“三同时”制度。工程竣工后，必须按规定程序和技术规范进行竣工环境保护验收，经验收合格后，工程方可正式投入运行。</w:t>
      </w:r>
    </w:p>
    <w:p w14:paraId="52752459">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本项目《报告表》经批准后，建设项目的性质、规模、地点或采用的生产工艺、生态保护和污染防治对策措施发生重大变化的，或自批准之日起满5年后决定项目开工建设的，你公司须重新向我局报批《报告表》。</w:t>
      </w:r>
    </w:p>
    <w:p w14:paraId="31C0E5A7">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八、长子生态环境保护综合行政执法队负责本项目施工期和运营期的日常监督管理工作。</w:t>
      </w:r>
    </w:p>
    <w:p w14:paraId="54B7C1D3">
      <w:pPr>
        <w:keepNext w:val="0"/>
        <w:keepLines w:val="0"/>
        <w:pageBreakBefore w:val="0"/>
        <w:widowControl w:val="0"/>
        <w:kinsoku/>
        <w:wordWrap/>
        <w:overflowPunct/>
        <w:topLinePunct w:val="0"/>
        <w:autoSpaceDE/>
        <w:autoSpaceDN/>
        <w:bidi w:val="0"/>
        <w:adjustRightInd/>
        <w:snapToGrid w:val="0"/>
        <w:spacing w:line="590" w:lineRule="exact"/>
        <w:textAlignment w:val="auto"/>
        <w:rPr>
          <w:rFonts w:ascii="仿宋_GB2312" w:hAnsi="仿宋_GB2312" w:eastAsia="仿宋_GB2312" w:cs="仿宋_GB2312"/>
          <w:color w:val="auto"/>
          <w:sz w:val="32"/>
          <w:szCs w:val="32"/>
        </w:rPr>
      </w:pPr>
    </w:p>
    <w:p w14:paraId="579635F5">
      <w:pPr>
        <w:keepNext w:val="0"/>
        <w:keepLines w:val="0"/>
        <w:pageBreakBefore w:val="0"/>
        <w:widowControl w:val="0"/>
        <w:kinsoku/>
        <w:wordWrap/>
        <w:overflowPunct/>
        <w:topLinePunct w:val="0"/>
        <w:autoSpaceDE/>
        <w:autoSpaceDN/>
        <w:bidi w:val="0"/>
        <w:adjustRightInd/>
        <w:snapToGrid w:val="0"/>
        <w:spacing w:line="590" w:lineRule="exact"/>
        <w:textAlignment w:val="auto"/>
        <w:rPr>
          <w:rFonts w:ascii="仿宋_GB2312" w:hAnsi="仿宋_GB2312" w:eastAsia="仿宋_GB2312" w:cs="仿宋_GB2312"/>
          <w:color w:val="auto"/>
          <w:sz w:val="32"/>
          <w:szCs w:val="32"/>
        </w:rPr>
      </w:pPr>
    </w:p>
    <w:p w14:paraId="70629D3B">
      <w:pPr>
        <w:keepNext w:val="0"/>
        <w:keepLines w:val="0"/>
        <w:pageBreakBefore w:val="0"/>
        <w:widowControl w:val="0"/>
        <w:kinsoku/>
        <w:wordWrap/>
        <w:overflowPunct/>
        <w:topLinePunct w:val="0"/>
        <w:autoSpaceDE/>
        <w:autoSpaceDN/>
        <w:bidi w:val="0"/>
        <w:adjustRightInd/>
        <w:snapToGrid w:val="0"/>
        <w:spacing w:line="590" w:lineRule="exact"/>
        <w:ind w:firstLine="3840" w:firstLineChars="1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长治市生态环境局长子分局</w:t>
      </w:r>
    </w:p>
    <w:p w14:paraId="489E7169">
      <w:pPr>
        <w:pStyle w:val="7"/>
        <w:rPr>
          <w:rFonts w:hint="default"/>
          <w:lang w:val="en-US" w:eastAsia="zh-CN"/>
        </w:rPr>
      </w:pPr>
      <w:r>
        <w:rPr>
          <w:rFonts w:hint="eastAsia" w:ascii="仿宋_GB2312" w:hAnsi="仿宋_GB2312" w:eastAsia="仿宋_GB2312" w:cs="仿宋_GB2312"/>
          <w:color w:val="auto"/>
          <w:sz w:val="32"/>
          <w:szCs w:val="32"/>
          <w:lang w:val="en-US" w:eastAsia="zh-CN"/>
        </w:rPr>
        <w:t xml:space="preserve">                           2025年6月14日</w:t>
      </w:r>
    </w:p>
    <w:p w14:paraId="63240692">
      <w:pPr>
        <w:pStyle w:val="7"/>
      </w:pPr>
    </w:p>
    <w:p w14:paraId="29B23BE1">
      <w:pPr>
        <w:keepNext w:val="0"/>
        <w:keepLines w:val="0"/>
        <w:pageBreakBefore w:val="0"/>
        <w:widowControl w:val="0"/>
        <w:kinsoku/>
        <w:wordWrap/>
        <w:overflowPunct/>
        <w:topLinePunct w:val="0"/>
        <w:autoSpaceDE/>
        <w:autoSpaceDN/>
        <w:bidi w:val="0"/>
        <w:adjustRightInd/>
        <w:snapToGrid w:val="0"/>
        <w:spacing w:line="590" w:lineRule="exact"/>
        <w:ind w:firstLine="4480" w:firstLineChars="1400"/>
        <w:textAlignment w:val="auto"/>
        <w:rPr>
          <w:rFonts w:hint="default" w:ascii="仿宋_GB2312" w:hAnsi="仿宋_GB2312" w:eastAsia="仿宋_GB2312" w:cs="仿宋_GB2312"/>
          <w:color w:val="FF0000"/>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FF0B4"/>
    <w:multiLevelType w:val="singleLevel"/>
    <w:tmpl w:val="976FF0B4"/>
    <w:lvl w:ilvl="0" w:tentative="0">
      <w:start w:val="2"/>
      <w:numFmt w:val="decimal"/>
      <w:suff w:val="nothing"/>
      <w:lvlText w:val="%1、"/>
      <w:lvlJc w:val="left"/>
    </w:lvl>
  </w:abstractNum>
  <w:abstractNum w:abstractNumId="1">
    <w:nsid w:val="BC9C8B73"/>
    <w:multiLevelType w:val="singleLevel"/>
    <w:tmpl w:val="BC9C8B73"/>
    <w:lvl w:ilvl="0" w:tentative="0">
      <w:start w:val="1"/>
      <w:numFmt w:val="decimal"/>
      <w:suff w:val="nothing"/>
      <w:lvlText w:val="%1、"/>
      <w:lvlJc w:val="left"/>
    </w:lvl>
  </w:abstractNum>
  <w:abstractNum w:abstractNumId="2">
    <w:nsid w:val="4D0BB3F8"/>
    <w:multiLevelType w:val="singleLevel"/>
    <w:tmpl w:val="4D0BB3F8"/>
    <w:lvl w:ilvl="0" w:tentative="0">
      <w:start w:val="2"/>
      <w:numFmt w:val="chineseCounting"/>
      <w:suff w:val="nothing"/>
      <w:lvlText w:val="（%1）"/>
      <w:lvlJc w:val="left"/>
      <w:rPr>
        <w:rFonts w:hint="eastAsia"/>
      </w:rPr>
    </w:lvl>
  </w:abstractNum>
  <w:abstractNum w:abstractNumId="3">
    <w:nsid w:val="7ECA779A"/>
    <w:multiLevelType w:val="multilevel"/>
    <w:tmpl w:val="7ECA779A"/>
    <w:lvl w:ilvl="0" w:tentative="0">
      <w:start w:val="1"/>
      <w:numFmt w:val="decimal"/>
      <w:pStyle w:val="2"/>
      <w:lvlText w:val="%1."/>
      <w:lvlJc w:val="left"/>
      <w:pPr>
        <w:ind w:left="5949" w:hanging="420"/>
      </w:pPr>
      <w:rPr>
        <w:rFonts w:hint="eastAsia"/>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decimal"/>
      <w:isLgl/>
      <w:suff w:val="nothing"/>
      <w:lvlText w:val="%1.%2  "/>
      <w:lvlJc w:val="left"/>
      <w:pPr>
        <w:ind w:left="567" w:firstLine="0"/>
      </w:pPr>
      <w:rPr>
        <w:rFonts w:hint="default" w:ascii="Times New Roman" w:hAnsi="Times New Roman" w:eastAsia="黑体" w:cs="Arial"/>
        <w:b/>
        <w:i w:val="0"/>
        <w:sz w:val="30"/>
        <w:szCs w:val="24"/>
      </w:rPr>
    </w:lvl>
    <w:lvl w:ilvl="2" w:tentative="0">
      <w:start w:val="1"/>
      <w:numFmt w:val="decimal"/>
      <w:isLgl/>
      <w:suff w:val="nothing"/>
      <w:lvlText w:val="%1.%2.%3  "/>
      <w:lvlJc w:val="left"/>
      <w:pPr>
        <w:ind w:left="2808" w:hanging="114"/>
      </w:pPr>
      <w:rPr>
        <w:rFonts w:ascii="Times New Roman" w:hAnsi="Times New Roman" w:cs="Arial"/>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3" w:tentative="0">
      <w:start w:val="1"/>
      <w:numFmt w:val="decimal"/>
      <w:isLgl/>
      <w:suff w:val="nothing"/>
      <w:lvlText w:val="%1.%2.%3.%4  "/>
      <w:lvlJc w:val="left"/>
      <w:pPr>
        <w:ind w:left="5585" w:hanging="340"/>
      </w:pPr>
      <w:rPr>
        <w:rFonts w:ascii="Times New Roman" w:hAnsi="Times New Roman" w:cs="Arial"/>
        <w:b w:val="0"/>
        <w:bCs w:val="0"/>
        <w:i w:val="0"/>
        <w:iCs w:val="0"/>
        <w:caps w:val="0"/>
        <w:smallCaps w:val="0"/>
        <w:strike w:val="0"/>
        <w:dstrike w:val="0"/>
        <w:outline w:val="0"/>
        <w:shadow w:val="0"/>
        <w:emboss w:val="0"/>
        <w:imprint w:val="0"/>
        <w:snapToGrid w:val="0"/>
        <w:vanish w:val="0"/>
        <w:color w:val="000000"/>
        <w:spacing w:val="0"/>
        <w:w w:val="0"/>
        <w:kern w:val="0"/>
        <w:position w:val="0"/>
        <w:sz w:val="28"/>
        <w:szCs w:val="28"/>
        <w:u w:val="none"/>
        <w:vertAlign w:val="baseline"/>
      </w:rPr>
    </w:lvl>
    <w:lvl w:ilvl="4" w:tentative="0">
      <w:start w:val="1"/>
      <w:numFmt w:val="decimal"/>
      <w:isLgl/>
      <w:suff w:val="nothing"/>
      <w:lvlText w:val="%1.%2.%3.%4.%5  "/>
      <w:lvlJc w:val="left"/>
      <w:pPr>
        <w:ind w:left="360" w:firstLine="0"/>
      </w:pPr>
      <w:rPr>
        <w:rFonts w:hint="default" w:ascii="Arial" w:hAnsi="Arial" w:eastAsia="黑体" w:cs="Times New Roman"/>
        <w:sz w:val="21"/>
        <w:szCs w:val="21"/>
      </w:rPr>
    </w:lvl>
    <w:lvl w:ilvl="5" w:tentative="0">
      <w:start w:val="1"/>
      <w:numFmt w:val="lowerLetter"/>
      <w:lvlText w:val="%6."/>
      <w:lvlJc w:val="left"/>
      <w:pPr>
        <w:tabs>
          <w:tab w:val="left" w:pos="2769"/>
        </w:tabs>
        <w:ind w:left="2769" w:hanging="425"/>
      </w:pPr>
      <w:rPr>
        <w:rFonts w:hint="eastAsia"/>
      </w:rPr>
    </w:lvl>
    <w:lvl w:ilvl="6" w:tentative="0">
      <w:start w:val="1"/>
      <w:numFmt w:val="lowerRoman"/>
      <w:lvlText w:val="%7."/>
      <w:lvlJc w:val="left"/>
      <w:pPr>
        <w:tabs>
          <w:tab w:val="left" w:pos="3195"/>
        </w:tabs>
        <w:ind w:left="3195" w:hanging="426"/>
      </w:pPr>
      <w:rPr>
        <w:rFonts w:hint="eastAsia"/>
      </w:rPr>
    </w:lvl>
    <w:lvl w:ilvl="7" w:tentative="0">
      <w:start w:val="1"/>
      <w:numFmt w:val="lowerLetter"/>
      <w:lvlText w:val="%8."/>
      <w:lvlJc w:val="left"/>
      <w:pPr>
        <w:tabs>
          <w:tab w:val="left" w:pos="3620"/>
        </w:tabs>
        <w:ind w:left="3620" w:hanging="425"/>
      </w:pPr>
      <w:rPr>
        <w:rFonts w:hint="eastAsia"/>
      </w:rPr>
    </w:lvl>
    <w:lvl w:ilvl="8" w:tentative="0">
      <w:start w:val="1"/>
      <w:numFmt w:val="lowerRoman"/>
      <w:lvlText w:val="%9."/>
      <w:lvlJc w:val="left"/>
      <w:pPr>
        <w:tabs>
          <w:tab w:val="left" w:pos="4045"/>
        </w:tabs>
        <w:ind w:left="4045" w:hanging="425"/>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2Q1NjY4MmViZWZlMjA5OGZiOGVjM2I1MjZkY2EifQ=="/>
  </w:docVars>
  <w:rsids>
    <w:rsidRoot w:val="172C5CC3"/>
    <w:rsid w:val="02551A35"/>
    <w:rsid w:val="02777BFD"/>
    <w:rsid w:val="063B12B3"/>
    <w:rsid w:val="07893F2F"/>
    <w:rsid w:val="087905C3"/>
    <w:rsid w:val="09A84B40"/>
    <w:rsid w:val="0D3D5526"/>
    <w:rsid w:val="0F941FF8"/>
    <w:rsid w:val="10B002F2"/>
    <w:rsid w:val="113B0990"/>
    <w:rsid w:val="11553800"/>
    <w:rsid w:val="12F27039"/>
    <w:rsid w:val="14285CBE"/>
    <w:rsid w:val="162651EA"/>
    <w:rsid w:val="16C17F6E"/>
    <w:rsid w:val="16DE6045"/>
    <w:rsid w:val="172C5CC3"/>
    <w:rsid w:val="1A8B0292"/>
    <w:rsid w:val="1AE3458F"/>
    <w:rsid w:val="1C194AC5"/>
    <w:rsid w:val="1C752FA8"/>
    <w:rsid w:val="1CE75528"/>
    <w:rsid w:val="1D113E86"/>
    <w:rsid w:val="26B94EA8"/>
    <w:rsid w:val="27225ADA"/>
    <w:rsid w:val="29A96F1B"/>
    <w:rsid w:val="2C2E4F21"/>
    <w:rsid w:val="2E750BE6"/>
    <w:rsid w:val="2F1C4A75"/>
    <w:rsid w:val="2F644178"/>
    <w:rsid w:val="2F7E7F6E"/>
    <w:rsid w:val="30C96FC7"/>
    <w:rsid w:val="32376AA3"/>
    <w:rsid w:val="335A2AA0"/>
    <w:rsid w:val="34056568"/>
    <w:rsid w:val="341744ED"/>
    <w:rsid w:val="342C7D4C"/>
    <w:rsid w:val="34F62354"/>
    <w:rsid w:val="36783969"/>
    <w:rsid w:val="37C4498C"/>
    <w:rsid w:val="38CC1D4A"/>
    <w:rsid w:val="41504B07"/>
    <w:rsid w:val="416E7E42"/>
    <w:rsid w:val="43C81360"/>
    <w:rsid w:val="451F3201"/>
    <w:rsid w:val="45474254"/>
    <w:rsid w:val="4C19436A"/>
    <w:rsid w:val="4D8C246A"/>
    <w:rsid w:val="51565AF9"/>
    <w:rsid w:val="520D0FB1"/>
    <w:rsid w:val="5253273C"/>
    <w:rsid w:val="52EF06B7"/>
    <w:rsid w:val="547A1CC7"/>
    <w:rsid w:val="567C5415"/>
    <w:rsid w:val="56E35BA8"/>
    <w:rsid w:val="576D24F2"/>
    <w:rsid w:val="58112E7E"/>
    <w:rsid w:val="58A81A34"/>
    <w:rsid w:val="58C148A4"/>
    <w:rsid w:val="596A0147"/>
    <w:rsid w:val="59D93488"/>
    <w:rsid w:val="5A436A30"/>
    <w:rsid w:val="5C4C26D6"/>
    <w:rsid w:val="5C693288"/>
    <w:rsid w:val="5E4D0CF0"/>
    <w:rsid w:val="5F385194"/>
    <w:rsid w:val="5F993E84"/>
    <w:rsid w:val="60C22C1B"/>
    <w:rsid w:val="64DF0C36"/>
    <w:rsid w:val="6692787F"/>
    <w:rsid w:val="67A91325"/>
    <w:rsid w:val="69F70EE0"/>
    <w:rsid w:val="6A8D0A8A"/>
    <w:rsid w:val="6C937EAD"/>
    <w:rsid w:val="710B2AD0"/>
    <w:rsid w:val="73BC34FE"/>
    <w:rsid w:val="73FC458A"/>
    <w:rsid w:val="75AD3D8E"/>
    <w:rsid w:val="75FD6934"/>
    <w:rsid w:val="783377D5"/>
    <w:rsid w:val="79815C5D"/>
    <w:rsid w:val="799040F2"/>
    <w:rsid w:val="79C5002F"/>
    <w:rsid w:val="79E1494E"/>
    <w:rsid w:val="7A19404A"/>
    <w:rsid w:val="7ABB4C0B"/>
    <w:rsid w:val="7BE03535"/>
    <w:rsid w:val="7C2A2EE7"/>
    <w:rsid w:val="7D206DFD"/>
    <w:rsid w:val="7EB35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numPr>
        <w:ilvl w:val="0"/>
        <w:numId w:val="1"/>
      </w:numPr>
      <w:adjustRightInd w:val="0"/>
      <w:snapToGrid w:val="0"/>
      <w:spacing w:line="360" w:lineRule="auto"/>
      <w:ind w:left="0" w:firstLine="0"/>
      <w:jc w:val="left"/>
      <w:outlineLvl w:val="0"/>
    </w:pPr>
    <w:rPr>
      <w:rFonts w:ascii="Times New Roman" w:hAnsi="Times New Roman" w:eastAsia="仿宋"/>
      <w:b/>
      <w:sz w:val="36"/>
      <w:szCs w:val="32"/>
    </w:rPr>
  </w:style>
  <w:style w:type="paragraph" w:styleId="3">
    <w:name w:val="heading 3"/>
    <w:basedOn w:val="1"/>
    <w:next w:val="1"/>
    <w:link w:val="16"/>
    <w:semiHidden/>
    <w:unhideWhenUsed/>
    <w:qFormat/>
    <w:uiPriority w:val="0"/>
    <w:pPr>
      <w:keepNext/>
      <w:keepLines/>
      <w:adjustRightInd w:val="0"/>
      <w:snapToGrid w:val="0"/>
      <w:spacing w:line="360" w:lineRule="auto"/>
      <w:outlineLvl w:val="2"/>
    </w:pPr>
    <w:rPr>
      <w:rFonts w:ascii="Times New Roman" w:hAnsi="Times New Roman" w:eastAsia="仿宋"/>
      <w:b/>
      <w:bCs/>
      <w:sz w:val="30"/>
      <w:szCs w:val="32"/>
    </w:rPr>
  </w:style>
  <w:style w:type="paragraph" w:styleId="4">
    <w:name w:val="heading 4"/>
    <w:basedOn w:val="1"/>
    <w:next w:val="5"/>
    <w:link w:val="17"/>
    <w:semiHidden/>
    <w:unhideWhenUsed/>
    <w:qFormat/>
    <w:uiPriority w:val="0"/>
    <w:pPr>
      <w:keepNext/>
      <w:keepLines/>
      <w:spacing w:beforeLines="0" w:beforeAutospacing="0" w:afterLines="0" w:afterAutospacing="0" w:line="360" w:lineRule="auto"/>
      <w:ind w:firstLine="0" w:firstLineChars="0"/>
      <w:jc w:val="left"/>
      <w:outlineLvl w:val="3"/>
    </w:pPr>
    <w:rPr>
      <w:rFonts w:ascii="Times New Roman" w:hAnsi="Times New Roman" w:eastAsia="仿宋" w:cs="Times New Roman"/>
      <w:b/>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Plain Text"/>
    <w:basedOn w:val="1"/>
    <w:next w:val="1"/>
    <w:qFormat/>
    <w:uiPriority w:val="0"/>
    <w:rPr>
      <w:rFonts w:ascii="宋体" w:hAnsi="Courier New"/>
      <w:szCs w:val="20"/>
    </w:rPr>
  </w:style>
  <w:style w:type="paragraph" w:styleId="7">
    <w:name w:val="Body Text Indent 2"/>
    <w:basedOn w:val="1"/>
    <w:next w:val="1"/>
    <w:qFormat/>
    <w:uiPriority w:val="0"/>
    <w:pPr>
      <w:keepNext w:val="0"/>
      <w:keepLines w:val="0"/>
      <w:widowControl w:val="0"/>
      <w:suppressLineNumbers w:val="0"/>
      <w:spacing w:after="120" w:afterLines="0" w:afterAutospacing="0" w:line="480" w:lineRule="auto"/>
      <w:ind w:left="420" w:leftChars="200"/>
      <w:jc w:val="both"/>
    </w:pPr>
    <w:rPr>
      <w:rFonts w:hint="default" w:ascii="Times New Roman" w:hAnsi="Times New Roman" w:cs="Times New Roman"/>
      <w:kern w:val="2"/>
      <w:sz w:val="21"/>
      <w:szCs w:val="21"/>
      <w:lang w:val="en-US" w:eastAsia="zh-CN" w:bidi="ar"/>
    </w:rPr>
  </w:style>
  <w:style w:type="paragraph" w:styleId="8">
    <w:name w:val="Normal (Web)"/>
    <w:basedOn w:val="1"/>
    <w:unhideWhenUsed/>
    <w:qFormat/>
    <w:uiPriority w:val="0"/>
    <w:pPr>
      <w:widowControl/>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
    <w:basedOn w:val="1"/>
    <w:qFormat/>
    <w:uiPriority w:val="0"/>
    <w:pPr>
      <w:spacing w:line="440" w:lineRule="exact"/>
      <w:ind w:firstLine="544"/>
    </w:pPr>
    <w:rPr>
      <w:szCs w:val="20"/>
    </w:rPr>
  </w:style>
  <w:style w:type="paragraph" w:customStyle="1" w:styleId="13">
    <w:name w:val="Default"/>
    <w:basedOn w:val="14"/>
    <w:next w:val="6"/>
    <w:autoRedefine/>
    <w:qFormat/>
    <w:uiPriority w:val="0"/>
    <w:pPr>
      <w:autoSpaceDE w:val="0"/>
      <w:autoSpaceDN w:val="0"/>
      <w:adjustRightInd w:val="0"/>
    </w:pPr>
    <w:rPr>
      <w:rFonts w:ascii="宋体" w:cs="宋体"/>
      <w:sz w:val="24"/>
    </w:rPr>
  </w:style>
  <w:style w:type="paragraph" w:customStyle="1" w:styleId="14">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15">
    <w:name w:val=" Char Char26"/>
    <w:link w:val="2"/>
    <w:qFormat/>
    <w:uiPriority w:val="9"/>
    <w:rPr>
      <w:rFonts w:ascii="Times New Roman" w:hAnsi="Times New Roman" w:eastAsia="仿宋"/>
      <w:b/>
      <w:kern w:val="2"/>
      <w:sz w:val="36"/>
      <w:szCs w:val="32"/>
    </w:rPr>
  </w:style>
  <w:style w:type="character" w:customStyle="1" w:styleId="16">
    <w:name w:val="标题 3 Char"/>
    <w:basedOn w:val="11"/>
    <w:link w:val="3"/>
    <w:qFormat/>
    <w:uiPriority w:val="0"/>
    <w:rPr>
      <w:rFonts w:ascii="Times New Roman" w:hAnsi="Times New Roman" w:eastAsia="仿宋"/>
      <w:b/>
      <w:bCs/>
      <w:kern w:val="2"/>
      <w:sz w:val="30"/>
      <w:szCs w:val="32"/>
      <w:lang w:val="en-US" w:eastAsia="zh-CN" w:bidi="ar-SA"/>
    </w:rPr>
  </w:style>
  <w:style w:type="character" w:customStyle="1" w:styleId="17">
    <w:name w:val="标题 4 Char"/>
    <w:link w:val="4"/>
    <w:qFormat/>
    <w:uiPriority w:val="0"/>
    <w:rPr>
      <w:rFonts w:ascii="Times New Roman" w:hAnsi="Times New Roman" w:eastAsia="仿宋" w:cs="Times New Roman"/>
      <w:b/>
      <w:sz w:val="28"/>
      <w:szCs w:val="28"/>
    </w:rPr>
  </w:style>
  <w:style w:type="paragraph" w:customStyle="1" w:styleId="18">
    <w:name w:val="List Paragraph"/>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1974</Words>
  <Characters>2035</Characters>
  <Lines>0</Lines>
  <Paragraphs>0</Paragraphs>
  <TotalTime>8</TotalTime>
  <ScaleCrop>false</ScaleCrop>
  <LinksUpToDate>false</LinksUpToDate>
  <CharactersWithSpaces>2089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2024-07-17T07:34:00Z</dcterms:created>
  <dc:creator>CKJ</dc:creator>
  <cp:lastModifiedBy>Me、嬌＇</cp:lastModifiedBy>
  <cp:lastPrinted>2025-05-29T08:17:00Z</cp:lastPrinted>
  <dcterms:modified xsi:type="dcterms:W3CDTF">2025-06-11T03:25:09Z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9F1C9772DC2D446E8A63C33C365F721A_11</vt:lpwstr>
  </property>
  <property fmtid="{D5CDD505-2E9C-101B-9397-08002B2CF9AE}" pid="4" name="KSOTemplateDocerSaveRecord">
    <vt:lpwstr>eyJoZGlkIjoiYTA3Y2Q1NjY4MmViZWZlMjA5OGZiOGVjM2I1MjZkY2EiLCJ1c2VySWQiOiI0MTY0NzcwNzcifQ==</vt:lpwstr>
  </property>
</Properties>
</file>