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494ED">
      <w:pPr>
        <w:rPr>
          <w:rFonts w:hint="default" w:ascii="Times New Roman" w:hAnsi="Times New Roman" w:eastAsia="仿宋_GB2312" w:cs="Times New Roman"/>
          <w:color w:val="auto"/>
          <w:sz w:val="36"/>
          <w:szCs w:val="36"/>
          <w:highlight w:val="none"/>
        </w:rPr>
      </w:pPr>
    </w:p>
    <w:p w14:paraId="7E1F272B">
      <w:pPr>
        <w:pStyle w:val="3"/>
        <w:rPr>
          <w:rFonts w:hint="default" w:ascii="Times New Roman" w:hAnsi="Times New Roman" w:eastAsia="仿宋_GB2312" w:cs="Times New Roman"/>
          <w:color w:val="auto"/>
          <w:highlight w:val="none"/>
          <w:lang w:eastAsia="zh-CN"/>
        </w:rPr>
      </w:pPr>
    </w:p>
    <w:p w14:paraId="5BF81ABA">
      <w:pPr>
        <w:rPr>
          <w:rFonts w:hint="default" w:ascii="Times New Roman" w:hAnsi="Times New Roman" w:eastAsia="仿宋_GB2312" w:cs="Times New Roman"/>
          <w:color w:val="auto"/>
          <w:sz w:val="36"/>
          <w:szCs w:val="36"/>
          <w:highlight w:val="none"/>
        </w:rPr>
      </w:pPr>
    </w:p>
    <w:p w14:paraId="4DBBAD8B">
      <w:pPr>
        <w:rPr>
          <w:rFonts w:hint="default" w:ascii="Times New Roman" w:hAnsi="Times New Roman" w:eastAsia="仿宋_GB2312" w:cs="Times New Roman"/>
          <w:color w:val="auto"/>
          <w:sz w:val="36"/>
          <w:szCs w:val="36"/>
          <w:highlight w:val="none"/>
        </w:rPr>
      </w:pPr>
    </w:p>
    <w:p w14:paraId="4AA6685F">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0FE35A76">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24BE1C0A">
      <w:pPr>
        <w:rPr>
          <w:rFonts w:hint="default" w:ascii="Times New Roman" w:hAnsi="Times New Roman" w:eastAsia="仿宋_GB2312" w:cs="Times New Roman"/>
          <w:color w:val="auto"/>
          <w:sz w:val="36"/>
          <w:szCs w:val="36"/>
          <w:highlight w:val="none"/>
        </w:rPr>
      </w:pPr>
    </w:p>
    <w:p w14:paraId="56DF9D84">
      <w:pPr>
        <w:rPr>
          <w:rFonts w:hint="default" w:ascii="Times New Roman" w:hAnsi="Times New Roman" w:eastAsia="仿宋_GB2312" w:cs="Times New Roman"/>
          <w:color w:val="auto"/>
          <w:sz w:val="36"/>
          <w:szCs w:val="36"/>
          <w:highlight w:val="none"/>
        </w:rPr>
      </w:pPr>
    </w:p>
    <w:p w14:paraId="2BD79883">
      <w:pPr>
        <w:rPr>
          <w:rFonts w:hint="default" w:ascii="Times New Roman" w:hAnsi="Times New Roman" w:eastAsia="仿宋_GB2312" w:cs="Times New Roman"/>
          <w:color w:val="auto"/>
          <w:sz w:val="36"/>
          <w:szCs w:val="36"/>
          <w:highlight w:val="none"/>
        </w:rPr>
      </w:pPr>
    </w:p>
    <w:p w14:paraId="651A9D40">
      <w:pPr>
        <w:rPr>
          <w:rFonts w:hint="default" w:ascii="Times New Roman" w:hAnsi="Times New Roman" w:eastAsia="仿宋_GB2312" w:cs="Times New Roman"/>
          <w:color w:val="auto"/>
          <w:sz w:val="36"/>
          <w:szCs w:val="36"/>
          <w:highlight w:val="none"/>
        </w:rPr>
      </w:pPr>
    </w:p>
    <w:p w14:paraId="7EBF421C">
      <w:pPr>
        <w:rPr>
          <w:rFonts w:hint="default" w:ascii="Times New Roman" w:hAnsi="Times New Roman" w:eastAsia="仿宋_GB2312" w:cs="Times New Roman"/>
          <w:color w:val="auto"/>
          <w:sz w:val="36"/>
          <w:szCs w:val="36"/>
          <w:highlight w:val="none"/>
        </w:rPr>
      </w:pPr>
    </w:p>
    <w:p w14:paraId="6E606DDA">
      <w:pPr>
        <w:rPr>
          <w:rFonts w:hint="default" w:ascii="Times New Roman" w:hAnsi="Times New Roman" w:eastAsia="仿宋_GB2312" w:cs="Times New Roman"/>
          <w:color w:val="auto"/>
          <w:sz w:val="36"/>
          <w:szCs w:val="36"/>
          <w:highlight w:val="none"/>
        </w:rPr>
      </w:pPr>
    </w:p>
    <w:p w14:paraId="607134EB">
      <w:pPr>
        <w:rPr>
          <w:rFonts w:hint="default" w:ascii="Times New Roman" w:hAnsi="Times New Roman" w:eastAsia="仿宋_GB2312" w:cs="Times New Roman"/>
          <w:color w:val="auto"/>
          <w:sz w:val="36"/>
          <w:szCs w:val="36"/>
          <w:highlight w:val="none"/>
        </w:rPr>
      </w:pPr>
    </w:p>
    <w:p w14:paraId="6F72E206">
      <w:pPr>
        <w:rPr>
          <w:rFonts w:hint="default" w:ascii="Times New Roman" w:hAnsi="Times New Roman" w:eastAsia="仿宋_GB2312" w:cs="Times New Roman"/>
          <w:color w:val="auto"/>
          <w:sz w:val="36"/>
          <w:szCs w:val="36"/>
          <w:highlight w:val="none"/>
        </w:rPr>
      </w:pPr>
    </w:p>
    <w:p w14:paraId="466CD36D">
      <w:pPr>
        <w:rPr>
          <w:rFonts w:hint="default" w:ascii="Times New Roman" w:hAnsi="Times New Roman" w:eastAsia="仿宋_GB2312" w:cs="Times New Roman"/>
          <w:color w:val="auto"/>
          <w:sz w:val="36"/>
          <w:szCs w:val="36"/>
          <w:highlight w:val="none"/>
        </w:rPr>
      </w:pPr>
    </w:p>
    <w:p w14:paraId="4BFD2327">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val="en-US" w:eastAsia="zh-CN"/>
        </w:rPr>
        <w:t>赵庄二号井东风井注浆站建设工程</w:t>
      </w:r>
    </w:p>
    <w:p w14:paraId="3DD9A9B0">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eastAsia" w:ascii="Times New Roman" w:hAnsi="Times New Roman" w:eastAsia="仿宋_GB2312" w:cs="Times New Roman"/>
          <w:color w:val="auto"/>
          <w:sz w:val="36"/>
          <w:szCs w:val="36"/>
          <w:highlight w:val="none"/>
          <w:u w:val="single"/>
          <w:lang w:eastAsia="zh-CN"/>
        </w:rPr>
        <w:t>山西晋煤集团赵庄煤业有限责任公司赵庄二号井</w:t>
      </w:r>
    </w:p>
    <w:p w14:paraId="61E284CE">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eastAsia"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202</w:t>
      </w:r>
      <w:r>
        <w:rPr>
          <w:rFonts w:hint="eastAsia"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lang w:val="en-US" w:eastAsia="zh-CN"/>
        </w:rPr>
        <w:t>年</w:t>
      </w:r>
      <w:r>
        <w:rPr>
          <w:rFonts w:hint="eastAsia" w:eastAsia="仿宋_GB2312" w:cs="Times New Roman"/>
          <w:color w:val="auto"/>
          <w:sz w:val="36"/>
          <w:szCs w:val="36"/>
          <w:highlight w:val="none"/>
          <w:u w:val="single"/>
          <w:lang w:val="en-US" w:eastAsia="zh-CN"/>
        </w:rPr>
        <w:t>6</w:t>
      </w:r>
      <w:r>
        <w:rPr>
          <w:rFonts w:hint="default" w:ascii="Times New Roman" w:hAnsi="Times New Roman" w:eastAsia="仿宋_GB2312" w:cs="Times New Roman"/>
          <w:color w:val="auto"/>
          <w:sz w:val="36"/>
          <w:szCs w:val="36"/>
          <w:highlight w:val="none"/>
          <w:u w:val="single"/>
          <w:lang w:val="en-US" w:eastAsia="zh-CN"/>
        </w:rPr>
        <w:t>月</w:t>
      </w:r>
      <w:r>
        <w:rPr>
          <w:rFonts w:hint="default" w:ascii="Times New Roman" w:hAnsi="Times New Roman" w:eastAsia="仿宋_GB2312" w:cs="Times New Roman"/>
          <w:color w:val="auto"/>
          <w:sz w:val="36"/>
          <w:szCs w:val="36"/>
          <w:highlight w:val="none"/>
          <w:u w:val="single"/>
        </w:rPr>
        <w:t xml:space="preserve">     </w:t>
      </w:r>
      <w:r>
        <w:rPr>
          <w:rFonts w:hint="eastAsia"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14:paraId="54FD608D">
      <w:pPr>
        <w:rPr>
          <w:rFonts w:hint="default" w:ascii="Times New Roman" w:hAnsi="Times New Roman" w:eastAsia="仿宋_GB2312" w:cs="Times New Roman"/>
          <w:color w:val="auto"/>
          <w:sz w:val="36"/>
          <w:szCs w:val="36"/>
          <w:highlight w:val="none"/>
        </w:rPr>
      </w:pPr>
      <w:bookmarkStart w:id="0" w:name="_Hlk57884087"/>
    </w:p>
    <w:p w14:paraId="0D8C885B">
      <w:pPr>
        <w:rPr>
          <w:rFonts w:hint="default" w:ascii="Times New Roman" w:hAnsi="Times New Roman" w:eastAsia="仿宋_GB2312" w:cs="Times New Roman"/>
          <w:color w:val="auto"/>
          <w:sz w:val="36"/>
          <w:szCs w:val="36"/>
          <w:highlight w:val="none"/>
        </w:rPr>
      </w:pPr>
    </w:p>
    <w:p w14:paraId="68D23168">
      <w:pPr>
        <w:rPr>
          <w:rFonts w:hint="default" w:ascii="Times New Roman" w:hAnsi="Times New Roman" w:eastAsia="仿宋_GB2312" w:cs="Times New Roman"/>
          <w:color w:val="auto"/>
          <w:sz w:val="36"/>
          <w:szCs w:val="36"/>
          <w:highlight w:val="none"/>
        </w:rPr>
      </w:pPr>
    </w:p>
    <w:p w14:paraId="4692105C">
      <w:pPr>
        <w:rPr>
          <w:rFonts w:hint="default" w:ascii="Times New Roman" w:hAnsi="Times New Roman" w:eastAsia="仿宋_GB2312" w:cs="Times New Roman"/>
          <w:color w:val="auto"/>
          <w:sz w:val="36"/>
          <w:szCs w:val="36"/>
          <w:highlight w:val="none"/>
        </w:rPr>
      </w:pPr>
    </w:p>
    <w:p w14:paraId="37D126E8">
      <w:pPr>
        <w:rPr>
          <w:rFonts w:hint="default" w:ascii="Times New Roman" w:hAnsi="Times New Roman" w:eastAsia="仿宋_GB2312" w:cs="Times New Roman"/>
          <w:color w:val="auto"/>
          <w:sz w:val="36"/>
          <w:szCs w:val="36"/>
          <w:highlight w:val="none"/>
        </w:rPr>
      </w:pPr>
    </w:p>
    <w:bookmarkEnd w:id="0"/>
    <w:p w14:paraId="33B4A43A">
      <w:pPr>
        <w:adjustRightInd w:val="0"/>
        <w:snapToGrid w:val="0"/>
        <w:spacing w:line="288" w:lineRule="auto"/>
        <w:jc w:val="center"/>
        <w:rPr>
          <w:rFonts w:hint="default" w:ascii="Times New Roman" w:hAnsi="Times New Roman" w:eastAsia="楷体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中华人民共和国生态环境部制</w:t>
      </w:r>
    </w:p>
    <w:p w14:paraId="23FFD32B">
      <w:pPr>
        <w:adjustRightInd w:val="0"/>
        <w:snapToGrid w:val="0"/>
        <w:spacing w:line="288" w:lineRule="auto"/>
        <w:jc w:val="center"/>
        <w:rPr>
          <w:rFonts w:hint="eastAsia" w:ascii="Times New Roman" w:hAnsi="Times New Roman" w:eastAsia="楷体_GB2312" w:cs="Times New Roman"/>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bookmarkStart w:id="12" w:name="_GoBack"/>
      <w:r>
        <w:rPr>
          <w:rFonts w:hint="eastAsia" w:ascii="Times New Roman" w:hAnsi="Times New Roman" w:eastAsia="楷体_GB2312" w:cs="Times New Roman"/>
          <w:color w:val="auto"/>
          <w:sz w:val="36"/>
          <w:szCs w:val="36"/>
          <w:highlight w:val="none"/>
          <w:lang w:eastAsia="zh-CN"/>
        </w:rPr>
        <w:drawing>
          <wp:anchor distT="0" distB="0" distL="114300" distR="114300" simplePos="0" relativeHeight="251663360" behindDoc="0" locked="0" layoutInCell="1" allowOverlap="1">
            <wp:simplePos x="0" y="0"/>
            <wp:positionH relativeFrom="column">
              <wp:posOffset>-952500</wp:posOffset>
            </wp:positionH>
            <wp:positionV relativeFrom="paragraph">
              <wp:posOffset>-1047750</wp:posOffset>
            </wp:positionV>
            <wp:extent cx="7554595" cy="10687685"/>
            <wp:effectExtent l="0" t="0" r="8255" b="18415"/>
            <wp:wrapNone/>
            <wp:docPr id="216" name="图片 216" descr="扉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扉页"/>
                    <pic:cNvPicPr>
                      <a:picLocks noChangeAspect="1"/>
                    </pic:cNvPicPr>
                  </pic:nvPicPr>
                  <pic:blipFill>
                    <a:blip r:embed="rId10"/>
                    <a:stretch>
                      <a:fillRect/>
                    </a:stretch>
                  </pic:blipFill>
                  <pic:spPr>
                    <a:xfrm>
                      <a:off x="0" y="0"/>
                      <a:ext cx="7554595" cy="10687685"/>
                    </a:xfrm>
                    <a:prstGeom prst="rect">
                      <a:avLst/>
                    </a:prstGeom>
                  </pic:spPr>
                </pic:pic>
              </a:graphicData>
            </a:graphic>
          </wp:anchor>
        </w:drawing>
      </w:r>
      <w:bookmarkEnd w:id="12"/>
    </w:p>
    <w:p w14:paraId="7D3099F3">
      <w:pPr>
        <w:jc w:val="center"/>
        <w:rPr>
          <w:rFonts w:hint="eastAsia" w:eastAsiaTheme="minorEastAsia"/>
          <w:lang w:eastAsia="zh-CN"/>
        </w:rPr>
      </w:pPr>
      <w:r>
        <w:rPr>
          <w:rFonts w:hint="eastAsia" w:eastAsiaTheme="minorEastAsia"/>
          <w:lang w:eastAsia="zh-CN"/>
        </w:rPr>
        <w:drawing>
          <wp:inline distT="0" distB="0" distL="114300" distR="114300">
            <wp:extent cx="7559040" cy="10680065"/>
            <wp:effectExtent l="0" t="0" r="3810" b="6985"/>
            <wp:docPr id="8" name="图片 8" descr="593d2e7f6777ce982d0ee2f8374f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93d2e7f6777ce982d0ee2f8374fe60"/>
                    <pic:cNvPicPr>
                      <a:picLocks noChangeAspect="1"/>
                    </pic:cNvPicPr>
                  </pic:nvPicPr>
                  <pic:blipFill>
                    <a:blip r:embed="rId11"/>
                    <a:stretch>
                      <a:fillRect/>
                    </a:stretch>
                  </pic:blipFill>
                  <pic:spPr>
                    <a:xfrm>
                      <a:off x="0" y="0"/>
                      <a:ext cx="7559040" cy="10680065"/>
                    </a:xfrm>
                    <a:prstGeom prst="rect">
                      <a:avLst/>
                    </a:prstGeom>
                  </pic:spPr>
                </pic:pic>
              </a:graphicData>
            </a:graphic>
          </wp:inline>
        </w:drawing>
      </w:r>
      <w:r>
        <w:rPr>
          <w:rFonts w:hint="eastAsia" w:eastAsiaTheme="minorEastAsia"/>
          <w:lang w:eastAsia="zh-CN"/>
        </w:rPr>
        <w:drawing>
          <wp:inline distT="0" distB="0" distL="114300" distR="114300">
            <wp:extent cx="7559040" cy="10680065"/>
            <wp:effectExtent l="0" t="0" r="3810" b="6985"/>
            <wp:docPr id="9" name="图片 9" descr="aa904b4857288f5c0ba998cac7cf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904b4857288f5c0ba998cac7cf384"/>
                    <pic:cNvPicPr>
                      <a:picLocks noChangeAspect="1"/>
                    </pic:cNvPicPr>
                  </pic:nvPicPr>
                  <pic:blipFill>
                    <a:blip r:embed="rId12">
                      <a:lum contrast="6000"/>
                    </a:blip>
                    <a:stretch>
                      <a:fillRect/>
                    </a:stretch>
                  </pic:blipFill>
                  <pic:spPr>
                    <a:xfrm>
                      <a:off x="0" y="0"/>
                      <a:ext cx="7559040" cy="10680065"/>
                    </a:xfrm>
                    <a:prstGeom prst="rect">
                      <a:avLst/>
                    </a:prstGeom>
                  </pic:spPr>
                </pic:pic>
              </a:graphicData>
            </a:graphic>
          </wp:inline>
        </w:drawing>
      </w:r>
      <w:r>
        <w:rPr>
          <w:rFonts w:hint="eastAsia" w:eastAsiaTheme="minorEastAsia"/>
          <w:lang w:eastAsia="zh-CN"/>
        </w:rPr>
        <w:drawing>
          <wp:inline distT="0" distB="0" distL="114300" distR="114300">
            <wp:extent cx="7540625" cy="10440670"/>
            <wp:effectExtent l="0" t="0" r="3175" b="17780"/>
            <wp:docPr id="11" name="图片 11" descr="c23ea266b4b49017555016d1dc6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3ea266b4b49017555016d1dc6f16b"/>
                    <pic:cNvPicPr>
                      <a:picLocks noChangeAspect="1"/>
                    </pic:cNvPicPr>
                  </pic:nvPicPr>
                  <pic:blipFill>
                    <a:blip r:embed="rId13"/>
                    <a:stretch>
                      <a:fillRect/>
                    </a:stretch>
                  </pic:blipFill>
                  <pic:spPr>
                    <a:xfrm>
                      <a:off x="0" y="0"/>
                      <a:ext cx="7540625" cy="10440670"/>
                    </a:xfrm>
                    <a:prstGeom prst="rect">
                      <a:avLst/>
                    </a:prstGeom>
                  </pic:spPr>
                </pic:pic>
              </a:graphicData>
            </a:graphic>
          </wp:inline>
        </w:drawing>
      </w:r>
      <w:r>
        <w:rPr>
          <w:rFonts w:hint="eastAsia" w:eastAsiaTheme="minorEastAsia"/>
          <w:lang w:eastAsia="zh-CN"/>
        </w:rPr>
        <w:drawing>
          <wp:inline distT="0" distB="0" distL="114300" distR="114300">
            <wp:extent cx="7559040" cy="10680065"/>
            <wp:effectExtent l="0" t="0" r="3810" b="6985"/>
            <wp:docPr id="13" name="图片 13" descr="SCAN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AN0160"/>
                    <pic:cNvPicPr>
                      <a:picLocks noChangeAspect="1"/>
                    </pic:cNvPicPr>
                  </pic:nvPicPr>
                  <pic:blipFill>
                    <a:blip r:embed="rId14">
                      <a:lum bright="6000"/>
                    </a:blip>
                    <a:stretch>
                      <a:fillRect/>
                    </a:stretch>
                  </pic:blipFill>
                  <pic:spPr>
                    <a:xfrm>
                      <a:off x="0" y="0"/>
                      <a:ext cx="7559040" cy="10680065"/>
                    </a:xfrm>
                    <a:prstGeom prst="rect">
                      <a:avLst/>
                    </a:prstGeom>
                  </pic:spPr>
                </pic:pic>
              </a:graphicData>
            </a:graphic>
          </wp:inline>
        </w:drawing>
      </w:r>
      <w:r>
        <w:rPr>
          <w:rFonts w:hint="eastAsia" w:eastAsiaTheme="minorEastAsia"/>
          <w:lang w:eastAsia="zh-CN"/>
        </w:rPr>
        <w:drawing>
          <wp:inline distT="0" distB="0" distL="114300" distR="114300">
            <wp:extent cx="7559040" cy="10680065"/>
            <wp:effectExtent l="0" t="0" r="3810" b="6985"/>
            <wp:docPr id="14" name="图片 14" descr="SCAN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AN0161"/>
                    <pic:cNvPicPr>
                      <a:picLocks noChangeAspect="1"/>
                    </pic:cNvPicPr>
                  </pic:nvPicPr>
                  <pic:blipFill>
                    <a:blip r:embed="rId15">
                      <a:lum bright="6000"/>
                    </a:blip>
                    <a:stretch>
                      <a:fillRect/>
                    </a:stretch>
                  </pic:blipFill>
                  <pic:spPr>
                    <a:xfrm>
                      <a:off x="0" y="0"/>
                      <a:ext cx="7559040" cy="10680065"/>
                    </a:xfrm>
                    <a:prstGeom prst="rect">
                      <a:avLst/>
                    </a:prstGeom>
                  </pic:spPr>
                </pic:pic>
              </a:graphicData>
            </a:graphic>
          </wp:inline>
        </w:drawing>
      </w:r>
    </w:p>
    <w:p w14:paraId="3E652202">
      <w:pPr>
        <w:adjustRightInd w:val="0"/>
        <w:snapToGrid w:val="0"/>
        <w:spacing w:line="288" w:lineRule="auto"/>
        <w:jc w:val="center"/>
        <w:rPr>
          <w:rFonts w:hint="default" w:ascii="Times New Roman" w:hAnsi="Times New Roman" w:eastAsia="楷体_GB2312" w:cs="Times New Roman"/>
          <w:color w:val="auto"/>
          <w:sz w:val="36"/>
          <w:szCs w:val="36"/>
          <w:highlight w:val="none"/>
        </w:rPr>
        <w:sectPr>
          <w:pgSz w:w="11906" w:h="16838"/>
          <w:pgMar w:top="0" w:right="0" w:bottom="0" w:left="0"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0"/>
      </w:tblGrid>
      <w:tr w14:paraId="63DD9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619C097F">
            <w:pPr>
              <w:pStyle w:val="19"/>
              <w:jc w:val="center"/>
              <w:outlineLvl w:val="0"/>
              <w:rPr>
                <w:rFonts w:hint="eastAsia" w:ascii="宋体" w:hAnsi="宋体" w:eastAsia="宋体" w:cs="宋体"/>
                <w:b/>
                <w:bCs/>
                <w:snapToGrid w:val="0"/>
                <w:kern w:val="0"/>
                <w:sz w:val="28"/>
                <w:szCs w:val="28"/>
                <w:vertAlign w:val="baseline"/>
                <w:lang w:val="en-US" w:eastAsia="zh-CN" w:bidi="ar-SA"/>
              </w:rPr>
            </w:pPr>
            <w:r>
              <w:rPr>
                <w:rFonts w:hint="eastAsia" w:ascii="宋体" w:hAnsi="宋体" w:eastAsia="宋体" w:cs="宋体"/>
                <w:b/>
                <w:bCs/>
                <w:snapToGrid w:val="0"/>
                <w:sz w:val="28"/>
                <w:szCs w:val="28"/>
                <w:vertAlign w:val="baseline"/>
                <w:lang w:eastAsia="zh-CN"/>
              </w:rPr>
              <w:drawing>
                <wp:inline distT="0" distB="0" distL="114300" distR="114300">
                  <wp:extent cx="2976245" cy="2232025"/>
                  <wp:effectExtent l="0" t="0" r="14605" b="15875"/>
                  <wp:docPr id="17" name="图片 17" descr="IMG_20250214_1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14_104827"/>
                          <pic:cNvPicPr>
                            <a:picLocks noChangeAspect="1"/>
                          </pic:cNvPicPr>
                        </pic:nvPicPr>
                        <pic:blipFill>
                          <a:blip r:embed="rId16"/>
                          <a:stretch>
                            <a:fillRect/>
                          </a:stretch>
                        </pic:blipFill>
                        <pic:spPr>
                          <a:xfrm>
                            <a:off x="0" y="0"/>
                            <a:ext cx="2976245" cy="2232025"/>
                          </a:xfrm>
                          <a:prstGeom prst="rect">
                            <a:avLst/>
                          </a:prstGeom>
                          <a:noFill/>
                          <a:ln>
                            <a:noFill/>
                          </a:ln>
                        </pic:spPr>
                      </pic:pic>
                    </a:graphicData>
                  </a:graphic>
                </wp:inline>
              </w:drawing>
            </w:r>
          </w:p>
        </w:tc>
        <w:tc>
          <w:tcPr>
            <w:tcW w:w="4927" w:type="dxa"/>
            <w:noWrap w:val="0"/>
            <w:vAlign w:val="center"/>
          </w:tcPr>
          <w:p w14:paraId="52A661AB">
            <w:pPr>
              <w:pStyle w:val="19"/>
              <w:jc w:val="center"/>
              <w:outlineLvl w:val="0"/>
              <w:rPr>
                <w:rFonts w:hint="eastAsia" w:ascii="宋体" w:hAnsi="宋体" w:eastAsia="宋体" w:cs="宋体"/>
                <w:b/>
                <w:bCs/>
                <w:snapToGrid w:val="0"/>
                <w:sz w:val="28"/>
                <w:szCs w:val="28"/>
                <w:vertAlign w:val="baseline"/>
                <w:lang w:eastAsia="zh-CN"/>
              </w:rPr>
            </w:pPr>
            <w:r>
              <w:rPr>
                <w:rFonts w:hint="eastAsia" w:ascii="宋体" w:hAnsi="宋体" w:eastAsia="宋体" w:cs="宋体"/>
                <w:b/>
                <w:bCs/>
                <w:snapToGrid w:val="0"/>
                <w:sz w:val="28"/>
                <w:szCs w:val="28"/>
                <w:vertAlign w:val="baseline"/>
                <w:lang w:eastAsia="zh-CN"/>
              </w:rPr>
              <w:drawing>
                <wp:inline distT="0" distB="0" distL="114300" distR="114300">
                  <wp:extent cx="2976245" cy="2232025"/>
                  <wp:effectExtent l="0" t="0" r="14605" b="15875"/>
                  <wp:docPr id="20" name="图片 20" descr="IMG_20250214_10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214_104227"/>
                          <pic:cNvPicPr>
                            <a:picLocks noChangeAspect="1"/>
                          </pic:cNvPicPr>
                        </pic:nvPicPr>
                        <pic:blipFill>
                          <a:blip r:embed="rId17"/>
                          <a:stretch>
                            <a:fillRect/>
                          </a:stretch>
                        </pic:blipFill>
                        <pic:spPr>
                          <a:xfrm>
                            <a:off x="0" y="0"/>
                            <a:ext cx="2976245" cy="2232025"/>
                          </a:xfrm>
                          <a:prstGeom prst="rect">
                            <a:avLst/>
                          </a:prstGeom>
                          <a:noFill/>
                          <a:ln>
                            <a:noFill/>
                          </a:ln>
                        </pic:spPr>
                      </pic:pic>
                    </a:graphicData>
                  </a:graphic>
                </wp:inline>
              </w:drawing>
            </w:r>
          </w:p>
        </w:tc>
      </w:tr>
      <w:tr w14:paraId="5E008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18460900">
            <w:pPr>
              <w:pStyle w:val="19"/>
              <w:jc w:val="center"/>
              <w:outlineLvl w:val="0"/>
              <w:rPr>
                <w:rFonts w:hint="eastAsia" w:ascii="宋体" w:hAnsi="宋体" w:eastAsia="宋体" w:cs="宋体"/>
                <w:b/>
                <w:bCs/>
                <w:snapToGrid w:val="0"/>
                <w:kern w:val="0"/>
                <w:sz w:val="28"/>
                <w:szCs w:val="28"/>
                <w:vertAlign w:val="baseline"/>
                <w:lang w:val="en-US" w:eastAsia="zh-CN" w:bidi="ar-SA"/>
              </w:rPr>
            </w:pPr>
            <w:r>
              <w:rPr>
                <w:rFonts w:hint="eastAsia" w:ascii="宋体" w:hAnsi="宋体" w:eastAsia="宋体" w:cs="宋体"/>
                <w:b/>
                <w:bCs/>
                <w:snapToGrid w:val="0"/>
                <w:sz w:val="28"/>
                <w:szCs w:val="28"/>
                <w:vertAlign w:val="baseline"/>
                <w:lang w:val="en-US" w:eastAsia="zh-CN"/>
              </w:rPr>
              <w:t>项目东侧</w:t>
            </w:r>
          </w:p>
        </w:tc>
        <w:tc>
          <w:tcPr>
            <w:tcW w:w="4927" w:type="dxa"/>
            <w:noWrap w:val="0"/>
            <w:vAlign w:val="center"/>
          </w:tcPr>
          <w:p w14:paraId="5548329E">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t>项目南侧</w:t>
            </w:r>
          </w:p>
        </w:tc>
      </w:tr>
      <w:tr w14:paraId="1546B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07A0E9C8">
            <w:pPr>
              <w:pStyle w:val="19"/>
              <w:jc w:val="center"/>
              <w:outlineLvl w:val="0"/>
              <w:rPr>
                <w:rFonts w:hint="eastAsia" w:ascii="宋体" w:hAnsi="宋体" w:eastAsia="宋体" w:cs="宋体"/>
                <w:b/>
                <w:bCs/>
                <w:snapToGrid w:val="0"/>
                <w:sz w:val="28"/>
                <w:szCs w:val="28"/>
                <w:vertAlign w:val="baseline"/>
                <w:lang w:eastAsia="zh-CN"/>
              </w:rPr>
            </w:pPr>
            <w:r>
              <w:rPr>
                <w:rFonts w:hint="eastAsia" w:ascii="宋体" w:hAnsi="宋体" w:eastAsia="宋体" w:cs="宋体"/>
                <w:b/>
                <w:bCs/>
                <w:snapToGrid w:val="0"/>
                <w:sz w:val="28"/>
                <w:szCs w:val="28"/>
                <w:vertAlign w:val="baseline"/>
                <w:lang w:eastAsia="zh-CN"/>
              </w:rPr>
              <w:drawing>
                <wp:inline distT="0" distB="0" distL="114300" distR="114300">
                  <wp:extent cx="2976245" cy="2232025"/>
                  <wp:effectExtent l="0" t="0" r="14605" b="15875"/>
                  <wp:docPr id="21" name="图片 2" descr="IMG_20250214_1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0250214_104500"/>
                          <pic:cNvPicPr>
                            <a:picLocks noChangeAspect="1"/>
                          </pic:cNvPicPr>
                        </pic:nvPicPr>
                        <pic:blipFill>
                          <a:blip r:embed="rId18"/>
                          <a:stretch>
                            <a:fillRect/>
                          </a:stretch>
                        </pic:blipFill>
                        <pic:spPr>
                          <a:xfrm>
                            <a:off x="0" y="0"/>
                            <a:ext cx="2976245" cy="2232025"/>
                          </a:xfrm>
                          <a:prstGeom prst="rect">
                            <a:avLst/>
                          </a:prstGeom>
                          <a:noFill/>
                          <a:ln>
                            <a:noFill/>
                          </a:ln>
                        </pic:spPr>
                      </pic:pic>
                    </a:graphicData>
                  </a:graphic>
                </wp:inline>
              </w:drawing>
            </w:r>
          </w:p>
        </w:tc>
        <w:tc>
          <w:tcPr>
            <w:tcW w:w="4927" w:type="dxa"/>
            <w:noWrap w:val="0"/>
            <w:vAlign w:val="center"/>
          </w:tcPr>
          <w:p w14:paraId="4E9841F4">
            <w:pPr>
              <w:pStyle w:val="19"/>
              <w:jc w:val="center"/>
              <w:outlineLvl w:val="0"/>
              <w:rPr>
                <w:rFonts w:hint="eastAsia" w:ascii="宋体" w:hAnsi="宋体" w:eastAsia="宋体" w:cs="宋体"/>
                <w:b/>
                <w:bCs/>
                <w:snapToGrid w:val="0"/>
                <w:sz w:val="28"/>
                <w:szCs w:val="28"/>
                <w:vertAlign w:val="baseline"/>
                <w:lang w:eastAsia="zh-CN"/>
              </w:rPr>
            </w:pPr>
            <w:r>
              <w:rPr>
                <w:rFonts w:hint="eastAsia" w:ascii="宋体" w:hAnsi="宋体" w:eastAsia="宋体" w:cs="宋体"/>
                <w:b/>
                <w:bCs/>
                <w:snapToGrid w:val="0"/>
                <w:sz w:val="28"/>
                <w:szCs w:val="28"/>
                <w:vertAlign w:val="baseline"/>
                <w:lang w:eastAsia="zh-CN"/>
              </w:rPr>
              <w:drawing>
                <wp:inline distT="0" distB="0" distL="114300" distR="114300">
                  <wp:extent cx="2976245" cy="2232025"/>
                  <wp:effectExtent l="0" t="0" r="14605" b="15875"/>
                  <wp:docPr id="22" name="图片 3" descr="IMG_20250214_10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0250214_104529"/>
                          <pic:cNvPicPr>
                            <a:picLocks noChangeAspect="1"/>
                          </pic:cNvPicPr>
                        </pic:nvPicPr>
                        <pic:blipFill>
                          <a:blip r:embed="rId19"/>
                          <a:stretch>
                            <a:fillRect/>
                          </a:stretch>
                        </pic:blipFill>
                        <pic:spPr>
                          <a:xfrm>
                            <a:off x="0" y="0"/>
                            <a:ext cx="2976245" cy="2232025"/>
                          </a:xfrm>
                          <a:prstGeom prst="rect">
                            <a:avLst/>
                          </a:prstGeom>
                          <a:noFill/>
                          <a:ln>
                            <a:noFill/>
                          </a:ln>
                        </pic:spPr>
                      </pic:pic>
                    </a:graphicData>
                  </a:graphic>
                </wp:inline>
              </w:drawing>
            </w:r>
          </w:p>
        </w:tc>
      </w:tr>
      <w:tr w14:paraId="46D4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792B9E11">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t>项目西侧</w:t>
            </w:r>
          </w:p>
        </w:tc>
        <w:tc>
          <w:tcPr>
            <w:tcW w:w="4927" w:type="dxa"/>
            <w:noWrap w:val="0"/>
            <w:vAlign w:val="center"/>
          </w:tcPr>
          <w:p w14:paraId="31A05A9B">
            <w:pPr>
              <w:pStyle w:val="19"/>
              <w:jc w:val="center"/>
              <w:outlineLvl w:val="0"/>
              <w:rPr>
                <w:rFonts w:hint="eastAsia" w:ascii="宋体" w:hAnsi="宋体" w:eastAsia="宋体" w:cs="宋体"/>
                <w:b/>
                <w:bCs/>
                <w:snapToGrid w:val="0"/>
                <w:sz w:val="28"/>
                <w:szCs w:val="28"/>
                <w:vertAlign w:val="baseline"/>
                <w:lang w:val="en-US"/>
              </w:rPr>
            </w:pPr>
            <w:r>
              <w:rPr>
                <w:rFonts w:hint="eastAsia" w:ascii="宋体" w:hAnsi="宋体" w:eastAsia="宋体" w:cs="宋体"/>
                <w:b/>
                <w:bCs/>
                <w:snapToGrid w:val="0"/>
                <w:sz w:val="28"/>
                <w:szCs w:val="28"/>
                <w:vertAlign w:val="baseline"/>
                <w:lang w:val="en-US" w:eastAsia="zh-CN"/>
              </w:rPr>
              <w:t>项目北侧</w:t>
            </w:r>
          </w:p>
        </w:tc>
      </w:tr>
      <w:tr w14:paraId="01B9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217AC616">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drawing>
                <wp:inline distT="0" distB="0" distL="114300" distR="114300">
                  <wp:extent cx="2981960" cy="2232025"/>
                  <wp:effectExtent l="0" t="0" r="8890" b="15875"/>
                  <wp:docPr id="23" name="图片 23" descr="IMG_20250214_10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214_101123"/>
                          <pic:cNvPicPr>
                            <a:picLocks noChangeAspect="1"/>
                          </pic:cNvPicPr>
                        </pic:nvPicPr>
                        <pic:blipFill>
                          <a:blip r:embed="rId20"/>
                          <a:srcRect l="9614" r="10763" b="20534"/>
                          <a:stretch>
                            <a:fillRect/>
                          </a:stretch>
                        </pic:blipFill>
                        <pic:spPr>
                          <a:xfrm>
                            <a:off x="0" y="0"/>
                            <a:ext cx="2981960" cy="2232025"/>
                          </a:xfrm>
                          <a:prstGeom prst="rect">
                            <a:avLst/>
                          </a:prstGeom>
                        </pic:spPr>
                      </pic:pic>
                    </a:graphicData>
                  </a:graphic>
                </wp:inline>
              </w:drawing>
            </w:r>
          </w:p>
        </w:tc>
        <w:tc>
          <w:tcPr>
            <w:tcW w:w="4927" w:type="dxa"/>
            <w:noWrap w:val="0"/>
            <w:vAlign w:val="center"/>
          </w:tcPr>
          <w:p w14:paraId="790AE441">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drawing>
                <wp:inline distT="0" distB="0" distL="114300" distR="114300">
                  <wp:extent cx="2970530" cy="2232025"/>
                  <wp:effectExtent l="0" t="0" r="1270" b="15875"/>
                  <wp:docPr id="24" name="图片 24" descr="173995419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9954191058"/>
                          <pic:cNvPicPr>
                            <a:picLocks noChangeAspect="1"/>
                          </pic:cNvPicPr>
                        </pic:nvPicPr>
                        <pic:blipFill>
                          <a:blip r:embed="rId21"/>
                          <a:stretch>
                            <a:fillRect/>
                          </a:stretch>
                        </pic:blipFill>
                        <pic:spPr>
                          <a:xfrm>
                            <a:off x="0" y="0"/>
                            <a:ext cx="2970530" cy="2232025"/>
                          </a:xfrm>
                          <a:prstGeom prst="rect">
                            <a:avLst/>
                          </a:prstGeom>
                        </pic:spPr>
                      </pic:pic>
                    </a:graphicData>
                  </a:graphic>
                </wp:inline>
              </w:drawing>
            </w:r>
          </w:p>
        </w:tc>
      </w:tr>
      <w:tr w14:paraId="7CDD0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27" w:type="dxa"/>
            <w:noWrap w:val="0"/>
            <w:vAlign w:val="center"/>
          </w:tcPr>
          <w:p w14:paraId="671CB374">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t>建设空地</w:t>
            </w:r>
          </w:p>
        </w:tc>
        <w:tc>
          <w:tcPr>
            <w:tcW w:w="4927" w:type="dxa"/>
            <w:noWrap w:val="0"/>
            <w:vAlign w:val="center"/>
          </w:tcPr>
          <w:p w14:paraId="48B8A1EA">
            <w:pPr>
              <w:pStyle w:val="19"/>
              <w:jc w:val="center"/>
              <w:outlineLvl w:val="0"/>
              <w:rPr>
                <w:rFonts w:hint="eastAsia" w:ascii="宋体" w:hAnsi="宋体" w:eastAsia="宋体" w:cs="宋体"/>
                <w:b/>
                <w:bCs/>
                <w:snapToGrid w:val="0"/>
                <w:sz w:val="28"/>
                <w:szCs w:val="28"/>
                <w:vertAlign w:val="baseline"/>
                <w:lang w:val="en-US" w:eastAsia="zh-CN"/>
              </w:rPr>
            </w:pPr>
            <w:r>
              <w:rPr>
                <w:rFonts w:hint="eastAsia" w:ascii="宋体" w:hAnsi="宋体" w:eastAsia="宋体" w:cs="宋体"/>
                <w:b/>
                <w:bCs/>
                <w:snapToGrid w:val="0"/>
                <w:sz w:val="28"/>
                <w:szCs w:val="28"/>
                <w:vertAlign w:val="baseline"/>
                <w:lang w:val="en-US" w:eastAsia="zh-CN"/>
              </w:rPr>
              <w:t>厂区现状</w:t>
            </w:r>
          </w:p>
        </w:tc>
      </w:tr>
    </w:tbl>
    <w:p w14:paraId="4DD473C7">
      <w:pPr>
        <w:adjustRightInd w:val="0"/>
        <w:snapToGrid w:val="0"/>
        <w:spacing w:line="288" w:lineRule="auto"/>
        <w:jc w:val="center"/>
        <w:rPr>
          <w:rFonts w:hint="eastAsia" w:ascii="Times New Roman" w:hAnsi="Times New Roman" w:eastAsia="楷体_GB2312" w:cs="Times New Roman"/>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08FC696">
      <w:pPr>
        <w:adjustRightInd w:val="0"/>
        <w:snapToGrid w:val="0"/>
        <w:spacing w:line="288" w:lineRule="auto"/>
        <w:jc w:val="center"/>
        <w:rPr>
          <w:rFonts w:hint="eastAsia" w:ascii="Times New Roman" w:hAnsi="Times New Roman" w:eastAsia="楷体_GB2312" w:cs="Times New Roman"/>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楷体_GB2312" w:cs="Times New Roman"/>
          <w:color w:val="auto"/>
          <w:sz w:val="36"/>
          <w:szCs w:val="36"/>
          <w:highlight w:val="none"/>
          <w:lang w:eastAsia="zh-CN"/>
        </w:rPr>
        <w:drawing>
          <wp:anchor distT="0" distB="0" distL="114300" distR="114300" simplePos="0" relativeHeight="251661312" behindDoc="0" locked="0" layoutInCell="1" allowOverlap="1">
            <wp:simplePos x="0" y="0"/>
            <wp:positionH relativeFrom="column">
              <wp:posOffset>-2275840</wp:posOffset>
            </wp:positionH>
            <wp:positionV relativeFrom="paragraph">
              <wp:posOffset>259715</wp:posOffset>
            </wp:positionV>
            <wp:extent cx="10166985" cy="7552690"/>
            <wp:effectExtent l="0" t="0" r="10160" b="5715"/>
            <wp:wrapNone/>
            <wp:docPr id="15" name="图片 15" descr="174555554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5555549203"/>
                    <pic:cNvPicPr>
                      <a:picLocks noChangeAspect="1"/>
                    </pic:cNvPicPr>
                  </pic:nvPicPr>
                  <pic:blipFill>
                    <a:blip r:embed="rId22"/>
                    <a:stretch>
                      <a:fillRect/>
                    </a:stretch>
                  </pic:blipFill>
                  <pic:spPr>
                    <a:xfrm rot="5400000">
                      <a:off x="0" y="0"/>
                      <a:ext cx="10166985" cy="7552690"/>
                    </a:xfrm>
                    <a:prstGeom prst="rect">
                      <a:avLst/>
                    </a:prstGeom>
                  </pic:spPr>
                </pic:pic>
              </a:graphicData>
            </a:graphic>
          </wp:anchor>
        </w:drawing>
      </w:r>
    </w:p>
    <w:p w14:paraId="557F78F0">
      <w:pPr>
        <w:adjustRightInd w:val="0"/>
        <w:snapToGrid w:val="0"/>
        <w:spacing w:line="288" w:lineRule="auto"/>
        <w:jc w:val="center"/>
        <w:rPr>
          <w:rFonts w:hint="eastAsia" w:ascii="Times New Roman" w:hAnsi="Times New Roman" w:eastAsia="楷体_GB2312" w:cs="Times New Roman"/>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楷体_GB2312" w:cs="Times New Roman"/>
          <w:color w:val="auto"/>
          <w:sz w:val="36"/>
          <w:szCs w:val="36"/>
          <w:highlight w:val="none"/>
          <w:lang w:eastAsia="zh-CN"/>
        </w:rPr>
        <w:drawing>
          <wp:anchor distT="0" distB="0" distL="114300" distR="114300" simplePos="0" relativeHeight="251662336" behindDoc="0" locked="0" layoutInCell="1" allowOverlap="1">
            <wp:simplePos x="0" y="0"/>
            <wp:positionH relativeFrom="column">
              <wp:posOffset>-2259965</wp:posOffset>
            </wp:positionH>
            <wp:positionV relativeFrom="paragraph">
              <wp:posOffset>337820</wp:posOffset>
            </wp:positionV>
            <wp:extent cx="10139045" cy="7509510"/>
            <wp:effectExtent l="0" t="0" r="15240" b="14605"/>
            <wp:wrapNone/>
            <wp:docPr id="16" name="图片 16" descr="174555556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5555567690"/>
                    <pic:cNvPicPr>
                      <a:picLocks noChangeAspect="1"/>
                    </pic:cNvPicPr>
                  </pic:nvPicPr>
                  <pic:blipFill>
                    <a:blip r:embed="rId23"/>
                    <a:stretch>
                      <a:fillRect/>
                    </a:stretch>
                  </pic:blipFill>
                  <pic:spPr>
                    <a:xfrm rot="5400000">
                      <a:off x="0" y="0"/>
                      <a:ext cx="10139045" cy="7509510"/>
                    </a:xfrm>
                    <a:prstGeom prst="rect">
                      <a:avLst/>
                    </a:prstGeom>
                  </pic:spPr>
                </pic:pic>
              </a:graphicData>
            </a:graphic>
          </wp:anchor>
        </w:drawing>
      </w:r>
    </w:p>
    <w:p w14:paraId="070E2AA1">
      <w:pPr>
        <w:bidi w:val="0"/>
        <w:jc w:val="center"/>
        <w:rPr>
          <w:rFonts w:hint="default" w:ascii="Times New Roman" w:hAnsi="Times New Roman" w:eastAsia="黑体" w:cs="Times New Roman"/>
          <w:snapToGrid w:val="0"/>
          <w:color w:val="auto"/>
          <w:sz w:val="30"/>
          <w:szCs w:val="30"/>
          <w:highlight w:val="none"/>
          <w:lang w:val="en-US" w:eastAsia="zh-CN"/>
        </w:rPr>
      </w:pPr>
      <w:r>
        <w:rPr>
          <w:rFonts w:hint="eastAsia" w:ascii="Times New Roman" w:hAnsi="Times New Roman" w:eastAsia="黑体" w:cs="Times New Roman"/>
          <w:snapToGrid w:val="0"/>
          <w:color w:val="auto"/>
          <w:sz w:val="30"/>
          <w:szCs w:val="30"/>
          <w:highlight w:val="none"/>
          <w:lang w:val="en-US" w:eastAsia="zh-CN"/>
        </w:rPr>
        <w:t>目  录</w:t>
      </w:r>
    </w:p>
    <w:p w14:paraId="07B1D620">
      <w:pPr>
        <w:bidi w:val="0"/>
        <w:rPr>
          <w:rFonts w:hint="default" w:ascii="Times New Roman" w:hAnsi="Times New Roman" w:eastAsia="宋体" w:cs="Times New Roman"/>
          <w:kern w:val="2"/>
          <w:sz w:val="21"/>
          <w:szCs w:val="24"/>
          <w:lang w:val="en-US" w:eastAsia="zh-CN" w:bidi="ar-SA"/>
        </w:rPr>
      </w:pPr>
    </w:p>
    <w:p w14:paraId="5F51B033">
      <w:pPr>
        <w:bidi w:val="0"/>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napToGrid w:val="0"/>
          <w:color w:val="auto"/>
          <w:sz w:val="24"/>
          <w:szCs w:val="24"/>
          <w:highlight w:val="none"/>
          <w:lang w:eastAsia="zh-CN"/>
        </w:rPr>
        <w:t>一</w:t>
      </w:r>
      <w:r>
        <w:rPr>
          <w:rFonts w:hint="default" w:ascii="Times New Roman" w:hAnsi="Times New Roman" w:eastAsia="宋体" w:cs="Times New Roman"/>
          <w:snapToGrid w:val="0"/>
          <w:color w:val="auto"/>
          <w:sz w:val="24"/>
          <w:szCs w:val="24"/>
          <w:highlight w:val="none"/>
        </w:rPr>
        <w:t>、建设项目基本情况</w:t>
      </w:r>
    </w:p>
    <w:p w14:paraId="12B1FE39">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二、建设项目工程分析</w:t>
      </w:r>
    </w:p>
    <w:p w14:paraId="72D147DD">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三、区域环境质量现状、环境保护目标及评价标准</w:t>
      </w:r>
    </w:p>
    <w:p w14:paraId="48B76A3D">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四、主要环境影响和保护措施</w:t>
      </w:r>
    </w:p>
    <w:p w14:paraId="62810E54">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五、环境保护措施监督检查清单</w:t>
      </w:r>
    </w:p>
    <w:p w14:paraId="4AB47DEB">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六、结论</w:t>
      </w:r>
    </w:p>
    <w:p w14:paraId="7BB8605E">
      <w:pPr>
        <w:bidi w:val="0"/>
        <w:ind w:firstLine="480" w:firstLineChars="200"/>
        <w:rPr>
          <w:rFonts w:hint="eastAsia" w:ascii="Times New Roman" w:hAnsi="Times New Roman" w:eastAsia="宋体" w:cs="Times New Roman"/>
          <w:snapToGrid w:val="0"/>
          <w:color w:val="auto"/>
          <w:sz w:val="24"/>
          <w:szCs w:val="24"/>
          <w:highlight w:val="none"/>
          <w:lang w:eastAsia="zh-CN"/>
        </w:rPr>
      </w:pPr>
      <w:r>
        <w:rPr>
          <w:rFonts w:hint="default" w:ascii="Times New Roman" w:hAnsi="Times New Roman" w:eastAsia="宋体" w:cs="Times New Roman"/>
          <w:snapToGrid w:val="0"/>
          <w:color w:val="auto"/>
          <w:sz w:val="24"/>
          <w:szCs w:val="24"/>
          <w:highlight w:val="none"/>
        </w:rPr>
        <w:t>附表</w:t>
      </w:r>
      <w:r>
        <w:rPr>
          <w:rFonts w:hint="eastAsia" w:ascii="Times New Roman" w:hAnsi="Times New Roman" w:eastAsia="宋体" w:cs="Times New Roman"/>
          <w:snapToGrid w:val="0"/>
          <w:color w:val="auto"/>
          <w:sz w:val="24"/>
          <w:szCs w:val="24"/>
          <w:highlight w:val="none"/>
          <w:lang w:eastAsia="zh-CN"/>
        </w:rPr>
        <w:t>：</w:t>
      </w:r>
    </w:p>
    <w:p w14:paraId="768FD3C9">
      <w:pPr>
        <w:bidi w:val="0"/>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建设项目污染物排放量汇总表</w:t>
      </w:r>
    </w:p>
    <w:p w14:paraId="5C8415D7">
      <w:pPr>
        <w:bidi w:val="0"/>
        <w:ind w:firstLine="480" w:firstLineChars="200"/>
        <w:rPr>
          <w:rFonts w:hint="default" w:ascii="Times New Roman" w:hAnsi="Times New Roman" w:eastAsia="宋体" w:cs="Times New Roman"/>
          <w:snapToGrid w:val="0"/>
          <w:color w:val="auto"/>
          <w:sz w:val="24"/>
          <w:szCs w:val="24"/>
          <w:highlight w:val="none"/>
        </w:rPr>
      </w:pPr>
    </w:p>
    <w:p w14:paraId="001D2845">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附图：</w:t>
      </w:r>
    </w:p>
    <w:p w14:paraId="0119EE26">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附图1 地理位置图</w:t>
      </w:r>
    </w:p>
    <w:p w14:paraId="5F2929DB">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附图2 四邻关系及大气环境保护目标图</w:t>
      </w:r>
    </w:p>
    <w:p w14:paraId="2980F5FA">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3</w:t>
      </w:r>
      <w:r>
        <w:rPr>
          <w:rFonts w:hint="default" w:ascii="Times New Roman" w:hAnsi="Times New Roman" w:eastAsia="宋体" w:cs="Times New Roman"/>
          <w:snapToGrid w:val="0"/>
          <w:color w:val="auto"/>
          <w:sz w:val="24"/>
          <w:szCs w:val="24"/>
          <w:highlight w:val="none"/>
          <w:lang w:val="en-US" w:eastAsia="zh-CN"/>
        </w:rPr>
        <w:t xml:space="preserve"> </w:t>
      </w:r>
      <w:r>
        <w:rPr>
          <w:rFonts w:hint="eastAsia" w:ascii="Times New Roman" w:hAnsi="Times New Roman" w:eastAsia="宋体" w:cs="Times New Roman"/>
          <w:snapToGrid w:val="0"/>
          <w:color w:val="auto"/>
          <w:sz w:val="24"/>
          <w:szCs w:val="24"/>
          <w:highlight w:val="none"/>
          <w:lang w:val="en-US" w:eastAsia="zh-CN"/>
        </w:rPr>
        <w:t>平面布置图</w:t>
      </w:r>
    </w:p>
    <w:p w14:paraId="28392ED6">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4 依托设施位置图</w:t>
      </w:r>
    </w:p>
    <w:p w14:paraId="0E1AF714">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5 长治市生态环境管控单元图</w:t>
      </w:r>
    </w:p>
    <w:p w14:paraId="565CC665">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6 长子县国土空间规划三线划定图</w:t>
      </w:r>
    </w:p>
    <w:p w14:paraId="6B2ED24D">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7 长子县地表水系图</w:t>
      </w:r>
    </w:p>
    <w:p w14:paraId="143A589F">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8</w:t>
      </w:r>
      <w:r>
        <w:rPr>
          <w:rFonts w:hint="default" w:ascii="Times New Roman" w:hAnsi="Times New Roman" w:eastAsia="宋体" w:cs="Times New Roman"/>
          <w:snapToGrid w:val="0"/>
          <w:color w:val="auto"/>
          <w:sz w:val="24"/>
          <w:szCs w:val="24"/>
          <w:highlight w:val="none"/>
          <w:lang w:val="en-US" w:eastAsia="zh-CN"/>
        </w:rPr>
        <w:t xml:space="preserve"> 矸石运输路线图</w:t>
      </w:r>
    </w:p>
    <w:p w14:paraId="4C3B739D">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9辛安泉域分布范围图</w:t>
      </w:r>
    </w:p>
    <w:p w14:paraId="2C2E6425">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附图</w:t>
      </w:r>
      <w:r>
        <w:rPr>
          <w:rFonts w:hint="eastAsia" w:ascii="Times New Roman" w:hAnsi="Times New Roman" w:eastAsia="宋体" w:cs="Times New Roman"/>
          <w:snapToGrid w:val="0"/>
          <w:color w:val="auto"/>
          <w:sz w:val="24"/>
          <w:szCs w:val="24"/>
          <w:highlight w:val="none"/>
          <w:lang w:val="en-US" w:eastAsia="zh-CN"/>
        </w:rPr>
        <w:t>10</w:t>
      </w:r>
      <w:r>
        <w:rPr>
          <w:rFonts w:hint="default" w:ascii="Times New Roman" w:hAnsi="Times New Roman" w:eastAsia="宋体" w:cs="Times New Roman"/>
          <w:snapToGrid w:val="0"/>
          <w:color w:val="auto"/>
          <w:sz w:val="24"/>
          <w:szCs w:val="24"/>
          <w:highlight w:val="none"/>
          <w:lang w:val="en-US" w:eastAsia="zh-CN"/>
        </w:rPr>
        <w:t xml:space="preserve"> </w:t>
      </w:r>
      <w:r>
        <w:rPr>
          <w:rFonts w:hint="eastAsia" w:ascii="Times New Roman" w:hAnsi="Times New Roman" w:eastAsia="宋体" w:cs="Times New Roman"/>
          <w:snapToGrid w:val="0"/>
          <w:color w:val="auto"/>
          <w:sz w:val="24"/>
          <w:szCs w:val="24"/>
          <w:highlight w:val="none"/>
          <w:lang w:val="en-US" w:eastAsia="zh-CN"/>
        </w:rPr>
        <w:t>分区防渗</w:t>
      </w:r>
      <w:r>
        <w:rPr>
          <w:rFonts w:hint="default" w:ascii="Times New Roman" w:hAnsi="Times New Roman" w:eastAsia="宋体" w:cs="Times New Roman"/>
          <w:snapToGrid w:val="0"/>
          <w:color w:val="auto"/>
          <w:sz w:val="24"/>
          <w:szCs w:val="24"/>
          <w:highlight w:val="none"/>
          <w:lang w:val="en-US" w:eastAsia="zh-CN"/>
        </w:rPr>
        <w:t>图</w:t>
      </w:r>
    </w:p>
    <w:p w14:paraId="7354CB7D">
      <w:pPr>
        <w:bidi w:val="0"/>
        <w:ind w:firstLine="480" w:firstLineChars="200"/>
        <w:rPr>
          <w:rFonts w:hint="default" w:ascii="Times New Roman" w:hAnsi="Times New Roman" w:eastAsia="宋体" w:cs="Times New Roman"/>
          <w:snapToGrid w:val="0"/>
          <w:color w:val="auto"/>
          <w:sz w:val="24"/>
          <w:szCs w:val="24"/>
          <w:highlight w:val="none"/>
          <w:lang w:val="en-US" w:eastAsia="zh-CN"/>
        </w:rPr>
      </w:pPr>
    </w:p>
    <w:p w14:paraId="40220D2E">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w:t>
      </w:r>
    </w:p>
    <w:p w14:paraId="38EC91B5">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附件1 委托书</w:t>
      </w:r>
    </w:p>
    <w:p w14:paraId="667A2199">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附件2 项目备案证</w:t>
      </w:r>
    </w:p>
    <w:p w14:paraId="3FA156A7">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附件3 营业执照</w:t>
      </w:r>
    </w:p>
    <w:p w14:paraId="70CEB6E2">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附件4 排污许可证</w:t>
      </w:r>
    </w:p>
    <w:p w14:paraId="5547764E">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附件5 检验检测报告</w:t>
      </w:r>
    </w:p>
    <w:p w14:paraId="212B1087">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附件6 危险废物处置协议</w:t>
      </w:r>
    </w:p>
    <w:p w14:paraId="58D44150">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附件7 矸石综合利用协议</w:t>
      </w:r>
    </w:p>
    <w:p w14:paraId="2871831B">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附件8 矸石成份及淋溶试验数据报告</w:t>
      </w:r>
    </w:p>
    <w:p w14:paraId="62861BA6">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附件9 突发环境事件应急预案备案证</w:t>
      </w:r>
    </w:p>
    <w:p w14:paraId="54C46D5C">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附件10 依托设施环保手续</w:t>
      </w:r>
    </w:p>
    <w:p w14:paraId="6C943208">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附件11 “三线一单”综合查询结果</w:t>
      </w:r>
    </w:p>
    <w:p w14:paraId="71ED1746">
      <w:pPr>
        <w:bidi w:val="0"/>
        <w:ind w:firstLine="480" w:firstLineChars="200"/>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附件12 土地手续</w:t>
      </w:r>
    </w:p>
    <w:p w14:paraId="257AC97D">
      <w:pPr>
        <w:bidi w:val="0"/>
        <w:ind w:firstLine="480" w:firstLineChars="200"/>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附件13 技术审查意见</w:t>
      </w:r>
    </w:p>
    <w:p w14:paraId="759BCE6D">
      <w:pPr>
        <w:adjustRightInd w:val="0"/>
        <w:snapToGrid w:val="0"/>
        <w:spacing w:line="288" w:lineRule="auto"/>
        <w:jc w:val="center"/>
        <w:rPr>
          <w:rFonts w:hint="default" w:ascii="Times New Roman" w:hAnsi="Times New Roman" w:eastAsia="楷体_GB2312" w:cs="Times New Roman"/>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47D9435">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56"/>
        <w:gridCol w:w="875"/>
        <w:gridCol w:w="2239"/>
        <w:gridCol w:w="2061"/>
        <w:gridCol w:w="2639"/>
      </w:tblGrid>
      <w:tr w14:paraId="1D611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100A5AD5">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建设项目名称</w:t>
            </w:r>
          </w:p>
        </w:tc>
        <w:tc>
          <w:tcPr>
            <w:tcW w:w="6939" w:type="dxa"/>
            <w:gridSpan w:val="3"/>
            <w:noWrap w:val="0"/>
            <w:vAlign w:val="center"/>
          </w:tcPr>
          <w:p w14:paraId="3D3A2BCC">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赵庄二号井东风井注浆站建设工程</w:t>
            </w:r>
          </w:p>
        </w:tc>
      </w:tr>
      <w:tr w14:paraId="01EA9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781DBEEF">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项目代码</w:t>
            </w:r>
          </w:p>
        </w:tc>
        <w:tc>
          <w:tcPr>
            <w:tcW w:w="6939" w:type="dxa"/>
            <w:gridSpan w:val="3"/>
            <w:noWrap w:val="0"/>
            <w:vAlign w:val="center"/>
          </w:tcPr>
          <w:p w14:paraId="307F12A5">
            <w:pPr>
              <w:adjustRightInd w:val="0"/>
              <w:snapToGrid w:val="0"/>
              <w:jc w:val="center"/>
              <w:rPr>
                <w:rFonts w:hint="default" w:ascii="Times New Roman" w:hAnsi="Times New Roman" w:cs="Times New Roman"/>
                <w:color w:val="auto"/>
                <w:spacing w:val="0"/>
                <w:szCs w:val="21"/>
                <w:highlight w:val="none"/>
                <w:lang w:val="en-US"/>
              </w:rPr>
            </w:pPr>
            <w:r>
              <w:rPr>
                <w:rFonts w:hint="default" w:ascii="Times New Roman" w:hAnsi="Times New Roman" w:cs="Times New Roman"/>
                <w:color w:val="auto"/>
                <w:spacing w:val="0"/>
                <w:szCs w:val="21"/>
                <w:highlight w:val="none"/>
                <w:lang w:val="en-US" w:eastAsia="zh-CN"/>
              </w:rPr>
              <w:t>2503-140428-89-05-865082</w:t>
            </w:r>
          </w:p>
        </w:tc>
      </w:tr>
      <w:tr w14:paraId="397D4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705E2E14">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建设单位联系人</w:t>
            </w:r>
          </w:p>
        </w:tc>
        <w:tc>
          <w:tcPr>
            <w:tcW w:w="2239" w:type="dxa"/>
            <w:noWrap w:val="0"/>
            <w:vAlign w:val="center"/>
          </w:tcPr>
          <w:p w14:paraId="760E6576">
            <w:pPr>
              <w:adjustRightInd w:val="0"/>
              <w:snapToGrid w:val="0"/>
              <w:jc w:val="center"/>
              <w:rPr>
                <w:rFonts w:hint="default" w:ascii="Times New Roman" w:hAnsi="Times New Roman" w:eastAsia="宋体" w:cs="Times New Roman"/>
                <w:color w:val="auto"/>
                <w:spacing w:val="0"/>
                <w:szCs w:val="21"/>
                <w:highlight w:val="none"/>
                <w:lang w:val="en-US" w:eastAsia="zh-CN"/>
              </w:rPr>
            </w:pPr>
          </w:p>
        </w:tc>
        <w:tc>
          <w:tcPr>
            <w:tcW w:w="2061" w:type="dxa"/>
            <w:noWrap w:val="0"/>
            <w:vAlign w:val="center"/>
          </w:tcPr>
          <w:p w14:paraId="3CC7C1EB">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联系方式</w:t>
            </w:r>
          </w:p>
        </w:tc>
        <w:tc>
          <w:tcPr>
            <w:tcW w:w="2639" w:type="dxa"/>
            <w:noWrap w:val="0"/>
            <w:vAlign w:val="center"/>
          </w:tcPr>
          <w:p w14:paraId="2BEE73DD">
            <w:pPr>
              <w:adjustRightInd w:val="0"/>
              <w:snapToGrid w:val="0"/>
              <w:jc w:val="center"/>
              <w:rPr>
                <w:rFonts w:hint="default" w:ascii="Times New Roman" w:hAnsi="Times New Roman" w:eastAsia="宋体" w:cs="Times New Roman"/>
                <w:color w:val="auto"/>
                <w:spacing w:val="0"/>
                <w:szCs w:val="21"/>
                <w:highlight w:val="none"/>
                <w:lang w:val="en-US" w:eastAsia="zh-CN"/>
              </w:rPr>
            </w:pPr>
          </w:p>
        </w:tc>
      </w:tr>
      <w:tr w14:paraId="123BC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7377E966">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建设地点</w:t>
            </w:r>
          </w:p>
        </w:tc>
        <w:tc>
          <w:tcPr>
            <w:tcW w:w="6939" w:type="dxa"/>
            <w:gridSpan w:val="3"/>
            <w:noWrap w:val="0"/>
            <w:vAlign w:val="center"/>
          </w:tcPr>
          <w:p w14:paraId="2D2063BE">
            <w:pPr>
              <w:adjustRightInd w:val="0"/>
              <w:snapToGrid w:val="0"/>
              <w:jc w:val="center"/>
              <w:rPr>
                <w:rFonts w:hint="eastAsia" w:cs="Times New Roman"/>
                <w:color w:val="auto"/>
                <w:spacing w:val="0"/>
                <w:szCs w:val="21"/>
                <w:highlight w:val="none"/>
                <w:lang w:val="en-US" w:eastAsia="zh-CN"/>
              </w:rPr>
            </w:pPr>
            <w:r>
              <w:rPr>
                <w:rFonts w:hint="default" w:ascii="Times New Roman" w:hAnsi="Times New Roman" w:cs="Times New Roman"/>
                <w:color w:val="auto"/>
                <w:spacing w:val="0"/>
                <w:szCs w:val="21"/>
                <w:highlight w:val="none"/>
                <w:lang w:eastAsia="zh-CN"/>
              </w:rPr>
              <w:t>山西省长治市</w:t>
            </w:r>
            <w:r>
              <w:rPr>
                <w:rFonts w:hint="eastAsia" w:ascii="Times New Roman" w:hAnsi="Times New Roman" w:cs="Times New Roman"/>
                <w:color w:val="auto"/>
                <w:spacing w:val="0"/>
                <w:szCs w:val="21"/>
                <w:highlight w:val="none"/>
                <w:lang w:eastAsia="zh-CN"/>
              </w:rPr>
              <w:t>长子县</w:t>
            </w:r>
            <w:r>
              <w:rPr>
                <w:rFonts w:hint="eastAsia" w:cs="Times New Roman"/>
                <w:color w:val="auto"/>
                <w:spacing w:val="0"/>
                <w:szCs w:val="21"/>
                <w:highlight w:val="none"/>
                <w:lang w:val="en-US" w:eastAsia="zh-CN"/>
              </w:rPr>
              <w:t>慈林镇布村东北侧390m处</w:t>
            </w:r>
          </w:p>
          <w:p w14:paraId="6198BFBD">
            <w:pPr>
              <w:adjustRightInd w:val="0"/>
              <w:snapToGrid w:val="0"/>
              <w:jc w:val="center"/>
              <w:rPr>
                <w:rFonts w:hint="default" w:ascii="Times New Roman" w:hAnsi="Times New Roman" w:cs="Times New Roman"/>
                <w:color w:val="auto"/>
                <w:spacing w:val="0"/>
                <w:szCs w:val="21"/>
                <w:highlight w:val="none"/>
                <w:lang w:val="en-US"/>
              </w:rPr>
            </w:pPr>
            <w:r>
              <w:rPr>
                <w:rFonts w:hint="eastAsia" w:cs="Times New Roman"/>
                <w:color w:val="auto"/>
                <w:spacing w:val="0"/>
                <w:szCs w:val="21"/>
                <w:highlight w:val="none"/>
                <w:lang w:val="en-US" w:eastAsia="zh-CN"/>
              </w:rPr>
              <w:t>（赵庄二号井东风井厂区内）</w:t>
            </w:r>
          </w:p>
        </w:tc>
      </w:tr>
      <w:tr w14:paraId="71784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5DD99CD4">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地理坐标</w:t>
            </w:r>
          </w:p>
        </w:tc>
        <w:tc>
          <w:tcPr>
            <w:tcW w:w="6939" w:type="dxa"/>
            <w:gridSpan w:val="3"/>
            <w:noWrap w:val="0"/>
            <w:vAlign w:val="center"/>
          </w:tcPr>
          <w:p w14:paraId="49092BAC">
            <w:pPr>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度</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分</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秒</w:t>
            </w:r>
            <w:r>
              <w:rPr>
                <w:rFonts w:hint="default"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度</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分</w:t>
            </w:r>
            <w:r>
              <w:rPr>
                <w:rFonts w:hint="default" w:ascii="Times New Roman" w:hAnsi="Times New Roman" w:cs="Times New Roman"/>
                <w:color w:val="auto"/>
                <w:spacing w:val="0"/>
                <w:szCs w:val="21"/>
                <w:highlight w:val="none"/>
                <w:u w:val="single"/>
              </w:rPr>
              <w:t xml:space="preserve">  </w:t>
            </w:r>
            <w:r>
              <w:rPr>
                <w:rFonts w:hint="default" w:ascii="Times New Roman" w:hAnsi="Times New Roman" w:cs="Times New Roman"/>
                <w:color w:val="auto"/>
                <w:spacing w:val="0"/>
                <w:szCs w:val="21"/>
                <w:highlight w:val="none"/>
              </w:rPr>
              <w:t>秒）</w:t>
            </w:r>
          </w:p>
        </w:tc>
      </w:tr>
      <w:tr w14:paraId="0A246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1" w:type="dxa"/>
            <w:gridSpan w:val="2"/>
            <w:noWrap w:val="0"/>
            <w:tcMar>
              <w:top w:w="16" w:type="dxa"/>
              <w:left w:w="16" w:type="dxa"/>
              <w:right w:w="16" w:type="dxa"/>
            </w:tcMar>
            <w:vAlign w:val="center"/>
          </w:tcPr>
          <w:p w14:paraId="6248F92C">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国民经济</w:t>
            </w:r>
          </w:p>
          <w:p w14:paraId="21A0EB18">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行业类别</w:t>
            </w:r>
          </w:p>
        </w:tc>
        <w:tc>
          <w:tcPr>
            <w:tcW w:w="2239" w:type="dxa"/>
            <w:noWrap w:val="0"/>
            <w:vAlign w:val="center"/>
          </w:tcPr>
          <w:p w14:paraId="1BFB351B">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C3039 其他建筑材料制造</w:t>
            </w:r>
          </w:p>
        </w:tc>
        <w:tc>
          <w:tcPr>
            <w:tcW w:w="2061" w:type="dxa"/>
            <w:noWrap w:val="0"/>
            <w:vAlign w:val="center"/>
          </w:tcPr>
          <w:p w14:paraId="4844D4B3">
            <w:pPr>
              <w:adjustRightInd w:val="0"/>
              <w:snapToGrid w:val="0"/>
              <w:jc w:val="center"/>
              <w:rPr>
                <w:rFonts w:hint="default" w:ascii="Times New Roman" w:hAnsi="Times New Roman" w:eastAsia="宋体" w:cs="Times New Roman"/>
                <w:color w:val="auto"/>
                <w:spacing w:val="0"/>
                <w:szCs w:val="21"/>
                <w:highlight w:val="none"/>
              </w:rPr>
            </w:pPr>
            <w:r>
              <w:rPr>
                <w:rFonts w:hint="eastAsia" w:ascii="Times New Roman" w:hAnsi="Times New Roman" w:eastAsia="宋体" w:cs="Times New Roman"/>
                <w:color w:val="auto"/>
                <w:spacing w:val="0"/>
                <w:szCs w:val="21"/>
                <w:highlight w:val="none"/>
              </w:rPr>
              <w:t>建设项目</w:t>
            </w:r>
          </w:p>
          <w:p w14:paraId="03317885">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rPr>
              <w:t>行业类别</w:t>
            </w:r>
          </w:p>
        </w:tc>
        <w:tc>
          <w:tcPr>
            <w:tcW w:w="2639" w:type="dxa"/>
            <w:noWrap w:val="0"/>
            <w:vAlign w:val="center"/>
          </w:tcPr>
          <w:p w14:paraId="6B7D9ACB">
            <w:pPr>
              <w:keepNext w:val="0"/>
              <w:keepLines w:val="0"/>
              <w:pageBreakBefore w:val="0"/>
              <w:widowControl w:val="0"/>
              <w:kinsoku/>
              <w:wordWrap/>
              <w:overflowPunct/>
              <w:topLinePunct w:val="0"/>
              <w:autoSpaceDE/>
              <w:autoSpaceDN/>
              <w:bidi w:val="0"/>
              <w:adjustRightInd w:val="0"/>
              <w:snapToGrid w:val="0"/>
              <w:ind w:left="0" w:firstLine="0" w:firstLineChars="0"/>
              <w:jc w:val="both"/>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二十七、非金属矿物制品业—56、砖瓦、石材等建筑材料制造 303—其他建筑材料制造</w:t>
            </w:r>
          </w:p>
        </w:tc>
      </w:tr>
      <w:tr w14:paraId="704D5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1" w:type="dxa"/>
            <w:gridSpan w:val="2"/>
            <w:noWrap w:val="0"/>
            <w:tcMar>
              <w:top w:w="16" w:type="dxa"/>
              <w:left w:w="16" w:type="dxa"/>
              <w:right w:w="16" w:type="dxa"/>
            </w:tcMar>
            <w:vAlign w:val="center"/>
          </w:tcPr>
          <w:p w14:paraId="451BCBEE">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建设性质</w:t>
            </w:r>
          </w:p>
        </w:tc>
        <w:tc>
          <w:tcPr>
            <w:tcW w:w="2239" w:type="dxa"/>
            <w:noWrap w:val="0"/>
            <w:vAlign w:val="center"/>
          </w:tcPr>
          <w:p w14:paraId="3DD646A2">
            <w:pPr>
              <w:jc w:val="left"/>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新建（迁建）</w:t>
            </w:r>
          </w:p>
          <w:p w14:paraId="79ECE06A">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改建</w:t>
            </w:r>
          </w:p>
          <w:p w14:paraId="08C59B23">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扩建</w:t>
            </w:r>
          </w:p>
          <w:p w14:paraId="7F765D1D">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技术改造</w:t>
            </w:r>
          </w:p>
        </w:tc>
        <w:tc>
          <w:tcPr>
            <w:tcW w:w="2061" w:type="dxa"/>
            <w:noWrap w:val="0"/>
            <w:vAlign w:val="center"/>
          </w:tcPr>
          <w:p w14:paraId="00765CD6">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建设项目</w:t>
            </w:r>
          </w:p>
          <w:p w14:paraId="7F72AB37">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申报情形</w:t>
            </w:r>
          </w:p>
        </w:tc>
        <w:tc>
          <w:tcPr>
            <w:tcW w:w="2639" w:type="dxa"/>
            <w:noWrap w:val="0"/>
            <w:vAlign w:val="center"/>
          </w:tcPr>
          <w:p w14:paraId="39B5FD04">
            <w:pPr>
              <w:jc w:val="left"/>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首次申报项目</w:t>
            </w:r>
          </w:p>
          <w:p w14:paraId="4A42F1E4">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不予批准后再次申报项目</w:t>
            </w:r>
          </w:p>
          <w:p w14:paraId="795D0AE7">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超五年重新审核项目</w:t>
            </w:r>
          </w:p>
          <w:p w14:paraId="741F91AC">
            <w:pPr>
              <w:jc w:val="left"/>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重大变动重新报批项目</w:t>
            </w:r>
          </w:p>
        </w:tc>
      </w:tr>
      <w:tr w14:paraId="534A8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1" w:type="dxa"/>
            <w:gridSpan w:val="2"/>
            <w:noWrap w:val="0"/>
            <w:tcMar>
              <w:top w:w="16" w:type="dxa"/>
              <w:left w:w="16" w:type="dxa"/>
              <w:right w:w="16" w:type="dxa"/>
            </w:tcMar>
            <w:vAlign w:val="center"/>
          </w:tcPr>
          <w:p w14:paraId="4E2CBCF2">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项目审批（备案）部门（选填）</w:t>
            </w:r>
          </w:p>
        </w:tc>
        <w:tc>
          <w:tcPr>
            <w:tcW w:w="2239" w:type="dxa"/>
            <w:noWrap w:val="0"/>
            <w:vAlign w:val="center"/>
          </w:tcPr>
          <w:p w14:paraId="4826D4CB">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长子县行政审批服务管理局</w:t>
            </w:r>
          </w:p>
        </w:tc>
        <w:tc>
          <w:tcPr>
            <w:tcW w:w="2061" w:type="dxa"/>
            <w:noWrap w:val="0"/>
            <w:vAlign w:val="center"/>
          </w:tcPr>
          <w:p w14:paraId="19BAC2D4">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项目审批（核准/</w:t>
            </w:r>
          </w:p>
          <w:p w14:paraId="0AC2F893">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备案）文号（选填）</w:t>
            </w:r>
          </w:p>
        </w:tc>
        <w:tc>
          <w:tcPr>
            <w:tcW w:w="2639" w:type="dxa"/>
            <w:noWrap w:val="0"/>
            <w:vAlign w:val="center"/>
          </w:tcPr>
          <w:p w14:paraId="4D5E220E">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lang w:val="en-US" w:eastAsia="zh-CN"/>
              </w:rPr>
              <w:t>2503-140428-89-05-865082</w:t>
            </w:r>
          </w:p>
        </w:tc>
      </w:tr>
      <w:tr w14:paraId="100B7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1" w:type="dxa"/>
            <w:gridSpan w:val="2"/>
            <w:noWrap w:val="0"/>
            <w:tcMar>
              <w:top w:w="16" w:type="dxa"/>
              <w:left w:w="16" w:type="dxa"/>
              <w:right w:w="16" w:type="dxa"/>
            </w:tcMar>
            <w:vAlign w:val="center"/>
          </w:tcPr>
          <w:p w14:paraId="5B7DB65A">
            <w:pPr>
              <w:adjustRightInd w:val="0"/>
              <w:snapToGrid w:val="0"/>
              <w:jc w:val="center"/>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总投资（万元）</w:t>
            </w:r>
          </w:p>
        </w:tc>
        <w:tc>
          <w:tcPr>
            <w:tcW w:w="2239" w:type="dxa"/>
            <w:noWrap w:val="0"/>
            <w:vAlign w:val="center"/>
          </w:tcPr>
          <w:p w14:paraId="50D6C3B6">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1100.99</w:t>
            </w:r>
          </w:p>
        </w:tc>
        <w:tc>
          <w:tcPr>
            <w:tcW w:w="2061" w:type="dxa"/>
            <w:noWrap w:val="0"/>
            <w:tcMar>
              <w:top w:w="16" w:type="dxa"/>
              <w:left w:w="16" w:type="dxa"/>
              <w:right w:w="16" w:type="dxa"/>
            </w:tcMar>
            <w:vAlign w:val="center"/>
          </w:tcPr>
          <w:p w14:paraId="3F435EC8">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环保投资（万元）</w:t>
            </w:r>
          </w:p>
        </w:tc>
        <w:tc>
          <w:tcPr>
            <w:tcW w:w="2639" w:type="dxa"/>
            <w:noWrap w:val="0"/>
            <w:vAlign w:val="center"/>
          </w:tcPr>
          <w:p w14:paraId="38633BD7">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170</w:t>
            </w:r>
          </w:p>
        </w:tc>
      </w:tr>
      <w:tr w14:paraId="200A1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931" w:type="dxa"/>
            <w:gridSpan w:val="2"/>
            <w:noWrap w:val="0"/>
            <w:tcMar>
              <w:top w:w="16" w:type="dxa"/>
              <w:left w:w="16" w:type="dxa"/>
              <w:right w:w="16" w:type="dxa"/>
            </w:tcMar>
            <w:vAlign w:val="center"/>
          </w:tcPr>
          <w:p w14:paraId="2B17E5BF">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环保投资占比（%）</w:t>
            </w:r>
          </w:p>
        </w:tc>
        <w:tc>
          <w:tcPr>
            <w:tcW w:w="2239" w:type="dxa"/>
            <w:noWrap w:val="0"/>
            <w:vAlign w:val="center"/>
          </w:tcPr>
          <w:p w14:paraId="109F0B78">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15.44</w:t>
            </w:r>
            <w:r>
              <w:rPr>
                <w:rFonts w:hint="default" w:ascii="Times New Roman" w:hAnsi="Times New Roman" w:cs="Times New Roman"/>
                <w:color w:val="auto"/>
                <w:spacing w:val="0"/>
                <w:szCs w:val="21"/>
                <w:highlight w:val="none"/>
                <w:lang w:val="en-US" w:eastAsia="zh-CN"/>
              </w:rPr>
              <w:t>%</w:t>
            </w:r>
          </w:p>
        </w:tc>
        <w:tc>
          <w:tcPr>
            <w:tcW w:w="2061" w:type="dxa"/>
            <w:noWrap w:val="0"/>
            <w:tcMar>
              <w:top w:w="16" w:type="dxa"/>
              <w:left w:w="16" w:type="dxa"/>
              <w:right w:w="16" w:type="dxa"/>
            </w:tcMar>
            <w:vAlign w:val="center"/>
          </w:tcPr>
          <w:p w14:paraId="3344BDDC">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施工工期</w:t>
            </w:r>
          </w:p>
        </w:tc>
        <w:tc>
          <w:tcPr>
            <w:tcW w:w="2639" w:type="dxa"/>
            <w:noWrap w:val="0"/>
            <w:vAlign w:val="center"/>
          </w:tcPr>
          <w:p w14:paraId="1B2A0E4D">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6</w:t>
            </w:r>
            <w:r>
              <w:rPr>
                <w:rFonts w:hint="default" w:ascii="Times New Roman" w:hAnsi="Times New Roman" w:cs="Times New Roman"/>
                <w:color w:val="auto"/>
                <w:spacing w:val="0"/>
                <w:szCs w:val="21"/>
                <w:highlight w:val="none"/>
                <w:lang w:val="en-US" w:eastAsia="zh-CN"/>
              </w:rPr>
              <w:t>个月</w:t>
            </w:r>
          </w:p>
        </w:tc>
      </w:tr>
      <w:tr w14:paraId="6A75F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1" w:type="dxa"/>
            <w:gridSpan w:val="2"/>
            <w:noWrap w:val="0"/>
            <w:tcMar>
              <w:top w:w="16" w:type="dxa"/>
              <w:left w:w="16" w:type="dxa"/>
              <w:right w:w="16" w:type="dxa"/>
            </w:tcMar>
            <w:vAlign w:val="center"/>
          </w:tcPr>
          <w:p w14:paraId="2CAF1353">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是否开工建设</w:t>
            </w:r>
          </w:p>
        </w:tc>
        <w:tc>
          <w:tcPr>
            <w:tcW w:w="2239" w:type="dxa"/>
            <w:noWrap w:val="0"/>
            <w:vAlign w:val="center"/>
          </w:tcPr>
          <w:p w14:paraId="2B50442D">
            <w:pPr>
              <w:adjustRightInd w:val="0"/>
              <w:snapToGrid w:val="0"/>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否</w:t>
            </w:r>
          </w:p>
          <w:p w14:paraId="6913BF58">
            <w:pPr>
              <w:adjustRightInd w:val="0"/>
              <w:snapToGrid w:val="0"/>
              <w:rPr>
                <w:rFonts w:hint="default" w:ascii="Times New Roman" w:hAnsi="Times New Roman" w:cs="Times New Roman"/>
                <w:color w:val="auto"/>
                <w:spacing w:val="0"/>
                <w:szCs w:val="21"/>
                <w:highlight w:val="none"/>
              </w:rPr>
            </w:pPr>
            <w:r>
              <w:rPr>
                <w:rFonts w:hint="eastAsia" w:ascii="Times New Roman" w:hAnsi="Times New Roman" w:cs="Times New Roman"/>
                <w:color w:val="auto"/>
                <w:spacing w:val="0"/>
                <w:szCs w:val="21"/>
                <w:highlight w:val="none"/>
                <w:lang w:eastAsia="zh-CN"/>
              </w:rPr>
              <w:t>□</w:t>
            </w:r>
            <w:r>
              <w:rPr>
                <w:rFonts w:hint="default" w:ascii="Times New Roman" w:hAnsi="Times New Roman" w:cs="Times New Roman"/>
                <w:color w:val="auto"/>
                <w:spacing w:val="0"/>
                <w:szCs w:val="21"/>
                <w:highlight w:val="none"/>
              </w:rPr>
              <w:t>是：</w:t>
            </w:r>
            <w:r>
              <w:rPr>
                <w:rFonts w:hint="default" w:ascii="Times New Roman" w:hAnsi="Times New Roman" w:cs="Times New Roman"/>
                <w:color w:val="auto"/>
                <w:spacing w:val="0"/>
                <w:szCs w:val="21"/>
                <w:highlight w:val="none"/>
                <w:u w:val="single"/>
              </w:rPr>
              <w:t xml:space="preserve">             </w:t>
            </w:r>
          </w:p>
        </w:tc>
        <w:tc>
          <w:tcPr>
            <w:tcW w:w="2061" w:type="dxa"/>
            <w:noWrap w:val="0"/>
            <w:tcMar>
              <w:top w:w="16" w:type="dxa"/>
              <w:left w:w="16" w:type="dxa"/>
              <w:right w:w="16" w:type="dxa"/>
            </w:tcMar>
            <w:vAlign w:val="center"/>
          </w:tcPr>
          <w:p w14:paraId="592D88FC">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用地（用海）</w:t>
            </w:r>
          </w:p>
          <w:p w14:paraId="4A771A5C">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面积（m</w:t>
            </w:r>
            <w:r>
              <w:rPr>
                <w:rFonts w:hint="default" w:ascii="Times New Roman" w:hAnsi="Times New Roman" w:cs="Times New Roman"/>
                <w:color w:val="auto"/>
                <w:spacing w:val="0"/>
                <w:szCs w:val="21"/>
                <w:highlight w:val="none"/>
                <w:vertAlign w:val="superscript"/>
              </w:rPr>
              <w:t>2</w:t>
            </w:r>
            <w:r>
              <w:rPr>
                <w:rFonts w:hint="default" w:ascii="Times New Roman" w:hAnsi="Times New Roman" w:cs="Times New Roman"/>
                <w:color w:val="auto"/>
                <w:spacing w:val="0"/>
                <w:szCs w:val="21"/>
                <w:highlight w:val="none"/>
              </w:rPr>
              <w:t>）</w:t>
            </w:r>
          </w:p>
        </w:tc>
        <w:tc>
          <w:tcPr>
            <w:tcW w:w="2639" w:type="dxa"/>
            <w:noWrap w:val="0"/>
            <w:vAlign w:val="center"/>
          </w:tcPr>
          <w:p w14:paraId="5260683D">
            <w:pPr>
              <w:adjustRightInd w:val="0"/>
              <w:snapToGrid w:val="0"/>
              <w:jc w:val="center"/>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4000</w:t>
            </w:r>
          </w:p>
        </w:tc>
      </w:tr>
      <w:tr w14:paraId="3575B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31" w:type="dxa"/>
            <w:gridSpan w:val="2"/>
            <w:noWrap w:val="0"/>
            <w:vAlign w:val="center"/>
          </w:tcPr>
          <w:p w14:paraId="37252C68">
            <w:pPr>
              <w:autoSpaceDE w:val="0"/>
              <w:autoSpaceDN w:val="0"/>
              <w:adjustRightInd w:val="0"/>
              <w:snapToGrid w:val="0"/>
              <w:jc w:val="center"/>
              <w:rPr>
                <w:rFonts w:hint="default" w:ascii="Times New Roman" w:hAnsi="Times New Roman" w:cs="Times New Roman"/>
                <w:color w:val="auto"/>
                <w:spacing w:val="0"/>
                <w:kern w:val="0"/>
                <w:szCs w:val="21"/>
                <w:highlight w:val="none"/>
              </w:rPr>
            </w:pPr>
            <w:r>
              <w:rPr>
                <w:rFonts w:hint="default" w:ascii="Times New Roman" w:hAnsi="Times New Roman" w:cs="Times New Roman"/>
                <w:color w:val="auto"/>
                <w:spacing w:val="0"/>
                <w:kern w:val="0"/>
                <w:szCs w:val="21"/>
                <w:highlight w:val="none"/>
              </w:rPr>
              <w:t>专项评价设置情况</w:t>
            </w:r>
          </w:p>
        </w:tc>
        <w:tc>
          <w:tcPr>
            <w:tcW w:w="6939" w:type="dxa"/>
            <w:gridSpan w:val="3"/>
            <w:noWrap w:val="0"/>
            <w:vAlign w:val="center"/>
          </w:tcPr>
          <w:p w14:paraId="2BDD5C60">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pacing w:val="0"/>
                <w:kern w:val="0"/>
                <w:sz w:val="21"/>
                <w:szCs w:val="21"/>
                <w:highlight w:val="none"/>
                <w:lang w:val="en-US" w:eastAsia="zh-CN"/>
              </w:rPr>
              <w:t>无</w:t>
            </w:r>
          </w:p>
        </w:tc>
      </w:tr>
      <w:tr w14:paraId="53CD9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31" w:type="dxa"/>
            <w:gridSpan w:val="2"/>
            <w:noWrap w:val="0"/>
            <w:vAlign w:val="center"/>
          </w:tcPr>
          <w:p w14:paraId="24688CB9">
            <w:pPr>
              <w:autoSpaceDE w:val="0"/>
              <w:autoSpaceDN w:val="0"/>
              <w:adjustRightInd w:val="0"/>
              <w:snapToGrid w:val="0"/>
              <w:jc w:val="center"/>
              <w:rPr>
                <w:rFonts w:hint="default" w:ascii="Times New Roman" w:hAnsi="Times New Roman" w:cs="Times New Roman"/>
                <w:color w:val="auto"/>
                <w:spacing w:val="0"/>
                <w:kern w:val="0"/>
                <w:szCs w:val="21"/>
                <w:highlight w:val="none"/>
              </w:rPr>
            </w:pPr>
            <w:r>
              <w:rPr>
                <w:rFonts w:hint="default" w:ascii="Times New Roman" w:hAnsi="Times New Roman" w:cs="Times New Roman"/>
                <w:color w:val="auto"/>
                <w:spacing w:val="0"/>
                <w:szCs w:val="21"/>
                <w:highlight w:val="none"/>
              </w:rPr>
              <w:t>规划情况</w:t>
            </w:r>
          </w:p>
        </w:tc>
        <w:tc>
          <w:tcPr>
            <w:tcW w:w="6939" w:type="dxa"/>
            <w:gridSpan w:val="3"/>
            <w:noWrap w:val="0"/>
            <w:vAlign w:val="center"/>
          </w:tcPr>
          <w:p w14:paraId="43093C7E">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cs="Times New Roman"/>
                <w:color w:val="auto"/>
                <w:spacing w:val="0"/>
                <w:kern w:val="0"/>
                <w:sz w:val="21"/>
                <w:szCs w:val="21"/>
                <w:highlight w:val="none"/>
                <w:lang w:val="en-US" w:eastAsia="zh-CN"/>
              </w:rPr>
              <w:t>无</w:t>
            </w:r>
          </w:p>
        </w:tc>
      </w:tr>
      <w:tr w14:paraId="54603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31" w:type="dxa"/>
            <w:gridSpan w:val="2"/>
            <w:noWrap w:val="0"/>
            <w:vAlign w:val="center"/>
          </w:tcPr>
          <w:p w14:paraId="7742F125">
            <w:pPr>
              <w:adjustRightInd w:val="0"/>
              <w:snapToGrid w:val="0"/>
              <w:jc w:val="center"/>
              <w:rPr>
                <w:rFonts w:hint="default" w:ascii="Times New Roman" w:hAnsi="Times New Roman" w:cs="Times New Roman"/>
                <w:color w:val="auto"/>
                <w:spacing w:val="0"/>
                <w:szCs w:val="21"/>
                <w:highlight w:val="none"/>
              </w:rPr>
            </w:pPr>
            <w:r>
              <w:rPr>
                <w:rFonts w:hint="default" w:ascii="Times New Roman" w:hAnsi="Times New Roman" w:cs="Times New Roman"/>
                <w:color w:val="auto"/>
                <w:spacing w:val="0"/>
                <w:szCs w:val="21"/>
                <w:highlight w:val="none"/>
              </w:rPr>
              <w:t>规划环境影响</w:t>
            </w:r>
          </w:p>
          <w:p w14:paraId="16517FDB">
            <w:pPr>
              <w:adjustRightInd w:val="0"/>
              <w:snapToGrid w:val="0"/>
              <w:jc w:val="center"/>
              <w:rPr>
                <w:rFonts w:hint="default" w:ascii="Times New Roman" w:hAnsi="Times New Roman" w:cs="Times New Roman"/>
                <w:color w:val="auto"/>
                <w:spacing w:val="0"/>
                <w:kern w:val="0"/>
                <w:szCs w:val="21"/>
                <w:highlight w:val="none"/>
              </w:rPr>
            </w:pPr>
            <w:r>
              <w:rPr>
                <w:rFonts w:hint="default" w:ascii="Times New Roman" w:hAnsi="Times New Roman" w:cs="Times New Roman"/>
                <w:color w:val="auto"/>
                <w:spacing w:val="0"/>
                <w:szCs w:val="21"/>
                <w:highlight w:val="none"/>
              </w:rPr>
              <w:t>评价情况</w:t>
            </w:r>
          </w:p>
        </w:tc>
        <w:tc>
          <w:tcPr>
            <w:tcW w:w="6939" w:type="dxa"/>
            <w:gridSpan w:val="3"/>
            <w:noWrap w:val="0"/>
            <w:vAlign w:val="center"/>
          </w:tcPr>
          <w:p w14:paraId="234DD816">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cs="Times New Roman"/>
                <w:color w:val="auto"/>
                <w:spacing w:val="0"/>
                <w:kern w:val="0"/>
                <w:sz w:val="21"/>
                <w:szCs w:val="21"/>
                <w:highlight w:val="none"/>
                <w:lang w:val="en-US" w:eastAsia="zh-CN"/>
              </w:rPr>
              <w:t>无</w:t>
            </w:r>
          </w:p>
        </w:tc>
      </w:tr>
      <w:tr w14:paraId="3C6C7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31" w:type="dxa"/>
            <w:gridSpan w:val="2"/>
            <w:noWrap w:val="0"/>
            <w:vAlign w:val="center"/>
          </w:tcPr>
          <w:p w14:paraId="197458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cs="Times New Roman"/>
                <w:color w:val="auto"/>
                <w:spacing w:val="0"/>
                <w:kern w:val="0"/>
                <w:szCs w:val="21"/>
                <w:highlight w:val="none"/>
              </w:rPr>
              <w:t>规划及规划环境影响评价符合性分析</w:t>
            </w:r>
          </w:p>
        </w:tc>
        <w:tc>
          <w:tcPr>
            <w:tcW w:w="6939" w:type="dxa"/>
            <w:gridSpan w:val="3"/>
            <w:noWrap w:val="0"/>
            <w:vAlign w:val="center"/>
          </w:tcPr>
          <w:p w14:paraId="29A16B1E">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w:t>
            </w:r>
          </w:p>
        </w:tc>
      </w:tr>
      <w:tr w14:paraId="53C98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56" w:type="dxa"/>
            <w:noWrap w:val="0"/>
            <w:vAlign w:val="center"/>
          </w:tcPr>
          <w:p w14:paraId="538DD827">
            <w:pPr>
              <w:autoSpaceDE w:val="0"/>
              <w:autoSpaceDN w:val="0"/>
              <w:adjustRightInd w:val="0"/>
              <w:snapToGrid w:val="0"/>
              <w:jc w:val="center"/>
              <w:rPr>
                <w:rFonts w:hint="default" w:ascii="Times New Roman" w:hAnsi="Times New Roman" w:cs="Times New Roman"/>
                <w:color w:val="auto"/>
                <w:spacing w:val="0"/>
                <w:kern w:val="0"/>
                <w:szCs w:val="21"/>
                <w:highlight w:val="none"/>
              </w:rPr>
            </w:pPr>
            <w:r>
              <w:rPr>
                <w:rFonts w:hint="default" w:ascii="Times New Roman" w:hAnsi="Times New Roman" w:cs="Times New Roman"/>
                <w:color w:val="auto"/>
                <w:spacing w:val="0"/>
                <w:kern w:val="0"/>
                <w:szCs w:val="21"/>
                <w:highlight w:val="none"/>
              </w:rPr>
              <w:t>其他符合性分析</w:t>
            </w:r>
          </w:p>
        </w:tc>
        <w:tc>
          <w:tcPr>
            <w:tcW w:w="7814" w:type="dxa"/>
            <w:gridSpan w:val="4"/>
            <w:noWrap w:val="0"/>
            <w:vAlign w:val="center"/>
          </w:tcPr>
          <w:p w14:paraId="67228B74">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rPr>
              <w:t>1.</w:t>
            </w:r>
            <w:r>
              <w:rPr>
                <w:rFonts w:hint="eastAsia" w:cs="Times New Roman"/>
                <w:b/>
                <w:bCs/>
                <w:color w:val="auto"/>
                <w:spacing w:val="0"/>
                <w:kern w:val="0"/>
                <w:sz w:val="24"/>
                <w:szCs w:val="24"/>
                <w:highlight w:val="none"/>
                <w:lang w:val="en-US" w:eastAsia="zh-CN"/>
              </w:rPr>
              <w:t>1</w:t>
            </w:r>
            <w:r>
              <w:rPr>
                <w:rFonts w:hint="default" w:ascii="Times New Roman" w:hAnsi="Times New Roman" w:eastAsia="宋体" w:cs="Times New Roman"/>
                <w:b/>
                <w:bCs/>
                <w:color w:val="auto"/>
                <w:spacing w:val="0"/>
                <w:kern w:val="0"/>
                <w:sz w:val="24"/>
                <w:szCs w:val="24"/>
                <w:highlight w:val="none"/>
                <w:lang w:val="en-US" w:eastAsia="zh-CN"/>
              </w:rPr>
              <w:t xml:space="preserve"> </w:t>
            </w:r>
            <w:r>
              <w:rPr>
                <w:rFonts w:hint="default" w:ascii="Times New Roman" w:hAnsi="Times New Roman" w:eastAsia="宋体" w:cs="Times New Roman"/>
                <w:b/>
                <w:bCs/>
                <w:color w:val="auto"/>
                <w:spacing w:val="0"/>
                <w:kern w:val="0"/>
                <w:sz w:val="24"/>
                <w:szCs w:val="24"/>
                <w:highlight w:val="none"/>
                <w:lang w:eastAsia="zh-CN"/>
              </w:rPr>
              <w:t>“</w:t>
            </w:r>
            <w:r>
              <w:rPr>
                <w:rFonts w:hint="default" w:ascii="Times New Roman" w:hAnsi="Times New Roman" w:eastAsia="宋体" w:cs="Times New Roman"/>
                <w:b/>
                <w:bCs/>
                <w:color w:val="auto"/>
                <w:spacing w:val="0"/>
                <w:kern w:val="0"/>
                <w:sz w:val="24"/>
                <w:szCs w:val="24"/>
                <w:highlight w:val="none"/>
              </w:rPr>
              <w:t>三线一单</w:t>
            </w:r>
            <w:r>
              <w:rPr>
                <w:rFonts w:hint="default" w:ascii="Times New Roman" w:hAnsi="Times New Roman" w:eastAsia="宋体" w:cs="Times New Roman"/>
                <w:b/>
                <w:bCs/>
                <w:color w:val="auto"/>
                <w:spacing w:val="0"/>
                <w:kern w:val="0"/>
                <w:sz w:val="24"/>
                <w:szCs w:val="24"/>
                <w:highlight w:val="none"/>
                <w:lang w:eastAsia="zh-CN"/>
              </w:rPr>
              <w:t>”</w:t>
            </w:r>
            <w:r>
              <w:rPr>
                <w:rFonts w:hint="default" w:ascii="Times New Roman" w:hAnsi="Times New Roman" w:eastAsia="宋体" w:cs="Times New Roman"/>
                <w:b/>
                <w:bCs/>
                <w:color w:val="auto"/>
                <w:spacing w:val="0"/>
                <w:kern w:val="0"/>
                <w:sz w:val="24"/>
                <w:szCs w:val="24"/>
                <w:highlight w:val="none"/>
              </w:rPr>
              <w:t>符合性分析</w:t>
            </w:r>
          </w:p>
          <w:p w14:paraId="04A4184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lang w:val="zh-CN" w:eastAsia="zh-CN"/>
              </w:rPr>
              <w:t>根据</w:t>
            </w:r>
            <w:r>
              <w:rPr>
                <w:rFonts w:hint="default" w:ascii="Times New Roman" w:hAnsi="Times New Roman" w:eastAsia="宋体" w:cs="Times New Roman"/>
                <w:color w:val="auto"/>
                <w:spacing w:val="0"/>
                <w:kern w:val="0"/>
                <w:sz w:val="24"/>
                <w:szCs w:val="24"/>
                <w:highlight w:val="none"/>
                <w:lang w:val="en-US" w:eastAsia="zh-CN"/>
              </w:rPr>
              <w:t>生态环境</w:t>
            </w:r>
            <w:r>
              <w:rPr>
                <w:rFonts w:hint="default" w:ascii="Times New Roman" w:hAnsi="Times New Roman" w:eastAsia="宋体" w:cs="Times New Roman"/>
                <w:color w:val="auto"/>
                <w:spacing w:val="0"/>
                <w:kern w:val="0"/>
                <w:sz w:val="24"/>
                <w:szCs w:val="24"/>
                <w:highlight w:val="none"/>
                <w:lang w:val="zh-CN" w:eastAsia="zh-CN"/>
              </w:rPr>
              <w:t>部颁布的《关于以改善环境质量为核心加强环境影响评价管理的通知》</w:t>
            </w:r>
            <w:r>
              <w:rPr>
                <w:rFonts w:hint="default" w:ascii="Times New Roman" w:hAnsi="Times New Roman" w:cs="Times New Roman"/>
                <w:bCs/>
                <w:color w:val="auto"/>
                <w:spacing w:val="0"/>
                <w:sz w:val="24"/>
                <w:highlight w:val="none"/>
              </w:rPr>
              <w:t>（环环评[2016]150号）</w:t>
            </w:r>
            <w:r>
              <w:rPr>
                <w:rFonts w:hint="default" w:ascii="Times New Roman" w:hAnsi="Times New Roman" w:eastAsia="宋体" w:cs="Times New Roman"/>
                <w:color w:val="auto"/>
                <w:spacing w:val="0"/>
                <w:kern w:val="0"/>
                <w:sz w:val="24"/>
                <w:szCs w:val="24"/>
                <w:highlight w:val="none"/>
                <w:lang w:val="zh-CN" w:eastAsia="zh-CN"/>
              </w:rPr>
              <w:t>，三线一单中的三线是指“生态保护红线、环境质量底线、资源利用上线”，“一单”就是环境准入负面清单。本项目与“三线一单”的符合性分析如下：</w:t>
            </w:r>
          </w:p>
          <w:p w14:paraId="331AAFD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rPr>
              <w:t>1</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rPr>
              <w:t>生态保护红线</w:t>
            </w:r>
          </w:p>
          <w:p w14:paraId="770E960B">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◆与</w:t>
            </w:r>
            <w:r>
              <w:rPr>
                <w:rFonts w:hint="eastAsia" w:cs="Times New Roman"/>
                <w:b/>
                <w:bCs/>
                <w:color w:val="auto"/>
                <w:spacing w:val="0"/>
                <w:kern w:val="0"/>
                <w:sz w:val="24"/>
                <w:szCs w:val="24"/>
                <w:highlight w:val="none"/>
                <w:lang w:val="en-US" w:eastAsia="zh-CN"/>
              </w:rPr>
              <w:t>《</w:t>
            </w:r>
            <w:r>
              <w:rPr>
                <w:rFonts w:hint="default" w:ascii="Times New Roman" w:hAnsi="Times New Roman" w:eastAsia="宋体" w:cs="Times New Roman"/>
                <w:b/>
                <w:bCs/>
                <w:color w:val="auto"/>
                <w:spacing w:val="0"/>
                <w:kern w:val="0"/>
                <w:sz w:val="24"/>
                <w:szCs w:val="24"/>
                <w:highlight w:val="none"/>
                <w:lang w:val="en-US" w:eastAsia="zh-CN"/>
              </w:rPr>
              <w:t>长治市“三线一单”生态环境分区管控</w:t>
            </w:r>
            <w:r>
              <w:rPr>
                <w:rFonts w:hint="eastAsia" w:cs="Times New Roman"/>
                <w:b/>
                <w:bCs/>
                <w:color w:val="auto"/>
                <w:spacing w:val="0"/>
                <w:kern w:val="0"/>
                <w:sz w:val="24"/>
                <w:szCs w:val="24"/>
                <w:highlight w:val="none"/>
                <w:lang w:val="en-US" w:eastAsia="zh-CN"/>
              </w:rPr>
              <w:t>实施方案》</w:t>
            </w:r>
            <w:r>
              <w:rPr>
                <w:rFonts w:hint="default" w:ascii="Times New Roman" w:hAnsi="Times New Roman" w:eastAsia="宋体" w:cs="Times New Roman"/>
                <w:b/>
                <w:bCs/>
                <w:color w:val="auto"/>
                <w:spacing w:val="0"/>
                <w:kern w:val="0"/>
                <w:sz w:val="24"/>
                <w:szCs w:val="24"/>
                <w:highlight w:val="none"/>
                <w:lang w:val="en-US" w:eastAsia="zh-CN"/>
              </w:rPr>
              <w:t>符合性分析</w:t>
            </w:r>
          </w:p>
          <w:p w14:paraId="160E55A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根据《长治市人民政府关于印发长治市“三线一单”生态环境分区管控实施方案的通知》、《山西省生态环境分区管控成果动态更新工作方案》（晋环函</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2023</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149号）、“长治市2023年度生态环境分区管控动态更新成果公告”，山西省生态环境分区管控信息平台“三线一单”综合查询结果，本项目位于“一般管控单元”，管控单元编码：ZH14042830001</w:t>
            </w:r>
            <w:r>
              <w:rPr>
                <w:rFonts w:hint="eastAsia" w:cs="Times New Roman"/>
                <w:color w:val="auto"/>
                <w:sz w:val="24"/>
                <w:highlight w:val="none"/>
                <w:lang w:val="en-US" w:eastAsia="zh-CN"/>
              </w:rPr>
              <w:t>。</w:t>
            </w:r>
          </w:p>
          <w:p w14:paraId="1209D67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eastAsia" w:ascii="Times New Roman" w:hAnsi="Times New Roman" w:cs="Times New Roman"/>
                <w:color w:val="auto"/>
                <w:spacing w:val="0"/>
                <w:sz w:val="24"/>
                <w:highlight w:val="none"/>
                <w:lang w:val="en-US" w:eastAsia="zh-CN"/>
              </w:rPr>
              <w:t>符合性分析见表1.</w:t>
            </w:r>
            <w:r>
              <w:rPr>
                <w:rFonts w:hint="eastAsia" w:cs="Times New Roman"/>
                <w:color w:val="auto"/>
                <w:spacing w:val="0"/>
                <w:sz w:val="24"/>
                <w:highlight w:val="none"/>
                <w:lang w:val="en-US" w:eastAsia="zh-CN"/>
              </w:rPr>
              <w:t>1</w:t>
            </w:r>
            <w:r>
              <w:rPr>
                <w:rFonts w:hint="eastAsia" w:ascii="Times New Roman" w:hAnsi="Times New Roman" w:cs="Times New Roman"/>
                <w:color w:val="auto"/>
                <w:spacing w:val="0"/>
                <w:sz w:val="24"/>
                <w:highlight w:val="none"/>
                <w:lang w:val="en-US" w:eastAsia="zh-CN"/>
              </w:rPr>
              <w:t>-1~表1.</w:t>
            </w:r>
            <w:r>
              <w:rPr>
                <w:rFonts w:hint="eastAsia" w:cs="Times New Roman"/>
                <w:color w:val="auto"/>
                <w:spacing w:val="0"/>
                <w:sz w:val="24"/>
                <w:highlight w:val="none"/>
                <w:lang w:val="en-US" w:eastAsia="zh-CN"/>
              </w:rPr>
              <w:t>1</w:t>
            </w:r>
            <w:r>
              <w:rPr>
                <w:rFonts w:hint="eastAsia" w:ascii="Times New Roman" w:hAnsi="Times New Roman" w:cs="Times New Roman"/>
                <w:color w:val="auto"/>
                <w:spacing w:val="0"/>
                <w:sz w:val="24"/>
                <w:highlight w:val="none"/>
                <w:lang w:val="en-US" w:eastAsia="zh-CN"/>
              </w:rPr>
              <w:t>-3</w:t>
            </w:r>
            <w:r>
              <w:rPr>
                <w:rFonts w:hint="eastAsia" w:cs="Times New Roman"/>
                <w:color w:val="auto"/>
                <w:spacing w:val="0"/>
                <w:sz w:val="24"/>
                <w:highlight w:val="none"/>
                <w:lang w:val="en-US" w:eastAsia="zh-CN"/>
              </w:rPr>
              <w:t>，长治市生态环境分区管控更新图集见附图5。</w:t>
            </w:r>
          </w:p>
          <w:p w14:paraId="1B5DE68D">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黑体" w:cs="Times New Roman"/>
                <w:iCs/>
                <w:snapToGrid w:val="0"/>
                <w:color w:val="auto"/>
                <w:spacing w:val="0"/>
                <w:kern w:val="0"/>
                <w:sz w:val="21"/>
                <w:szCs w:val="20"/>
                <w:highlight w:val="none"/>
                <w:lang w:val="en-US" w:eastAsia="zh-CN" w:bidi="ar-SA"/>
              </w:rPr>
              <w:t>表1</w:t>
            </w:r>
            <w:r>
              <w:rPr>
                <w:rFonts w:hint="eastAsia" w:ascii="Times New Roman" w:hAnsi="Times New Roman" w:eastAsia="黑体" w:cs="Times New Roman"/>
                <w:iCs/>
                <w:snapToGrid w:val="0"/>
                <w:color w:val="auto"/>
                <w:spacing w:val="0"/>
                <w:kern w:val="0"/>
                <w:sz w:val="21"/>
                <w:szCs w:val="20"/>
                <w:highlight w:val="none"/>
                <w:lang w:val="en-US" w:eastAsia="zh-CN" w:bidi="ar-SA"/>
              </w:rPr>
              <w:t>.</w:t>
            </w:r>
            <w:r>
              <w:rPr>
                <w:rFonts w:hint="eastAsia" w:eastAsia="黑体" w:cs="Times New Roman"/>
                <w:iCs/>
                <w:snapToGrid w:val="0"/>
                <w:color w:val="auto"/>
                <w:spacing w:val="0"/>
                <w:kern w:val="0"/>
                <w:sz w:val="21"/>
                <w:szCs w:val="20"/>
                <w:highlight w:val="none"/>
                <w:lang w:val="en-US" w:eastAsia="zh-CN" w:bidi="ar-SA"/>
              </w:rPr>
              <w:t>1</w:t>
            </w:r>
            <w:r>
              <w:rPr>
                <w:rFonts w:hint="eastAsia" w:ascii="Times New Roman" w:hAnsi="Times New Roman" w:eastAsia="黑体" w:cs="Times New Roman"/>
                <w:iCs/>
                <w:snapToGrid w:val="0"/>
                <w:color w:val="auto"/>
                <w:spacing w:val="0"/>
                <w:kern w:val="0"/>
                <w:sz w:val="21"/>
                <w:szCs w:val="20"/>
                <w:highlight w:val="none"/>
                <w:lang w:val="en-US" w:eastAsia="zh-CN" w:bidi="ar-SA"/>
              </w:rPr>
              <w:t>-1</w:t>
            </w:r>
            <w:r>
              <w:rPr>
                <w:rFonts w:hint="default" w:ascii="Times New Roman" w:hAnsi="Times New Roman" w:eastAsia="黑体" w:cs="Times New Roman"/>
                <w:iCs/>
                <w:snapToGrid w:val="0"/>
                <w:color w:val="auto"/>
                <w:spacing w:val="0"/>
                <w:kern w:val="0"/>
                <w:sz w:val="21"/>
                <w:szCs w:val="20"/>
                <w:highlight w:val="none"/>
                <w:lang w:val="en-US" w:eastAsia="zh-CN" w:bidi="ar-SA"/>
              </w:rPr>
              <w:t xml:space="preserve">  与长治市生态环境准入总体要求的符合性分析</w:t>
            </w:r>
          </w:p>
          <w:tbl>
            <w:tblPr>
              <w:tblStyle w:val="24"/>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538"/>
              <w:gridCol w:w="3728"/>
              <w:gridCol w:w="2445"/>
            </w:tblGrid>
            <w:tr w14:paraId="7D734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gridSpan w:val="2"/>
                  <w:noWrap w:val="0"/>
                  <w:vAlign w:val="center"/>
                </w:tcPr>
                <w:p w14:paraId="1EAB03B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管控类别</w:t>
                  </w:r>
                </w:p>
              </w:tc>
              <w:tc>
                <w:tcPr>
                  <w:tcW w:w="3728" w:type="dxa"/>
                  <w:noWrap w:val="0"/>
                  <w:vAlign w:val="center"/>
                </w:tcPr>
                <w:p w14:paraId="56FEC3F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管控要求</w:t>
                  </w:r>
                </w:p>
              </w:tc>
              <w:tc>
                <w:tcPr>
                  <w:tcW w:w="2445" w:type="dxa"/>
                  <w:noWrap w:val="0"/>
                  <w:vAlign w:val="center"/>
                </w:tcPr>
                <w:p w14:paraId="0D6FB5B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符合性分析</w:t>
                  </w:r>
                </w:p>
              </w:tc>
            </w:tr>
            <w:tr w14:paraId="0E953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gridSpan w:val="2"/>
                  <w:noWrap w:val="0"/>
                  <w:vAlign w:val="center"/>
                </w:tcPr>
                <w:p w14:paraId="155394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空间布局约束</w:t>
                  </w:r>
                </w:p>
              </w:tc>
              <w:tc>
                <w:tcPr>
                  <w:tcW w:w="3728" w:type="dxa"/>
                  <w:noWrap w:val="0"/>
                  <w:vAlign w:val="center"/>
                </w:tcPr>
                <w:p w14:paraId="0CFCAB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新建、改建、扩建“两高”项目须符合生态环境保护法律法规和相关法定规划，满足重点污染物排放总量控制、碳排放达峰目标、生态环境准入清单、相关规划环评和相应行业建设</w:t>
                  </w:r>
                  <w:r>
                    <w:rPr>
                      <w:rFonts w:hint="eastAsia" w:cs="Times New Roman"/>
                      <w:color w:val="auto"/>
                      <w:spacing w:val="0"/>
                      <w:sz w:val="21"/>
                      <w:szCs w:val="21"/>
                      <w:highlight w:val="none"/>
                      <w:lang w:val="en-US" w:eastAsia="zh-CN"/>
                    </w:rPr>
                    <w:t>项目</w:t>
                  </w:r>
                  <w:r>
                    <w:rPr>
                      <w:rFonts w:hint="default" w:ascii="Times New Roman" w:hAnsi="Times New Roman" w:eastAsia="宋体" w:cs="Times New Roman"/>
                      <w:color w:val="auto"/>
                      <w:spacing w:val="0"/>
                      <w:sz w:val="21"/>
                      <w:szCs w:val="21"/>
                      <w:highlight w:val="none"/>
                    </w:rPr>
                    <w:t>环境准入条件、环评文件审批原则要求。</w:t>
                  </w:r>
                </w:p>
                <w:p w14:paraId="4C2450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新建“两高”项目应按照《关于加强重点行业建设项目区域削减措施监督管理的通知》（环环评</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2021</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45号）要求，依据区域环境质量改善目标，制定配套区域污染物削减方案，采取有效的污染物区域削减措施，腾出足够的环境容量。</w:t>
                  </w:r>
                </w:p>
                <w:p w14:paraId="6D491CE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新建、扩建“两高”项目应采用先进适用的工艺技术和装备，单位产品物耗、能耗、水耗等达到清洁生产先进水平，依法制定并严格落实防治土壤与地下水污染的措施。</w:t>
                  </w:r>
                </w:p>
                <w:p w14:paraId="14E4A4F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对纳入生态保护红线的区域，原则上按照禁止开发区域进行管理，严格禁止开发性、生产性建设活动，在符合现行法律法规前提下，除国家重大战略项目外，仅允许对生态功能不造成破坏的有限人为活动。</w:t>
                  </w:r>
                </w:p>
                <w:p w14:paraId="79C6E0E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在禁养区内禁止新建规模化畜禽养殖项目。</w:t>
                  </w:r>
                </w:p>
                <w:p w14:paraId="7ECF4C4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14:paraId="5F2BE5E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7</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禁止在居民区和学校、医院、疗养院、养老院、幼儿园等单位周边新建、改建、扩建可能造成土壤污染的建设项目。</w:t>
                  </w:r>
                </w:p>
                <w:p w14:paraId="3718F3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8</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禁止</w:t>
                  </w:r>
                  <w:r>
                    <w:rPr>
                      <w:rFonts w:hint="eastAsia" w:cs="Times New Roman"/>
                      <w:color w:val="auto"/>
                      <w:spacing w:val="0"/>
                      <w:sz w:val="21"/>
                      <w:szCs w:val="21"/>
                      <w:highlight w:val="none"/>
                      <w:lang w:val="en-US" w:eastAsia="zh-CN"/>
                    </w:rPr>
                    <w:t>新增</w:t>
                  </w:r>
                  <w:r>
                    <w:rPr>
                      <w:rFonts w:hint="default" w:ascii="Times New Roman" w:hAnsi="Times New Roman" w:eastAsia="宋体" w:cs="Times New Roman"/>
                      <w:color w:val="auto"/>
                      <w:spacing w:val="0"/>
                      <w:sz w:val="21"/>
                      <w:szCs w:val="21"/>
                      <w:highlight w:val="none"/>
                    </w:rPr>
                    <w:t>钢铁、焦化、铸造、水泥、平板玻璃等产能；确有必要新建的，应当严格执行产能置换，符合区域、行业规划环评规定。</w:t>
                  </w:r>
                </w:p>
              </w:tc>
              <w:tc>
                <w:tcPr>
                  <w:tcW w:w="2445" w:type="dxa"/>
                  <w:noWrap w:val="0"/>
                  <w:vAlign w:val="center"/>
                </w:tcPr>
                <w:p w14:paraId="496334D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本项目属于地面注浆站建设项目</w:t>
                  </w:r>
                  <w:r>
                    <w:rPr>
                      <w:rFonts w:hint="eastAsia" w:ascii="Times New Roman" w:hAnsi="Times New Roman" w:eastAsia="宋体" w:cs="Times New Roman"/>
                      <w:color w:val="auto"/>
                      <w:spacing w:val="0"/>
                      <w:kern w:val="2"/>
                      <w:sz w:val="21"/>
                      <w:szCs w:val="21"/>
                      <w:highlight w:val="none"/>
                      <w:lang w:val="en-US" w:eastAsia="zh-CN" w:bidi="ar-SA"/>
                    </w:rPr>
                    <w:t>，</w:t>
                  </w:r>
                  <w:r>
                    <w:rPr>
                      <w:rFonts w:hint="default" w:ascii="Times New Roman" w:hAnsi="Times New Roman" w:eastAsia="宋体" w:cs="Times New Roman"/>
                      <w:color w:val="auto"/>
                      <w:spacing w:val="0"/>
                      <w:sz w:val="21"/>
                      <w:szCs w:val="21"/>
                      <w:highlight w:val="none"/>
                      <w:lang w:val="en-US" w:eastAsia="zh-CN"/>
                    </w:rPr>
                    <w:t>不属于“两高”项目</w:t>
                  </w:r>
                  <w:r>
                    <w:rPr>
                      <w:rFonts w:hint="eastAsia" w:ascii="Times New Roman" w:hAnsi="Times New Roman" w:eastAsia="宋体" w:cs="Times New Roman"/>
                      <w:color w:val="auto"/>
                      <w:spacing w:val="0"/>
                      <w:sz w:val="21"/>
                      <w:szCs w:val="21"/>
                      <w:highlight w:val="none"/>
                      <w:lang w:val="en-US" w:eastAsia="zh-CN"/>
                    </w:rPr>
                    <w:t>，不属于新增钢铁、焦化、铸造、水泥、平板玻璃项目，不属于规模化畜禽养殖项目。</w:t>
                  </w:r>
                </w:p>
                <w:p w14:paraId="47E431D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rPr>
                    <w:t>本项目采取了土壤</w:t>
                  </w:r>
                  <w:r>
                    <w:rPr>
                      <w:rFonts w:hint="eastAsia" w:ascii="Times New Roman" w:hAnsi="Times New Roman" w:eastAsia="宋体" w:cs="Times New Roman"/>
                      <w:color w:val="auto"/>
                      <w:spacing w:val="0"/>
                      <w:sz w:val="21"/>
                      <w:szCs w:val="21"/>
                      <w:highlight w:val="none"/>
                      <w:lang w:val="en-US" w:eastAsia="zh-CN"/>
                    </w:rPr>
                    <w:t>污染防治</w:t>
                  </w:r>
                  <w:r>
                    <w:rPr>
                      <w:rFonts w:hint="default" w:ascii="Times New Roman" w:hAnsi="Times New Roman" w:eastAsia="宋体" w:cs="Times New Roman"/>
                      <w:color w:val="auto"/>
                      <w:spacing w:val="0"/>
                      <w:sz w:val="21"/>
                      <w:szCs w:val="21"/>
                      <w:highlight w:val="none"/>
                      <w:lang w:val="en-US"/>
                    </w:rPr>
                    <w:t>措施，不会对周围土壤环境产生</w:t>
                  </w:r>
                  <w:r>
                    <w:rPr>
                      <w:rFonts w:hint="eastAsia" w:ascii="Times New Roman" w:hAnsi="Times New Roman" w:eastAsia="宋体" w:cs="Times New Roman"/>
                      <w:color w:val="auto"/>
                      <w:spacing w:val="0"/>
                      <w:sz w:val="21"/>
                      <w:szCs w:val="21"/>
                      <w:highlight w:val="none"/>
                      <w:lang w:val="en-US" w:eastAsia="zh-CN"/>
                    </w:rPr>
                    <w:t>明显</w:t>
                  </w:r>
                  <w:r>
                    <w:rPr>
                      <w:rFonts w:hint="default" w:ascii="Times New Roman" w:hAnsi="Times New Roman" w:eastAsia="宋体" w:cs="Times New Roman"/>
                      <w:color w:val="auto"/>
                      <w:spacing w:val="0"/>
                      <w:sz w:val="21"/>
                      <w:szCs w:val="21"/>
                      <w:highlight w:val="none"/>
                      <w:lang w:val="en-US"/>
                    </w:rPr>
                    <w:t>不利影响</w:t>
                  </w:r>
                  <w:r>
                    <w:rPr>
                      <w:rFonts w:hint="eastAsia" w:ascii="Times New Roman" w:hAnsi="Times New Roman" w:eastAsia="宋体" w:cs="Times New Roman"/>
                      <w:color w:val="auto"/>
                      <w:spacing w:val="0"/>
                      <w:sz w:val="21"/>
                      <w:szCs w:val="21"/>
                      <w:highlight w:val="none"/>
                      <w:lang w:val="en-US" w:eastAsia="zh-CN"/>
                    </w:rPr>
                    <w:t>。</w:t>
                  </w:r>
                </w:p>
                <w:p w14:paraId="6F02B35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根据《长子县国土空间总体规划（2021-2035）》，本项目不在生态保护红线划定范围内。</w:t>
                  </w:r>
                </w:p>
              </w:tc>
            </w:tr>
            <w:tr w14:paraId="64EA3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gridSpan w:val="2"/>
                  <w:noWrap w:val="0"/>
                  <w:vAlign w:val="center"/>
                </w:tcPr>
                <w:p w14:paraId="30414F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污染物排放管控</w:t>
                  </w:r>
                </w:p>
              </w:tc>
              <w:tc>
                <w:tcPr>
                  <w:tcW w:w="3728" w:type="dxa"/>
                  <w:noWrap w:val="0"/>
                  <w:vAlign w:val="center"/>
                </w:tcPr>
                <w:p w14:paraId="598D25F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污染物排放总量严格落实“十四五”相关目标指标。</w:t>
                  </w:r>
                </w:p>
                <w:p w14:paraId="28C7D4D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工业企业废水及生活污水（含浓盐水等清净下水）处理设施出水水质达到《污水综合排放标准》</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DB14/1928-2019</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要求，其它指标达行业特别排放限值，将废污水排入城镇排水设施的所有工业、医疗机构执行排水许可证要求。</w:t>
                  </w:r>
                </w:p>
                <w:p w14:paraId="510680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火电、炼钢行业执行超低排放标准。</w:t>
                  </w:r>
                </w:p>
                <w:p w14:paraId="5B3933B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焦化、水泥行业按要求完成超低排放改造，污染物排放执行超低排放标准。</w:t>
                  </w:r>
                </w:p>
                <w:p w14:paraId="7F2DDF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加强建筑施工扬尘动态监管，严格落实“六个百分之百”防治措施。</w:t>
                  </w:r>
                </w:p>
                <w:p w14:paraId="781BBEA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6</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贮存煤炭、</w:t>
                  </w:r>
                  <w:r>
                    <w:rPr>
                      <w:rFonts w:hint="default" w:ascii="Times New Roman" w:hAnsi="Times New Roman" w:eastAsia="宋体" w:cs="Times New Roman"/>
                      <w:color w:val="auto"/>
                      <w:spacing w:val="0"/>
                      <w:sz w:val="21"/>
                      <w:szCs w:val="21"/>
                      <w:highlight w:val="none"/>
                      <w:lang w:eastAsia="zh-CN"/>
                    </w:rPr>
                    <w:t>煤矸石</w:t>
                  </w:r>
                  <w:r>
                    <w:rPr>
                      <w:rFonts w:hint="default" w:ascii="Times New Roman" w:hAnsi="Times New Roman" w:eastAsia="宋体" w:cs="Times New Roman"/>
                      <w:color w:val="auto"/>
                      <w:spacing w:val="0"/>
                      <w:sz w:val="21"/>
                      <w:szCs w:val="21"/>
                      <w:highlight w:val="none"/>
                    </w:rPr>
                    <w:t>、煤渣、煤灰、水泥、石灰、石膏、砂土等易产生扬尘的物料应当密闭，并采取有效抑尘措施。</w:t>
                  </w:r>
                </w:p>
                <w:p w14:paraId="2A2CBAC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7</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运输煤炭、垃圾、渣土、砂石、土方、灰浆等散装、流体物料的车辆应当采取密闭或者其他措施防止物料遗撒造成扬尘污染，并按照规定路线行驶。</w:t>
                  </w:r>
                </w:p>
                <w:p w14:paraId="18A08A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8</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从事有色金属矿采选、有色金属冶炼、铅蓄电池制造、皮革及其制品制造、化学原料以及化学制品制造、电镀等的单位，应当执行重金属污染物排放总量控制制度。</w:t>
                  </w:r>
                </w:p>
              </w:tc>
              <w:tc>
                <w:tcPr>
                  <w:tcW w:w="2445" w:type="dxa"/>
                  <w:noWrap w:val="0"/>
                  <w:vAlign w:val="center"/>
                </w:tcPr>
                <w:p w14:paraId="0E3ACA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r>
                    <w:rPr>
                      <w:rFonts w:hint="eastAsia"/>
                      <w:bCs/>
                      <w:color w:val="auto"/>
                      <w:spacing w:val="0"/>
                      <w:szCs w:val="21"/>
                      <w:highlight w:val="none"/>
                      <w:lang w:bidi="ar"/>
                    </w:rPr>
                    <w:t>本项目</w:t>
                  </w:r>
                  <w:r>
                    <w:rPr>
                      <w:bCs/>
                      <w:color w:val="auto"/>
                      <w:spacing w:val="0"/>
                      <w:szCs w:val="21"/>
                      <w:highlight w:val="none"/>
                      <w:lang w:bidi="ar"/>
                    </w:rPr>
                    <w:t>污染物排放总量严格</w:t>
                  </w:r>
                  <w:r>
                    <w:rPr>
                      <w:rFonts w:hint="eastAsia"/>
                      <w:bCs/>
                      <w:color w:val="auto"/>
                      <w:spacing w:val="0"/>
                      <w:szCs w:val="21"/>
                      <w:highlight w:val="none"/>
                      <w:lang w:bidi="ar"/>
                    </w:rPr>
                    <w:t>执行</w:t>
                  </w:r>
                  <w:r>
                    <w:rPr>
                      <w:bCs/>
                      <w:color w:val="auto"/>
                      <w:spacing w:val="0"/>
                      <w:szCs w:val="21"/>
                      <w:highlight w:val="none"/>
                      <w:lang w:bidi="ar"/>
                    </w:rPr>
                    <w:t>“十四五”相关目标指标</w:t>
                  </w:r>
                  <w:r>
                    <w:rPr>
                      <w:rFonts w:hint="eastAsia"/>
                      <w:bCs/>
                      <w:color w:val="auto"/>
                      <w:spacing w:val="0"/>
                      <w:szCs w:val="21"/>
                      <w:highlight w:val="none"/>
                      <w:lang w:eastAsia="zh-CN" w:bidi="ar"/>
                    </w:rPr>
                    <w:t>。</w:t>
                  </w:r>
                </w:p>
                <w:p w14:paraId="12BBD49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2.本</w:t>
                  </w:r>
                  <w:r>
                    <w:rPr>
                      <w:rFonts w:hint="default" w:ascii="Times New Roman" w:hAnsi="Times New Roman" w:eastAsia="宋体" w:cs="Times New Roman"/>
                      <w:color w:val="auto"/>
                      <w:spacing w:val="0"/>
                      <w:sz w:val="21"/>
                      <w:szCs w:val="21"/>
                      <w:highlight w:val="none"/>
                      <w:lang w:val="en-US" w:eastAsia="zh-CN"/>
                    </w:rPr>
                    <w:t>项目</w:t>
                  </w:r>
                  <w:r>
                    <w:rPr>
                      <w:rFonts w:hint="eastAsia" w:cs="Times New Roman"/>
                      <w:color w:val="auto"/>
                      <w:spacing w:val="0"/>
                      <w:sz w:val="21"/>
                      <w:szCs w:val="21"/>
                      <w:highlight w:val="none"/>
                      <w:lang w:val="en-US" w:eastAsia="zh-CN"/>
                    </w:rPr>
                    <w:t>浆料系统清洗废水沿井筒污水管道输送至现有矿井水处理站处理后回用；地面冲洗废水经车间内排水渠导流至制浆车间外沉淀池，经沉淀处理后全部回用于生产，不外排；洗车废水经三级沉淀池沉淀处理后，回用至洗车工序，循环使用，不外排；生活污水用于厂区洒水抑尘，不外排</w:t>
                  </w:r>
                  <w:r>
                    <w:rPr>
                      <w:rFonts w:hint="eastAsia" w:ascii="Times New Roman" w:hAnsi="Times New Roman" w:eastAsia="宋体" w:cs="Times New Roman"/>
                      <w:color w:val="auto"/>
                      <w:spacing w:val="0"/>
                      <w:sz w:val="21"/>
                      <w:szCs w:val="21"/>
                      <w:highlight w:val="none"/>
                      <w:lang w:val="en-US" w:eastAsia="zh-CN"/>
                    </w:rPr>
                    <w:t>。</w:t>
                  </w:r>
                </w:p>
                <w:p w14:paraId="4D0F587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3.本项目不属于火电、炼钢行业。</w:t>
                  </w:r>
                </w:p>
                <w:p w14:paraId="4122BED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4.本项目不属于焦化、水泥行业。</w:t>
                  </w:r>
                </w:p>
                <w:p w14:paraId="341C1FD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5.</w:t>
                  </w:r>
                  <w:r>
                    <w:rPr>
                      <w:rFonts w:hint="default" w:ascii="Times New Roman" w:hAnsi="Times New Roman" w:eastAsia="宋体" w:cs="Times New Roman"/>
                      <w:color w:val="auto"/>
                      <w:spacing w:val="0"/>
                      <w:sz w:val="21"/>
                      <w:szCs w:val="21"/>
                      <w:highlight w:val="none"/>
                      <w:lang w:val="en-US" w:eastAsia="zh-CN"/>
                    </w:rPr>
                    <w:t>施工期严格落实“</w:t>
                  </w:r>
                  <w:r>
                    <w:rPr>
                      <w:rFonts w:hint="eastAsia" w:cs="Times New Roman"/>
                      <w:color w:val="auto"/>
                      <w:spacing w:val="0"/>
                      <w:sz w:val="21"/>
                      <w:szCs w:val="21"/>
                      <w:highlight w:val="none"/>
                      <w:lang w:val="en-US" w:eastAsia="zh-CN"/>
                    </w:rPr>
                    <w:t>六</w:t>
                  </w:r>
                  <w:r>
                    <w:rPr>
                      <w:rFonts w:hint="eastAsia" w:ascii="Times New Roman" w:hAnsi="Times New Roman" w:eastAsia="宋体" w:cs="Times New Roman"/>
                      <w:color w:val="auto"/>
                      <w:spacing w:val="0"/>
                      <w:sz w:val="21"/>
                      <w:szCs w:val="21"/>
                      <w:highlight w:val="none"/>
                      <w:lang w:val="en-US" w:eastAsia="zh-CN"/>
                    </w:rPr>
                    <w:t>个</w:t>
                  </w:r>
                  <w:r>
                    <w:rPr>
                      <w:rFonts w:hint="default" w:ascii="Times New Roman" w:hAnsi="Times New Roman" w:eastAsia="宋体" w:cs="Times New Roman"/>
                      <w:color w:val="auto"/>
                      <w:spacing w:val="0"/>
                      <w:sz w:val="21"/>
                      <w:szCs w:val="21"/>
                      <w:highlight w:val="none"/>
                      <w:lang w:val="en-US" w:eastAsia="zh-CN"/>
                    </w:rPr>
                    <w:t>百分百”防治措施，控制施工扬尘的影响范围</w:t>
                  </w:r>
                  <w:r>
                    <w:rPr>
                      <w:rFonts w:hint="eastAsia" w:ascii="Times New Roman" w:hAnsi="Times New Roman" w:eastAsia="宋体" w:cs="Times New Roman"/>
                      <w:color w:val="auto"/>
                      <w:spacing w:val="0"/>
                      <w:sz w:val="21"/>
                      <w:szCs w:val="21"/>
                      <w:highlight w:val="none"/>
                      <w:lang w:val="en-US" w:eastAsia="zh-CN"/>
                    </w:rPr>
                    <w:t>。</w:t>
                  </w:r>
                </w:p>
                <w:p w14:paraId="36398BB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6.本项目</w:t>
                  </w:r>
                  <w:r>
                    <w:rPr>
                      <w:rFonts w:hint="eastAsia" w:ascii="Times New Roman" w:hAnsi="Times New Roman" w:cs="Times New Roman"/>
                      <w:color w:val="auto"/>
                      <w:spacing w:val="0"/>
                      <w:sz w:val="21"/>
                      <w:szCs w:val="21"/>
                      <w:highlight w:val="none"/>
                      <w:lang w:val="en-US" w:eastAsia="zh-CN"/>
                    </w:rPr>
                    <w:t>煤矸石贮存于全封闭储矸棚，</w:t>
                  </w:r>
                  <w:r>
                    <w:rPr>
                      <w:rFonts w:hint="eastAsia" w:ascii="Times New Roman" w:hAnsi="Times New Roman" w:eastAsia="宋体" w:cs="Times New Roman"/>
                      <w:color w:val="auto"/>
                      <w:spacing w:val="0"/>
                      <w:sz w:val="21"/>
                      <w:szCs w:val="21"/>
                      <w:highlight w:val="none"/>
                      <w:lang w:val="en-US" w:eastAsia="zh-CN"/>
                    </w:rPr>
                    <w:t>棚</w:t>
                  </w:r>
                  <w:r>
                    <w:rPr>
                      <w:rFonts w:hint="eastAsia" w:ascii="Times New Roman" w:hAnsi="Times New Roman" w:cs="Times New Roman"/>
                      <w:color w:val="auto"/>
                      <w:spacing w:val="0"/>
                      <w:sz w:val="21"/>
                      <w:szCs w:val="21"/>
                      <w:highlight w:val="none"/>
                      <w:lang w:val="en-US" w:eastAsia="zh-CN"/>
                    </w:rPr>
                    <w:t>顶设置</w:t>
                  </w:r>
                  <w:r>
                    <w:rPr>
                      <w:rFonts w:hint="eastAsia" w:ascii="Times New Roman" w:hAnsi="Times New Roman" w:eastAsia="宋体" w:cs="Times New Roman"/>
                      <w:color w:val="auto"/>
                      <w:spacing w:val="0"/>
                      <w:sz w:val="21"/>
                      <w:szCs w:val="21"/>
                      <w:highlight w:val="none"/>
                      <w:lang w:val="en-US" w:eastAsia="zh-CN"/>
                    </w:rPr>
                    <w:t>覆盖</w:t>
                  </w:r>
                  <w:r>
                    <w:rPr>
                      <w:rFonts w:hint="eastAsia" w:ascii="Times New Roman" w:hAnsi="Times New Roman" w:cs="Times New Roman"/>
                      <w:color w:val="auto"/>
                      <w:spacing w:val="0"/>
                      <w:sz w:val="21"/>
                      <w:szCs w:val="21"/>
                      <w:highlight w:val="none"/>
                      <w:lang w:val="en-US" w:eastAsia="zh-CN"/>
                    </w:rPr>
                    <w:t>全场的喷雾降尘装置；项目设置</w:t>
                  </w:r>
                  <w:r>
                    <w:rPr>
                      <w:rFonts w:hint="eastAsia" w:cs="Times New Roman"/>
                      <w:color w:val="auto"/>
                      <w:spacing w:val="0"/>
                      <w:sz w:val="21"/>
                      <w:szCs w:val="21"/>
                      <w:highlight w:val="none"/>
                      <w:lang w:val="en-US" w:eastAsia="zh-CN"/>
                    </w:rPr>
                    <w:t>6</w:t>
                  </w:r>
                  <w:r>
                    <w:rPr>
                      <w:rFonts w:hint="eastAsia" w:ascii="Times New Roman" w:hAnsi="Times New Roman" w:cs="Times New Roman"/>
                      <w:color w:val="auto"/>
                      <w:spacing w:val="0"/>
                      <w:sz w:val="21"/>
                      <w:szCs w:val="21"/>
                      <w:highlight w:val="none"/>
                      <w:lang w:val="en-US" w:eastAsia="zh-CN"/>
                    </w:rPr>
                    <w:t>座全封闭水泥筒仓，</w:t>
                  </w:r>
                  <w:r>
                    <w:rPr>
                      <w:rFonts w:hint="eastAsia" w:cs="Times New Roman"/>
                      <w:color w:val="auto"/>
                      <w:spacing w:val="0"/>
                      <w:sz w:val="21"/>
                      <w:szCs w:val="21"/>
                      <w:highlight w:val="none"/>
                      <w:lang w:val="en-US" w:eastAsia="zh-CN"/>
                    </w:rPr>
                    <w:t>每座筒仓</w:t>
                  </w:r>
                  <w:r>
                    <w:rPr>
                      <w:rFonts w:hint="eastAsia" w:ascii="Times New Roman" w:hAnsi="Times New Roman" w:cs="Times New Roman"/>
                      <w:color w:val="auto"/>
                      <w:spacing w:val="0"/>
                      <w:sz w:val="21"/>
                      <w:szCs w:val="21"/>
                      <w:highlight w:val="none"/>
                      <w:lang w:val="en-US" w:eastAsia="zh-CN"/>
                    </w:rPr>
                    <w:t>仓顶均设置1台</w:t>
                  </w:r>
                  <w:r>
                    <w:rPr>
                      <w:rFonts w:hint="eastAsia" w:cs="Times New Roman"/>
                      <w:color w:val="auto"/>
                      <w:spacing w:val="0"/>
                      <w:sz w:val="21"/>
                      <w:szCs w:val="21"/>
                      <w:highlight w:val="none"/>
                      <w:lang w:val="en-US" w:eastAsia="zh-CN"/>
                    </w:rPr>
                    <w:t>袋式</w:t>
                  </w:r>
                  <w:r>
                    <w:rPr>
                      <w:rFonts w:hint="eastAsia" w:ascii="Times New Roman" w:hAnsi="Times New Roman" w:cs="Times New Roman"/>
                      <w:color w:val="auto"/>
                      <w:spacing w:val="0"/>
                      <w:sz w:val="21"/>
                      <w:szCs w:val="21"/>
                      <w:highlight w:val="none"/>
                      <w:lang w:val="en-US" w:eastAsia="zh-CN"/>
                    </w:rPr>
                    <w:t>除尘器</w:t>
                  </w:r>
                  <w:r>
                    <w:rPr>
                      <w:rFonts w:hint="eastAsia" w:ascii="Times New Roman" w:hAnsi="Times New Roman" w:eastAsia="宋体" w:cs="Times New Roman"/>
                      <w:color w:val="auto"/>
                      <w:spacing w:val="0"/>
                      <w:sz w:val="21"/>
                      <w:szCs w:val="21"/>
                      <w:highlight w:val="none"/>
                      <w:lang w:val="en-US" w:eastAsia="zh-CN"/>
                    </w:rPr>
                    <w:t>。</w:t>
                  </w:r>
                </w:p>
                <w:p w14:paraId="2BC32C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7.本</w:t>
                  </w:r>
                  <w:r>
                    <w:rPr>
                      <w:rFonts w:hint="eastAsia" w:ascii="Times New Roman" w:hAnsi="Times New Roman" w:cs="Times New Roman"/>
                      <w:color w:val="auto"/>
                      <w:spacing w:val="0"/>
                      <w:sz w:val="21"/>
                      <w:szCs w:val="21"/>
                      <w:highlight w:val="none"/>
                      <w:lang w:val="en-US" w:eastAsia="zh-CN"/>
                    </w:rPr>
                    <w:t>次评价</w:t>
                  </w:r>
                  <w:r>
                    <w:rPr>
                      <w:rFonts w:hint="eastAsia" w:ascii="Times New Roman" w:hAnsi="Times New Roman" w:eastAsia="宋体" w:cs="Times New Roman"/>
                      <w:color w:val="auto"/>
                      <w:spacing w:val="0"/>
                      <w:sz w:val="21"/>
                      <w:szCs w:val="21"/>
                      <w:highlight w:val="none"/>
                      <w:lang w:val="en-US" w:eastAsia="zh-CN"/>
                    </w:rPr>
                    <w:t>要求</w:t>
                  </w:r>
                  <w:r>
                    <w:rPr>
                      <w:rFonts w:hint="default" w:ascii="Times New Roman" w:hAnsi="Times New Roman" w:eastAsia="宋体" w:cs="Times New Roman"/>
                      <w:color w:val="auto"/>
                      <w:spacing w:val="0"/>
                      <w:sz w:val="21"/>
                      <w:szCs w:val="21"/>
                      <w:highlight w:val="none"/>
                      <w:lang w:val="en-US" w:eastAsia="zh-CN"/>
                    </w:rPr>
                    <w:t>运输车辆采取密闭、覆盖等措施，严格按照规定路线行驶。</w:t>
                  </w:r>
                </w:p>
                <w:p w14:paraId="1A1F3FD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rPr>
                  </w:pPr>
                  <w:r>
                    <w:rPr>
                      <w:rFonts w:hint="default" w:ascii="Times New Roman" w:hAnsi="Times New Roman" w:eastAsia="宋体" w:cs="Times New Roman"/>
                      <w:color w:val="auto"/>
                      <w:spacing w:val="0"/>
                      <w:sz w:val="21"/>
                      <w:szCs w:val="21"/>
                      <w:highlight w:val="none"/>
                      <w:lang w:val="en-US" w:eastAsia="zh-CN"/>
                    </w:rPr>
                    <w:t>8.本项目不属于有色金属矿采选、有色金属冶炼、铅蓄电池制造、皮革及其制品制造、化学原料以及化学制品制造、电镀等行业。</w:t>
                  </w:r>
                </w:p>
              </w:tc>
            </w:tr>
            <w:tr w14:paraId="47988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gridSpan w:val="2"/>
                  <w:noWrap w:val="0"/>
                  <w:vAlign w:val="center"/>
                </w:tcPr>
                <w:p w14:paraId="4544069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环境风险防控</w:t>
                  </w:r>
                </w:p>
              </w:tc>
              <w:tc>
                <w:tcPr>
                  <w:tcW w:w="3728" w:type="dxa"/>
                  <w:noWrap w:val="0"/>
                  <w:vAlign w:val="center"/>
                </w:tcPr>
                <w:p w14:paraId="363D8F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企事业单位和其他生产经营者按照相关规定编制突发环境事件应急预案并向所在地县（区）生态环境部门报备。</w:t>
                  </w:r>
                </w:p>
                <w:p w14:paraId="5F27D0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eastAsia="zh-CN"/>
                    </w:rPr>
                    <w:t>煤矸石</w:t>
                  </w:r>
                  <w:r>
                    <w:rPr>
                      <w:rFonts w:hint="default" w:ascii="Times New Roman" w:hAnsi="Times New Roman" w:eastAsia="宋体" w:cs="Times New Roman"/>
                      <w:color w:val="auto"/>
                      <w:spacing w:val="0"/>
                      <w:sz w:val="21"/>
                      <w:szCs w:val="21"/>
                      <w:highlight w:val="none"/>
                    </w:rPr>
                    <w:t>、粉煤灰、电石渣等一般工业固体废物贮存、利用、处置要符合相关规范要求。</w:t>
                  </w:r>
                </w:p>
                <w:p w14:paraId="1616320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所有危险废物一律规范收集、贮存、转运、利用、处置。</w:t>
                  </w:r>
                </w:p>
                <w:p w14:paraId="70379DD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严格控制农用地的农药使用量，禁止使用高毒、高残留农药。</w:t>
                  </w:r>
                </w:p>
              </w:tc>
              <w:tc>
                <w:tcPr>
                  <w:tcW w:w="2445" w:type="dxa"/>
                  <w:noWrap w:val="0"/>
                  <w:vAlign w:val="center"/>
                </w:tcPr>
                <w:p w14:paraId="7E7F494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r>
                    <w:rPr>
                      <w:rFonts w:hint="default" w:ascii="Times New Roman" w:hAnsi="Times New Roman" w:eastAsia="宋体" w:cs="Times New Roman"/>
                      <w:color w:val="auto"/>
                      <w:spacing w:val="0"/>
                      <w:sz w:val="21"/>
                      <w:szCs w:val="21"/>
                      <w:highlight w:val="none"/>
                      <w:lang w:val="en-US" w:eastAsia="zh-CN"/>
                    </w:rPr>
                    <w:t>建设单位</w:t>
                  </w:r>
                  <w:r>
                    <w:rPr>
                      <w:rFonts w:hint="eastAsia" w:ascii="Times New Roman" w:hAnsi="Times New Roman" w:eastAsia="宋体" w:cs="Times New Roman"/>
                      <w:color w:val="auto"/>
                      <w:spacing w:val="0"/>
                      <w:sz w:val="21"/>
                      <w:szCs w:val="21"/>
                      <w:highlight w:val="none"/>
                      <w:lang w:val="en-US" w:eastAsia="zh-CN"/>
                    </w:rPr>
                    <w:t>已于2022</w:t>
                  </w:r>
                  <w:r>
                    <w:rPr>
                      <w:rFonts w:hint="default" w:ascii="Times New Roman" w:hAnsi="Times New Roman" w:eastAsia="宋体" w:cs="Times New Roman"/>
                      <w:color w:val="auto"/>
                      <w:spacing w:val="0"/>
                      <w:sz w:val="21"/>
                      <w:szCs w:val="21"/>
                      <w:highlight w:val="none"/>
                      <w:lang w:val="en-US" w:eastAsia="zh-CN"/>
                    </w:rPr>
                    <w:t>年</w:t>
                  </w:r>
                  <w:r>
                    <w:rPr>
                      <w:rFonts w:hint="eastAsia" w:cs="Times New Roman"/>
                      <w:color w:val="auto"/>
                      <w:spacing w:val="0"/>
                      <w:sz w:val="21"/>
                      <w:szCs w:val="21"/>
                      <w:highlight w:val="none"/>
                      <w:lang w:val="en-US" w:eastAsia="zh-CN"/>
                    </w:rPr>
                    <w:t>11</w:t>
                  </w:r>
                  <w:r>
                    <w:rPr>
                      <w:rFonts w:hint="default" w:ascii="Times New Roman" w:hAnsi="Times New Roman" w:eastAsia="宋体" w:cs="Times New Roman"/>
                      <w:color w:val="auto"/>
                      <w:spacing w:val="0"/>
                      <w:sz w:val="21"/>
                      <w:szCs w:val="21"/>
                      <w:highlight w:val="none"/>
                      <w:lang w:val="en-US" w:eastAsia="zh-CN"/>
                    </w:rPr>
                    <w:t>月</w:t>
                  </w:r>
                  <w:r>
                    <w:rPr>
                      <w:rFonts w:hint="default" w:ascii="Times New Roman" w:hAnsi="Times New Roman" w:eastAsia="宋体" w:cs="Times New Roman"/>
                      <w:color w:val="auto"/>
                      <w:spacing w:val="0"/>
                      <w:sz w:val="21"/>
                      <w:szCs w:val="21"/>
                      <w:highlight w:val="none"/>
                    </w:rPr>
                    <w:t>编制</w:t>
                  </w:r>
                  <w:r>
                    <w:rPr>
                      <w:rFonts w:hint="eastAsia" w:ascii="Times New Roman" w:hAnsi="Times New Roman" w:eastAsia="宋体" w:cs="Times New Roman"/>
                      <w:color w:val="auto"/>
                      <w:spacing w:val="0"/>
                      <w:sz w:val="21"/>
                      <w:szCs w:val="21"/>
                      <w:highlight w:val="none"/>
                      <w:lang w:val="en-US" w:eastAsia="zh-CN"/>
                    </w:rPr>
                    <w:t>完成了</w:t>
                  </w:r>
                  <w:r>
                    <w:rPr>
                      <w:rFonts w:hint="default" w:ascii="Times New Roman" w:hAnsi="Times New Roman" w:eastAsia="宋体" w:cs="Times New Roman"/>
                      <w:color w:val="auto"/>
                      <w:spacing w:val="0"/>
                      <w:sz w:val="21"/>
                      <w:szCs w:val="21"/>
                      <w:highlight w:val="none"/>
                    </w:rPr>
                    <w:t>突发环境事件应急预案</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并取得企业事业</w:t>
                  </w:r>
                  <w:r>
                    <w:rPr>
                      <w:rFonts w:hint="default" w:ascii="Times New Roman" w:hAnsi="Times New Roman" w:eastAsia="宋体" w:cs="Times New Roman"/>
                      <w:color w:val="auto"/>
                      <w:spacing w:val="0"/>
                      <w:sz w:val="21"/>
                      <w:szCs w:val="21"/>
                      <w:highlight w:val="none"/>
                    </w:rPr>
                    <w:t>突发环境事件应急预案</w:t>
                  </w:r>
                  <w:r>
                    <w:rPr>
                      <w:rFonts w:hint="eastAsia" w:ascii="Times New Roman" w:hAnsi="Times New Roman" w:eastAsia="宋体" w:cs="Times New Roman"/>
                      <w:color w:val="auto"/>
                      <w:spacing w:val="0"/>
                      <w:sz w:val="21"/>
                      <w:szCs w:val="21"/>
                      <w:highlight w:val="none"/>
                      <w:lang w:val="en-US" w:eastAsia="zh-CN"/>
                    </w:rPr>
                    <w:t>备案证（备案编号：14042</w:t>
                  </w:r>
                  <w:r>
                    <w:rPr>
                      <w:rFonts w:hint="eastAsia" w:cs="Times New Roman"/>
                      <w:color w:val="auto"/>
                      <w:spacing w:val="0"/>
                      <w:sz w:val="21"/>
                      <w:szCs w:val="21"/>
                      <w:highlight w:val="none"/>
                      <w:lang w:val="en-US" w:eastAsia="zh-CN"/>
                    </w:rPr>
                    <w:t>8</w:t>
                  </w:r>
                  <w:r>
                    <w:rPr>
                      <w:rFonts w:hint="eastAsia" w:ascii="Times New Roman" w:hAnsi="Times New Roman" w:eastAsia="宋体" w:cs="Times New Roman"/>
                      <w:color w:val="auto"/>
                      <w:spacing w:val="0"/>
                      <w:sz w:val="21"/>
                      <w:szCs w:val="21"/>
                      <w:highlight w:val="none"/>
                      <w:lang w:val="en-US" w:eastAsia="zh-CN"/>
                    </w:rPr>
                    <w:t>2022-</w:t>
                  </w:r>
                  <w:r>
                    <w:rPr>
                      <w:rFonts w:hint="eastAsia" w:cs="Times New Roman"/>
                      <w:color w:val="auto"/>
                      <w:spacing w:val="0"/>
                      <w:sz w:val="21"/>
                      <w:szCs w:val="21"/>
                      <w:highlight w:val="none"/>
                      <w:lang w:val="en-US" w:eastAsia="zh-CN"/>
                    </w:rPr>
                    <w:t>154</w:t>
                  </w:r>
                  <w:r>
                    <w:rPr>
                      <w:rFonts w:hint="eastAsia" w:ascii="Times New Roman" w:hAnsi="Times New Roman" w:eastAsia="宋体" w:cs="Times New Roman"/>
                      <w:color w:val="auto"/>
                      <w:spacing w:val="0"/>
                      <w:sz w:val="21"/>
                      <w:szCs w:val="21"/>
                      <w:highlight w:val="none"/>
                      <w:lang w:val="en-US" w:eastAsia="zh-CN"/>
                    </w:rPr>
                    <w:t>L）。项目建成后，建设单位应按照相关规定对现有突发环境事件应急预案进行修订，将本项目内容纳入应急预案范围。</w:t>
                  </w:r>
                </w:p>
                <w:p w14:paraId="63222BD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2.本项目一般工业固体废物贮存、利用和处置符合相关规范要求。</w:t>
                  </w:r>
                </w:p>
                <w:p w14:paraId="3774AD4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3.危险废物按照《危险废物贮存污染控制标准》（GB 18597-2023）中的相关规定进行收集、贮存、转运、处置</w:t>
                  </w:r>
                  <w:r>
                    <w:rPr>
                      <w:rFonts w:hint="default" w:ascii="Times New Roman" w:hAnsi="Times New Roman" w:eastAsia="宋体" w:cs="Times New Roman"/>
                      <w:color w:val="auto"/>
                      <w:spacing w:val="0"/>
                      <w:sz w:val="21"/>
                      <w:szCs w:val="21"/>
                      <w:highlight w:val="none"/>
                      <w:lang w:val="en-US" w:eastAsia="zh-CN"/>
                    </w:rPr>
                    <w:t>。</w:t>
                  </w:r>
                </w:p>
                <w:p w14:paraId="560037E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4.本项目不涉及农药的使用。</w:t>
                  </w:r>
                </w:p>
              </w:tc>
            </w:tr>
            <w:tr w14:paraId="370D6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Merge w:val="restart"/>
                  <w:noWrap w:val="0"/>
                  <w:vAlign w:val="center"/>
                </w:tcPr>
                <w:p w14:paraId="3478121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资源利用效率</w:t>
                  </w:r>
                </w:p>
              </w:tc>
              <w:tc>
                <w:tcPr>
                  <w:tcW w:w="538" w:type="dxa"/>
                  <w:noWrap w:val="0"/>
                  <w:vAlign w:val="center"/>
                </w:tcPr>
                <w:p w14:paraId="3A9793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水资源利用</w:t>
                  </w:r>
                </w:p>
              </w:tc>
              <w:tc>
                <w:tcPr>
                  <w:tcW w:w="3728" w:type="dxa"/>
                  <w:noWrap w:val="0"/>
                  <w:vAlign w:val="center"/>
                </w:tcPr>
                <w:p w14:paraId="68870D6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水资源利用上线严格落实“十四五”相关目标指标。</w:t>
                  </w:r>
                </w:p>
                <w:p w14:paraId="7E4D35B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加快推进辛安泉饮用水水源地保护区和泉域重点保护区的保护和生态修复工作。</w:t>
                  </w:r>
                </w:p>
                <w:p w14:paraId="6638185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大力推进工业节水改造，鼓励支持企业开展节水技术改造和再生水回用。</w:t>
                  </w:r>
                </w:p>
                <w:p w14:paraId="744DA9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4</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严格实行水资源管理制度，坚持以水定城、以水定地、以水定人、以水定产，提高水资源集约安全利用水平。</w:t>
                  </w:r>
                </w:p>
                <w:p w14:paraId="76EF07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5</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新建、改建、扩建项目涉及开发利用辛安泉域水资源的必须符合《山西省泉域水资源保护条例》相关规定。</w:t>
                  </w:r>
                </w:p>
              </w:tc>
              <w:tc>
                <w:tcPr>
                  <w:tcW w:w="2445" w:type="dxa"/>
                  <w:noWrap w:val="0"/>
                  <w:vAlign w:val="center"/>
                </w:tcPr>
                <w:p w14:paraId="10B497B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1.本项目严格落实“十四五”相关目标指标。</w:t>
                  </w:r>
                </w:p>
                <w:p w14:paraId="2269919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2.本项目位于辛安泉域范围内，但不在其重点保护区范围内；</w:t>
                  </w:r>
                  <w:r>
                    <w:rPr>
                      <w:rFonts w:hint="eastAsia" w:cs="Times New Roman"/>
                      <w:color w:val="auto"/>
                      <w:spacing w:val="0"/>
                      <w:sz w:val="21"/>
                      <w:szCs w:val="21"/>
                      <w:highlight w:val="none"/>
                      <w:lang w:val="en-US" w:eastAsia="zh-CN"/>
                    </w:rPr>
                    <w:t>本项目不在辛安泉饮用水水源地一级保护区、二级保护区及准保护区范围内</w:t>
                  </w:r>
                  <w:r>
                    <w:rPr>
                      <w:rFonts w:hint="eastAsia" w:ascii="Times New Roman" w:hAnsi="Times New Roman" w:eastAsia="宋体" w:cs="Times New Roman"/>
                      <w:color w:val="auto"/>
                      <w:spacing w:val="0"/>
                      <w:sz w:val="21"/>
                      <w:szCs w:val="21"/>
                      <w:highlight w:val="none"/>
                      <w:lang w:val="en-US" w:eastAsia="zh-CN"/>
                    </w:rPr>
                    <w:t>。</w:t>
                  </w:r>
                </w:p>
                <w:p w14:paraId="3E1075D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3、4.</w:t>
                  </w:r>
                  <w:r>
                    <w:rPr>
                      <w:rFonts w:hint="eastAsia"/>
                      <w:bCs/>
                      <w:color w:val="auto"/>
                      <w:spacing w:val="0"/>
                      <w:szCs w:val="21"/>
                      <w:highlight w:val="none"/>
                      <w:lang w:bidi="ar"/>
                    </w:rPr>
                    <w:t>本项目未突破水资源利用上线</w:t>
                  </w:r>
                  <w:r>
                    <w:rPr>
                      <w:rFonts w:hint="eastAsia"/>
                      <w:bCs/>
                      <w:color w:val="auto"/>
                      <w:spacing w:val="0"/>
                      <w:szCs w:val="21"/>
                      <w:highlight w:val="none"/>
                      <w:lang w:eastAsia="zh-CN" w:bidi="ar"/>
                    </w:rPr>
                    <w:t>：浆料系统清洗废水沿井筒污水管道输送至现有矿井水处理站处理后回用；地面冲洗废水经车间内排水渠导流至制浆车间外沉淀池，经沉淀处理后全部回用于生产，不外排；洗车废水经三级沉淀池沉淀处理后，回用至洗车工序，循环使用，不外排</w:t>
                  </w:r>
                  <w:r>
                    <w:rPr>
                      <w:rFonts w:hint="eastAsia" w:cs="Times New Roman"/>
                      <w:color w:val="auto"/>
                      <w:spacing w:val="0"/>
                      <w:sz w:val="21"/>
                      <w:szCs w:val="21"/>
                      <w:highlight w:val="none"/>
                      <w:lang w:val="en-US" w:eastAsia="zh-CN"/>
                    </w:rPr>
                    <w:t>。</w:t>
                  </w:r>
                </w:p>
                <w:p w14:paraId="6269649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5.本项目不涉及辛安泉域水资源的开发利用。</w:t>
                  </w:r>
                </w:p>
              </w:tc>
            </w:tr>
            <w:tr w14:paraId="41208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vMerge w:val="continue"/>
                  <w:noWrap w:val="0"/>
                  <w:vAlign w:val="center"/>
                </w:tcPr>
                <w:p w14:paraId="59BB661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538" w:type="dxa"/>
                  <w:noWrap w:val="0"/>
                  <w:vAlign w:val="center"/>
                </w:tcPr>
                <w:p w14:paraId="0593D1C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能源利用</w:t>
                  </w:r>
                </w:p>
              </w:tc>
              <w:tc>
                <w:tcPr>
                  <w:tcW w:w="3728" w:type="dxa"/>
                  <w:noWrap w:val="0"/>
                  <w:vAlign w:val="center"/>
                </w:tcPr>
                <w:p w14:paraId="5D4B13C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能源利用上线严格落实“十四五”相关目标指标以及碳达峰、碳中和相关要求。</w:t>
                  </w:r>
                </w:p>
                <w:p w14:paraId="6CA479A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2</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以煤炭、火电、冶金、建材、化工、焦化等高碳排放行业为重点，推广应用先进工艺和低碳技术，提高能效，有效控制工业领域温室气体排放。</w:t>
                  </w:r>
                </w:p>
              </w:tc>
              <w:tc>
                <w:tcPr>
                  <w:tcW w:w="2445" w:type="dxa"/>
                  <w:noWrap w:val="0"/>
                  <w:vAlign w:val="center"/>
                </w:tcPr>
                <w:p w14:paraId="3819C8A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本项目严格落实“十四五”相关目标指标</w:t>
                  </w:r>
                  <w:r>
                    <w:rPr>
                      <w:rFonts w:hint="eastAsia"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生产过程中主要消耗能源为水、电，</w:t>
                  </w:r>
                  <w:r>
                    <w:rPr>
                      <w:rFonts w:hint="eastAsia" w:ascii="Times New Roman" w:hAnsi="Times New Roman" w:eastAsia="宋体" w:cs="Times New Roman"/>
                      <w:color w:val="auto"/>
                      <w:spacing w:val="0"/>
                      <w:sz w:val="21"/>
                      <w:szCs w:val="21"/>
                      <w:highlight w:val="none"/>
                      <w:lang w:val="en-US" w:eastAsia="zh-CN"/>
                    </w:rPr>
                    <w:t>均</w:t>
                  </w:r>
                  <w:r>
                    <w:rPr>
                      <w:rFonts w:hint="default" w:ascii="Times New Roman" w:hAnsi="Times New Roman" w:eastAsia="宋体" w:cs="Times New Roman"/>
                      <w:color w:val="auto"/>
                      <w:spacing w:val="0"/>
                      <w:sz w:val="21"/>
                      <w:szCs w:val="21"/>
                      <w:highlight w:val="none"/>
                      <w:lang w:val="en-US" w:eastAsia="zh-CN"/>
                    </w:rPr>
                    <w:t>来源于本地，未突破能源利用上线</w:t>
                  </w:r>
                  <w:r>
                    <w:rPr>
                      <w:rFonts w:hint="eastAsia"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val="en-US" w:eastAsia="zh-CN"/>
                    </w:rPr>
                    <w:t>运营</w:t>
                  </w:r>
                  <w:r>
                    <w:rPr>
                      <w:rFonts w:hint="eastAsia" w:ascii="Times New Roman" w:hAnsi="Times New Roman" w:eastAsia="宋体" w:cs="Times New Roman"/>
                      <w:color w:val="auto"/>
                      <w:spacing w:val="0"/>
                      <w:sz w:val="21"/>
                      <w:szCs w:val="21"/>
                      <w:highlight w:val="none"/>
                      <w:lang w:val="en-US" w:eastAsia="zh-CN"/>
                    </w:rPr>
                    <w:t>期间</w:t>
                  </w:r>
                  <w:r>
                    <w:rPr>
                      <w:rFonts w:hint="default" w:ascii="Times New Roman" w:hAnsi="Times New Roman" w:eastAsia="宋体" w:cs="Times New Roman"/>
                      <w:color w:val="auto"/>
                      <w:spacing w:val="0"/>
                      <w:sz w:val="21"/>
                      <w:szCs w:val="21"/>
                      <w:highlight w:val="none"/>
                      <w:lang w:val="en-US" w:eastAsia="zh-CN"/>
                    </w:rPr>
                    <w:t>加强</w:t>
                  </w:r>
                  <w:r>
                    <w:rPr>
                      <w:rFonts w:hint="eastAsia" w:cs="Times New Roman"/>
                      <w:color w:val="auto"/>
                      <w:spacing w:val="0"/>
                      <w:sz w:val="21"/>
                      <w:szCs w:val="21"/>
                      <w:highlight w:val="none"/>
                      <w:lang w:val="en-US" w:eastAsia="zh-CN"/>
                    </w:rPr>
                    <w:t>厂区</w:t>
                  </w:r>
                  <w:r>
                    <w:rPr>
                      <w:rFonts w:hint="default" w:ascii="Times New Roman" w:hAnsi="Times New Roman" w:eastAsia="宋体" w:cs="Times New Roman"/>
                      <w:color w:val="auto"/>
                      <w:spacing w:val="0"/>
                      <w:sz w:val="21"/>
                      <w:szCs w:val="21"/>
                      <w:highlight w:val="none"/>
                      <w:lang w:val="en-US" w:eastAsia="zh-CN"/>
                    </w:rPr>
                    <w:t>绿化工作，</w:t>
                  </w:r>
                  <w:r>
                    <w:rPr>
                      <w:rFonts w:hint="eastAsia" w:ascii="Times New Roman" w:hAnsi="Times New Roman" w:eastAsia="宋体" w:cs="Times New Roman"/>
                      <w:color w:val="auto"/>
                      <w:spacing w:val="0"/>
                      <w:sz w:val="21"/>
                      <w:szCs w:val="21"/>
                      <w:highlight w:val="none"/>
                      <w:lang w:val="en-US" w:eastAsia="zh-CN"/>
                    </w:rPr>
                    <w:t>节约用水、用电；加大机动车减排力度，采用国五、国六或新能源汽车进行运输。</w:t>
                  </w:r>
                </w:p>
              </w:tc>
            </w:tr>
          </w:tbl>
          <w:p w14:paraId="4B67BF9D">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黑体" w:cs="Times New Roman"/>
                <w:iCs/>
                <w:snapToGrid w:val="0"/>
                <w:color w:val="auto"/>
                <w:spacing w:val="0"/>
                <w:kern w:val="0"/>
                <w:sz w:val="21"/>
                <w:szCs w:val="20"/>
                <w:highlight w:val="none"/>
                <w:lang w:val="en-US" w:eastAsia="zh-CN" w:bidi="ar-SA"/>
              </w:rPr>
              <w:t>表1.</w:t>
            </w:r>
            <w:r>
              <w:rPr>
                <w:rFonts w:hint="eastAsia" w:eastAsia="黑体" w:cs="Times New Roman"/>
                <w:iCs/>
                <w:snapToGrid w:val="0"/>
                <w:color w:val="auto"/>
                <w:spacing w:val="0"/>
                <w:kern w:val="0"/>
                <w:sz w:val="21"/>
                <w:szCs w:val="20"/>
                <w:highlight w:val="none"/>
                <w:lang w:val="en-US" w:eastAsia="zh-CN" w:bidi="ar-SA"/>
              </w:rPr>
              <w:t>1</w:t>
            </w:r>
            <w:r>
              <w:rPr>
                <w:rFonts w:hint="eastAsia" w:ascii="Times New Roman" w:hAnsi="Times New Roman" w:eastAsia="黑体" w:cs="Times New Roman"/>
                <w:iCs/>
                <w:snapToGrid w:val="0"/>
                <w:color w:val="auto"/>
                <w:spacing w:val="0"/>
                <w:kern w:val="0"/>
                <w:sz w:val="21"/>
                <w:szCs w:val="20"/>
                <w:highlight w:val="none"/>
                <w:lang w:val="en-US" w:eastAsia="zh-CN" w:bidi="ar-SA"/>
              </w:rPr>
              <w:t>-2</w:t>
            </w:r>
            <w:r>
              <w:rPr>
                <w:rFonts w:hint="default" w:ascii="Times New Roman" w:hAnsi="Times New Roman" w:eastAsia="黑体" w:cs="Times New Roman"/>
                <w:iCs/>
                <w:snapToGrid w:val="0"/>
                <w:color w:val="auto"/>
                <w:spacing w:val="0"/>
                <w:kern w:val="0"/>
                <w:sz w:val="21"/>
                <w:szCs w:val="20"/>
                <w:highlight w:val="none"/>
                <w:lang w:val="en-US" w:eastAsia="zh-CN" w:bidi="ar-SA"/>
              </w:rPr>
              <w:t xml:space="preserve">  与长治市浊漳河流域生态环境准入要求的符合性分析</w:t>
            </w:r>
          </w:p>
          <w:tbl>
            <w:tblPr>
              <w:tblStyle w:val="24"/>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43"/>
              <w:gridCol w:w="2451"/>
            </w:tblGrid>
            <w:tr w14:paraId="1A00C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8" w:type="pct"/>
                  <w:tcBorders>
                    <w:tl2br w:val="nil"/>
                    <w:tr2bl w:val="nil"/>
                  </w:tcBorders>
                  <w:noWrap w:val="0"/>
                  <w:vAlign w:val="center"/>
                </w:tcPr>
                <w:p w14:paraId="0D11A704">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管控类别</w:t>
                  </w:r>
                </w:p>
              </w:tc>
              <w:tc>
                <w:tcPr>
                  <w:tcW w:w="2878" w:type="pct"/>
                  <w:tcBorders>
                    <w:tl2br w:val="nil"/>
                    <w:tr2bl w:val="nil"/>
                  </w:tcBorders>
                  <w:noWrap w:val="0"/>
                  <w:vAlign w:val="center"/>
                </w:tcPr>
                <w:p w14:paraId="34A2BB3C">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管控要求</w:t>
                  </w:r>
                </w:p>
              </w:tc>
              <w:tc>
                <w:tcPr>
                  <w:tcW w:w="1662" w:type="pct"/>
                  <w:tcBorders>
                    <w:tl2br w:val="nil"/>
                    <w:tr2bl w:val="nil"/>
                  </w:tcBorders>
                  <w:noWrap w:val="0"/>
                  <w:vAlign w:val="center"/>
                </w:tcPr>
                <w:p w14:paraId="470F14F4">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bidi="ar"/>
                    </w:rPr>
                    <w:t>符合性分析</w:t>
                  </w:r>
                </w:p>
              </w:tc>
            </w:tr>
            <w:tr w14:paraId="3B3E7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14:paraId="2BAC3476">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空间布局约束</w:t>
                  </w:r>
                </w:p>
              </w:tc>
              <w:tc>
                <w:tcPr>
                  <w:tcW w:w="2878" w:type="pct"/>
                  <w:tcBorders>
                    <w:tl2br w:val="nil"/>
                    <w:tr2bl w:val="nil"/>
                  </w:tcBorders>
                  <w:noWrap w:val="0"/>
                  <w:vAlign w:val="center"/>
                </w:tcPr>
                <w:p w14:paraId="2E09240B">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1.浊漳河干流及主要支流沿岸禁止新建焦化、化工、农药、有色冶炼、造纸、电镀等高风险项目和危险化学品仓储设施。</w:t>
                  </w:r>
                </w:p>
                <w:p w14:paraId="455D6B15">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2.漳泽湖生态保护与修复区域，严禁新改扩建焦化、钢铁、化工、有色金属冶炼、水泥等污染较重项目，以及危险化学品贮存、处理处置等高风险项目。</w:t>
                  </w:r>
                </w:p>
              </w:tc>
              <w:tc>
                <w:tcPr>
                  <w:tcW w:w="1662" w:type="pct"/>
                  <w:tcBorders>
                    <w:tl2br w:val="nil"/>
                    <w:tr2bl w:val="nil"/>
                  </w:tcBorders>
                  <w:noWrap w:val="0"/>
                  <w:vAlign w:val="center"/>
                </w:tcPr>
                <w:p w14:paraId="1823F16D">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eastAsia" w:cs="Times New Roman"/>
                      <w:bCs/>
                      <w:color w:val="auto"/>
                      <w:spacing w:val="0"/>
                      <w:sz w:val="21"/>
                      <w:szCs w:val="21"/>
                      <w:highlight w:val="none"/>
                      <w:lang w:val="zh-CN" w:bidi="ar"/>
                    </w:rPr>
                  </w:pPr>
                  <w:r>
                    <w:rPr>
                      <w:rFonts w:hint="default" w:ascii="Times New Roman" w:hAnsi="Times New Roman" w:eastAsia="宋体" w:cs="Times New Roman"/>
                      <w:bCs/>
                      <w:color w:val="auto"/>
                      <w:spacing w:val="0"/>
                      <w:sz w:val="21"/>
                      <w:szCs w:val="21"/>
                      <w:highlight w:val="none"/>
                      <w:lang w:bidi="ar"/>
                    </w:rPr>
                    <w:t>距离本项目最近地表水为小丹河</w:t>
                  </w:r>
                  <w:r>
                    <w:rPr>
                      <w:rFonts w:hint="eastAsia" w:cs="Times New Roman"/>
                      <w:bCs/>
                      <w:color w:val="auto"/>
                      <w:spacing w:val="0"/>
                      <w:sz w:val="21"/>
                      <w:szCs w:val="21"/>
                      <w:highlight w:val="none"/>
                      <w:lang w:eastAsia="zh-CN" w:bidi="ar"/>
                    </w:rPr>
                    <w:t>，</w:t>
                  </w:r>
                  <w:r>
                    <w:rPr>
                      <w:rFonts w:hint="default" w:ascii="Times New Roman" w:hAnsi="Times New Roman" w:eastAsia="宋体" w:cs="Times New Roman"/>
                      <w:bCs/>
                      <w:color w:val="auto"/>
                      <w:spacing w:val="0"/>
                      <w:sz w:val="21"/>
                      <w:szCs w:val="21"/>
                      <w:highlight w:val="none"/>
                      <w:lang w:bidi="ar"/>
                    </w:rPr>
                    <w:t>位于厂区</w:t>
                  </w:r>
                  <w:r>
                    <w:rPr>
                      <w:rFonts w:hint="eastAsia" w:cs="Times New Roman"/>
                      <w:bCs/>
                      <w:color w:val="auto"/>
                      <w:spacing w:val="0"/>
                      <w:sz w:val="21"/>
                      <w:szCs w:val="21"/>
                      <w:highlight w:val="none"/>
                      <w:lang w:eastAsia="zh-CN" w:bidi="ar"/>
                    </w:rPr>
                    <w:t>西侧1.38km处</w:t>
                  </w:r>
                  <w:r>
                    <w:rPr>
                      <w:rFonts w:hint="default" w:ascii="Times New Roman" w:hAnsi="Times New Roman" w:eastAsia="宋体" w:cs="Times New Roman"/>
                      <w:bCs/>
                      <w:color w:val="auto"/>
                      <w:spacing w:val="0"/>
                      <w:sz w:val="21"/>
                      <w:szCs w:val="21"/>
                      <w:highlight w:val="none"/>
                      <w:lang w:bidi="ar"/>
                    </w:rPr>
                    <w:t>，</w:t>
                  </w:r>
                  <w:r>
                    <w:rPr>
                      <w:rFonts w:hint="eastAsia" w:cs="Times New Roman"/>
                      <w:bCs/>
                      <w:color w:val="auto"/>
                      <w:spacing w:val="0"/>
                      <w:sz w:val="21"/>
                      <w:szCs w:val="21"/>
                      <w:highlight w:val="none"/>
                      <w:lang w:eastAsia="zh-CN" w:bidi="ar"/>
                    </w:rPr>
                    <w:t>小丹河</w:t>
                  </w:r>
                  <w:r>
                    <w:rPr>
                      <w:rFonts w:hint="eastAsia" w:cs="Times New Roman"/>
                      <w:bCs/>
                      <w:color w:val="auto"/>
                      <w:spacing w:val="0"/>
                      <w:sz w:val="21"/>
                      <w:szCs w:val="21"/>
                      <w:highlight w:val="none"/>
                      <w:lang w:val="en-US" w:eastAsia="zh-CN" w:bidi="ar"/>
                    </w:rPr>
                    <w:t>为</w:t>
                  </w:r>
                  <w:r>
                    <w:rPr>
                      <w:rFonts w:hint="eastAsia" w:cs="Times New Roman"/>
                      <w:bCs/>
                      <w:color w:val="auto"/>
                      <w:spacing w:val="0"/>
                      <w:sz w:val="21"/>
                      <w:szCs w:val="21"/>
                      <w:highlight w:val="none"/>
                      <w:lang w:eastAsia="zh-CN" w:bidi="ar"/>
                    </w:rPr>
                    <w:t>漳河一级支流；</w:t>
                  </w:r>
                  <w:r>
                    <w:rPr>
                      <w:rFonts w:hint="eastAsia" w:cs="Times New Roman"/>
                      <w:bCs/>
                      <w:color w:val="auto"/>
                      <w:spacing w:val="0"/>
                      <w:sz w:val="21"/>
                      <w:szCs w:val="21"/>
                      <w:highlight w:val="none"/>
                      <w:lang w:val="en-US" w:eastAsia="zh-CN" w:bidi="ar"/>
                    </w:rPr>
                    <w:t>本</w:t>
                  </w:r>
                  <w:r>
                    <w:rPr>
                      <w:rFonts w:hint="default" w:ascii="Times New Roman" w:hAnsi="Times New Roman" w:eastAsia="宋体" w:cs="Times New Roman"/>
                      <w:bCs/>
                      <w:color w:val="auto"/>
                      <w:spacing w:val="0"/>
                      <w:sz w:val="21"/>
                      <w:szCs w:val="21"/>
                      <w:highlight w:val="none"/>
                      <w:lang w:bidi="ar"/>
                    </w:rPr>
                    <w:t>项目不在</w:t>
                  </w:r>
                  <w:r>
                    <w:rPr>
                      <w:rFonts w:hint="default" w:ascii="Times New Roman" w:hAnsi="Times New Roman" w:eastAsia="宋体" w:cs="Times New Roman"/>
                      <w:bCs/>
                      <w:color w:val="auto"/>
                      <w:spacing w:val="0"/>
                      <w:sz w:val="21"/>
                      <w:szCs w:val="21"/>
                      <w:highlight w:val="none"/>
                      <w:lang w:val="zh-CN" w:bidi="ar"/>
                    </w:rPr>
                    <w:t>漳泽湖生态保护与修复区域</w:t>
                  </w:r>
                  <w:r>
                    <w:rPr>
                      <w:rFonts w:hint="eastAsia" w:cs="Times New Roman"/>
                      <w:bCs/>
                      <w:color w:val="auto"/>
                      <w:spacing w:val="0"/>
                      <w:sz w:val="21"/>
                      <w:szCs w:val="21"/>
                      <w:highlight w:val="none"/>
                      <w:lang w:val="zh-CN" w:bidi="ar"/>
                    </w:rPr>
                    <w:t>。</w:t>
                  </w:r>
                </w:p>
                <w:p w14:paraId="320DCA35">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bidi="ar"/>
                    </w:rPr>
                  </w:pPr>
                  <w:r>
                    <w:rPr>
                      <w:rFonts w:hint="eastAsia" w:cs="Times New Roman"/>
                      <w:bCs/>
                      <w:color w:val="auto"/>
                      <w:spacing w:val="0"/>
                      <w:sz w:val="21"/>
                      <w:szCs w:val="21"/>
                      <w:highlight w:val="none"/>
                      <w:lang w:val="en-US" w:eastAsia="zh-CN" w:bidi="ar"/>
                    </w:rPr>
                    <w:t>本项目属于地面注浆站建设项目</w:t>
                  </w:r>
                  <w:r>
                    <w:rPr>
                      <w:rFonts w:hint="eastAsia" w:ascii="Times New Roman" w:hAnsi="Times New Roman" w:eastAsia="宋体" w:cs="Times New Roman"/>
                      <w:color w:val="auto"/>
                      <w:spacing w:val="0"/>
                      <w:kern w:val="2"/>
                      <w:sz w:val="21"/>
                      <w:szCs w:val="21"/>
                      <w:highlight w:val="none"/>
                      <w:lang w:val="en-US" w:eastAsia="zh-CN" w:bidi="ar-SA"/>
                    </w:rPr>
                    <w:t>，</w:t>
                  </w:r>
                  <w:r>
                    <w:rPr>
                      <w:rFonts w:hint="default" w:ascii="Times New Roman" w:hAnsi="Times New Roman" w:eastAsia="宋体" w:cs="Times New Roman"/>
                      <w:bCs/>
                      <w:color w:val="auto"/>
                      <w:spacing w:val="0"/>
                      <w:sz w:val="21"/>
                      <w:szCs w:val="21"/>
                      <w:highlight w:val="none"/>
                      <w:lang w:bidi="ar"/>
                    </w:rPr>
                    <w:t>不属于</w:t>
                  </w:r>
                  <w:r>
                    <w:rPr>
                      <w:rFonts w:hint="default" w:ascii="Times New Roman" w:hAnsi="Times New Roman" w:eastAsia="宋体" w:cs="Times New Roman"/>
                      <w:bCs/>
                      <w:color w:val="auto"/>
                      <w:spacing w:val="0"/>
                      <w:sz w:val="21"/>
                      <w:szCs w:val="21"/>
                      <w:highlight w:val="none"/>
                      <w:lang w:val="zh-CN" w:bidi="ar"/>
                    </w:rPr>
                    <w:t>新改扩建焦化、钢铁、化工、有色金属冶炼、水泥等污染较重项目，以及危险化学品贮存、处理处置等高风险项目。</w:t>
                  </w:r>
                </w:p>
              </w:tc>
            </w:tr>
            <w:tr w14:paraId="0408B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14:paraId="469E4006">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污染物排放管控</w:t>
                  </w:r>
                </w:p>
              </w:tc>
              <w:tc>
                <w:tcPr>
                  <w:tcW w:w="2878" w:type="pct"/>
                  <w:tcBorders>
                    <w:tl2br w:val="nil"/>
                    <w:tr2bl w:val="nil"/>
                  </w:tcBorders>
                  <w:noWrap w:val="0"/>
                  <w:vAlign w:val="center"/>
                </w:tcPr>
                <w:p w14:paraId="08D2A897">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1.污染物排放总量严格落实“十四五”相关目标指标。</w:t>
                  </w:r>
                </w:p>
                <w:p w14:paraId="03950EF3">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2.浊漳河流域内所有县界城镇入河排污口水质应当达到地表水环境质量V类及以上标准。禁止在浊漳河源头区域内倾倒垃圾。</w:t>
                  </w:r>
                </w:p>
                <w:p w14:paraId="33F2CC04">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3，加强水功能区限制纳污红线管理，严格控制入河湖排污总量。</w:t>
                  </w:r>
                </w:p>
              </w:tc>
              <w:tc>
                <w:tcPr>
                  <w:tcW w:w="1662" w:type="pct"/>
                  <w:tcBorders>
                    <w:tl2br w:val="nil"/>
                    <w:tr2bl w:val="nil"/>
                  </w:tcBorders>
                  <w:noWrap w:val="0"/>
                  <w:vAlign w:val="center"/>
                </w:tcPr>
                <w:p w14:paraId="3F2C9C48">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val="zh-CN" w:bidi="ar"/>
                    </w:rPr>
                  </w:pPr>
                  <w:r>
                    <w:rPr>
                      <w:rFonts w:hint="default" w:ascii="Times New Roman" w:hAnsi="Times New Roman" w:eastAsia="宋体" w:cs="Times New Roman"/>
                      <w:bCs/>
                      <w:color w:val="auto"/>
                      <w:spacing w:val="0"/>
                      <w:sz w:val="21"/>
                      <w:szCs w:val="21"/>
                      <w:highlight w:val="none"/>
                      <w:lang w:bidi="ar"/>
                    </w:rPr>
                    <w:t>1.本项目污染物</w:t>
                  </w:r>
                  <w:r>
                    <w:rPr>
                      <w:rFonts w:hint="default" w:ascii="Times New Roman" w:hAnsi="Times New Roman" w:eastAsia="宋体" w:cs="Times New Roman"/>
                      <w:bCs/>
                      <w:color w:val="auto"/>
                      <w:spacing w:val="0"/>
                      <w:sz w:val="21"/>
                      <w:szCs w:val="21"/>
                      <w:highlight w:val="none"/>
                      <w:lang w:val="zh-CN" w:bidi="ar"/>
                    </w:rPr>
                    <w:t>排放总量严格落实“十四五”相关目标指标。</w:t>
                  </w:r>
                </w:p>
                <w:p w14:paraId="17BC76C3">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eastAsia="zh-CN" w:bidi="ar"/>
                    </w:rPr>
                  </w:pPr>
                  <w:r>
                    <w:rPr>
                      <w:rFonts w:hint="default" w:ascii="Times New Roman" w:hAnsi="Times New Roman" w:eastAsia="宋体" w:cs="Times New Roman"/>
                      <w:bCs/>
                      <w:color w:val="auto"/>
                      <w:spacing w:val="0"/>
                      <w:sz w:val="21"/>
                      <w:szCs w:val="21"/>
                      <w:highlight w:val="none"/>
                      <w:lang w:bidi="ar"/>
                    </w:rPr>
                    <w:t>2</w:t>
                  </w:r>
                  <w:r>
                    <w:rPr>
                      <w:rFonts w:hint="default" w:ascii="Times New Roman" w:hAnsi="Times New Roman" w:eastAsia="宋体" w:cs="Times New Roman"/>
                      <w:bCs/>
                      <w:color w:val="auto"/>
                      <w:spacing w:val="0"/>
                      <w:sz w:val="21"/>
                      <w:szCs w:val="21"/>
                      <w:highlight w:val="none"/>
                      <w:lang w:eastAsia="zh-CN" w:bidi="ar"/>
                    </w:rPr>
                    <w:t>、</w:t>
                  </w:r>
                  <w:r>
                    <w:rPr>
                      <w:rFonts w:hint="default" w:ascii="Times New Roman" w:hAnsi="Times New Roman" w:eastAsia="宋体" w:cs="Times New Roman"/>
                      <w:bCs/>
                      <w:color w:val="auto"/>
                      <w:spacing w:val="0"/>
                      <w:sz w:val="21"/>
                      <w:szCs w:val="21"/>
                      <w:highlight w:val="none"/>
                      <w:lang w:val="en-US" w:eastAsia="zh-CN" w:bidi="ar"/>
                    </w:rPr>
                    <w:t>3.</w:t>
                  </w:r>
                  <w:r>
                    <w:rPr>
                      <w:rFonts w:hint="default" w:ascii="Times New Roman" w:hAnsi="Times New Roman" w:eastAsia="宋体" w:cs="Times New Roman"/>
                      <w:bCs/>
                      <w:color w:val="auto"/>
                      <w:spacing w:val="0"/>
                      <w:sz w:val="21"/>
                      <w:szCs w:val="21"/>
                      <w:highlight w:val="none"/>
                      <w:lang w:bidi="ar"/>
                    </w:rPr>
                    <w:t>厂址不在</w:t>
                  </w:r>
                  <w:r>
                    <w:rPr>
                      <w:rFonts w:hint="default" w:ascii="Times New Roman" w:hAnsi="Times New Roman" w:eastAsia="宋体" w:cs="Times New Roman"/>
                      <w:bCs/>
                      <w:color w:val="auto"/>
                      <w:spacing w:val="0"/>
                      <w:sz w:val="21"/>
                      <w:szCs w:val="21"/>
                      <w:highlight w:val="none"/>
                      <w:lang w:val="zh-CN" w:bidi="ar"/>
                    </w:rPr>
                    <w:t>浊漳河源头区域，</w:t>
                  </w:r>
                  <w:r>
                    <w:rPr>
                      <w:rFonts w:hint="default" w:ascii="Times New Roman" w:hAnsi="Times New Roman" w:eastAsia="宋体" w:cs="Times New Roman"/>
                      <w:bCs/>
                      <w:color w:val="auto"/>
                      <w:spacing w:val="0"/>
                      <w:sz w:val="21"/>
                      <w:szCs w:val="21"/>
                      <w:highlight w:val="none"/>
                      <w:lang w:bidi="ar"/>
                    </w:rPr>
                    <w:t>本项目</w:t>
                  </w:r>
                  <w:r>
                    <w:rPr>
                      <w:rFonts w:hint="eastAsia" w:ascii="Times New Roman" w:hAnsi="Times New Roman" w:cs="Times New Roman"/>
                      <w:bCs/>
                      <w:color w:val="auto"/>
                      <w:spacing w:val="0"/>
                      <w:sz w:val="21"/>
                      <w:szCs w:val="21"/>
                      <w:highlight w:val="none"/>
                      <w:lang w:val="en-US" w:eastAsia="zh-CN" w:bidi="ar"/>
                    </w:rPr>
                    <w:t>生产废水、</w:t>
                  </w:r>
                  <w:r>
                    <w:rPr>
                      <w:rFonts w:hint="eastAsia" w:ascii="Times New Roman" w:hAnsi="Times New Roman" w:eastAsia="宋体" w:cs="Times New Roman"/>
                      <w:bCs/>
                      <w:color w:val="auto"/>
                      <w:spacing w:val="0"/>
                      <w:sz w:val="21"/>
                      <w:szCs w:val="21"/>
                      <w:highlight w:val="none"/>
                      <w:lang w:val="en-US" w:eastAsia="zh-CN" w:bidi="ar"/>
                    </w:rPr>
                    <w:t>生活污水</w:t>
                  </w:r>
                  <w:r>
                    <w:rPr>
                      <w:rFonts w:hint="eastAsia" w:ascii="Times New Roman" w:hAnsi="Times New Roman" w:cs="Times New Roman"/>
                      <w:bCs/>
                      <w:color w:val="auto"/>
                      <w:spacing w:val="0"/>
                      <w:sz w:val="21"/>
                      <w:szCs w:val="21"/>
                      <w:highlight w:val="none"/>
                      <w:lang w:val="en-US" w:eastAsia="zh-CN" w:bidi="ar"/>
                    </w:rPr>
                    <w:t>均不外排</w:t>
                  </w:r>
                  <w:r>
                    <w:rPr>
                      <w:rFonts w:hint="default" w:ascii="Times New Roman" w:hAnsi="Times New Roman" w:eastAsia="宋体" w:cs="Times New Roman"/>
                      <w:bCs/>
                      <w:color w:val="auto"/>
                      <w:spacing w:val="0"/>
                      <w:sz w:val="21"/>
                      <w:szCs w:val="21"/>
                      <w:highlight w:val="none"/>
                      <w:lang w:bidi="ar"/>
                    </w:rPr>
                    <w:t>。</w:t>
                  </w:r>
                </w:p>
              </w:tc>
            </w:tr>
            <w:tr w14:paraId="2A952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14:paraId="6E3B6367">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环境风险防控</w:t>
                  </w:r>
                </w:p>
              </w:tc>
              <w:tc>
                <w:tcPr>
                  <w:tcW w:w="2878" w:type="pct"/>
                  <w:tcBorders>
                    <w:tl2br w:val="nil"/>
                    <w:tr2bl w:val="nil"/>
                  </w:tcBorders>
                  <w:noWrap w:val="0"/>
                  <w:vAlign w:val="center"/>
                </w:tcPr>
                <w:p w14:paraId="544BB84B">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加强浊漳河流域水环境风险防控工作，确定重点水环境风险源清单，建立应急物资储备库及</w:t>
                  </w:r>
                  <w:r>
                    <w:rPr>
                      <w:rFonts w:hint="default" w:ascii="Times New Roman" w:hAnsi="Times New Roman" w:eastAsia="宋体" w:cs="Times New Roman"/>
                      <w:bCs/>
                      <w:color w:val="auto"/>
                      <w:spacing w:val="0"/>
                      <w:sz w:val="21"/>
                      <w:szCs w:val="21"/>
                      <w:highlight w:val="none"/>
                      <w:lang w:val="en-US" w:eastAsia="zh-CN" w:bidi="ar"/>
                    </w:rPr>
                    <w:t>保障</w:t>
                  </w:r>
                  <w:r>
                    <w:rPr>
                      <w:rFonts w:hint="default" w:ascii="Times New Roman" w:hAnsi="Times New Roman" w:eastAsia="宋体" w:cs="Times New Roman"/>
                      <w:bCs/>
                      <w:color w:val="auto"/>
                      <w:spacing w:val="0"/>
                      <w:sz w:val="21"/>
                      <w:szCs w:val="21"/>
                      <w:highlight w:val="none"/>
                      <w:lang w:val="zh-CN" w:eastAsia="zh-CN" w:bidi="ar"/>
                    </w:rPr>
                    <w:t>机制</w:t>
                  </w:r>
                </w:p>
              </w:tc>
              <w:tc>
                <w:tcPr>
                  <w:tcW w:w="1662" w:type="pct"/>
                  <w:tcBorders>
                    <w:tl2br w:val="nil"/>
                    <w:tr2bl w:val="nil"/>
                  </w:tcBorders>
                  <w:noWrap w:val="0"/>
                  <w:vAlign w:val="center"/>
                </w:tcPr>
                <w:p w14:paraId="64026CFD">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val="en-US" w:eastAsia="zh-CN" w:bidi="ar"/>
                    </w:rPr>
                    <w:t>本项目运营期间按照相关要求，健全环境风险应急预案和应急响应措施，制定</w:t>
                  </w:r>
                  <w:r>
                    <w:rPr>
                      <w:rFonts w:hint="default" w:ascii="Times New Roman" w:hAnsi="Times New Roman" w:eastAsia="宋体" w:cs="Times New Roman"/>
                      <w:bCs/>
                      <w:color w:val="auto"/>
                      <w:spacing w:val="0"/>
                      <w:sz w:val="21"/>
                      <w:szCs w:val="21"/>
                      <w:highlight w:val="none"/>
                      <w:lang w:val="zh-CN" w:eastAsia="zh-CN" w:bidi="ar"/>
                    </w:rPr>
                    <w:t>重点水环境风险源清单，</w:t>
                  </w:r>
                  <w:r>
                    <w:rPr>
                      <w:rFonts w:hint="default" w:ascii="Times New Roman" w:hAnsi="Times New Roman" w:eastAsia="宋体" w:cs="Times New Roman"/>
                      <w:bCs/>
                      <w:color w:val="auto"/>
                      <w:spacing w:val="0"/>
                      <w:sz w:val="21"/>
                      <w:szCs w:val="21"/>
                      <w:highlight w:val="none"/>
                      <w:lang w:val="en-US" w:eastAsia="zh-CN" w:bidi="ar"/>
                    </w:rPr>
                    <w:t>完善</w:t>
                  </w:r>
                  <w:r>
                    <w:rPr>
                      <w:rFonts w:hint="default" w:ascii="Times New Roman" w:hAnsi="Times New Roman" w:eastAsia="宋体" w:cs="Times New Roman"/>
                      <w:bCs/>
                      <w:color w:val="auto"/>
                      <w:spacing w:val="0"/>
                      <w:sz w:val="21"/>
                      <w:szCs w:val="21"/>
                      <w:highlight w:val="none"/>
                      <w:lang w:val="zh-CN" w:eastAsia="zh-CN" w:bidi="ar"/>
                    </w:rPr>
                    <w:t>应急物资储备库及</w:t>
                  </w:r>
                  <w:r>
                    <w:rPr>
                      <w:rFonts w:hint="default" w:ascii="Times New Roman" w:hAnsi="Times New Roman" w:eastAsia="宋体" w:cs="Times New Roman"/>
                      <w:bCs/>
                      <w:color w:val="auto"/>
                      <w:spacing w:val="0"/>
                      <w:sz w:val="21"/>
                      <w:szCs w:val="21"/>
                      <w:highlight w:val="none"/>
                      <w:lang w:val="en-US" w:eastAsia="zh-CN" w:bidi="ar"/>
                    </w:rPr>
                    <w:t>保障</w:t>
                  </w:r>
                  <w:r>
                    <w:rPr>
                      <w:rFonts w:hint="default" w:ascii="Times New Roman" w:hAnsi="Times New Roman" w:eastAsia="宋体" w:cs="Times New Roman"/>
                      <w:bCs/>
                      <w:color w:val="auto"/>
                      <w:spacing w:val="0"/>
                      <w:sz w:val="21"/>
                      <w:szCs w:val="21"/>
                      <w:highlight w:val="none"/>
                      <w:lang w:val="zh-CN" w:eastAsia="zh-CN" w:bidi="ar"/>
                    </w:rPr>
                    <w:t>机制</w:t>
                  </w:r>
                  <w:r>
                    <w:rPr>
                      <w:rFonts w:hint="default" w:ascii="Times New Roman" w:hAnsi="Times New Roman" w:eastAsia="宋体" w:cs="Times New Roman"/>
                      <w:bCs/>
                      <w:color w:val="auto"/>
                      <w:spacing w:val="0"/>
                      <w:sz w:val="21"/>
                      <w:szCs w:val="21"/>
                      <w:highlight w:val="none"/>
                      <w:lang w:bidi="ar"/>
                    </w:rPr>
                    <w:t>。</w:t>
                  </w:r>
                </w:p>
              </w:tc>
            </w:tr>
            <w:tr w14:paraId="48CC2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14:paraId="5B00898F">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资源利用效率</w:t>
                  </w:r>
                </w:p>
              </w:tc>
              <w:tc>
                <w:tcPr>
                  <w:tcW w:w="2878" w:type="pct"/>
                  <w:tcBorders>
                    <w:tl2br w:val="nil"/>
                    <w:tr2bl w:val="nil"/>
                  </w:tcBorders>
                  <w:noWrap w:val="0"/>
                  <w:vAlign w:val="center"/>
                </w:tcPr>
                <w:p w14:paraId="553ED06E">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1.水资源利用上线严格落实“十四五”相关目标指标。</w:t>
                  </w:r>
                </w:p>
                <w:p w14:paraId="51915B8B">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2.实施农业节水增效、工业节水减排、城镇节水降损，推进海绵城市建设，加强中水资源利用。</w:t>
                  </w:r>
                </w:p>
                <w:p w14:paraId="2C9AFCC6">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3.加强用水效率控制红线管理，全面推进节水型社会建设，通过节水改造、价格调节等措施，促进城乡节约用水。</w:t>
                  </w:r>
                </w:p>
              </w:tc>
              <w:tc>
                <w:tcPr>
                  <w:tcW w:w="1662" w:type="pct"/>
                  <w:tcBorders>
                    <w:tl2br w:val="nil"/>
                    <w:tr2bl w:val="nil"/>
                  </w:tcBorders>
                  <w:noWrap w:val="0"/>
                  <w:vAlign w:val="center"/>
                </w:tcPr>
                <w:p w14:paraId="75045B6A">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本项目</w:t>
                  </w:r>
                  <w:r>
                    <w:rPr>
                      <w:rFonts w:hint="default" w:ascii="Times New Roman" w:hAnsi="Times New Roman" w:eastAsia="宋体" w:cs="Times New Roman"/>
                      <w:bCs/>
                      <w:color w:val="auto"/>
                      <w:spacing w:val="0"/>
                      <w:sz w:val="21"/>
                      <w:szCs w:val="21"/>
                      <w:highlight w:val="none"/>
                      <w:lang w:val="en-US" w:eastAsia="zh-CN" w:bidi="ar"/>
                    </w:rPr>
                    <w:t>生产用水</w:t>
                  </w:r>
                  <w:r>
                    <w:rPr>
                      <w:rFonts w:hint="eastAsia" w:cs="Times New Roman"/>
                      <w:bCs/>
                      <w:color w:val="auto"/>
                      <w:spacing w:val="0"/>
                      <w:sz w:val="21"/>
                      <w:szCs w:val="21"/>
                      <w:highlight w:val="none"/>
                      <w:lang w:val="en-US" w:eastAsia="zh-CN" w:bidi="ar"/>
                    </w:rPr>
                    <w:t>为现有矿井水处理站处理后的矿井水</w:t>
                  </w:r>
                  <w:r>
                    <w:rPr>
                      <w:rFonts w:hint="default" w:ascii="Times New Roman" w:hAnsi="Times New Roman" w:eastAsia="宋体" w:cs="Times New Roman"/>
                      <w:bCs/>
                      <w:color w:val="auto"/>
                      <w:spacing w:val="0"/>
                      <w:sz w:val="21"/>
                      <w:szCs w:val="21"/>
                      <w:highlight w:val="none"/>
                      <w:lang w:val="en-US" w:eastAsia="zh-CN" w:bidi="ar"/>
                    </w:rPr>
                    <w:t>，</w:t>
                  </w:r>
                  <w:r>
                    <w:rPr>
                      <w:rFonts w:hint="default" w:ascii="Times New Roman" w:hAnsi="Times New Roman" w:eastAsia="宋体" w:cs="Times New Roman"/>
                      <w:bCs/>
                      <w:color w:val="auto"/>
                      <w:spacing w:val="0"/>
                      <w:sz w:val="21"/>
                      <w:szCs w:val="21"/>
                      <w:highlight w:val="none"/>
                      <w:lang w:bidi="ar"/>
                    </w:rPr>
                    <w:t>未突破水资源利用上线。</w:t>
                  </w:r>
                </w:p>
              </w:tc>
            </w:tr>
          </w:tbl>
          <w:p w14:paraId="61B340A8">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eastAsia"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黑体" w:cs="Times New Roman"/>
                <w:iCs/>
                <w:snapToGrid w:val="0"/>
                <w:color w:val="auto"/>
                <w:spacing w:val="0"/>
                <w:kern w:val="0"/>
                <w:sz w:val="21"/>
                <w:szCs w:val="20"/>
                <w:highlight w:val="none"/>
                <w:lang w:val="en-US" w:eastAsia="zh-CN" w:bidi="ar-SA"/>
              </w:rPr>
              <w:t>表1</w:t>
            </w:r>
            <w:r>
              <w:rPr>
                <w:rFonts w:hint="eastAsia" w:ascii="Times New Roman" w:hAnsi="Times New Roman" w:eastAsia="黑体" w:cs="Times New Roman"/>
                <w:iCs/>
                <w:snapToGrid w:val="0"/>
                <w:color w:val="auto"/>
                <w:spacing w:val="0"/>
                <w:kern w:val="0"/>
                <w:sz w:val="21"/>
                <w:szCs w:val="20"/>
                <w:highlight w:val="none"/>
                <w:lang w:val="en-US" w:eastAsia="zh-CN" w:bidi="ar-SA"/>
              </w:rPr>
              <w:t>.</w:t>
            </w:r>
            <w:r>
              <w:rPr>
                <w:rFonts w:hint="eastAsia" w:eastAsia="黑体" w:cs="Times New Roman"/>
                <w:iCs/>
                <w:snapToGrid w:val="0"/>
                <w:color w:val="auto"/>
                <w:spacing w:val="0"/>
                <w:kern w:val="0"/>
                <w:sz w:val="21"/>
                <w:szCs w:val="20"/>
                <w:highlight w:val="none"/>
                <w:lang w:val="en-US" w:eastAsia="zh-CN" w:bidi="ar-SA"/>
              </w:rPr>
              <w:t>1</w:t>
            </w:r>
            <w:r>
              <w:rPr>
                <w:rFonts w:hint="eastAsia" w:ascii="Times New Roman" w:hAnsi="Times New Roman" w:eastAsia="黑体" w:cs="Times New Roman"/>
                <w:iCs/>
                <w:snapToGrid w:val="0"/>
                <w:color w:val="auto"/>
                <w:spacing w:val="0"/>
                <w:kern w:val="0"/>
                <w:sz w:val="21"/>
                <w:szCs w:val="20"/>
                <w:highlight w:val="none"/>
                <w:lang w:val="en-US" w:eastAsia="zh-CN" w:bidi="ar-SA"/>
              </w:rPr>
              <w:t>-3</w:t>
            </w:r>
            <w:r>
              <w:rPr>
                <w:rFonts w:hint="default" w:ascii="Times New Roman" w:hAnsi="Times New Roman" w:eastAsia="黑体" w:cs="Times New Roman"/>
                <w:iCs/>
                <w:snapToGrid w:val="0"/>
                <w:color w:val="auto"/>
                <w:spacing w:val="0"/>
                <w:kern w:val="0"/>
                <w:sz w:val="21"/>
                <w:szCs w:val="20"/>
                <w:highlight w:val="none"/>
                <w:lang w:val="en-US" w:eastAsia="zh-CN" w:bidi="ar-SA"/>
              </w:rPr>
              <w:t xml:space="preserve">  与</w:t>
            </w:r>
            <w:r>
              <w:rPr>
                <w:rFonts w:hint="eastAsia" w:ascii="Times New Roman" w:hAnsi="Times New Roman" w:eastAsia="黑体" w:cs="Times New Roman"/>
                <w:iCs/>
                <w:snapToGrid w:val="0"/>
                <w:color w:val="auto"/>
                <w:spacing w:val="0"/>
                <w:kern w:val="0"/>
                <w:sz w:val="21"/>
                <w:szCs w:val="20"/>
                <w:highlight w:val="none"/>
                <w:lang w:val="en-US" w:eastAsia="zh-CN" w:bidi="ar-SA"/>
              </w:rPr>
              <w:t>长治市辛安泉域生态环境准入要求</w:t>
            </w:r>
            <w:r>
              <w:rPr>
                <w:rFonts w:hint="default" w:ascii="Times New Roman" w:hAnsi="Times New Roman" w:eastAsia="黑体" w:cs="Times New Roman"/>
                <w:iCs/>
                <w:snapToGrid w:val="0"/>
                <w:color w:val="auto"/>
                <w:spacing w:val="0"/>
                <w:kern w:val="0"/>
                <w:sz w:val="21"/>
                <w:szCs w:val="20"/>
                <w:highlight w:val="none"/>
                <w:lang w:val="en-US" w:eastAsia="zh-CN" w:bidi="ar-SA"/>
              </w:rPr>
              <w:t>的符合性分析</w:t>
            </w:r>
          </w:p>
          <w:tbl>
            <w:tblPr>
              <w:tblStyle w:val="24"/>
              <w:tblW w:w="73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395"/>
              <w:gridCol w:w="2275"/>
            </w:tblGrid>
            <w:tr w14:paraId="61073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4" w:type="pct"/>
                  <w:tcBorders>
                    <w:tl2br w:val="nil"/>
                    <w:tr2bl w:val="nil"/>
                  </w:tcBorders>
                  <w:noWrap w:val="0"/>
                  <w:vAlign w:val="center"/>
                </w:tcPr>
                <w:p w14:paraId="3BEEA863">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管控类别</w:t>
                  </w:r>
                </w:p>
              </w:tc>
              <w:tc>
                <w:tcPr>
                  <w:tcW w:w="2981" w:type="pct"/>
                  <w:tcBorders>
                    <w:tl2br w:val="nil"/>
                    <w:tr2bl w:val="nil"/>
                  </w:tcBorders>
                  <w:noWrap w:val="0"/>
                  <w:vAlign w:val="center"/>
                </w:tcPr>
                <w:p w14:paraId="1E9F3B21">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管控要求</w:t>
                  </w:r>
                </w:p>
              </w:tc>
              <w:tc>
                <w:tcPr>
                  <w:tcW w:w="1543" w:type="pct"/>
                  <w:tcBorders>
                    <w:tl2br w:val="nil"/>
                    <w:tr2bl w:val="nil"/>
                  </w:tcBorders>
                  <w:noWrap w:val="0"/>
                  <w:vAlign w:val="center"/>
                </w:tcPr>
                <w:p w14:paraId="46E2DC1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kern w:val="0"/>
                      <w:sz w:val="21"/>
                      <w:szCs w:val="21"/>
                      <w:highlight w:val="none"/>
                      <w:lang w:val="en-US" w:eastAsia="zh-CN" w:bidi="ar"/>
                    </w:rPr>
                    <w:t>符合性分析</w:t>
                  </w:r>
                </w:p>
              </w:tc>
            </w:tr>
            <w:tr w14:paraId="4B8AE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656E997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空间布局约束</w:t>
                  </w:r>
                </w:p>
              </w:tc>
              <w:tc>
                <w:tcPr>
                  <w:tcW w:w="2981" w:type="pct"/>
                  <w:tcBorders>
                    <w:tl2br w:val="nil"/>
                    <w:tr2bl w:val="nil"/>
                  </w:tcBorders>
                  <w:noWrap w:val="0"/>
                  <w:vAlign w:val="center"/>
                </w:tcPr>
                <w:p w14:paraId="61AF38C6">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1.泉域的重点保护区内禁止在泉水出露带进行采煤、开矿、开山采石和兴建地下工程</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新建、改建、扩建与供水设施和保护水源无关的建设项目</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重点保护区以外的泉域范围内严格控制兴建耗水量大或对水资源有污染的建设项目。</w:t>
                  </w:r>
                </w:p>
                <w:p w14:paraId="0A0FC5BD">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2.辛安泉饮用水水源地一级保护区内禁止新建、改建、扩建与供水设施、防洪设施和保护水源无关的建设项目。</w:t>
                  </w:r>
                </w:p>
                <w:p w14:paraId="23AE9E60">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3.辛安泉饮用水水源地二级保护区内禁止新建、改建、扩建炼焦、化工、炼油、冶炼、电镀、皮革、造纸、制浆、印染、染料、放射性以及其他排放污染物的建设项目</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禁止建设畜禽养殖场、养殖小区;禁止建设工业固体废物、</w:t>
                  </w:r>
                  <w:r>
                    <w:rPr>
                      <w:rFonts w:hint="eastAsia" w:cs="Times New Roman"/>
                      <w:bCs/>
                      <w:color w:val="auto"/>
                      <w:spacing w:val="0"/>
                      <w:sz w:val="21"/>
                      <w:szCs w:val="21"/>
                      <w:highlight w:val="none"/>
                      <w:lang w:val="zh-CN" w:eastAsia="zh-CN" w:bidi="ar"/>
                    </w:rPr>
                    <w:t>粪便</w:t>
                  </w:r>
                  <w:r>
                    <w:rPr>
                      <w:rFonts w:hint="default" w:ascii="Times New Roman" w:hAnsi="Times New Roman" w:eastAsia="宋体" w:cs="Times New Roman"/>
                      <w:bCs/>
                      <w:color w:val="auto"/>
                      <w:spacing w:val="0"/>
                      <w:sz w:val="21"/>
                      <w:szCs w:val="21"/>
                      <w:highlight w:val="none"/>
                      <w:lang w:val="zh-CN" w:eastAsia="zh-CN" w:bidi="ar"/>
                    </w:rPr>
                    <w:t>和易溶、有毒有害废弃物集中贮存、处置的设施、场所和生活垃圾填埋场、转运站。</w:t>
                  </w:r>
                </w:p>
                <w:p w14:paraId="02C2B704">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4.辛安泉饮用水水源地准保护区范围内禁止新建、扩建对水体污染严重的建设项目。</w:t>
                  </w:r>
                </w:p>
              </w:tc>
              <w:tc>
                <w:tcPr>
                  <w:tcW w:w="1543" w:type="pct"/>
                  <w:tcBorders>
                    <w:tl2br w:val="nil"/>
                    <w:tr2bl w:val="nil"/>
                  </w:tcBorders>
                  <w:noWrap w:val="0"/>
                  <w:vAlign w:val="center"/>
                </w:tcPr>
                <w:p w14:paraId="27A8C130">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eastAsia="zh-CN" w:bidi="ar"/>
                    </w:rPr>
                  </w:pPr>
                  <w:r>
                    <w:rPr>
                      <w:rFonts w:hint="default" w:ascii="Times New Roman" w:hAnsi="Times New Roman" w:eastAsia="宋体" w:cs="Times New Roman"/>
                      <w:bCs/>
                      <w:color w:val="auto"/>
                      <w:spacing w:val="0"/>
                      <w:sz w:val="21"/>
                      <w:szCs w:val="21"/>
                      <w:highlight w:val="none"/>
                      <w:lang w:bidi="ar"/>
                    </w:rPr>
                    <w:t>本项目</w:t>
                  </w:r>
                  <w:r>
                    <w:rPr>
                      <w:rFonts w:hint="default" w:ascii="Times New Roman" w:hAnsi="Times New Roman" w:eastAsia="宋体" w:cs="Times New Roman"/>
                      <w:bCs/>
                      <w:color w:val="auto"/>
                      <w:spacing w:val="0"/>
                      <w:sz w:val="21"/>
                      <w:szCs w:val="21"/>
                      <w:highlight w:val="none"/>
                      <w:lang w:val="en-US" w:eastAsia="zh-CN" w:bidi="ar"/>
                    </w:rPr>
                    <w:t>位于辛安泉域范围内，但</w:t>
                  </w:r>
                  <w:r>
                    <w:rPr>
                      <w:rFonts w:hint="default" w:ascii="Times New Roman" w:hAnsi="Times New Roman" w:eastAsia="宋体" w:cs="Times New Roman"/>
                      <w:bCs/>
                      <w:color w:val="auto"/>
                      <w:spacing w:val="0"/>
                      <w:sz w:val="21"/>
                      <w:szCs w:val="21"/>
                      <w:highlight w:val="none"/>
                      <w:lang w:bidi="ar"/>
                    </w:rPr>
                    <w:t>不在</w:t>
                  </w:r>
                  <w:r>
                    <w:rPr>
                      <w:rFonts w:hint="default" w:ascii="Times New Roman" w:hAnsi="Times New Roman" w:eastAsia="宋体" w:cs="Times New Roman"/>
                      <w:bCs/>
                      <w:color w:val="auto"/>
                      <w:spacing w:val="0"/>
                      <w:sz w:val="21"/>
                      <w:szCs w:val="21"/>
                      <w:highlight w:val="none"/>
                      <w:lang w:val="en-US" w:eastAsia="zh-CN" w:bidi="ar"/>
                    </w:rPr>
                    <w:t>其</w:t>
                  </w:r>
                  <w:r>
                    <w:rPr>
                      <w:rFonts w:hint="default" w:ascii="Times New Roman" w:hAnsi="Times New Roman" w:eastAsia="宋体" w:cs="Times New Roman"/>
                      <w:bCs/>
                      <w:color w:val="auto"/>
                      <w:spacing w:val="0"/>
                      <w:sz w:val="21"/>
                      <w:szCs w:val="21"/>
                      <w:highlight w:val="none"/>
                      <w:lang w:bidi="ar"/>
                    </w:rPr>
                    <w:t>重点保护区范围内</w:t>
                  </w:r>
                  <w:r>
                    <w:rPr>
                      <w:rFonts w:hint="default" w:ascii="Times New Roman" w:hAnsi="Times New Roman" w:eastAsia="宋体" w:cs="Times New Roman"/>
                      <w:bCs/>
                      <w:color w:val="auto"/>
                      <w:spacing w:val="0"/>
                      <w:sz w:val="21"/>
                      <w:szCs w:val="21"/>
                      <w:highlight w:val="none"/>
                      <w:lang w:eastAsia="zh-CN" w:bidi="ar"/>
                    </w:rPr>
                    <w:t>；</w:t>
                  </w:r>
                </w:p>
                <w:p w14:paraId="59CF1B02">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val="zh-CN" w:bidi="ar"/>
                    </w:rPr>
                  </w:pPr>
                  <w:r>
                    <w:rPr>
                      <w:rFonts w:hint="eastAsia" w:cs="Times New Roman"/>
                      <w:color w:val="auto"/>
                      <w:spacing w:val="0"/>
                      <w:sz w:val="21"/>
                      <w:szCs w:val="21"/>
                      <w:highlight w:val="none"/>
                      <w:lang w:val="en-US" w:eastAsia="zh-CN"/>
                    </w:rPr>
                    <w:t>本项目不在辛安泉饮用水水源地一级保护区、二级保护区及准保护区范围内</w:t>
                  </w:r>
                  <w:r>
                    <w:rPr>
                      <w:rFonts w:hint="default" w:ascii="Times New Roman" w:hAnsi="Times New Roman" w:eastAsia="宋体" w:cs="Times New Roman"/>
                      <w:bCs/>
                      <w:color w:val="auto"/>
                      <w:spacing w:val="0"/>
                      <w:sz w:val="21"/>
                      <w:szCs w:val="21"/>
                      <w:highlight w:val="none"/>
                      <w:lang w:val="zh-CN" w:bidi="ar"/>
                    </w:rPr>
                    <w:t>；</w:t>
                  </w:r>
                </w:p>
                <w:p w14:paraId="2A01C69D">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eastAsia="zh-CN" w:bidi="ar"/>
                    </w:rPr>
                    <w:t>本项目</w:t>
                  </w:r>
                  <w:r>
                    <w:rPr>
                      <w:rFonts w:hint="default" w:ascii="Times New Roman" w:hAnsi="Times New Roman" w:eastAsia="宋体" w:cs="Times New Roman"/>
                      <w:bCs/>
                      <w:color w:val="auto"/>
                      <w:spacing w:val="0"/>
                      <w:sz w:val="21"/>
                      <w:szCs w:val="21"/>
                      <w:highlight w:val="none"/>
                      <w:lang w:val="en-US" w:eastAsia="zh-CN" w:bidi="ar"/>
                    </w:rPr>
                    <w:t>不属于对水体污染严重的建设项目</w:t>
                  </w:r>
                  <w:r>
                    <w:rPr>
                      <w:rFonts w:hint="default" w:ascii="Times New Roman" w:hAnsi="Times New Roman" w:eastAsia="宋体" w:cs="Times New Roman"/>
                      <w:bCs/>
                      <w:color w:val="auto"/>
                      <w:spacing w:val="0"/>
                      <w:sz w:val="21"/>
                      <w:szCs w:val="21"/>
                      <w:highlight w:val="none"/>
                      <w:lang w:val="zh-CN" w:bidi="ar"/>
                    </w:rPr>
                    <w:t>。</w:t>
                  </w:r>
                </w:p>
              </w:tc>
            </w:tr>
            <w:tr w14:paraId="3F304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212C7B6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污染物排放管控</w:t>
                  </w:r>
                </w:p>
              </w:tc>
              <w:tc>
                <w:tcPr>
                  <w:tcW w:w="2981" w:type="pct"/>
                  <w:tcBorders>
                    <w:tl2br w:val="nil"/>
                    <w:tr2bl w:val="nil"/>
                  </w:tcBorders>
                  <w:noWrap w:val="0"/>
                  <w:vAlign w:val="center"/>
                </w:tcPr>
                <w:p w14:paraId="0CF5B7BC">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1.泉域的重点保护区内禁止将已污染含水层与未污染含水层的地下水混合开采，禁止倾倒、排放工业废渣和城市生活垃圾、污水及其他废弃物</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重点保护区以外的泉域范围内不得利用渗坑、渗井、溶洞、废弃钻孔等排放工业废水、城市生活污水，倾倒污物、废渣和城市生活垃圾。</w:t>
                  </w:r>
                </w:p>
                <w:p w14:paraId="53D78B89">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2.辛安泉饮用水水源地一级保护区内禁止倾倒、堆放工业废渣、废液、垃圾、粪便、油类和其他有害废弃物</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禁止从事网箱养殖、旅游、游泳、垂钓、水上训练或者其他可能污染饮用水水体的活动。</w:t>
                  </w:r>
                </w:p>
                <w:p w14:paraId="76022AC6">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eastAsia="zh-CN" w:bidi="ar"/>
                    </w:rPr>
                    <w:t>3.辛安泉饮用水水源地二级保护区内禁止使用农药，丢弃农药、农药包装物或者清洗施药器械</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禁止利用未经净化的污水灌溉农田。</w:t>
                  </w:r>
                </w:p>
                <w:p w14:paraId="423321A3">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4.辛安泉饮用水水源地准保护区范围内禁止直接或者间接向水域排放不符合国家以及地方规定排放标准的废水</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禁止使用不符合《农田灌溉水质标准》的污水灌溉农田</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禁止利用渗井、废弃矿井、废弃井孔等排放工业废水、生活污水和矿坑水。</w:t>
                  </w:r>
                </w:p>
              </w:tc>
              <w:tc>
                <w:tcPr>
                  <w:tcW w:w="1543" w:type="pct"/>
                  <w:tcBorders>
                    <w:tl2br w:val="nil"/>
                    <w:tr2bl w:val="nil"/>
                  </w:tcBorders>
                  <w:noWrap w:val="0"/>
                  <w:vAlign w:val="center"/>
                </w:tcPr>
                <w:p w14:paraId="30700DA3">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zh-CN" w:bidi="ar"/>
                    </w:rPr>
                    <w:t>本项目</w:t>
                  </w:r>
                  <w:r>
                    <w:rPr>
                      <w:rFonts w:hint="default" w:ascii="Times New Roman" w:hAnsi="Times New Roman" w:eastAsia="宋体" w:cs="Times New Roman"/>
                      <w:bCs/>
                      <w:color w:val="auto"/>
                      <w:spacing w:val="0"/>
                      <w:sz w:val="21"/>
                      <w:szCs w:val="21"/>
                      <w:highlight w:val="none"/>
                      <w:lang w:val="zh-CN" w:eastAsia="zh-CN" w:bidi="ar"/>
                    </w:rPr>
                    <w:t>位于辛安泉域范围内，但</w:t>
                  </w:r>
                  <w:r>
                    <w:rPr>
                      <w:rFonts w:hint="default" w:ascii="Times New Roman" w:hAnsi="Times New Roman" w:eastAsia="宋体" w:cs="Times New Roman"/>
                      <w:bCs/>
                      <w:color w:val="auto"/>
                      <w:spacing w:val="0"/>
                      <w:sz w:val="21"/>
                      <w:szCs w:val="21"/>
                      <w:highlight w:val="none"/>
                      <w:lang w:val="zh-CN" w:bidi="ar"/>
                    </w:rPr>
                    <w:t>不在</w:t>
                  </w:r>
                  <w:r>
                    <w:rPr>
                      <w:rFonts w:hint="default" w:ascii="Times New Roman" w:hAnsi="Times New Roman" w:eastAsia="宋体" w:cs="Times New Roman"/>
                      <w:bCs/>
                      <w:color w:val="auto"/>
                      <w:spacing w:val="0"/>
                      <w:sz w:val="21"/>
                      <w:szCs w:val="21"/>
                      <w:highlight w:val="none"/>
                      <w:lang w:val="zh-CN" w:eastAsia="zh-CN" w:bidi="ar"/>
                    </w:rPr>
                    <w:t>其</w:t>
                  </w:r>
                  <w:r>
                    <w:rPr>
                      <w:rFonts w:hint="default" w:ascii="Times New Roman" w:hAnsi="Times New Roman" w:eastAsia="宋体" w:cs="Times New Roman"/>
                      <w:bCs/>
                      <w:color w:val="auto"/>
                      <w:spacing w:val="0"/>
                      <w:sz w:val="21"/>
                      <w:szCs w:val="21"/>
                      <w:highlight w:val="none"/>
                      <w:lang w:val="zh-CN" w:bidi="ar"/>
                    </w:rPr>
                    <w:t>重点保护区范围内</w:t>
                  </w:r>
                  <w:r>
                    <w:rPr>
                      <w:rFonts w:hint="default" w:ascii="Times New Roman" w:hAnsi="Times New Roman" w:eastAsia="宋体" w:cs="Times New Roman"/>
                      <w:bCs/>
                      <w:color w:val="auto"/>
                      <w:spacing w:val="0"/>
                      <w:sz w:val="21"/>
                      <w:szCs w:val="21"/>
                      <w:highlight w:val="none"/>
                      <w:lang w:val="zh-CN" w:eastAsia="zh-CN" w:bidi="ar"/>
                    </w:rPr>
                    <w:t>；本项目不涉及利用渗坑、渗井、溶洞、废弃钻孔等排放工业废水、城市生活污水，倾倒污物、废渣和城市生活垃圾；</w:t>
                  </w:r>
                </w:p>
                <w:p w14:paraId="304C78DA">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本项目不在辛安泉饮用水水源地一级保护区、二级保护区及准保护区范围内</w:t>
                  </w:r>
                  <w:r>
                    <w:rPr>
                      <w:rFonts w:hint="default" w:ascii="Times New Roman" w:hAnsi="Times New Roman" w:eastAsia="宋体" w:cs="Times New Roman"/>
                      <w:bCs/>
                      <w:color w:val="auto"/>
                      <w:spacing w:val="0"/>
                      <w:sz w:val="21"/>
                      <w:szCs w:val="21"/>
                      <w:highlight w:val="none"/>
                      <w:lang w:val="zh-CN" w:bidi="ar"/>
                    </w:rPr>
                    <w:t>。</w:t>
                  </w:r>
                </w:p>
              </w:tc>
            </w:tr>
            <w:tr w14:paraId="40C35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29B7D0D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环境风险防控</w:t>
                  </w:r>
                </w:p>
              </w:tc>
              <w:tc>
                <w:tcPr>
                  <w:tcW w:w="2981" w:type="pct"/>
                  <w:tcBorders>
                    <w:tl2br w:val="nil"/>
                    <w:tr2bl w:val="nil"/>
                  </w:tcBorders>
                  <w:noWrap w:val="0"/>
                  <w:vAlign w:val="center"/>
                </w:tcPr>
                <w:p w14:paraId="42FF79EA">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泉域范围内，石化生产、存贮、销售企业以及工业园区、矿山开采区、矿山渣场、垃圾填埋场以及危险废物堆放场等的运营、管理单位应当进行必要的防渗处理。报废矿井、钻井以及取水井应当实施封井回填。</w:t>
                  </w:r>
                </w:p>
              </w:tc>
              <w:tc>
                <w:tcPr>
                  <w:tcW w:w="1543" w:type="pct"/>
                  <w:tcBorders>
                    <w:tl2br w:val="nil"/>
                    <w:tr2bl w:val="nil"/>
                  </w:tcBorders>
                  <w:noWrap w:val="0"/>
                  <w:vAlign w:val="center"/>
                </w:tcPr>
                <w:p w14:paraId="6AEE1809">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color w:val="auto"/>
                      <w:spacing w:val="0"/>
                      <w:sz w:val="21"/>
                      <w:szCs w:val="21"/>
                      <w:highlight w:val="none"/>
                    </w:rPr>
                    <w:t>本项目</w:t>
                  </w:r>
                  <w:r>
                    <w:rPr>
                      <w:rFonts w:hint="eastAsia" w:ascii="Times New Roman" w:hAnsi="Times New Roman" w:eastAsia="宋体" w:cs="Times New Roman"/>
                      <w:color w:val="auto"/>
                      <w:spacing w:val="0"/>
                      <w:sz w:val="21"/>
                      <w:szCs w:val="21"/>
                      <w:highlight w:val="none"/>
                      <w:lang w:val="en-US" w:eastAsia="zh-CN"/>
                    </w:rPr>
                    <w:t>已采取分区防渗措施</w:t>
                  </w:r>
                  <w:r>
                    <w:rPr>
                      <w:rFonts w:hint="default" w:ascii="Times New Roman" w:hAnsi="Times New Roman" w:eastAsia="宋体" w:cs="Times New Roman"/>
                      <w:bCs/>
                      <w:color w:val="auto"/>
                      <w:spacing w:val="0"/>
                      <w:sz w:val="21"/>
                      <w:szCs w:val="21"/>
                      <w:highlight w:val="none"/>
                      <w:lang w:val="zh-CN" w:bidi="ar"/>
                    </w:rPr>
                    <w:t>。</w:t>
                  </w:r>
                </w:p>
              </w:tc>
            </w:tr>
            <w:tr w14:paraId="0B780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78DD18A0">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bCs/>
                      <w:color w:val="auto"/>
                      <w:spacing w:val="0"/>
                      <w:sz w:val="21"/>
                      <w:szCs w:val="21"/>
                      <w:highlight w:val="none"/>
                      <w:lang w:bidi="ar"/>
                    </w:rPr>
                    <w:t>资源利用效率</w:t>
                  </w:r>
                </w:p>
              </w:tc>
              <w:tc>
                <w:tcPr>
                  <w:tcW w:w="2981" w:type="pct"/>
                  <w:tcBorders>
                    <w:tl2br w:val="nil"/>
                    <w:tr2bl w:val="nil"/>
                  </w:tcBorders>
                  <w:noWrap w:val="0"/>
                  <w:vAlign w:val="center"/>
                </w:tcPr>
                <w:p w14:paraId="1F76DDC7">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zh-CN" w:eastAsia="zh-CN" w:bidi="ar"/>
                    </w:rPr>
                  </w:pPr>
                  <w:r>
                    <w:rPr>
                      <w:rFonts w:hint="default" w:ascii="Times New Roman" w:hAnsi="Times New Roman" w:eastAsia="宋体" w:cs="Times New Roman"/>
                      <w:bCs/>
                      <w:color w:val="auto"/>
                      <w:spacing w:val="0"/>
                      <w:sz w:val="21"/>
                      <w:szCs w:val="21"/>
                      <w:highlight w:val="none"/>
                      <w:lang w:val="en-US" w:eastAsia="zh-CN" w:bidi="ar"/>
                    </w:rPr>
                    <w:t>1</w:t>
                  </w:r>
                  <w:r>
                    <w:rPr>
                      <w:rFonts w:hint="default" w:ascii="Times New Roman" w:hAnsi="Times New Roman" w:eastAsia="宋体" w:cs="Times New Roman"/>
                      <w:bCs/>
                      <w:color w:val="auto"/>
                      <w:spacing w:val="0"/>
                      <w:sz w:val="21"/>
                      <w:szCs w:val="21"/>
                      <w:highlight w:val="none"/>
                      <w:lang w:val="zh-CN" w:eastAsia="zh-CN" w:bidi="ar"/>
                    </w:rPr>
                    <w:t>.泉域的重点保护区内禁止擅自打井、挖泉、截流、引水</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重点保护区以外的泉域范围内应控制岩溶地下水开采，合理开发孔隙裂隙地下水。</w:t>
                  </w:r>
                </w:p>
                <w:p w14:paraId="4D300A5F">
                  <w:pPr>
                    <w:pStyle w:val="9"/>
                    <w:keepNext w:val="0"/>
                    <w:keepLines w:val="0"/>
                    <w:pageBreakBefore w:val="0"/>
                    <w:kinsoku/>
                    <w:wordWrap/>
                    <w:overflowPunct/>
                    <w:topLinePunct w:val="0"/>
                    <w:autoSpaceDE/>
                    <w:autoSpaceDN/>
                    <w:bidi w:val="0"/>
                    <w:adjustRightInd w:val="0"/>
                    <w:snapToGrid w:val="0"/>
                    <w:spacing w:before="0" w:after="0" w:line="320" w:lineRule="exact"/>
                    <w:ind w:right="0" w:firstLine="0" w:firstLineChars="0"/>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zh-CN" w:eastAsia="zh-CN" w:bidi="ar"/>
                    </w:rPr>
                    <w:t>2.泉域范围内，任何单位或者个人取用岩溶地下水，应当依法办理取水许可手续，严禁未经批准擅自取水</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经批准取用辛安泉岩溶地下水的单位或者个人，应当依照取水许可规定的条件取水，不得超出核定的取水量，不得转供水。未经批准不得擅自改变取水用途，确需改变的，需经原批准机关审查同意</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严格控制辛安泉岩溶地下水开采，实行区域限制许可制度，制定各县（区）岩溶水开采控制指标。对岩溶水取水量已达到或者超过控制指标的县（区），暂停新增岩溶水取水许可</w:t>
                  </w:r>
                  <w:r>
                    <w:rPr>
                      <w:rFonts w:hint="eastAsia" w:ascii="Times New Roman" w:hAnsi="Times New Roman" w:eastAsia="宋体" w:cs="Times New Roman"/>
                      <w:bCs/>
                      <w:color w:val="auto"/>
                      <w:spacing w:val="0"/>
                      <w:sz w:val="21"/>
                      <w:szCs w:val="21"/>
                      <w:highlight w:val="none"/>
                      <w:lang w:val="zh-CN" w:eastAsia="zh-CN" w:bidi="ar"/>
                    </w:rPr>
                    <w:t>；</w:t>
                  </w:r>
                  <w:r>
                    <w:rPr>
                      <w:rFonts w:hint="default" w:ascii="Times New Roman" w:hAnsi="Times New Roman" w:eastAsia="宋体" w:cs="Times New Roman"/>
                      <w:bCs/>
                      <w:color w:val="auto"/>
                      <w:spacing w:val="0"/>
                      <w:sz w:val="21"/>
                      <w:szCs w:val="21"/>
                      <w:highlight w:val="none"/>
                      <w:lang w:val="zh-CN" w:eastAsia="zh-CN" w:bidi="ar"/>
                    </w:rPr>
                    <w:t>对岩溶水取水量接近控制指标的县（区），限制新增岩溶水取水许可。</w:t>
                  </w:r>
                </w:p>
              </w:tc>
              <w:tc>
                <w:tcPr>
                  <w:tcW w:w="1543" w:type="pct"/>
                  <w:tcBorders>
                    <w:tl2br w:val="nil"/>
                    <w:tr2bl w:val="nil"/>
                  </w:tcBorders>
                  <w:noWrap w:val="0"/>
                  <w:vAlign w:val="center"/>
                </w:tcPr>
                <w:p w14:paraId="533201FB">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color w:val="auto"/>
                      <w:spacing w:val="0"/>
                      <w:sz w:val="21"/>
                      <w:szCs w:val="21"/>
                      <w:highlight w:val="none"/>
                      <w:lang w:val="zh-CN"/>
                    </w:rPr>
                  </w:pPr>
                  <w:r>
                    <w:rPr>
                      <w:rFonts w:hint="default" w:ascii="Times New Roman" w:hAnsi="Times New Roman" w:eastAsia="宋体" w:cs="Times New Roman"/>
                      <w:bCs/>
                      <w:color w:val="auto"/>
                      <w:spacing w:val="0"/>
                      <w:sz w:val="21"/>
                      <w:szCs w:val="21"/>
                      <w:highlight w:val="none"/>
                      <w:lang w:bidi="ar"/>
                    </w:rPr>
                    <w:t>1.</w:t>
                  </w:r>
                  <w:r>
                    <w:rPr>
                      <w:rFonts w:hint="default" w:ascii="Times New Roman" w:hAnsi="Times New Roman" w:eastAsia="宋体" w:cs="Times New Roman"/>
                      <w:color w:val="auto"/>
                      <w:spacing w:val="0"/>
                      <w:sz w:val="21"/>
                      <w:szCs w:val="21"/>
                      <w:highlight w:val="none"/>
                    </w:rPr>
                    <w:t>本项目不</w:t>
                  </w:r>
                  <w:r>
                    <w:rPr>
                      <w:rFonts w:hint="eastAsia" w:ascii="Times New Roman" w:hAnsi="Times New Roman" w:eastAsia="宋体" w:cs="Times New Roman"/>
                      <w:color w:val="auto"/>
                      <w:spacing w:val="0"/>
                      <w:sz w:val="21"/>
                      <w:szCs w:val="21"/>
                      <w:highlight w:val="none"/>
                      <w:lang w:val="en-US" w:eastAsia="zh-CN"/>
                    </w:rPr>
                    <w:t>在</w:t>
                  </w:r>
                  <w:r>
                    <w:rPr>
                      <w:rFonts w:hint="default" w:ascii="Times New Roman" w:hAnsi="Times New Roman" w:eastAsia="宋体" w:cs="Times New Roman"/>
                      <w:color w:val="auto"/>
                      <w:spacing w:val="0"/>
                      <w:kern w:val="21"/>
                      <w:sz w:val="21"/>
                      <w:szCs w:val="21"/>
                      <w:highlight w:val="none"/>
                      <w:lang w:val="en-US" w:eastAsia="zh-CN"/>
                    </w:rPr>
                    <w:t>辛安</w:t>
                  </w:r>
                  <w:r>
                    <w:rPr>
                      <w:rFonts w:hint="default" w:ascii="Times New Roman" w:hAnsi="Times New Roman" w:eastAsia="宋体" w:cs="Times New Roman"/>
                      <w:color w:val="auto"/>
                      <w:spacing w:val="0"/>
                      <w:kern w:val="21"/>
                      <w:sz w:val="21"/>
                      <w:szCs w:val="21"/>
                      <w:highlight w:val="none"/>
                    </w:rPr>
                    <w:t>泉域</w:t>
                  </w:r>
                  <w:r>
                    <w:rPr>
                      <w:rFonts w:hint="default" w:ascii="Times New Roman" w:hAnsi="Times New Roman" w:eastAsia="宋体" w:cs="Times New Roman"/>
                      <w:color w:val="auto"/>
                      <w:spacing w:val="0"/>
                      <w:kern w:val="21"/>
                      <w:sz w:val="21"/>
                      <w:szCs w:val="21"/>
                      <w:highlight w:val="none"/>
                      <w:lang w:val="zh-CN"/>
                    </w:rPr>
                    <w:t>重点保护区</w:t>
                  </w:r>
                  <w:r>
                    <w:rPr>
                      <w:rFonts w:hint="default" w:ascii="Times New Roman" w:hAnsi="Times New Roman" w:cs="Times New Roman"/>
                      <w:bCs/>
                      <w:color w:val="auto"/>
                      <w:spacing w:val="0"/>
                      <w:kern w:val="21"/>
                      <w:sz w:val="21"/>
                      <w:szCs w:val="21"/>
                      <w:highlight w:val="none"/>
                      <w:lang w:bidi="ar"/>
                    </w:rPr>
                    <w:t>范围</w:t>
                  </w:r>
                  <w:r>
                    <w:rPr>
                      <w:rFonts w:hint="default" w:ascii="Times New Roman" w:hAnsi="Times New Roman" w:eastAsia="宋体" w:cs="Times New Roman"/>
                      <w:color w:val="auto"/>
                      <w:spacing w:val="0"/>
                      <w:kern w:val="21"/>
                      <w:sz w:val="21"/>
                      <w:szCs w:val="21"/>
                      <w:highlight w:val="none"/>
                      <w:lang w:val="en-US" w:eastAsia="zh-CN"/>
                    </w:rPr>
                    <w:t>内</w:t>
                  </w:r>
                  <w:r>
                    <w:rPr>
                      <w:rFonts w:hint="default" w:ascii="Times New Roman" w:hAnsi="Times New Roman" w:eastAsia="宋体" w:cs="Times New Roman"/>
                      <w:color w:val="auto"/>
                      <w:spacing w:val="0"/>
                      <w:sz w:val="21"/>
                      <w:szCs w:val="21"/>
                      <w:highlight w:val="none"/>
                      <w:lang w:val="zh-CN"/>
                    </w:rPr>
                    <w:t>。</w:t>
                  </w:r>
                </w:p>
                <w:p w14:paraId="14C40B92">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sz w:val="21"/>
                      <w:szCs w:val="21"/>
                      <w:highlight w:val="none"/>
                      <w:lang w:bidi="ar"/>
                    </w:rPr>
                  </w:pPr>
                  <w:r>
                    <w:rPr>
                      <w:rFonts w:hint="default" w:ascii="Times New Roman" w:hAnsi="Times New Roman" w:eastAsia="宋体" w:cs="Times New Roman"/>
                      <w:color w:val="auto"/>
                      <w:spacing w:val="0"/>
                      <w:sz w:val="21"/>
                      <w:szCs w:val="21"/>
                      <w:highlight w:val="none"/>
                    </w:rPr>
                    <w:t>2.本项目</w:t>
                  </w:r>
                  <w:r>
                    <w:rPr>
                      <w:rFonts w:hint="default" w:ascii="Times New Roman" w:hAnsi="Times New Roman" w:cs="Times New Roman"/>
                      <w:color w:val="auto"/>
                      <w:kern w:val="2"/>
                      <w:sz w:val="21"/>
                      <w:szCs w:val="21"/>
                      <w:highlight w:val="none"/>
                      <w:lang w:val="en-US" w:eastAsia="zh-CN" w:bidi="ar-SA"/>
                    </w:rPr>
                    <w:t>生活用水由</w:t>
                  </w:r>
                  <w:r>
                    <w:rPr>
                      <w:rFonts w:hint="eastAsia" w:cs="Times New Roman"/>
                      <w:color w:val="auto"/>
                      <w:kern w:val="2"/>
                      <w:sz w:val="21"/>
                      <w:szCs w:val="21"/>
                      <w:highlight w:val="none"/>
                      <w:lang w:val="en-US" w:eastAsia="zh-CN" w:bidi="ar-SA"/>
                    </w:rPr>
                    <w:t>罐车拉运</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采用现有矿井水处理站处理后的矿井水</w:t>
                  </w:r>
                  <w:r>
                    <w:rPr>
                      <w:rFonts w:hint="default" w:ascii="Times New Roman" w:hAnsi="Times New Roman" w:cs="Times New Roman"/>
                      <w:color w:val="auto"/>
                      <w:kern w:val="2"/>
                      <w:sz w:val="21"/>
                      <w:szCs w:val="21"/>
                      <w:highlight w:val="none"/>
                      <w:lang w:val="en-US" w:eastAsia="zh-CN" w:bidi="ar-SA"/>
                    </w:rPr>
                    <w:t>为生产系统供水</w:t>
                  </w:r>
                  <w:r>
                    <w:rPr>
                      <w:rFonts w:hint="eastAsia" w:cs="Times New Roman"/>
                      <w:color w:val="auto"/>
                      <w:kern w:val="2"/>
                      <w:sz w:val="21"/>
                      <w:szCs w:val="21"/>
                      <w:highlight w:val="none"/>
                      <w:lang w:val="en-US" w:eastAsia="zh-CN" w:bidi="ar-SA"/>
                    </w:rPr>
                    <w:t>。</w:t>
                  </w:r>
                  <w:r>
                    <w:rPr>
                      <w:rFonts w:hint="eastAsia" w:cs="Times New Roman"/>
                      <w:color w:val="auto"/>
                      <w:spacing w:val="0"/>
                      <w:sz w:val="21"/>
                      <w:szCs w:val="21"/>
                      <w:highlight w:val="none"/>
                      <w:lang w:val="en-US" w:eastAsia="zh-CN"/>
                    </w:rPr>
                    <w:t>不涉及取用岩溶地下水</w:t>
                  </w:r>
                  <w:r>
                    <w:rPr>
                      <w:rFonts w:hint="default" w:ascii="Times New Roman" w:hAnsi="Times New Roman" w:eastAsia="宋体" w:cs="Times New Roman"/>
                      <w:color w:val="auto"/>
                      <w:spacing w:val="0"/>
                      <w:sz w:val="21"/>
                      <w:szCs w:val="21"/>
                      <w:highlight w:val="none"/>
                    </w:rPr>
                    <w:t>。</w:t>
                  </w:r>
                </w:p>
              </w:tc>
            </w:tr>
          </w:tbl>
          <w:p w14:paraId="289DF93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de-DE" w:eastAsia="zh-CN"/>
              </w:rPr>
            </w:pPr>
            <w:r>
              <w:rPr>
                <w:rFonts w:hint="default" w:ascii="Times New Roman" w:hAnsi="Times New Roman" w:eastAsia="宋体" w:cs="Times New Roman"/>
                <w:bCs/>
                <w:color w:val="auto"/>
                <w:spacing w:val="0"/>
                <w:kern w:val="2"/>
                <w:sz w:val="24"/>
                <w:highlight w:val="none"/>
              </w:rPr>
              <w:t>综上所述，</w:t>
            </w:r>
            <w:r>
              <w:rPr>
                <w:rFonts w:hint="default" w:ascii="Times New Roman" w:hAnsi="Times New Roman" w:eastAsia="宋体" w:cs="Times New Roman"/>
                <w:bCs/>
                <w:color w:val="auto"/>
                <w:spacing w:val="0"/>
                <w:kern w:val="2"/>
                <w:sz w:val="24"/>
                <w:highlight w:val="none"/>
                <w:lang w:val="en-US" w:eastAsia="zh-CN"/>
              </w:rPr>
              <w:t>本项目的建设不违背长政发[2021]21号文中的有关要求</w:t>
            </w:r>
            <w:r>
              <w:rPr>
                <w:rFonts w:hint="default" w:ascii="Times New Roman" w:hAnsi="Times New Roman" w:eastAsia="宋体" w:cs="Times New Roman"/>
                <w:bCs/>
                <w:color w:val="auto"/>
                <w:spacing w:val="0"/>
                <w:kern w:val="2"/>
                <w:sz w:val="24"/>
                <w:highlight w:val="none"/>
              </w:rPr>
              <w:t>。</w:t>
            </w:r>
          </w:p>
          <w:p w14:paraId="63B28680">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val="en-US" w:eastAsia="zh-CN"/>
              </w:rPr>
              <w:t>2</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eastAsia="zh-CN"/>
              </w:rPr>
              <w:t>环境质量底线</w:t>
            </w:r>
          </w:p>
          <w:p w14:paraId="599C1DD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val="en-US" w:eastAsia="zh-CN"/>
              </w:rPr>
              <w:t>①</w:t>
            </w:r>
            <w:r>
              <w:rPr>
                <w:rFonts w:hint="default" w:ascii="Times New Roman" w:hAnsi="Times New Roman" w:eastAsia="宋体" w:cs="Times New Roman"/>
                <w:color w:val="auto"/>
                <w:spacing w:val="0"/>
                <w:kern w:val="0"/>
                <w:sz w:val="24"/>
                <w:szCs w:val="24"/>
                <w:highlight w:val="none"/>
                <w:lang w:eastAsia="zh-CN"/>
              </w:rPr>
              <w:t>环境空气质量现状</w:t>
            </w:r>
          </w:p>
          <w:p w14:paraId="5819BCB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eastAsia="zh-CN"/>
              </w:rPr>
              <w:t>本次评价</w:t>
            </w:r>
            <w:r>
              <w:rPr>
                <w:rFonts w:hint="eastAsia" w:ascii="Times New Roman" w:hAnsi="Times New Roman" w:eastAsia="宋体" w:cs="Times New Roman"/>
                <w:color w:val="auto"/>
                <w:spacing w:val="0"/>
                <w:kern w:val="0"/>
                <w:sz w:val="24"/>
                <w:szCs w:val="24"/>
                <w:highlight w:val="none"/>
                <w:lang w:val="en-US" w:eastAsia="zh-CN"/>
              </w:rPr>
              <w:t>引用</w:t>
            </w:r>
            <w:r>
              <w:rPr>
                <w:rFonts w:hint="eastAsia" w:ascii="Times New Roman" w:hAnsi="Times New Roman" w:eastAsia="宋体" w:cs="Times New Roman"/>
                <w:color w:val="auto"/>
                <w:spacing w:val="0"/>
                <w:kern w:val="0"/>
                <w:sz w:val="24"/>
                <w:szCs w:val="24"/>
                <w:highlight w:val="none"/>
                <w:lang w:eastAsia="zh-CN"/>
              </w:rPr>
              <w:t>了</w:t>
            </w:r>
            <w:r>
              <w:rPr>
                <w:rFonts w:hint="default" w:ascii="Times New Roman" w:hAnsi="Times New Roman" w:eastAsia="宋体" w:cs="Times New Roman"/>
                <w:color w:val="auto"/>
                <w:spacing w:val="0"/>
                <w:kern w:val="0"/>
                <w:sz w:val="24"/>
                <w:szCs w:val="24"/>
                <w:highlight w:val="none"/>
                <w:lang w:val="en-US" w:eastAsia="zh-CN"/>
              </w:rPr>
              <w:t>长治市</w:t>
            </w:r>
            <w:r>
              <w:rPr>
                <w:rFonts w:hint="eastAsia" w:ascii="Times New Roman" w:hAnsi="Times New Roman" w:cs="Times New Roman"/>
                <w:color w:val="auto"/>
                <w:spacing w:val="0"/>
                <w:kern w:val="0"/>
                <w:sz w:val="24"/>
                <w:szCs w:val="24"/>
                <w:highlight w:val="none"/>
                <w:lang w:eastAsia="zh-CN"/>
              </w:rPr>
              <w:t>长子县</w:t>
            </w:r>
            <w:r>
              <w:rPr>
                <w:rFonts w:hint="default" w:ascii="Times New Roman" w:hAnsi="Times New Roman" w:eastAsia="宋体" w:cs="Times New Roman"/>
                <w:color w:val="auto"/>
                <w:spacing w:val="0"/>
                <w:kern w:val="0"/>
                <w:sz w:val="24"/>
                <w:szCs w:val="24"/>
                <w:highlight w:val="none"/>
                <w:lang w:val="en-US" w:eastAsia="zh-CN"/>
              </w:rPr>
              <w:t>202</w:t>
            </w:r>
            <w:r>
              <w:rPr>
                <w:rFonts w:hint="eastAsia" w:ascii="Times New Roman" w:hAnsi="Times New Roman" w:eastAsia="宋体" w:cs="Times New Roman"/>
                <w:color w:val="auto"/>
                <w:spacing w:val="0"/>
                <w:kern w:val="0"/>
                <w:sz w:val="24"/>
                <w:szCs w:val="24"/>
                <w:highlight w:val="none"/>
                <w:lang w:val="en-US" w:eastAsia="zh-CN"/>
              </w:rPr>
              <w:t>4</w:t>
            </w:r>
            <w:r>
              <w:rPr>
                <w:rFonts w:hint="default" w:ascii="Times New Roman" w:hAnsi="Times New Roman" w:eastAsia="宋体" w:cs="Times New Roman"/>
                <w:color w:val="auto"/>
                <w:spacing w:val="0"/>
                <w:kern w:val="0"/>
                <w:sz w:val="24"/>
                <w:szCs w:val="24"/>
                <w:highlight w:val="none"/>
                <w:lang w:val="en-US" w:eastAsia="zh-CN"/>
              </w:rPr>
              <w:t>年</w:t>
            </w:r>
            <w:r>
              <w:rPr>
                <w:rFonts w:hint="default" w:ascii="Times New Roman" w:hAnsi="Times New Roman" w:eastAsia="宋体" w:cs="Times New Roman"/>
                <w:color w:val="auto"/>
                <w:spacing w:val="0"/>
                <w:kern w:val="0"/>
                <w:sz w:val="24"/>
                <w:szCs w:val="24"/>
                <w:highlight w:val="none"/>
                <w:lang w:eastAsia="zh-CN"/>
              </w:rPr>
              <w:t>环境空气质量例行监测数据</w:t>
            </w:r>
            <w:r>
              <w:rPr>
                <w:rFonts w:hint="eastAsia" w:ascii="Times New Roman" w:hAnsi="Times New Roman" w:eastAsia="宋体" w:cs="Times New Roman"/>
                <w:color w:val="auto"/>
                <w:spacing w:val="0"/>
                <w:kern w:val="0"/>
                <w:sz w:val="24"/>
                <w:szCs w:val="24"/>
                <w:highlight w:val="none"/>
                <w:lang w:eastAsia="zh-CN"/>
              </w:rPr>
              <w:t>，</w:t>
            </w:r>
            <w:r>
              <w:rPr>
                <w:rFonts w:hint="eastAsia" w:ascii="Times New Roman" w:hAnsi="Times New Roman" w:cs="Times New Roman"/>
                <w:color w:val="auto"/>
                <w:spacing w:val="0"/>
                <w:sz w:val="24"/>
                <w:highlight w:val="none"/>
                <w:lang w:val="en-US" w:eastAsia="zh-CN"/>
              </w:rPr>
              <w:t>数据显示2024年长子县环境空气质量中</w:t>
            </w:r>
            <w:r>
              <w:rPr>
                <w:rFonts w:hint="default" w:ascii="Times New Roman" w:hAnsi="Times New Roman" w:cs="Times New Roman"/>
                <w:color w:val="auto"/>
                <w:spacing w:val="0"/>
                <w:sz w:val="24"/>
                <w:highlight w:val="none"/>
                <w:lang w:val="en-US" w:eastAsia="zh-CN"/>
              </w:rPr>
              <w:t>SO</w:t>
            </w:r>
            <w:r>
              <w:rPr>
                <w:rFonts w:hint="default" w:ascii="Times New Roman" w:hAnsi="Times New Roman" w:cs="Times New Roman"/>
                <w:color w:val="auto"/>
                <w:spacing w:val="0"/>
                <w:sz w:val="24"/>
                <w:highlight w:val="none"/>
                <w:vertAlign w:val="subscript"/>
                <w:lang w:val="en-US" w:eastAsia="zh-CN"/>
              </w:rPr>
              <w:t>2</w:t>
            </w:r>
            <w:r>
              <w:rPr>
                <w:rFonts w:hint="eastAsia"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NO</w:t>
            </w:r>
            <w:r>
              <w:rPr>
                <w:rFonts w:hint="default" w:ascii="Times New Roman" w:hAnsi="Times New Roman" w:cs="Times New Roman"/>
                <w:color w:val="auto"/>
                <w:spacing w:val="0"/>
                <w:sz w:val="24"/>
                <w:highlight w:val="none"/>
                <w:vertAlign w:val="subscript"/>
                <w:lang w:val="en-US" w:eastAsia="zh-CN"/>
              </w:rPr>
              <w:t>2</w:t>
            </w:r>
            <w:r>
              <w:rPr>
                <w:rFonts w:hint="eastAsia"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PM</w:t>
            </w:r>
            <w:r>
              <w:rPr>
                <w:rFonts w:hint="default" w:ascii="Times New Roman" w:hAnsi="Times New Roman" w:cs="Times New Roman"/>
                <w:color w:val="auto"/>
                <w:spacing w:val="0"/>
                <w:sz w:val="24"/>
                <w:highlight w:val="none"/>
                <w:vertAlign w:val="subscript"/>
                <w:lang w:val="en-US" w:eastAsia="zh-CN"/>
              </w:rPr>
              <w:t>10</w:t>
            </w:r>
            <w:r>
              <w:rPr>
                <w:rFonts w:hint="eastAsia"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PM</w:t>
            </w:r>
            <w:r>
              <w:rPr>
                <w:rFonts w:hint="default" w:ascii="Times New Roman" w:hAnsi="Times New Roman" w:cs="Times New Roman"/>
                <w:color w:val="auto"/>
                <w:spacing w:val="0"/>
                <w:sz w:val="24"/>
                <w:highlight w:val="none"/>
                <w:vertAlign w:val="subscript"/>
                <w:lang w:val="en-US" w:eastAsia="zh-CN"/>
              </w:rPr>
              <w:t>2.5</w:t>
            </w:r>
            <w:r>
              <w:rPr>
                <w:rFonts w:hint="eastAsia" w:ascii="Times New Roman" w:hAnsi="Times New Roman"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CO</w:t>
            </w:r>
            <w:r>
              <w:rPr>
                <w:rFonts w:hint="eastAsia" w:ascii="Times New Roman" w:hAnsi="Times New Roman" w:cs="Times New Roman"/>
                <w:color w:val="auto"/>
                <w:spacing w:val="0"/>
                <w:sz w:val="24"/>
                <w:highlight w:val="none"/>
                <w:lang w:val="en-US" w:eastAsia="zh-CN"/>
              </w:rPr>
              <w:t>排放浓度均满足</w:t>
            </w:r>
            <w:r>
              <w:rPr>
                <w:rFonts w:hint="eastAsia" w:ascii="Times New Roman" w:hAnsi="Times New Roman" w:eastAsia="宋体" w:cs="Times New Roman"/>
                <w:b w:val="0"/>
                <w:bCs/>
                <w:color w:val="auto"/>
                <w:spacing w:val="0"/>
                <w:sz w:val="24"/>
                <w:szCs w:val="24"/>
                <w:highlight w:val="none"/>
                <w:lang w:val="en-US" w:eastAsia="zh-CN"/>
              </w:rPr>
              <w:t>《环境空气质量标准》（GB3095-2012）二级标准限值要求</w:t>
            </w:r>
            <w:r>
              <w:rPr>
                <w:rFonts w:hint="eastAsia" w:ascii="Times New Roman" w:hAnsi="Times New Roman" w:cs="Times New Roman"/>
                <w:color w:val="auto"/>
                <w:spacing w:val="0"/>
                <w:sz w:val="24"/>
                <w:highlight w:val="none"/>
                <w:lang w:val="en-US" w:eastAsia="zh-CN"/>
              </w:rPr>
              <w:t>，仅</w:t>
            </w:r>
            <w:r>
              <w:rPr>
                <w:rFonts w:hint="default" w:ascii="Times New Roman" w:hAnsi="Times New Roman" w:cs="Times New Roman"/>
                <w:color w:val="auto"/>
                <w:spacing w:val="0"/>
                <w:sz w:val="24"/>
                <w:highlight w:val="none"/>
                <w:lang w:val="en-US" w:eastAsia="zh-CN"/>
              </w:rPr>
              <w:t>O</w:t>
            </w:r>
            <w:r>
              <w:rPr>
                <w:rFonts w:hint="default" w:ascii="Times New Roman" w:hAnsi="Times New Roman" w:cs="Times New Roman"/>
                <w:color w:val="auto"/>
                <w:spacing w:val="0"/>
                <w:sz w:val="24"/>
                <w:highlight w:val="none"/>
                <w:vertAlign w:val="subscript"/>
                <w:lang w:val="en-US" w:eastAsia="zh-CN"/>
              </w:rPr>
              <w:t>3</w:t>
            </w:r>
            <w:r>
              <w:rPr>
                <w:rFonts w:hint="default" w:ascii="Times New Roman" w:hAnsi="Times New Roman" w:cs="Times New Roman"/>
                <w:color w:val="auto"/>
                <w:spacing w:val="0"/>
                <w:sz w:val="24"/>
                <w:highlight w:val="none"/>
                <w:lang w:val="en-US" w:eastAsia="zh-CN"/>
              </w:rPr>
              <w:t>超标，</w:t>
            </w:r>
            <w:r>
              <w:rPr>
                <w:rFonts w:hint="eastAsia" w:ascii="Times New Roman" w:hAnsi="Times New Roman" w:cs="Times New Roman"/>
                <w:color w:val="auto"/>
                <w:spacing w:val="0"/>
                <w:sz w:val="24"/>
                <w:highlight w:val="none"/>
                <w:lang w:val="en-US" w:eastAsia="zh-CN"/>
              </w:rPr>
              <w:t>长子县</w:t>
            </w:r>
            <w:r>
              <w:rPr>
                <w:rFonts w:hint="default" w:ascii="Times New Roman" w:hAnsi="Times New Roman" w:cs="Times New Roman"/>
                <w:color w:val="auto"/>
                <w:spacing w:val="0"/>
                <w:sz w:val="24"/>
                <w:highlight w:val="none"/>
                <w:lang w:val="en-US" w:eastAsia="zh-CN"/>
              </w:rPr>
              <w:t>环境空气质量属于不达标区。</w:t>
            </w:r>
          </w:p>
          <w:p w14:paraId="532E81D5">
            <w:pPr>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cs="Times New Roman"/>
                <w:color w:val="auto"/>
                <w:spacing w:val="0"/>
                <w:sz w:val="24"/>
                <w:highlight w:val="none"/>
                <w:lang w:val="en-US" w:eastAsia="zh-CN"/>
              </w:rPr>
            </w:pPr>
            <w:r>
              <w:rPr>
                <w:rFonts w:hint="eastAsia" w:ascii="Times New Roman" w:hAnsi="Times New Roman" w:cs="Times New Roman"/>
                <w:color w:val="auto"/>
                <w:spacing w:val="0"/>
                <w:sz w:val="24"/>
                <w:szCs w:val="24"/>
                <w:highlight w:val="none"/>
                <w:lang w:val="en-US" w:eastAsia="zh-CN"/>
              </w:rPr>
              <w:t>同时，</w:t>
            </w:r>
            <w:r>
              <w:rPr>
                <w:rFonts w:hint="default" w:ascii="Times New Roman" w:hAnsi="Times New Roman" w:eastAsia="宋体" w:cs="Times New Roman"/>
                <w:color w:val="auto"/>
                <w:spacing w:val="0"/>
                <w:sz w:val="24"/>
                <w:szCs w:val="24"/>
                <w:highlight w:val="none"/>
                <w:lang w:val="en-US" w:eastAsia="zh-CN"/>
              </w:rPr>
              <w:t>本次评价引用《山西晋煤集团赵庄煤业有限责任公司赵庄二号井“三下”近水平厚煤层安全高效充填开采关键技术与应用研究项目环境影响报告书》中环境质量监测数据，监测点位为</w:t>
            </w:r>
            <w:r>
              <w:rPr>
                <w:rFonts w:hint="eastAsia" w:ascii="Times New Roman" w:hAnsi="Times New Roman" w:eastAsia="宋体" w:cs="Times New Roman"/>
                <w:color w:val="auto"/>
                <w:spacing w:val="0"/>
                <w:sz w:val="24"/>
                <w:szCs w:val="24"/>
                <w:highlight w:val="none"/>
                <w:lang w:val="en-US" w:eastAsia="zh-CN"/>
              </w:rPr>
              <w:t>秦家庄</w:t>
            </w:r>
            <w:r>
              <w:rPr>
                <w:rFonts w:hint="default" w:ascii="Times New Roman" w:hAnsi="Times New Roman" w:eastAsia="宋体" w:cs="Times New Roman"/>
                <w:color w:val="auto"/>
                <w:spacing w:val="0"/>
                <w:sz w:val="24"/>
                <w:szCs w:val="24"/>
                <w:highlight w:val="none"/>
                <w:lang w:val="en-US" w:eastAsia="zh-CN"/>
              </w:rPr>
              <w:t>村</w:t>
            </w:r>
            <w:r>
              <w:rPr>
                <w:rFonts w:hint="eastAsia" w:cs="Times New Roman"/>
                <w:color w:val="auto"/>
                <w:spacing w:val="0"/>
                <w:sz w:val="24"/>
                <w:szCs w:val="24"/>
                <w:highlight w:val="none"/>
                <w:lang w:val="en-US" w:eastAsia="zh-CN"/>
              </w:rPr>
              <w:t>（位于厂区北侧950m处）</w:t>
            </w:r>
            <w:r>
              <w:rPr>
                <w:rFonts w:hint="default" w:ascii="Times New Roman" w:hAnsi="Times New Roman" w:eastAsia="宋体" w:cs="Times New Roman"/>
                <w:color w:val="auto"/>
                <w:spacing w:val="0"/>
                <w:sz w:val="24"/>
                <w:szCs w:val="24"/>
                <w:highlight w:val="none"/>
                <w:lang w:val="en-US" w:eastAsia="zh-CN"/>
              </w:rPr>
              <w:t>，监测项目为TSP，监测时间为202</w:t>
            </w:r>
            <w:r>
              <w:rPr>
                <w:rFonts w:hint="eastAsia"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val="en-US" w:eastAsia="zh-CN"/>
              </w:rPr>
              <w:t>年</w:t>
            </w:r>
            <w:r>
              <w:rPr>
                <w:rFonts w:hint="eastAsia" w:ascii="Times New Roman" w:hAnsi="Times New Roman" w:eastAsia="宋体" w:cs="Times New Roman"/>
                <w:color w:val="auto"/>
                <w:spacing w:val="0"/>
                <w:sz w:val="24"/>
                <w:szCs w:val="24"/>
                <w:highlight w:val="none"/>
                <w:lang w:val="en-US" w:eastAsia="zh-CN"/>
              </w:rPr>
              <w:t>10</w:t>
            </w:r>
            <w:r>
              <w:rPr>
                <w:rFonts w:hint="default" w:ascii="Times New Roman" w:hAnsi="Times New Roman" w:eastAsia="宋体" w:cs="Times New Roman"/>
                <w:color w:val="auto"/>
                <w:spacing w:val="0"/>
                <w:sz w:val="24"/>
                <w:szCs w:val="24"/>
                <w:highlight w:val="none"/>
                <w:lang w:val="en-US" w:eastAsia="zh-CN"/>
              </w:rPr>
              <w:t>月1</w:t>
            </w:r>
            <w:r>
              <w:rPr>
                <w:rFonts w:hint="eastAsia" w:ascii="Times New Roman" w:hAnsi="Times New Roman" w:eastAsia="宋体"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val="en-US" w:eastAsia="zh-CN"/>
              </w:rPr>
              <w:t>日-1</w:t>
            </w:r>
            <w:r>
              <w:rPr>
                <w:rFonts w:hint="eastAsia" w:ascii="Times New Roman" w:hAnsi="Times New Roman" w:eastAsia="宋体" w:cs="Times New Roman"/>
                <w:color w:val="auto"/>
                <w:spacing w:val="0"/>
                <w:sz w:val="24"/>
                <w:szCs w:val="24"/>
                <w:highlight w:val="none"/>
                <w:lang w:val="en-US" w:eastAsia="zh-CN"/>
              </w:rPr>
              <w:t>9</w:t>
            </w:r>
            <w:r>
              <w:rPr>
                <w:rFonts w:hint="default" w:ascii="Times New Roman" w:hAnsi="Times New Roman" w:eastAsia="宋体" w:cs="Times New Roman"/>
                <w:color w:val="auto"/>
                <w:spacing w:val="0"/>
                <w:sz w:val="24"/>
                <w:szCs w:val="24"/>
                <w:highlight w:val="none"/>
                <w:lang w:val="en-US" w:eastAsia="zh-CN"/>
              </w:rPr>
              <w:t>日</w:t>
            </w:r>
            <w:r>
              <w:rPr>
                <w:rFonts w:hint="default" w:ascii="Times New Roman" w:hAnsi="Times New Roman" w:eastAsia="宋体" w:cs="Times New Roman"/>
                <w:color w:val="auto"/>
                <w:spacing w:val="0"/>
                <w:sz w:val="24"/>
                <w:szCs w:val="24"/>
                <w:highlight w:val="none"/>
              </w:rPr>
              <w:t>。</w:t>
            </w:r>
            <w:r>
              <w:rPr>
                <w:rFonts w:hint="eastAsia" w:ascii="Times New Roman" w:hAnsi="Times New Roman" w:eastAsia="宋体" w:cs="Times New Roman"/>
                <w:b w:val="0"/>
                <w:bCs/>
                <w:color w:val="auto"/>
                <w:spacing w:val="0"/>
                <w:sz w:val="24"/>
                <w:szCs w:val="24"/>
                <w:highlight w:val="none"/>
                <w:lang w:val="en-US" w:eastAsia="zh-CN"/>
              </w:rPr>
              <w:t>监测结果表明：秦家庄村环境空气质量现状TSP日均浓度均能满足《环境空气质量标准》（GB3095-2012）二级标准限值要求</w:t>
            </w:r>
            <w:r>
              <w:rPr>
                <w:rFonts w:hint="default" w:ascii="Times New Roman" w:hAnsi="Times New Roman" w:eastAsia="宋体" w:cs="Times New Roman"/>
                <w:color w:val="auto"/>
                <w:spacing w:val="0"/>
                <w:sz w:val="24"/>
                <w:szCs w:val="24"/>
                <w:highlight w:val="none"/>
              </w:rPr>
              <w:t>。</w:t>
            </w:r>
          </w:p>
          <w:p w14:paraId="6CF3CE3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②</w:t>
            </w:r>
            <w:r>
              <w:rPr>
                <w:rFonts w:hint="default" w:ascii="Times New Roman" w:hAnsi="Times New Roman" w:eastAsia="宋体" w:cs="Times New Roman"/>
                <w:color w:val="auto"/>
                <w:spacing w:val="0"/>
                <w:kern w:val="0"/>
                <w:sz w:val="24"/>
                <w:szCs w:val="24"/>
                <w:highlight w:val="none"/>
                <w:lang w:eastAsia="zh-CN"/>
              </w:rPr>
              <w:t>地表水环境质量现</w:t>
            </w:r>
            <w:r>
              <w:rPr>
                <w:rFonts w:hint="default" w:ascii="Times New Roman" w:hAnsi="Times New Roman" w:eastAsia="宋体" w:cs="Times New Roman"/>
                <w:color w:val="auto"/>
                <w:spacing w:val="0"/>
                <w:kern w:val="0"/>
                <w:sz w:val="24"/>
                <w:szCs w:val="24"/>
                <w:highlight w:val="none"/>
                <w:lang w:val="en-US" w:eastAsia="zh-CN"/>
              </w:rPr>
              <w:t>状</w:t>
            </w:r>
          </w:p>
          <w:p w14:paraId="5D4E8AB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距离本项目最近地表水为小丹河，位于厂区</w:t>
            </w:r>
            <w:r>
              <w:rPr>
                <w:rFonts w:hint="default" w:ascii="Times New Roman" w:hAnsi="Times New Roman" w:cs="Times New Roman"/>
                <w:color w:val="auto"/>
                <w:spacing w:val="0"/>
                <w:kern w:val="0"/>
                <w:sz w:val="24"/>
                <w:szCs w:val="24"/>
                <w:highlight w:val="none"/>
                <w:lang w:val="en-US" w:eastAsia="zh-CN"/>
              </w:rPr>
              <w:t>西侧1.38km处</w:t>
            </w:r>
            <w:r>
              <w:rPr>
                <w:rFonts w:hint="default" w:ascii="Times New Roman" w:hAnsi="Times New Roman" w:eastAsia="宋体" w:cs="Times New Roman"/>
                <w:color w:val="auto"/>
                <w:spacing w:val="0"/>
                <w:kern w:val="0"/>
                <w:sz w:val="24"/>
                <w:szCs w:val="24"/>
                <w:highlight w:val="none"/>
                <w:lang w:val="en-US" w:eastAsia="zh-CN"/>
              </w:rPr>
              <w:t>。根据《山西省地表水环境功能区划》（DB1467-2019），该区段地表水属于海河流域漳河山区浊漳河水系“申村水库出口-漳泽水库入口”段，水环境功能为“工业与景观娱乐用水保护”，执行《地表水环境质量标准》（GB3838-2002）中的Ⅳ类水质要求。</w:t>
            </w:r>
          </w:p>
          <w:p w14:paraId="261EAAB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根据长治市生态环境保护委员会办公室《关于2024年1-12月及12月各县区生态环境质量信息》文件，</w:t>
            </w:r>
            <w:r>
              <w:rPr>
                <w:rFonts w:hint="eastAsia" w:cs="Times New Roman"/>
                <w:color w:val="auto"/>
                <w:spacing w:val="0"/>
                <w:kern w:val="0"/>
                <w:sz w:val="24"/>
                <w:szCs w:val="24"/>
                <w:highlight w:val="none"/>
                <w:lang w:val="en-US" w:eastAsia="zh-CN"/>
              </w:rPr>
              <w:t>距离项目最近的地表水断面为南李末断面，其水质符合《地表水环境质量标准》（GB3838-2002）中Ⅲ类水质标准要求</w:t>
            </w:r>
            <w:r>
              <w:rPr>
                <w:rFonts w:hint="default" w:ascii="Times New Roman" w:hAnsi="Times New Roman" w:eastAsia="宋体" w:cs="Times New Roman"/>
                <w:color w:val="auto"/>
                <w:spacing w:val="0"/>
                <w:kern w:val="0"/>
                <w:sz w:val="24"/>
                <w:szCs w:val="24"/>
                <w:highlight w:val="none"/>
                <w:lang w:val="en-US" w:eastAsia="zh-CN"/>
              </w:rPr>
              <w:t>。</w:t>
            </w:r>
          </w:p>
          <w:p w14:paraId="5449F56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3</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资源利用上线</w:t>
            </w:r>
          </w:p>
          <w:p w14:paraId="02E6113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val="en-US" w:eastAsia="zh-CN"/>
              </w:rPr>
              <w:t>本项目运营过程中消耗一定量的水资源、电能</w:t>
            </w:r>
            <w:r>
              <w:rPr>
                <w:rFonts w:hint="eastAsia"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项目建成后通过内部管理、设备选择、废物回收利用、污染治理等方面采取合理可行的防治措施，以“节能、降耗、减污”为目标，有效的控制污染。项目资源消耗量较少，不突破资源利用上线</w:t>
            </w:r>
            <w:r>
              <w:rPr>
                <w:rFonts w:hint="default" w:ascii="Times New Roman" w:hAnsi="Times New Roman" w:eastAsia="宋体" w:cs="Times New Roman"/>
                <w:color w:val="auto"/>
                <w:spacing w:val="0"/>
                <w:kern w:val="0"/>
                <w:sz w:val="24"/>
                <w:szCs w:val="24"/>
                <w:highlight w:val="none"/>
                <w:lang w:eastAsia="zh-CN"/>
              </w:rPr>
              <w:t>。</w:t>
            </w:r>
          </w:p>
          <w:p w14:paraId="7D9D684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4</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环境准入负面清单</w:t>
            </w:r>
          </w:p>
          <w:p w14:paraId="25D54FB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eastAsia="zh-CN"/>
              </w:rPr>
              <w:t>根据</w:t>
            </w:r>
            <w:r>
              <w:rPr>
                <w:rFonts w:hint="default" w:ascii="Times New Roman" w:hAnsi="Times New Roman" w:eastAsia="宋体" w:cs="Times New Roman"/>
                <w:color w:val="auto"/>
                <w:spacing w:val="0"/>
                <w:kern w:val="0"/>
                <w:sz w:val="24"/>
                <w:szCs w:val="24"/>
                <w:highlight w:val="none"/>
                <w:lang w:val="en-US" w:eastAsia="zh-CN"/>
              </w:rPr>
              <w:t>表1.</w:t>
            </w:r>
            <w:r>
              <w:rPr>
                <w:rFonts w:hint="eastAsia" w:cs="Times New Roman"/>
                <w:color w:val="auto"/>
                <w:spacing w:val="0"/>
                <w:kern w:val="0"/>
                <w:sz w:val="24"/>
                <w:szCs w:val="24"/>
                <w:highlight w:val="none"/>
                <w:lang w:val="en-US" w:eastAsia="zh-CN"/>
              </w:rPr>
              <w:t>1</w:t>
            </w:r>
            <w:r>
              <w:rPr>
                <w:rFonts w:hint="default" w:ascii="Times New Roman" w:hAnsi="Times New Roman" w:eastAsia="宋体" w:cs="Times New Roman"/>
                <w:color w:val="auto"/>
                <w:spacing w:val="0"/>
                <w:kern w:val="0"/>
                <w:sz w:val="24"/>
                <w:szCs w:val="24"/>
                <w:highlight w:val="none"/>
                <w:lang w:val="en-US" w:eastAsia="zh-CN"/>
              </w:rPr>
              <w:t>-1~表1.</w:t>
            </w:r>
            <w:r>
              <w:rPr>
                <w:rFonts w:hint="eastAsia" w:cs="Times New Roman"/>
                <w:color w:val="auto"/>
                <w:spacing w:val="0"/>
                <w:kern w:val="0"/>
                <w:sz w:val="24"/>
                <w:szCs w:val="24"/>
                <w:highlight w:val="none"/>
                <w:lang w:val="en-US" w:eastAsia="zh-CN"/>
              </w:rPr>
              <w:t>1</w:t>
            </w:r>
            <w:r>
              <w:rPr>
                <w:rFonts w:hint="default" w:ascii="Times New Roman" w:hAnsi="Times New Roman" w:eastAsia="宋体" w:cs="Times New Roman"/>
                <w:color w:val="auto"/>
                <w:spacing w:val="0"/>
                <w:kern w:val="0"/>
                <w:sz w:val="24"/>
                <w:szCs w:val="24"/>
                <w:highlight w:val="none"/>
                <w:lang w:val="en-US" w:eastAsia="zh-CN"/>
              </w:rPr>
              <w:t>-3符合性分析，本项目符合长治市生态环境准入、长治市浊漳河流域生态环境准入、长治市辛安泉域生态环境准入要求。</w:t>
            </w:r>
            <w:r>
              <w:rPr>
                <w:rFonts w:hint="default" w:ascii="Times New Roman" w:hAnsi="Times New Roman" w:eastAsia="宋体" w:cs="Times New Roman"/>
                <w:color w:val="auto"/>
                <w:spacing w:val="0"/>
                <w:kern w:val="0"/>
                <w:sz w:val="24"/>
                <w:szCs w:val="24"/>
                <w:highlight w:val="none"/>
                <w:lang w:eastAsia="zh-CN"/>
              </w:rPr>
              <w:t>根据《产业结构调整指导目录（</w:t>
            </w:r>
            <w:r>
              <w:rPr>
                <w:rFonts w:hint="default" w:ascii="Times New Roman" w:hAnsi="Times New Roman" w:eastAsia="宋体" w:cs="Times New Roman"/>
                <w:color w:val="auto"/>
                <w:spacing w:val="0"/>
                <w:kern w:val="0"/>
                <w:sz w:val="24"/>
                <w:szCs w:val="24"/>
                <w:highlight w:val="none"/>
                <w:lang w:val="en-US" w:eastAsia="zh-CN"/>
              </w:rPr>
              <w:t>2024</w:t>
            </w:r>
            <w:r>
              <w:rPr>
                <w:rFonts w:hint="default" w:ascii="Times New Roman" w:hAnsi="Times New Roman" w:eastAsia="宋体" w:cs="Times New Roman"/>
                <w:color w:val="auto"/>
                <w:spacing w:val="0"/>
                <w:kern w:val="0"/>
                <w:sz w:val="24"/>
                <w:szCs w:val="24"/>
                <w:highlight w:val="none"/>
                <w:lang w:eastAsia="zh-CN"/>
              </w:rPr>
              <w:t>年本）》中规定，</w:t>
            </w:r>
            <w:r>
              <w:rPr>
                <w:rFonts w:hint="default" w:ascii="Times New Roman" w:hAnsi="Times New Roman" w:eastAsia="宋体" w:cs="Times New Roman"/>
                <w:color w:val="auto"/>
                <w:spacing w:val="0"/>
                <w:kern w:val="0"/>
                <w:sz w:val="24"/>
                <w:szCs w:val="24"/>
                <w:highlight w:val="none"/>
                <w:lang w:val="en-US" w:eastAsia="zh-CN"/>
              </w:rPr>
              <w:t>本项目</w:t>
            </w:r>
            <w:r>
              <w:rPr>
                <w:rFonts w:hint="default" w:ascii="Times New Roman" w:hAnsi="Times New Roman" w:eastAsia="宋体" w:cs="Times New Roman"/>
                <w:color w:val="auto"/>
                <w:spacing w:val="0"/>
                <w:kern w:val="0"/>
                <w:sz w:val="24"/>
                <w:szCs w:val="24"/>
                <w:highlight w:val="none"/>
                <w:lang w:eastAsia="zh-CN"/>
              </w:rPr>
              <w:t>不属于限制类、淘汰类项目，</w:t>
            </w:r>
            <w:r>
              <w:rPr>
                <w:rFonts w:hint="default" w:ascii="Times New Roman" w:hAnsi="Times New Roman" w:eastAsia="宋体" w:cs="Times New Roman"/>
                <w:color w:val="auto"/>
                <w:spacing w:val="0"/>
                <w:kern w:val="0"/>
                <w:sz w:val="24"/>
                <w:szCs w:val="24"/>
                <w:highlight w:val="none"/>
                <w:lang w:val="en-US" w:eastAsia="zh-CN"/>
              </w:rPr>
              <w:t>为允许类项目</w:t>
            </w:r>
            <w:r>
              <w:rPr>
                <w:rFonts w:hint="default" w:ascii="Times New Roman" w:hAnsi="Times New Roman" w:eastAsia="宋体" w:cs="Times New Roman"/>
                <w:color w:val="auto"/>
                <w:spacing w:val="0"/>
                <w:kern w:val="0"/>
                <w:sz w:val="24"/>
                <w:szCs w:val="24"/>
                <w:highlight w:val="none"/>
                <w:lang w:eastAsia="zh-CN"/>
              </w:rPr>
              <w:t>。</w:t>
            </w:r>
          </w:p>
          <w:p w14:paraId="40B2781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val="en-US" w:eastAsia="zh-CN"/>
              </w:rPr>
              <w:t>综上所述，本项目的建设不违背国家“三线一单”的管控原则。</w:t>
            </w:r>
          </w:p>
          <w:p w14:paraId="0AB31CC1">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0"/>
                <w:sz w:val="24"/>
                <w:szCs w:val="24"/>
                <w:highlight w:val="none"/>
                <w:lang w:eastAsia="zh-CN"/>
              </w:rPr>
            </w:pPr>
            <w:r>
              <w:rPr>
                <w:rFonts w:hint="default" w:ascii="Times New Roman" w:hAnsi="Times New Roman" w:eastAsia="宋体" w:cs="Times New Roman"/>
                <w:b/>
                <w:bCs/>
                <w:color w:val="auto"/>
                <w:spacing w:val="0"/>
                <w:kern w:val="0"/>
                <w:sz w:val="24"/>
                <w:szCs w:val="24"/>
                <w:highlight w:val="none"/>
                <w:lang w:val="en-US" w:eastAsia="zh-CN"/>
              </w:rPr>
              <w:t>1.</w:t>
            </w:r>
            <w:r>
              <w:rPr>
                <w:rFonts w:hint="eastAsia" w:cs="Times New Roman"/>
                <w:b/>
                <w:bCs/>
                <w:color w:val="auto"/>
                <w:spacing w:val="0"/>
                <w:kern w:val="0"/>
                <w:sz w:val="24"/>
                <w:szCs w:val="24"/>
                <w:highlight w:val="none"/>
                <w:lang w:val="en-US" w:eastAsia="zh-CN"/>
              </w:rPr>
              <w:t>2</w:t>
            </w:r>
            <w:r>
              <w:rPr>
                <w:rFonts w:hint="default" w:ascii="Times New Roman" w:hAnsi="Times New Roman" w:eastAsia="宋体" w:cs="Times New Roman"/>
                <w:b/>
                <w:bCs/>
                <w:color w:val="auto"/>
                <w:spacing w:val="0"/>
                <w:kern w:val="0"/>
                <w:sz w:val="24"/>
                <w:szCs w:val="24"/>
                <w:highlight w:val="none"/>
                <w:lang w:val="en-US" w:eastAsia="zh-CN"/>
              </w:rPr>
              <w:t xml:space="preserve"> </w:t>
            </w:r>
            <w:r>
              <w:rPr>
                <w:rFonts w:hint="default" w:ascii="Times New Roman" w:hAnsi="Times New Roman" w:eastAsia="宋体" w:cs="Times New Roman"/>
                <w:b/>
                <w:bCs/>
                <w:color w:val="auto"/>
                <w:spacing w:val="0"/>
                <w:kern w:val="0"/>
                <w:sz w:val="24"/>
                <w:szCs w:val="24"/>
                <w:highlight w:val="none"/>
                <w:lang w:eastAsia="zh-CN"/>
              </w:rPr>
              <w:t>产业政策相符性分析</w:t>
            </w:r>
          </w:p>
          <w:p w14:paraId="12B9044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eastAsia="zh-CN"/>
              </w:rPr>
            </w:pPr>
            <w:r>
              <w:rPr>
                <w:rFonts w:hint="default" w:ascii="Times New Roman" w:hAnsi="Times New Roman" w:eastAsia="宋体" w:cs="Times New Roman"/>
                <w:color w:val="auto"/>
                <w:spacing w:val="0"/>
                <w:kern w:val="0"/>
                <w:sz w:val="24"/>
                <w:szCs w:val="24"/>
                <w:highlight w:val="none"/>
                <w:lang w:eastAsia="zh-CN"/>
              </w:rPr>
              <w:t>本项目已于20</w:t>
            </w:r>
            <w:r>
              <w:rPr>
                <w:rFonts w:hint="eastAsia" w:ascii="Times New Roman" w:hAnsi="Times New Roman" w:eastAsia="宋体" w:cs="Times New Roman"/>
                <w:color w:val="auto"/>
                <w:spacing w:val="0"/>
                <w:kern w:val="0"/>
                <w:sz w:val="24"/>
                <w:szCs w:val="24"/>
                <w:highlight w:val="none"/>
                <w:lang w:val="en-US" w:eastAsia="zh-CN"/>
              </w:rPr>
              <w:t>2</w:t>
            </w:r>
            <w:r>
              <w:rPr>
                <w:rFonts w:hint="eastAsia" w:cs="Times New Roman"/>
                <w:color w:val="auto"/>
                <w:spacing w:val="0"/>
                <w:kern w:val="0"/>
                <w:sz w:val="24"/>
                <w:szCs w:val="24"/>
                <w:highlight w:val="none"/>
                <w:lang w:val="en-US" w:eastAsia="zh-CN"/>
              </w:rPr>
              <w:t>5</w:t>
            </w:r>
            <w:r>
              <w:rPr>
                <w:rFonts w:hint="default" w:ascii="Times New Roman" w:hAnsi="Times New Roman" w:eastAsia="宋体" w:cs="Times New Roman"/>
                <w:color w:val="auto"/>
                <w:spacing w:val="0"/>
                <w:kern w:val="0"/>
                <w:sz w:val="24"/>
                <w:szCs w:val="24"/>
                <w:highlight w:val="none"/>
                <w:lang w:eastAsia="zh-CN"/>
              </w:rPr>
              <w:t>年</w:t>
            </w:r>
            <w:r>
              <w:rPr>
                <w:rFonts w:hint="eastAsia" w:cs="Times New Roman"/>
                <w:color w:val="auto"/>
                <w:spacing w:val="0"/>
                <w:kern w:val="0"/>
                <w:sz w:val="24"/>
                <w:szCs w:val="24"/>
                <w:highlight w:val="none"/>
                <w:lang w:val="en-US" w:eastAsia="zh-CN"/>
              </w:rPr>
              <w:t>3</w:t>
            </w:r>
            <w:r>
              <w:rPr>
                <w:rFonts w:hint="default" w:ascii="Times New Roman" w:hAnsi="Times New Roman" w:eastAsia="宋体" w:cs="Times New Roman"/>
                <w:color w:val="auto"/>
                <w:spacing w:val="0"/>
                <w:kern w:val="0"/>
                <w:sz w:val="24"/>
                <w:szCs w:val="24"/>
                <w:highlight w:val="none"/>
                <w:lang w:eastAsia="zh-CN"/>
              </w:rPr>
              <w:t>月</w:t>
            </w:r>
            <w:r>
              <w:rPr>
                <w:rFonts w:hint="eastAsia" w:ascii="Times New Roman" w:hAnsi="Times New Roman" w:eastAsia="宋体" w:cs="Times New Roman"/>
                <w:color w:val="auto"/>
                <w:spacing w:val="0"/>
                <w:kern w:val="0"/>
                <w:sz w:val="24"/>
                <w:szCs w:val="24"/>
                <w:highlight w:val="none"/>
                <w:lang w:val="en-US" w:eastAsia="zh-CN"/>
              </w:rPr>
              <w:t>12</w:t>
            </w:r>
            <w:r>
              <w:rPr>
                <w:rFonts w:hint="default" w:ascii="Times New Roman" w:hAnsi="Times New Roman" w:eastAsia="宋体" w:cs="Times New Roman"/>
                <w:color w:val="auto"/>
                <w:spacing w:val="0"/>
                <w:kern w:val="0"/>
                <w:sz w:val="24"/>
                <w:szCs w:val="24"/>
                <w:highlight w:val="none"/>
                <w:lang w:eastAsia="zh-CN"/>
              </w:rPr>
              <w:t>日在</w:t>
            </w:r>
            <w:r>
              <w:rPr>
                <w:rFonts w:hint="default" w:ascii="Times New Roman" w:hAnsi="Times New Roman" w:eastAsia="宋体" w:cs="Times New Roman"/>
                <w:color w:val="auto"/>
                <w:spacing w:val="0"/>
                <w:kern w:val="0"/>
                <w:sz w:val="24"/>
                <w:szCs w:val="24"/>
                <w:highlight w:val="none"/>
                <w:lang w:val="en-US" w:eastAsia="zh-CN"/>
              </w:rPr>
              <w:t>长子县行政审批服务管理局</w:t>
            </w:r>
            <w:r>
              <w:rPr>
                <w:rFonts w:hint="default" w:ascii="Times New Roman" w:hAnsi="Times New Roman" w:eastAsia="宋体" w:cs="Times New Roman"/>
                <w:color w:val="auto"/>
                <w:spacing w:val="0"/>
                <w:kern w:val="0"/>
                <w:sz w:val="24"/>
                <w:szCs w:val="24"/>
                <w:highlight w:val="none"/>
                <w:lang w:eastAsia="zh-CN"/>
              </w:rPr>
              <w:t>备案，项目代码：</w:t>
            </w:r>
            <w:r>
              <w:rPr>
                <w:rFonts w:hint="default" w:ascii="Times New Roman" w:hAnsi="Times New Roman" w:eastAsia="宋体" w:cs="Times New Roman"/>
                <w:color w:val="auto"/>
                <w:spacing w:val="0"/>
                <w:kern w:val="0"/>
                <w:sz w:val="24"/>
                <w:szCs w:val="24"/>
                <w:highlight w:val="none"/>
                <w:lang w:val="en-US" w:eastAsia="zh-CN"/>
              </w:rPr>
              <w:t>2503-140428-89-05-865082</w:t>
            </w:r>
            <w:r>
              <w:rPr>
                <w:rFonts w:hint="default" w:ascii="Times New Roman" w:hAnsi="Times New Roman" w:eastAsia="宋体" w:cs="Times New Roman"/>
                <w:color w:val="auto"/>
                <w:spacing w:val="0"/>
                <w:kern w:val="0"/>
                <w:sz w:val="24"/>
                <w:szCs w:val="24"/>
                <w:highlight w:val="none"/>
                <w:lang w:eastAsia="zh-CN"/>
              </w:rPr>
              <w:t>，备案证明见附件2。</w:t>
            </w:r>
          </w:p>
          <w:p w14:paraId="3F1DCE6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本项目所属行业为</w:t>
            </w:r>
            <w:r>
              <w:rPr>
                <w:rFonts w:hint="eastAsia" w:cs="Times New Roman"/>
                <w:color w:val="auto"/>
                <w:spacing w:val="0"/>
                <w:kern w:val="0"/>
                <w:sz w:val="24"/>
                <w:szCs w:val="24"/>
                <w:highlight w:val="none"/>
                <w:lang w:val="en-US" w:eastAsia="zh-CN"/>
              </w:rPr>
              <w:t>C3039 其他建筑材料制造</w:t>
            </w:r>
            <w:r>
              <w:rPr>
                <w:rFonts w:hint="default"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eastAsia="zh-CN"/>
              </w:rPr>
              <w:t>根据《产业结构调整指导目录（2024年本）》中规定，</w:t>
            </w:r>
            <w:r>
              <w:rPr>
                <w:rFonts w:hint="default" w:ascii="Times New Roman" w:hAnsi="Times New Roman" w:eastAsia="宋体" w:cs="Times New Roman"/>
                <w:color w:val="auto"/>
                <w:spacing w:val="0"/>
                <w:kern w:val="0"/>
                <w:sz w:val="24"/>
                <w:szCs w:val="24"/>
                <w:highlight w:val="none"/>
                <w:lang w:val="en-US" w:eastAsia="zh-CN"/>
              </w:rPr>
              <w:t>本项目</w:t>
            </w:r>
            <w:r>
              <w:rPr>
                <w:rFonts w:hint="default" w:ascii="Times New Roman" w:hAnsi="Times New Roman" w:eastAsia="宋体" w:cs="Times New Roman"/>
                <w:color w:val="auto"/>
                <w:spacing w:val="0"/>
                <w:kern w:val="0"/>
                <w:sz w:val="24"/>
                <w:szCs w:val="24"/>
                <w:highlight w:val="none"/>
                <w:lang w:eastAsia="zh-CN"/>
              </w:rPr>
              <w:t>不属于限制类、淘汰类项目，</w:t>
            </w:r>
            <w:r>
              <w:rPr>
                <w:rFonts w:hint="default" w:ascii="Times New Roman" w:hAnsi="Times New Roman" w:eastAsia="宋体" w:cs="Times New Roman"/>
                <w:color w:val="auto"/>
                <w:spacing w:val="0"/>
                <w:kern w:val="0"/>
                <w:sz w:val="24"/>
                <w:szCs w:val="24"/>
                <w:highlight w:val="none"/>
                <w:lang w:val="en-US" w:eastAsia="zh-CN"/>
              </w:rPr>
              <w:t>为允许类项目</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本项目使用的生产设备</w:t>
            </w:r>
            <w:r>
              <w:rPr>
                <w:rFonts w:hint="eastAsia" w:ascii="Times New Roman" w:hAnsi="Times New Roman" w:eastAsia="宋体" w:cs="Times New Roman"/>
                <w:color w:val="auto"/>
                <w:spacing w:val="0"/>
                <w:kern w:val="0"/>
                <w:sz w:val="24"/>
                <w:szCs w:val="24"/>
                <w:highlight w:val="none"/>
                <w:lang w:val="en-US" w:eastAsia="zh-CN"/>
              </w:rPr>
              <w:t>、</w:t>
            </w:r>
            <w:r>
              <w:rPr>
                <w:rFonts w:hint="default" w:ascii="Times New Roman" w:hAnsi="Times New Roman" w:eastAsia="宋体" w:cs="Times New Roman"/>
                <w:color w:val="auto"/>
                <w:spacing w:val="0"/>
                <w:kern w:val="0"/>
                <w:sz w:val="24"/>
                <w:szCs w:val="24"/>
                <w:highlight w:val="none"/>
                <w:lang w:val="en-US" w:eastAsia="zh-CN"/>
              </w:rPr>
              <w:t>工艺</w:t>
            </w:r>
            <w:r>
              <w:rPr>
                <w:rFonts w:hint="eastAsia" w:ascii="Times New Roman" w:hAnsi="Times New Roman" w:eastAsia="宋体" w:cs="Times New Roman"/>
                <w:color w:val="auto"/>
                <w:spacing w:val="0"/>
                <w:kern w:val="0"/>
                <w:sz w:val="24"/>
                <w:szCs w:val="24"/>
                <w:highlight w:val="none"/>
                <w:lang w:val="en-US" w:eastAsia="zh-CN"/>
              </w:rPr>
              <w:t>均</w:t>
            </w:r>
            <w:r>
              <w:rPr>
                <w:rFonts w:hint="default" w:ascii="Times New Roman" w:hAnsi="Times New Roman" w:eastAsia="宋体" w:cs="Times New Roman"/>
                <w:color w:val="auto"/>
                <w:spacing w:val="0"/>
                <w:kern w:val="0"/>
                <w:sz w:val="24"/>
                <w:szCs w:val="24"/>
                <w:highlight w:val="none"/>
                <w:lang w:val="en-US" w:eastAsia="zh-CN"/>
              </w:rPr>
              <w:t>不属于产业政策淘汰类。</w:t>
            </w:r>
          </w:p>
          <w:p w14:paraId="1F0A134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eastAsia" w:ascii="Times New Roman" w:hAnsi="Times New Roman" w:eastAsia="宋体" w:cs="Times New Roman"/>
                <w:color w:val="auto"/>
                <w:spacing w:val="0"/>
                <w:kern w:val="0"/>
                <w:sz w:val="24"/>
                <w:szCs w:val="24"/>
                <w:highlight w:val="none"/>
                <w:lang w:val="en-US" w:eastAsia="zh-CN"/>
              </w:rPr>
              <w:t>因此，本</w:t>
            </w:r>
            <w:r>
              <w:rPr>
                <w:rFonts w:hint="default" w:ascii="Times New Roman" w:hAnsi="Times New Roman" w:eastAsia="宋体" w:cs="Times New Roman"/>
                <w:color w:val="auto"/>
                <w:spacing w:val="0"/>
                <w:kern w:val="0"/>
                <w:sz w:val="24"/>
                <w:szCs w:val="24"/>
                <w:highlight w:val="none"/>
                <w:lang w:val="en-US" w:eastAsia="zh-CN"/>
              </w:rPr>
              <w:t>项目的建设符合国家和地方的产业政策。</w:t>
            </w:r>
          </w:p>
          <w:p w14:paraId="5828FE8A">
            <w:pPr>
              <w:keepNext w:val="0"/>
              <w:keepLines w:val="0"/>
              <w:pageBreakBefore w:val="0"/>
              <w:widowControl w:val="0"/>
              <w:shd w:val="clear" w:color="auto" w:fill="auto"/>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bCs/>
                <w:color w:val="auto"/>
                <w:spacing w:val="0"/>
                <w:kern w:val="0"/>
                <w:sz w:val="24"/>
                <w:szCs w:val="24"/>
                <w:highlight w:val="none"/>
                <w:lang w:val="en-US" w:eastAsia="zh-CN"/>
              </w:rPr>
              <w:t>1.</w:t>
            </w:r>
            <w:r>
              <w:rPr>
                <w:rFonts w:hint="eastAsia" w:cs="Times New Roman"/>
                <w:b/>
                <w:bCs/>
                <w:color w:val="auto"/>
                <w:spacing w:val="0"/>
                <w:kern w:val="0"/>
                <w:sz w:val="24"/>
                <w:szCs w:val="24"/>
                <w:highlight w:val="none"/>
                <w:lang w:val="en-US" w:eastAsia="zh-CN"/>
              </w:rPr>
              <w:t>3</w:t>
            </w:r>
            <w:r>
              <w:rPr>
                <w:rFonts w:hint="default" w:ascii="Times New Roman" w:hAnsi="Times New Roman" w:eastAsia="宋体" w:cs="Times New Roman"/>
                <w:b/>
                <w:bCs/>
                <w:color w:val="auto"/>
                <w:spacing w:val="0"/>
                <w:kern w:val="0"/>
                <w:sz w:val="24"/>
                <w:szCs w:val="24"/>
                <w:highlight w:val="none"/>
                <w:lang w:val="en-US" w:eastAsia="zh-CN"/>
              </w:rPr>
              <w:t xml:space="preserve"> </w:t>
            </w:r>
            <w:r>
              <w:rPr>
                <w:rFonts w:hint="default" w:ascii="Times New Roman" w:hAnsi="Times New Roman" w:eastAsia="宋体" w:cs="Times New Roman"/>
                <w:b/>
                <w:bCs/>
                <w:color w:val="auto"/>
                <w:spacing w:val="0"/>
                <w:kern w:val="0"/>
                <w:sz w:val="24"/>
                <w:szCs w:val="24"/>
                <w:highlight w:val="none"/>
              </w:rPr>
              <w:t>与</w:t>
            </w:r>
            <w:r>
              <w:rPr>
                <w:rFonts w:hint="default" w:ascii="Times New Roman" w:hAnsi="Times New Roman" w:eastAsia="宋体" w:cs="Times New Roman"/>
                <w:b/>
                <w:bCs/>
                <w:color w:val="auto"/>
                <w:spacing w:val="0"/>
                <w:kern w:val="0"/>
                <w:sz w:val="24"/>
                <w:szCs w:val="24"/>
                <w:highlight w:val="none"/>
                <w:lang w:eastAsia="zh-CN"/>
              </w:rPr>
              <w:t>《</w:t>
            </w:r>
            <w:r>
              <w:rPr>
                <w:rFonts w:hint="default" w:ascii="Times New Roman" w:hAnsi="Times New Roman" w:eastAsia="宋体" w:cs="Times New Roman"/>
                <w:b/>
                <w:bCs/>
                <w:color w:val="auto"/>
                <w:spacing w:val="0"/>
                <w:kern w:val="0"/>
                <w:sz w:val="24"/>
                <w:szCs w:val="24"/>
                <w:highlight w:val="none"/>
                <w:lang w:val="en-US" w:eastAsia="zh-CN"/>
              </w:rPr>
              <w:t>长子县</w:t>
            </w:r>
            <w:r>
              <w:rPr>
                <w:rFonts w:hint="eastAsia" w:ascii="Times New Roman" w:hAnsi="Times New Roman" w:eastAsia="宋体" w:cs="Times New Roman"/>
                <w:b/>
                <w:bCs/>
                <w:color w:val="auto"/>
                <w:spacing w:val="0"/>
                <w:kern w:val="0"/>
                <w:sz w:val="24"/>
                <w:szCs w:val="24"/>
                <w:highlight w:val="none"/>
                <w:lang w:val="en-US" w:eastAsia="zh-CN"/>
              </w:rPr>
              <w:t>国土空间总体</w:t>
            </w:r>
            <w:r>
              <w:rPr>
                <w:rFonts w:hint="default" w:ascii="Times New Roman" w:hAnsi="Times New Roman" w:eastAsia="宋体" w:cs="Times New Roman"/>
                <w:b/>
                <w:bCs/>
                <w:color w:val="auto"/>
                <w:spacing w:val="0"/>
                <w:kern w:val="0"/>
                <w:sz w:val="24"/>
                <w:szCs w:val="24"/>
                <w:highlight w:val="none"/>
                <w:lang w:val="en-US" w:eastAsia="zh-CN"/>
              </w:rPr>
              <w:t>规划（20</w:t>
            </w:r>
            <w:r>
              <w:rPr>
                <w:rFonts w:hint="eastAsia" w:ascii="Times New Roman" w:hAnsi="Times New Roman" w:eastAsia="宋体" w:cs="Times New Roman"/>
                <w:b/>
                <w:bCs/>
                <w:color w:val="auto"/>
                <w:spacing w:val="0"/>
                <w:kern w:val="0"/>
                <w:sz w:val="24"/>
                <w:szCs w:val="24"/>
                <w:highlight w:val="none"/>
                <w:lang w:val="en-US" w:eastAsia="zh-CN"/>
              </w:rPr>
              <w:t>21</w:t>
            </w:r>
            <w:r>
              <w:rPr>
                <w:rFonts w:hint="default" w:ascii="Times New Roman" w:hAnsi="Times New Roman" w:eastAsia="宋体" w:cs="Times New Roman"/>
                <w:b/>
                <w:bCs/>
                <w:color w:val="auto"/>
                <w:spacing w:val="0"/>
                <w:kern w:val="0"/>
                <w:sz w:val="24"/>
                <w:szCs w:val="24"/>
                <w:highlight w:val="none"/>
                <w:lang w:val="en-US" w:eastAsia="zh-CN"/>
              </w:rPr>
              <w:t>-203</w:t>
            </w:r>
            <w:r>
              <w:rPr>
                <w:rFonts w:hint="eastAsia" w:ascii="Times New Roman" w:hAnsi="Times New Roman" w:eastAsia="宋体" w:cs="Times New Roman"/>
                <w:b/>
                <w:bCs/>
                <w:color w:val="auto"/>
                <w:spacing w:val="0"/>
                <w:kern w:val="0"/>
                <w:sz w:val="24"/>
                <w:szCs w:val="24"/>
                <w:highlight w:val="none"/>
                <w:lang w:val="en-US" w:eastAsia="zh-CN"/>
              </w:rPr>
              <w:t>5）</w:t>
            </w:r>
            <w:r>
              <w:rPr>
                <w:rFonts w:hint="default" w:ascii="Times New Roman" w:hAnsi="Times New Roman" w:eastAsia="宋体" w:cs="Times New Roman"/>
                <w:b/>
                <w:bCs/>
                <w:color w:val="auto"/>
                <w:spacing w:val="0"/>
                <w:kern w:val="0"/>
                <w:sz w:val="24"/>
                <w:szCs w:val="24"/>
                <w:highlight w:val="none"/>
                <w:lang w:eastAsia="zh-CN"/>
              </w:rPr>
              <w:t>》</w:t>
            </w:r>
            <w:r>
              <w:rPr>
                <w:rFonts w:hint="default" w:ascii="Times New Roman" w:hAnsi="Times New Roman" w:eastAsia="宋体" w:cs="Times New Roman"/>
                <w:b/>
                <w:bCs/>
                <w:color w:val="auto"/>
                <w:spacing w:val="0"/>
                <w:kern w:val="0"/>
                <w:sz w:val="24"/>
                <w:szCs w:val="24"/>
                <w:highlight w:val="none"/>
              </w:rPr>
              <w:t>符合性分析</w:t>
            </w:r>
          </w:p>
          <w:p w14:paraId="2A1450A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1</w:t>
            </w:r>
            <w:r>
              <w:rPr>
                <w:rFonts w:hint="eastAsia" w:cs="Times New Roman"/>
                <w:b w:val="0"/>
                <w:bCs w:val="0"/>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规划</w:t>
            </w:r>
            <w:r>
              <w:rPr>
                <w:rFonts w:hint="eastAsia" w:ascii="Times New Roman" w:hAnsi="Times New Roman" w:eastAsia="宋体" w:cs="Times New Roman"/>
                <w:b w:val="0"/>
                <w:bCs w:val="0"/>
                <w:color w:val="auto"/>
                <w:spacing w:val="0"/>
                <w:kern w:val="0"/>
                <w:sz w:val="24"/>
                <w:szCs w:val="24"/>
                <w:highlight w:val="none"/>
                <w:lang w:val="en-US" w:eastAsia="zh-CN"/>
              </w:rPr>
              <w:t>范围</w:t>
            </w:r>
          </w:p>
          <w:p w14:paraId="466D9BD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规划范围为长子县行政辖区，全域国土空间总面积1029</w:t>
            </w:r>
            <w:r>
              <w:rPr>
                <w:rFonts w:hint="eastAsia" w:ascii="Times New Roman" w:hAnsi="Times New Roman" w:eastAsia="宋体" w:cs="Times New Roman"/>
                <w:b w:val="0"/>
                <w:bCs w:val="0"/>
                <w:color w:val="auto"/>
                <w:spacing w:val="0"/>
                <w:kern w:val="0"/>
                <w:sz w:val="24"/>
                <w:szCs w:val="24"/>
                <w:highlight w:val="none"/>
                <w:lang w:val="en-US" w:eastAsia="zh-CN"/>
              </w:rPr>
              <w:t>km</w:t>
            </w:r>
            <w:r>
              <w:rPr>
                <w:rFonts w:hint="eastAsia" w:ascii="Times New Roman" w:hAnsi="Times New Roman" w:eastAsia="宋体" w:cs="Times New Roman"/>
                <w:b w:val="0"/>
                <w:bCs w:val="0"/>
                <w:color w:val="auto"/>
                <w:spacing w:val="0"/>
                <w:kern w:val="0"/>
                <w:sz w:val="24"/>
                <w:szCs w:val="24"/>
                <w:highlight w:val="none"/>
                <w:vertAlign w:val="superscript"/>
                <w:lang w:val="en-US" w:eastAsia="zh-CN"/>
              </w:rPr>
              <w:t>2</w:t>
            </w:r>
            <w:r>
              <w:rPr>
                <w:rFonts w:hint="default" w:ascii="Times New Roman" w:hAnsi="Times New Roman" w:eastAsia="宋体" w:cs="Times New Roman"/>
                <w:b w:val="0"/>
                <w:bCs w:val="0"/>
                <w:color w:val="auto"/>
                <w:spacing w:val="0"/>
                <w:kern w:val="0"/>
                <w:sz w:val="24"/>
                <w:szCs w:val="24"/>
                <w:highlight w:val="none"/>
                <w:lang w:val="en-US" w:eastAsia="zh-CN"/>
              </w:rPr>
              <w:t>。</w:t>
            </w:r>
          </w:p>
          <w:p w14:paraId="2F5197B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本次规划包括县域和中心城区两个空间层次。</w:t>
            </w:r>
          </w:p>
          <w:p w14:paraId="67FBC6F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b w:val="0"/>
                <w:bCs w:val="0"/>
                <w:color w:val="auto"/>
                <w:spacing w:val="0"/>
                <w:kern w:val="0"/>
                <w:sz w:val="24"/>
                <w:szCs w:val="24"/>
                <w:highlight w:val="none"/>
                <w:lang w:val="en-US" w:eastAsia="zh-CN"/>
              </w:rPr>
            </w:pPr>
            <w:r>
              <w:rPr>
                <w:rFonts w:hint="eastAsia" w:cs="Times New Roman"/>
                <w:b w:val="0"/>
                <w:bCs w:val="0"/>
                <w:color w:val="auto"/>
                <w:spacing w:val="0"/>
                <w:kern w:val="0"/>
                <w:sz w:val="24"/>
                <w:szCs w:val="24"/>
                <w:highlight w:val="none"/>
                <w:lang w:val="en-US" w:eastAsia="zh-CN"/>
              </w:rPr>
              <w:t>2.</w:t>
            </w:r>
            <w:r>
              <w:rPr>
                <w:rFonts w:hint="eastAsia" w:ascii="Times New Roman" w:hAnsi="Times New Roman" w:eastAsia="宋体" w:cs="Times New Roman"/>
                <w:b w:val="0"/>
                <w:bCs w:val="0"/>
                <w:color w:val="auto"/>
                <w:spacing w:val="0"/>
                <w:kern w:val="0"/>
                <w:sz w:val="24"/>
                <w:szCs w:val="24"/>
                <w:highlight w:val="none"/>
                <w:lang w:val="en-US" w:eastAsia="zh-CN"/>
              </w:rPr>
              <w:t>规划期限</w:t>
            </w:r>
          </w:p>
          <w:p w14:paraId="0C3A5A7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规划期限为2021年至2035年。</w:t>
            </w:r>
          </w:p>
          <w:p w14:paraId="3243241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规划基期年为2020年，近期为2025年，远期为2035年，远景展望至2050年。</w:t>
            </w:r>
          </w:p>
          <w:p w14:paraId="1F9E832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3</w:t>
            </w:r>
            <w:r>
              <w:rPr>
                <w:rFonts w:hint="eastAsia" w:cs="Times New Roman"/>
                <w:b w:val="0"/>
                <w:bCs w:val="0"/>
                <w:color w:val="auto"/>
                <w:spacing w:val="0"/>
                <w:kern w:val="0"/>
                <w:sz w:val="24"/>
                <w:szCs w:val="24"/>
                <w:highlight w:val="none"/>
                <w:lang w:val="en-US" w:eastAsia="zh-CN"/>
              </w:rPr>
              <w:t>.</w:t>
            </w:r>
            <w:r>
              <w:rPr>
                <w:rFonts w:hint="eastAsia" w:ascii="Times New Roman" w:hAnsi="Times New Roman" w:eastAsia="宋体" w:cs="Times New Roman"/>
                <w:b w:val="0"/>
                <w:bCs w:val="0"/>
                <w:color w:val="auto"/>
                <w:spacing w:val="0"/>
                <w:kern w:val="0"/>
                <w:sz w:val="24"/>
                <w:szCs w:val="24"/>
                <w:highlight w:val="none"/>
                <w:lang w:val="en-US" w:eastAsia="zh-CN"/>
              </w:rPr>
              <w:t>总体格局</w:t>
            </w:r>
          </w:p>
          <w:p w14:paraId="0724990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构建“一心两廊、一屏一网、三区”的总体格局：</w:t>
            </w:r>
          </w:p>
          <w:p w14:paraId="7B418CA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一心两廊</w:t>
            </w:r>
            <w:r>
              <w:rPr>
                <w:rFonts w:hint="eastAsia" w:ascii="Times New Roman" w:hAnsi="Times New Roman" w:eastAsia="宋体" w:cs="Times New Roman"/>
                <w:b w:val="0"/>
                <w:bCs w:val="0"/>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县城综合服务中心和以省道S326和S228为依托构建的十字型城乡发展走廊。</w:t>
            </w:r>
          </w:p>
          <w:p w14:paraId="5996447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一屏一网</w:t>
            </w:r>
            <w:r>
              <w:rPr>
                <w:rFonts w:hint="eastAsia" w:ascii="Times New Roman" w:hAnsi="Times New Roman" w:eastAsia="宋体" w:cs="Times New Roman"/>
                <w:b w:val="0"/>
                <w:bCs w:val="0"/>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发鸠山生态屏障和全域生态水网。</w:t>
            </w:r>
          </w:p>
          <w:p w14:paraId="6D011A6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三区</w:t>
            </w:r>
            <w:r>
              <w:rPr>
                <w:rFonts w:hint="eastAsia" w:ascii="Times New Roman" w:hAnsi="Times New Roman" w:eastAsia="宋体" w:cs="Times New Roman"/>
                <w:b w:val="0"/>
                <w:bCs w:val="0"/>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西部（浅山和半山区）特色农产品发展区、中部粮食规模化发展区、城郊都市农业发展区。</w:t>
            </w:r>
          </w:p>
          <w:p w14:paraId="44CAFE1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统筹划定三条控制线：永久基本农田保护红线、生态保护红线、城镇开发边界。</w:t>
            </w:r>
          </w:p>
          <w:p w14:paraId="3D05B34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4</w:t>
            </w:r>
            <w:r>
              <w:rPr>
                <w:rFonts w:hint="eastAsia" w:cs="Times New Roman"/>
                <w:b w:val="0"/>
                <w:bCs w:val="0"/>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符合性分析</w:t>
            </w:r>
          </w:p>
          <w:p w14:paraId="711255B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bCs/>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eastAsia="zh-CN"/>
              </w:rPr>
              <w:t>本项目</w:t>
            </w:r>
            <w:r>
              <w:rPr>
                <w:rFonts w:hint="default" w:ascii="Times New Roman" w:hAnsi="Times New Roman" w:eastAsia="宋体" w:cs="Times New Roman"/>
                <w:color w:val="auto"/>
                <w:spacing w:val="0"/>
                <w:kern w:val="0"/>
                <w:sz w:val="24"/>
                <w:szCs w:val="24"/>
                <w:highlight w:val="none"/>
                <w:lang w:val="en-US" w:eastAsia="zh-CN"/>
              </w:rPr>
              <w:t>不新增占地，利用赵庄二号井东风井场地进行建设</w:t>
            </w:r>
            <w:r>
              <w:rPr>
                <w:rFonts w:hint="eastAsia" w:ascii="Times New Roman" w:hAnsi="Times New Roman" w:cs="Times New Roman"/>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根据《长子县国土空间总体规划（2021-2035）》，本</w:t>
            </w:r>
            <w:r>
              <w:rPr>
                <w:rFonts w:hint="eastAsia" w:cs="Times New Roman"/>
                <w:b w:val="0"/>
                <w:bCs w:val="0"/>
                <w:color w:val="auto"/>
                <w:spacing w:val="0"/>
                <w:kern w:val="0"/>
                <w:sz w:val="24"/>
                <w:szCs w:val="24"/>
                <w:highlight w:val="none"/>
                <w:lang w:val="en-US" w:eastAsia="zh-CN"/>
              </w:rPr>
              <w:t>项目</w:t>
            </w:r>
            <w:r>
              <w:rPr>
                <w:rFonts w:hint="default" w:ascii="Times New Roman" w:hAnsi="Times New Roman" w:eastAsia="宋体" w:cs="Times New Roman"/>
                <w:b w:val="0"/>
                <w:bCs w:val="0"/>
                <w:color w:val="auto"/>
                <w:spacing w:val="0"/>
                <w:kern w:val="0"/>
                <w:sz w:val="24"/>
                <w:szCs w:val="24"/>
                <w:highlight w:val="none"/>
                <w:lang w:val="en-US" w:eastAsia="zh-CN"/>
              </w:rPr>
              <w:t>位于城镇开发边界区域</w:t>
            </w:r>
            <w:r>
              <w:rPr>
                <w:rFonts w:hint="eastAsia" w:ascii="Times New Roman" w:hAnsi="Times New Roman" w:eastAsia="宋体" w:cs="Times New Roman"/>
                <w:b w:val="0"/>
                <w:bCs w:val="0"/>
                <w:color w:val="auto"/>
                <w:spacing w:val="0"/>
                <w:kern w:val="0"/>
                <w:sz w:val="24"/>
                <w:szCs w:val="24"/>
                <w:highlight w:val="none"/>
                <w:lang w:val="en-US" w:eastAsia="zh-CN"/>
              </w:rPr>
              <w:t>内</w:t>
            </w:r>
            <w:r>
              <w:rPr>
                <w:rFonts w:hint="default" w:ascii="Times New Roman" w:hAnsi="Times New Roman" w:eastAsia="宋体" w:cs="Times New Roman"/>
                <w:b w:val="0"/>
                <w:bCs w:val="0"/>
                <w:color w:val="auto"/>
                <w:spacing w:val="0"/>
                <w:kern w:val="0"/>
                <w:sz w:val="24"/>
                <w:szCs w:val="24"/>
                <w:highlight w:val="none"/>
                <w:lang w:val="en-US" w:eastAsia="zh-CN"/>
              </w:rPr>
              <w:t>，不在永久基本农田、生态保护红线划定范围内，</w:t>
            </w:r>
            <w:r>
              <w:rPr>
                <w:rFonts w:hint="eastAsia" w:ascii="Times New Roman" w:hAnsi="Times New Roman" w:eastAsia="宋体" w:cs="Times New Roman"/>
                <w:b w:val="0"/>
                <w:bCs w:val="0"/>
                <w:color w:val="auto"/>
                <w:spacing w:val="0"/>
                <w:kern w:val="0"/>
                <w:sz w:val="24"/>
                <w:szCs w:val="24"/>
                <w:highlight w:val="none"/>
                <w:lang w:val="en-US" w:eastAsia="zh-CN"/>
              </w:rPr>
              <w:t>因此</w:t>
            </w:r>
            <w:r>
              <w:rPr>
                <w:rFonts w:hint="default" w:ascii="Times New Roman" w:hAnsi="Times New Roman" w:eastAsia="宋体" w:cs="Times New Roman"/>
                <w:b w:val="0"/>
                <w:bCs w:val="0"/>
                <w:color w:val="auto"/>
                <w:spacing w:val="0"/>
                <w:kern w:val="0"/>
                <w:sz w:val="24"/>
                <w:szCs w:val="24"/>
                <w:highlight w:val="none"/>
                <w:lang w:val="en-US" w:eastAsia="zh-CN"/>
              </w:rPr>
              <w:t>本项目的建设不违背《长子县国土空间总体规划（2021-2035）》</w:t>
            </w:r>
            <w:r>
              <w:rPr>
                <w:rFonts w:hint="eastAsia" w:cs="Times New Roman"/>
                <w:b w:val="0"/>
                <w:bCs w:val="0"/>
                <w:color w:val="auto"/>
                <w:spacing w:val="0"/>
                <w:kern w:val="0"/>
                <w:sz w:val="24"/>
                <w:szCs w:val="24"/>
                <w:highlight w:val="none"/>
                <w:lang w:val="en-US" w:eastAsia="zh-CN"/>
              </w:rPr>
              <w:t>相关</w:t>
            </w:r>
            <w:r>
              <w:rPr>
                <w:rFonts w:hint="default" w:ascii="Times New Roman" w:hAnsi="Times New Roman" w:eastAsia="宋体" w:cs="Times New Roman"/>
                <w:b w:val="0"/>
                <w:bCs w:val="0"/>
                <w:color w:val="auto"/>
                <w:spacing w:val="0"/>
                <w:kern w:val="0"/>
                <w:sz w:val="24"/>
                <w:szCs w:val="24"/>
                <w:highlight w:val="none"/>
                <w:lang w:val="en-US" w:eastAsia="zh-CN"/>
              </w:rPr>
              <w:t>要求。</w:t>
            </w:r>
          </w:p>
          <w:p w14:paraId="1C2A93CB">
            <w:pPr>
              <w:spacing w:line="480" w:lineRule="atLeast"/>
              <w:ind w:firstLine="482" w:firstLineChars="200"/>
              <w:rPr>
                <w:rFonts w:hint="default" w:ascii="Times New Roman" w:hAnsi="Times New Roman" w:eastAsia="宋体" w:cs="Times New Roman"/>
                <w:b/>
                <w:bCs w:val="0"/>
                <w:color w:val="auto"/>
                <w:spacing w:val="0"/>
                <w:kern w:val="2"/>
                <w:sz w:val="24"/>
                <w:highlight w:val="none"/>
              </w:rPr>
            </w:pPr>
            <w:r>
              <w:rPr>
                <w:rFonts w:hint="default" w:ascii="Times New Roman" w:hAnsi="Times New Roman" w:eastAsia="宋体" w:cs="Times New Roman"/>
                <w:b/>
                <w:bCs w:val="0"/>
                <w:color w:val="auto"/>
                <w:spacing w:val="0"/>
                <w:kern w:val="2"/>
                <w:sz w:val="24"/>
                <w:highlight w:val="none"/>
                <w:lang w:val="en-US" w:eastAsia="zh-CN"/>
              </w:rPr>
              <w:t>1.</w:t>
            </w:r>
            <w:r>
              <w:rPr>
                <w:rFonts w:hint="eastAsia" w:cs="Times New Roman"/>
                <w:b/>
                <w:bCs w:val="0"/>
                <w:color w:val="auto"/>
                <w:spacing w:val="0"/>
                <w:kern w:val="2"/>
                <w:sz w:val="24"/>
                <w:highlight w:val="none"/>
                <w:lang w:val="en-US" w:eastAsia="zh-CN"/>
              </w:rPr>
              <w:t>4</w:t>
            </w:r>
            <w:r>
              <w:rPr>
                <w:rFonts w:hint="default" w:ascii="Times New Roman" w:hAnsi="Times New Roman" w:eastAsia="宋体" w:cs="Times New Roman"/>
                <w:b/>
                <w:bCs w:val="0"/>
                <w:color w:val="auto"/>
                <w:spacing w:val="0"/>
                <w:kern w:val="2"/>
                <w:sz w:val="24"/>
                <w:highlight w:val="none"/>
                <w:lang w:val="en-US" w:eastAsia="zh-CN"/>
              </w:rPr>
              <w:t xml:space="preserve"> </w:t>
            </w:r>
            <w:r>
              <w:rPr>
                <w:rFonts w:hint="default" w:ascii="Times New Roman" w:hAnsi="Times New Roman" w:eastAsia="宋体" w:cs="Times New Roman"/>
                <w:b/>
                <w:bCs w:val="0"/>
                <w:color w:val="auto"/>
                <w:spacing w:val="0"/>
                <w:kern w:val="2"/>
                <w:sz w:val="24"/>
                <w:highlight w:val="none"/>
              </w:rPr>
              <w:t>与《山西省人民政府关于坚决打赢汾河流域治理攻坚战的决定》符合性分析</w:t>
            </w:r>
          </w:p>
          <w:p w14:paraId="1C1C4F1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spacing w:val="0"/>
                <w:kern w:val="2"/>
                <w:sz w:val="24"/>
                <w:highlight w:val="none"/>
                <w:lang w:val="en-US" w:eastAsia="zh-CN"/>
              </w:rPr>
            </w:pPr>
            <w:r>
              <w:rPr>
                <w:rFonts w:hint="default" w:ascii="Times New Roman" w:hAnsi="Times New Roman" w:eastAsia="宋体" w:cs="Times New Roman"/>
                <w:bCs/>
                <w:color w:val="auto"/>
                <w:spacing w:val="0"/>
                <w:kern w:val="2"/>
                <w:sz w:val="24"/>
                <w:highlight w:val="none"/>
                <w:lang w:val="en-US" w:eastAsia="zh-CN"/>
              </w:rPr>
              <w:t>符合性分析</w:t>
            </w:r>
            <w:r>
              <w:rPr>
                <w:rFonts w:hint="eastAsia" w:ascii="Times New Roman" w:hAnsi="Times New Roman" w:eastAsia="宋体" w:cs="Times New Roman"/>
                <w:bCs/>
                <w:color w:val="auto"/>
                <w:spacing w:val="0"/>
                <w:kern w:val="2"/>
                <w:sz w:val="24"/>
                <w:highlight w:val="none"/>
                <w:lang w:val="en-US" w:eastAsia="zh-CN"/>
              </w:rPr>
              <w:t>详</w:t>
            </w:r>
            <w:r>
              <w:rPr>
                <w:rFonts w:hint="default" w:ascii="Times New Roman" w:hAnsi="Times New Roman" w:eastAsia="宋体" w:cs="Times New Roman"/>
                <w:bCs/>
                <w:color w:val="auto"/>
                <w:spacing w:val="0"/>
                <w:kern w:val="2"/>
                <w:sz w:val="24"/>
                <w:highlight w:val="none"/>
                <w:lang w:val="en-US" w:eastAsia="zh-CN"/>
              </w:rPr>
              <w:t>见表</w:t>
            </w:r>
            <w:r>
              <w:rPr>
                <w:rFonts w:hint="eastAsia" w:ascii="Times New Roman" w:hAnsi="Times New Roman" w:eastAsia="宋体" w:cs="Times New Roman"/>
                <w:bCs/>
                <w:color w:val="auto"/>
                <w:spacing w:val="0"/>
                <w:kern w:val="2"/>
                <w:sz w:val="24"/>
                <w:highlight w:val="none"/>
                <w:lang w:val="en-US" w:eastAsia="zh-CN"/>
              </w:rPr>
              <w:t>1.</w:t>
            </w:r>
            <w:r>
              <w:rPr>
                <w:rFonts w:hint="eastAsia" w:cs="Times New Roman"/>
                <w:bCs/>
                <w:color w:val="auto"/>
                <w:spacing w:val="0"/>
                <w:kern w:val="2"/>
                <w:sz w:val="24"/>
                <w:highlight w:val="none"/>
                <w:lang w:val="en-US" w:eastAsia="zh-CN"/>
              </w:rPr>
              <w:t>4</w:t>
            </w:r>
            <w:r>
              <w:rPr>
                <w:rFonts w:hint="eastAsia" w:ascii="Times New Roman" w:hAnsi="Times New Roman" w:eastAsia="宋体" w:cs="Times New Roman"/>
                <w:bCs/>
                <w:color w:val="auto"/>
                <w:spacing w:val="0"/>
                <w:kern w:val="2"/>
                <w:sz w:val="24"/>
                <w:highlight w:val="none"/>
                <w:lang w:val="en-US" w:eastAsia="zh-CN"/>
              </w:rPr>
              <w:t>-1。</w:t>
            </w:r>
          </w:p>
          <w:p w14:paraId="035DF4AF">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黑体" w:cs="Times New Roman"/>
                <w:iCs/>
                <w:snapToGrid w:val="0"/>
                <w:color w:val="auto"/>
                <w:spacing w:val="0"/>
                <w:kern w:val="0"/>
                <w:sz w:val="21"/>
                <w:szCs w:val="20"/>
                <w:highlight w:val="none"/>
                <w:lang w:val="en-US" w:eastAsia="zh-CN" w:bidi="ar-SA"/>
              </w:rPr>
              <w:t>表1.</w:t>
            </w:r>
            <w:r>
              <w:rPr>
                <w:rFonts w:hint="eastAsia" w:eastAsia="黑体" w:cs="Times New Roman"/>
                <w:iCs/>
                <w:snapToGrid w:val="0"/>
                <w:color w:val="auto"/>
                <w:spacing w:val="0"/>
                <w:kern w:val="0"/>
                <w:sz w:val="21"/>
                <w:szCs w:val="20"/>
                <w:highlight w:val="none"/>
                <w:lang w:val="en-US" w:eastAsia="zh-CN" w:bidi="ar-SA"/>
              </w:rPr>
              <w:t>4</w:t>
            </w:r>
            <w:r>
              <w:rPr>
                <w:rFonts w:hint="default" w:ascii="Times New Roman" w:hAnsi="Times New Roman" w:eastAsia="黑体" w:cs="Times New Roman"/>
                <w:iCs/>
                <w:snapToGrid w:val="0"/>
                <w:color w:val="auto"/>
                <w:spacing w:val="0"/>
                <w:kern w:val="0"/>
                <w:sz w:val="21"/>
                <w:szCs w:val="20"/>
                <w:highlight w:val="none"/>
                <w:lang w:val="en-US" w:eastAsia="zh-CN" w:bidi="ar-SA"/>
              </w:rPr>
              <w:t>-</w:t>
            </w:r>
            <w:r>
              <w:rPr>
                <w:rFonts w:hint="eastAsia" w:eastAsia="黑体" w:cs="Times New Roman"/>
                <w:iCs/>
                <w:snapToGrid w:val="0"/>
                <w:color w:val="auto"/>
                <w:spacing w:val="0"/>
                <w:kern w:val="0"/>
                <w:sz w:val="21"/>
                <w:szCs w:val="20"/>
                <w:highlight w:val="none"/>
                <w:lang w:val="en-US" w:eastAsia="zh-CN" w:bidi="ar-SA"/>
              </w:rPr>
              <w:t>1</w:t>
            </w:r>
            <w:r>
              <w:rPr>
                <w:rFonts w:hint="default" w:ascii="Times New Roman" w:hAnsi="Times New Roman" w:eastAsia="黑体" w:cs="Times New Roman"/>
                <w:iCs/>
                <w:snapToGrid w:val="0"/>
                <w:color w:val="auto"/>
                <w:spacing w:val="0"/>
                <w:kern w:val="0"/>
                <w:sz w:val="21"/>
                <w:szCs w:val="20"/>
                <w:highlight w:val="none"/>
                <w:lang w:val="en-US" w:eastAsia="zh-CN" w:bidi="ar-SA"/>
              </w:rPr>
              <w:t xml:space="preserve">  符合性分析</w:t>
            </w:r>
          </w:p>
          <w:tbl>
            <w:tblPr>
              <w:tblStyle w:val="24"/>
              <w:tblW w:w="77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4797"/>
              <w:gridCol w:w="2186"/>
            </w:tblGrid>
            <w:tr w14:paraId="2910C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82" w:type="pct"/>
                  <w:gridSpan w:val="2"/>
                  <w:tcBorders>
                    <w:tl2br w:val="nil"/>
                    <w:tr2bl w:val="nil"/>
                  </w:tcBorders>
                  <w:noWrap w:val="0"/>
                  <w:vAlign w:val="center"/>
                </w:tcPr>
                <w:p w14:paraId="5632414C">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1"/>
                      <w:sz w:val="21"/>
                      <w:szCs w:val="21"/>
                      <w:highlight w:val="none"/>
                      <w:lang w:eastAsia="zh-CN"/>
                    </w:rPr>
                  </w:pPr>
                  <w:r>
                    <w:rPr>
                      <w:rFonts w:hint="eastAsia" w:ascii="Times New Roman" w:hAnsi="Times New Roman" w:eastAsia="宋体" w:cs="Times New Roman"/>
                      <w:color w:val="auto"/>
                      <w:spacing w:val="0"/>
                      <w:kern w:val="21"/>
                      <w:sz w:val="21"/>
                      <w:szCs w:val="21"/>
                      <w:highlight w:val="none"/>
                      <w:lang w:val="en-US" w:eastAsia="zh-CN"/>
                    </w:rPr>
                    <w:t>要求</w:t>
                  </w:r>
                </w:p>
              </w:tc>
              <w:tc>
                <w:tcPr>
                  <w:tcW w:w="1417" w:type="pct"/>
                  <w:tcBorders>
                    <w:tl2br w:val="nil"/>
                    <w:tr2bl w:val="nil"/>
                  </w:tcBorders>
                  <w:noWrap w:val="0"/>
                  <w:vAlign w:val="center"/>
                </w:tcPr>
                <w:p w14:paraId="650DB899">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bidi="ar"/>
                    </w:rPr>
                    <w:t>符合性分析</w:t>
                  </w:r>
                </w:p>
              </w:tc>
            </w:tr>
            <w:tr w14:paraId="75470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noWrap w:val="0"/>
                  <w:vAlign w:val="center"/>
                </w:tcPr>
                <w:p w14:paraId="6034CC62">
                  <w:pPr>
                    <w:pStyle w:val="9"/>
                    <w:keepNext w:val="0"/>
                    <w:keepLines w:val="0"/>
                    <w:pageBreakBefore w:val="0"/>
                    <w:kinsoku/>
                    <w:wordWrap/>
                    <w:overflowPunct/>
                    <w:topLinePunct w:val="0"/>
                    <w:autoSpaceDE/>
                    <w:autoSpaceDN/>
                    <w:bidi w:val="0"/>
                    <w:adjustRightInd w:val="0"/>
                    <w:snapToGrid w:val="0"/>
                    <w:spacing w:before="0" w:after="0" w:line="320" w:lineRule="exact"/>
                    <w:ind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
                    </w:rPr>
                  </w:pPr>
                  <w:r>
                    <w:rPr>
                      <w:rFonts w:hint="default" w:ascii="Times New Roman" w:hAnsi="Times New Roman" w:eastAsia="宋体" w:cs="Times New Roman"/>
                      <w:bCs/>
                      <w:color w:val="auto"/>
                      <w:spacing w:val="0"/>
                      <w:kern w:val="21"/>
                      <w:sz w:val="21"/>
                      <w:szCs w:val="21"/>
                      <w:highlight w:val="none"/>
                    </w:rPr>
                    <w:t>第十一条</w:t>
                  </w:r>
                </w:p>
              </w:tc>
              <w:tc>
                <w:tcPr>
                  <w:tcW w:w="3111" w:type="pct"/>
                  <w:tcBorders>
                    <w:tl2br w:val="nil"/>
                    <w:tr2bl w:val="nil"/>
                  </w:tcBorders>
                  <w:noWrap w:val="0"/>
                  <w:vAlign w:val="center"/>
                </w:tcPr>
                <w:p w14:paraId="0089F1C1">
                  <w:pPr>
                    <w:pStyle w:val="9"/>
                    <w:keepNext w:val="0"/>
                    <w:keepLines w:val="0"/>
                    <w:pageBreakBefore w:val="0"/>
                    <w:kinsoku/>
                    <w:wordWrap/>
                    <w:overflowPunct/>
                    <w:topLinePunct w:val="0"/>
                    <w:autoSpaceDE/>
                    <w:autoSpaceDN/>
                    <w:bidi w:val="0"/>
                    <w:adjustRightInd w:val="0"/>
                    <w:snapToGrid w:val="0"/>
                    <w:spacing w:before="0" w:after="0" w:line="320" w:lineRule="exact"/>
                    <w:ind w:right="0" w:rightChars="0" w:firstLine="0" w:firstLineChars="0"/>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 w:val="21"/>
                      <w:szCs w:val="21"/>
                      <w:highlight w:val="none"/>
                    </w:rPr>
                    <w:t>在汾河干流河道水岸线以外原则上不小于一百米、支流原则上不小于五十米，划定生态功能保护线，建设缓冲隔离防护林带和水源涵养林带，改变农防段种植结构，提高汾河流域河流自净能力。</w:t>
                  </w:r>
                </w:p>
              </w:tc>
              <w:tc>
                <w:tcPr>
                  <w:tcW w:w="1417" w:type="pct"/>
                  <w:vMerge w:val="restart"/>
                  <w:tcBorders>
                    <w:tl2br w:val="nil"/>
                    <w:tr2bl w:val="nil"/>
                  </w:tcBorders>
                  <w:noWrap w:val="0"/>
                  <w:vAlign w:val="center"/>
                </w:tcPr>
                <w:p w14:paraId="36BFB90C">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Times New Roman"/>
                      <w:bCs/>
                      <w:color w:val="auto"/>
                      <w:spacing w:val="0"/>
                      <w:kern w:val="21"/>
                      <w:sz w:val="21"/>
                      <w:szCs w:val="21"/>
                      <w:highlight w:val="none"/>
                      <w:lang w:eastAsia="zh-CN" w:bidi="ar"/>
                    </w:rPr>
                  </w:pPr>
                  <w:r>
                    <w:rPr>
                      <w:rFonts w:hint="default" w:ascii="Times New Roman" w:hAnsi="Times New Roman" w:eastAsia="宋体" w:cs="Times New Roman"/>
                      <w:bCs/>
                      <w:color w:val="auto"/>
                      <w:spacing w:val="0"/>
                      <w:sz w:val="21"/>
                      <w:szCs w:val="21"/>
                      <w:highlight w:val="none"/>
                      <w:lang w:bidi="ar"/>
                    </w:rPr>
                    <w:t>距离本项目最近地表水为小丹河，</w:t>
                  </w:r>
                  <w:r>
                    <w:rPr>
                      <w:rFonts w:hint="eastAsia" w:cs="Times New Roman"/>
                      <w:bCs/>
                      <w:color w:val="auto"/>
                      <w:spacing w:val="0"/>
                      <w:sz w:val="21"/>
                      <w:szCs w:val="21"/>
                      <w:highlight w:val="none"/>
                      <w:lang w:eastAsia="zh-CN" w:bidi="ar"/>
                    </w:rPr>
                    <w:t>小丹河</w:t>
                  </w:r>
                  <w:r>
                    <w:rPr>
                      <w:rFonts w:hint="eastAsia" w:cs="Times New Roman"/>
                      <w:bCs/>
                      <w:color w:val="auto"/>
                      <w:spacing w:val="0"/>
                      <w:sz w:val="21"/>
                      <w:szCs w:val="21"/>
                      <w:highlight w:val="none"/>
                      <w:lang w:val="en-US" w:eastAsia="zh-CN" w:bidi="ar"/>
                    </w:rPr>
                    <w:t>为</w:t>
                  </w:r>
                  <w:r>
                    <w:rPr>
                      <w:rFonts w:hint="eastAsia" w:cs="Times New Roman"/>
                      <w:bCs/>
                      <w:color w:val="auto"/>
                      <w:spacing w:val="0"/>
                      <w:sz w:val="21"/>
                      <w:szCs w:val="21"/>
                      <w:highlight w:val="none"/>
                      <w:lang w:eastAsia="zh-CN" w:bidi="ar"/>
                    </w:rPr>
                    <w:t>漳河一级支流，</w:t>
                  </w:r>
                  <w:r>
                    <w:rPr>
                      <w:rFonts w:hint="default" w:ascii="Times New Roman" w:hAnsi="Times New Roman" w:eastAsia="宋体" w:cs="Times New Roman"/>
                      <w:bCs/>
                      <w:color w:val="auto"/>
                      <w:spacing w:val="0"/>
                      <w:kern w:val="21"/>
                      <w:sz w:val="21"/>
                      <w:szCs w:val="21"/>
                      <w:highlight w:val="none"/>
                    </w:rPr>
                    <w:t>项目</w:t>
                  </w:r>
                  <w:r>
                    <w:rPr>
                      <w:rFonts w:hint="eastAsia" w:cs="Times New Roman"/>
                      <w:bCs/>
                      <w:color w:val="auto"/>
                      <w:spacing w:val="0"/>
                      <w:kern w:val="21"/>
                      <w:sz w:val="21"/>
                      <w:szCs w:val="21"/>
                      <w:highlight w:val="none"/>
                      <w:lang w:val="en-US" w:eastAsia="zh-CN"/>
                    </w:rPr>
                    <w:t>西</w:t>
                  </w:r>
                  <w:r>
                    <w:rPr>
                      <w:rFonts w:hint="default" w:ascii="Times New Roman" w:hAnsi="Times New Roman" w:eastAsia="宋体" w:cs="Times New Roman"/>
                      <w:bCs/>
                      <w:color w:val="auto"/>
                      <w:spacing w:val="0"/>
                      <w:kern w:val="21"/>
                      <w:sz w:val="21"/>
                      <w:szCs w:val="21"/>
                      <w:highlight w:val="none"/>
                    </w:rPr>
                    <w:t>侧厂界距</w:t>
                  </w:r>
                  <w:r>
                    <w:rPr>
                      <w:rFonts w:hint="eastAsia" w:cs="Times New Roman"/>
                      <w:bCs/>
                      <w:color w:val="auto"/>
                      <w:spacing w:val="0"/>
                      <w:kern w:val="21"/>
                      <w:sz w:val="21"/>
                      <w:szCs w:val="21"/>
                      <w:highlight w:val="none"/>
                      <w:lang w:val="en-US" w:eastAsia="zh-CN"/>
                    </w:rPr>
                    <w:t>小丹河</w:t>
                  </w:r>
                  <w:r>
                    <w:rPr>
                      <w:rFonts w:hint="default" w:ascii="Times New Roman" w:hAnsi="Times New Roman" w:eastAsia="宋体" w:cs="Times New Roman"/>
                      <w:bCs/>
                      <w:color w:val="auto"/>
                      <w:spacing w:val="0"/>
                      <w:kern w:val="21"/>
                      <w:sz w:val="21"/>
                      <w:szCs w:val="21"/>
                      <w:highlight w:val="none"/>
                    </w:rPr>
                    <w:t>约</w:t>
                  </w:r>
                  <w:r>
                    <w:rPr>
                      <w:rFonts w:hint="eastAsia" w:cs="Times New Roman"/>
                      <w:bCs/>
                      <w:color w:val="auto"/>
                      <w:spacing w:val="0"/>
                      <w:kern w:val="21"/>
                      <w:sz w:val="21"/>
                      <w:szCs w:val="21"/>
                      <w:highlight w:val="none"/>
                      <w:lang w:val="en-US" w:eastAsia="zh-CN"/>
                    </w:rPr>
                    <w:t>1.38</w:t>
                  </w:r>
                  <w:r>
                    <w:rPr>
                      <w:rFonts w:hint="default" w:ascii="Times New Roman" w:hAnsi="Times New Roman" w:eastAsia="宋体" w:cs="Times New Roman"/>
                      <w:bCs/>
                      <w:color w:val="auto"/>
                      <w:spacing w:val="0"/>
                      <w:kern w:val="21"/>
                      <w:sz w:val="21"/>
                      <w:szCs w:val="21"/>
                      <w:highlight w:val="none"/>
                    </w:rPr>
                    <w:t>km</w:t>
                  </w:r>
                  <w:r>
                    <w:rPr>
                      <w:rFonts w:hint="eastAsia" w:cs="Times New Roman"/>
                      <w:bCs/>
                      <w:color w:val="auto"/>
                      <w:spacing w:val="0"/>
                      <w:kern w:val="21"/>
                      <w:sz w:val="21"/>
                      <w:szCs w:val="21"/>
                      <w:highlight w:val="none"/>
                      <w:lang w:val="en-US" w:eastAsia="zh-CN"/>
                    </w:rPr>
                    <w:t>&gt;50m</w:t>
                  </w:r>
                  <w:r>
                    <w:rPr>
                      <w:rFonts w:hint="default" w:ascii="Times New Roman" w:hAnsi="Times New Roman" w:eastAsia="宋体" w:cs="Times New Roman"/>
                      <w:bCs/>
                      <w:color w:val="auto"/>
                      <w:spacing w:val="0"/>
                      <w:kern w:val="21"/>
                      <w:sz w:val="21"/>
                      <w:szCs w:val="21"/>
                      <w:highlight w:val="none"/>
                    </w:rPr>
                    <w:t>，</w:t>
                  </w:r>
                  <w:r>
                    <w:rPr>
                      <w:rFonts w:hint="eastAsia" w:cs="Times New Roman"/>
                      <w:bCs/>
                      <w:color w:val="auto"/>
                      <w:spacing w:val="0"/>
                      <w:kern w:val="21"/>
                      <w:sz w:val="21"/>
                      <w:szCs w:val="21"/>
                      <w:highlight w:val="none"/>
                      <w:lang w:val="en-US" w:eastAsia="zh-CN"/>
                    </w:rPr>
                    <w:t>因此</w:t>
                  </w:r>
                  <w:r>
                    <w:rPr>
                      <w:rFonts w:hint="eastAsia" w:ascii="Times New Roman" w:hAnsi="Times New Roman" w:eastAsia="宋体" w:cs="Times New Roman"/>
                      <w:bCs/>
                      <w:color w:val="auto"/>
                      <w:spacing w:val="0"/>
                      <w:kern w:val="21"/>
                      <w:sz w:val="21"/>
                      <w:szCs w:val="21"/>
                      <w:highlight w:val="none"/>
                      <w:lang w:val="en-US" w:eastAsia="zh-CN"/>
                    </w:rPr>
                    <w:t>项目不在</w:t>
                  </w:r>
                  <w:r>
                    <w:rPr>
                      <w:rFonts w:hint="eastAsia" w:cs="Times New Roman"/>
                      <w:bCs/>
                      <w:color w:val="auto"/>
                      <w:spacing w:val="0"/>
                      <w:kern w:val="21"/>
                      <w:sz w:val="21"/>
                      <w:szCs w:val="21"/>
                      <w:highlight w:val="none"/>
                      <w:lang w:val="en-US" w:eastAsia="zh-CN"/>
                    </w:rPr>
                    <w:t>其</w:t>
                  </w:r>
                  <w:r>
                    <w:rPr>
                      <w:rFonts w:hint="eastAsia" w:ascii="Times New Roman" w:hAnsi="Times New Roman" w:eastAsia="宋体" w:cs="Times New Roman"/>
                      <w:bCs/>
                      <w:color w:val="auto"/>
                      <w:spacing w:val="0"/>
                      <w:kern w:val="21"/>
                      <w:sz w:val="21"/>
                      <w:szCs w:val="21"/>
                      <w:highlight w:val="none"/>
                      <w:lang w:val="en-US" w:eastAsia="zh-CN"/>
                    </w:rPr>
                    <w:t>生态功能保护线范围内。</w:t>
                  </w:r>
                </w:p>
              </w:tc>
            </w:tr>
            <w:tr w14:paraId="47694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tcBorders>
                    <w:tl2br w:val="nil"/>
                    <w:tr2bl w:val="nil"/>
                  </w:tcBorders>
                  <w:noWrap w:val="0"/>
                  <w:vAlign w:val="center"/>
                </w:tcPr>
                <w:p w14:paraId="5F2CF496">
                  <w:pPr>
                    <w:pStyle w:val="9"/>
                    <w:keepNext w:val="0"/>
                    <w:keepLines w:val="0"/>
                    <w:pageBreakBefore w:val="0"/>
                    <w:kinsoku/>
                    <w:wordWrap/>
                    <w:overflowPunct/>
                    <w:topLinePunct w:val="0"/>
                    <w:autoSpaceDE/>
                    <w:autoSpaceDN/>
                    <w:bidi w:val="0"/>
                    <w:adjustRightInd w:val="0"/>
                    <w:snapToGrid w:val="0"/>
                    <w:spacing w:before="0" w:after="0" w:line="320" w:lineRule="exact"/>
                    <w:ind w:right="0" w:rightChars="0" w:firstLine="0" w:firstLineChars="0"/>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eastAsia" w:ascii="Times New Roman" w:hAnsi="Times New Roman" w:eastAsia="宋体" w:cs="Times New Roman"/>
                      <w:bCs/>
                      <w:color w:val="auto"/>
                      <w:spacing w:val="0"/>
                      <w:kern w:val="21"/>
                      <w:sz w:val="21"/>
                      <w:szCs w:val="21"/>
                      <w:highlight w:val="none"/>
                      <w:lang w:eastAsia="zh-CN"/>
                    </w:rPr>
                    <w:t>第十六条</w:t>
                  </w:r>
                </w:p>
              </w:tc>
              <w:tc>
                <w:tcPr>
                  <w:tcW w:w="3111" w:type="pct"/>
                  <w:tcBorders>
                    <w:tl2br w:val="nil"/>
                    <w:tr2bl w:val="nil"/>
                  </w:tcBorders>
                  <w:noWrap w:val="0"/>
                  <w:vAlign w:val="center"/>
                </w:tcPr>
                <w:p w14:paraId="5273F60C">
                  <w:pPr>
                    <w:pStyle w:val="9"/>
                    <w:keepNext w:val="0"/>
                    <w:keepLines w:val="0"/>
                    <w:pageBreakBefore w:val="0"/>
                    <w:kinsoku/>
                    <w:wordWrap/>
                    <w:overflowPunct/>
                    <w:topLinePunct w:val="0"/>
                    <w:autoSpaceDE/>
                    <w:autoSpaceDN/>
                    <w:bidi w:val="0"/>
                    <w:adjustRightInd w:val="0"/>
                    <w:snapToGrid w:val="0"/>
                    <w:spacing w:before="0" w:after="0" w:line="320" w:lineRule="exact"/>
                    <w:ind w:right="0" w:rightChars="0" w:firstLine="0" w:firstLineChars="0"/>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eastAsia" w:ascii="Times New Roman" w:hAnsi="Times New Roman" w:eastAsia="宋体" w:cs="Times New Roman"/>
                      <w:bCs/>
                      <w:color w:val="auto"/>
                      <w:spacing w:val="0"/>
                      <w:kern w:val="21"/>
                      <w:sz w:val="21"/>
                      <w:szCs w:val="21"/>
                      <w:highlight w:val="none"/>
                      <w:lang w:eastAsia="zh-CN"/>
                    </w:rPr>
                    <w:t>我省境内桑干河、滹沱河、漳河、沁河、涑水河、大清河上游段（唐河、沙河）等流域的治理工作，参照此决定执行。</w:t>
                  </w:r>
                </w:p>
              </w:tc>
              <w:tc>
                <w:tcPr>
                  <w:tcW w:w="1417" w:type="pct"/>
                  <w:vMerge w:val="continue"/>
                  <w:tcBorders>
                    <w:tl2br w:val="nil"/>
                    <w:tr2bl w:val="nil"/>
                  </w:tcBorders>
                  <w:noWrap w:val="0"/>
                  <w:vAlign w:val="center"/>
                </w:tcPr>
                <w:p w14:paraId="204A57C1">
                  <w:pPr>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Times New Roman"/>
                      <w:bCs/>
                      <w:color w:val="auto"/>
                      <w:spacing w:val="0"/>
                      <w:kern w:val="21"/>
                      <w:sz w:val="21"/>
                      <w:szCs w:val="21"/>
                      <w:highlight w:val="none"/>
                      <w:lang w:bidi="ar"/>
                    </w:rPr>
                  </w:pPr>
                </w:p>
              </w:tc>
            </w:tr>
          </w:tbl>
          <w:p w14:paraId="041A4773">
            <w:pPr>
              <w:spacing w:line="480" w:lineRule="atLeast"/>
              <w:ind w:firstLine="480" w:firstLineChars="200"/>
              <w:rPr>
                <w:rFonts w:hint="default" w:ascii="Times New Roman" w:hAnsi="Times New Roman" w:eastAsia="宋体" w:cs="Times New Roman"/>
                <w:bCs/>
                <w:color w:val="auto"/>
                <w:spacing w:val="0"/>
                <w:kern w:val="2"/>
                <w:sz w:val="24"/>
                <w:highlight w:val="none"/>
              </w:rPr>
            </w:pPr>
            <w:r>
              <w:rPr>
                <w:rFonts w:hint="default" w:ascii="Times New Roman" w:hAnsi="Times New Roman" w:eastAsia="宋体" w:cs="Times New Roman"/>
                <w:bCs/>
                <w:color w:val="auto"/>
                <w:spacing w:val="0"/>
                <w:kern w:val="2"/>
                <w:sz w:val="24"/>
                <w:highlight w:val="none"/>
                <w:lang w:val="en-US" w:eastAsia="zh-CN"/>
              </w:rPr>
              <w:t>因此，本项目</w:t>
            </w:r>
            <w:r>
              <w:rPr>
                <w:rFonts w:hint="eastAsia" w:ascii="Times New Roman" w:hAnsi="Times New Roman" w:eastAsia="宋体" w:cs="Times New Roman"/>
                <w:bCs/>
                <w:color w:val="auto"/>
                <w:spacing w:val="0"/>
                <w:kern w:val="2"/>
                <w:sz w:val="24"/>
                <w:highlight w:val="none"/>
                <w:lang w:val="en-US" w:eastAsia="zh-CN"/>
              </w:rPr>
              <w:t>的建设不违背《山西省人民政府关于坚决打赢汾河流域治理攻坚战的决定》的有关要求</w:t>
            </w:r>
            <w:r>
              <w:rPr>
                <w:rFonts w:hint="eastAsia" w:cs="Times New Roman"/>
                <w:bCs/>
                <w:color w:val="auto"/>
                <w:spacing w:val="0"/>
                <w:kern w:val="2"/>
                <w:sz w:val="24"/>
                <w:highlight w:val="none"/>
                <w:lang w:eastAsia="zh-CN"/>
              </w:rPr>
              <w:t>。</w:t>
            </w:r>
          </w:p>
          <w:p w14:paraId="0A590205">
            <w:pPr>
              <w:spacing w:line="480" w:lineRule="atLeast"/>
              <w:ind w:firstLine="482" w:firstLineChars="200"/>
              <w:rPr>
                <w:rFonts w:hint="eastAsia" w:ascii="Times New Roman" w:hAnsi="Times New Roman" w:eastAsia="宋体" w:cs="Times New Roman"/>
                <w:b/>
                <w:bCs w:val="0"/>
                <w:color w:val="auto"/>
                <w:spacing w:val="0"/>
                <w:kern w:val="2"/>
                <w:sz w:val="24"/>
                <w:highlight w:val="none"/>
                <w:lang w:eastAsia="zh-CN"/>
              </w:rPr>
            </w:pPr>
            <w:r>
              <w:rPr>
                <w:rFonts w:hint="default" w:ascii="Times New Roman" w:hAnsi="Times New Roman" w:eastAsia="宋体" w:cs="Times New Roman"/>
                <w:b/>
                <w:bCs w:val="0"/>
                <w:color w:val="auto"/>
                <w:spacing w:val="0"/>
                <w:kern w:val="2"/>
                <w:sz w:val="24"/>
                <w:highlight w:val="none"/>
                <w:lang w:val="en-US" w:eastAsia="zh-CN"/>
              </w:rPr>
              <w:t>1.</w:t>
            </w:r>
            <w:r>
              <w:rPr>
                <w:rFonts w:hint="eastAsia" w:cs="Times New Roman"/>
                <w:b/>
                <w:bCs w:val="0"/>
                <w:color w:val="auto"/>
                <w:spacing w:val="0"/>
                <w:kern w:val="2"/>
                <w:sz w:val="24"/>
                <w:highlight w:val="none"/>
                <w:lang w:val="en-US" w:eastAsia="zh-CN"/>
              </w:rPr>
              <w:t>5</w:t>
            </w:r>
            <w:r>
              <w:rPr>
                <w:rFonts w:hint="default" w:ascii="Times New Roman" w:hAnsi="Times New Roman" w:eastAsia="宋体" w:cs="Times New Roman"/>
                <w:b/>
                <w:bCs w:val="0"/>
                <w:color w:val="auto"/>
                <w:spacing w:val="0"/>
                <w:kern w:val="2"/>
                <w:sz w:val="24"/>
                <w:highlight w:val="none"/>
                <w:lang w:val="en-US" w:eastAsia="zh-CN"/>
              </w:rPr>
              <w:t xml:space="preserve"> </w:t>
            </w:r>
            <w:r>
              <w:rPr>
                <w:rFonts w:hint="eastAsia" w:ascii="Times New Roman" w:hAnsi="Times New Roman" w:eastAsia="宋体" w:cs="Times New Roman"/>
                <w:b/>
                <w:bCs w:val="0"/>
                <w:color w:val="auto"/>
                <w:spacing w:val="0"/>
                <w:kern w:val="2"/>
                <w:sz w:val="24"/>
                <w:highlight w:val="none"/>
                <w:lang w:val="en-US" w:eastAsia="zh-CN"/>
              </w:rPr>
              <w:t>项目</w:t>
            </w:r>
            <w:r>
              <w:rPr>
                <w:rFonts w:hint="eastAsia" w:ascii="Times New Roman" w:hAnsi="Times New Roman" w:eastAsia="宋体" w:cs="Times New Roman"/>
                <w:b/>
                <w:bCs w:val="0"/>
                <w:color w:val="auto"/>
                <w:spacing w:val="0"/>
                <w:kern w:val="2"/>
                <w:sz w:val="24"/>
                <w:highlight w:val="none"/>
                <w:lang w:eastAsia="zh-CN"/>
              </w:rPr>
              <w:t>选址可行性分析</w:t>
            </w:r>
          </w:p>
          <w:p w14:paraId="74C2515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本项目利用赵庄二号井东风井厂区现有空地进行建设，东风井厂区位于山西省长治市长子县慈林镇布村东北侧390</w:t>
            </w:r>
            <w:r>
              <w:rPr>
                <w:rFonts w:hint="default" w:ascii="Times New Roman" w:hAnsi="Times New Roman" w:cs="Times New Roman"/>
                <w:color w:val="auto"/>
                <w:spacing w:val="0"/>
                <w:kern w:val="0"/>
                <w:sz w:val="24"/>
                <w:szCs w:val="24"/>
                <w:highlight w:val="none"/>
                <w:lang w:val="en-US" w:eastAsia="zh-CN"/>
              </w:rPr>
              <w:t>m处，中心地理坐标为东经112°56′27.246″、北纬36°0′32.012″</w:t>
            </w:r>
            <w:r>
              <w:rPr>
                <w:rFonts w:hint="eastAsia" w:ascii="Times New Roman" w:hAnsi="Times New Roman" w:cs="Times New Roman"/>
                <w:color w:val="auto"/>
                <w:spacing w:val="0"/>
                <w:kern w:val="0"/>
                <w:sz w:val="24"/>
                <w:szCs w:val="24"/>
                <w:highlight w:val="none"/>
                <w:lang w:val="en-US" w:eastAsia="zh-CN"/>
              </w:rPr>
              <w:t>，厂界外四周均为空地</w:t>
            </w:r>
            <w:r>
              <w:rPr>
                <w:rFonts w:hint="eastAsia" w:cs="Times New Roman"/>
                <w:color w:val="auto"/>
                <w:spacing w:val="0"/>
                <w:kern w:val="0"/>
                <w:sz w:val="24"/>
                <w:szCs w:val="24"/>
                <w:highlight w:val="none"/>
                <w:lang w:val="en-US" w:eastAsia="zh-CN"/>
              </w:rPr>
              <w:t>。</w:t>
            </w:r>
          </w:p>
          <w:p w14:paraId="1B4933C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根据《产业结构调整指导目录（2024年本）》中规定，本项目不属于限制类、淘汰类项目，为允许类项目，因此本项目符合国家产业政策。</w:t>
            </w:r>
          </w:p>
          <w:p w14:paraId="421935A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本项目厂界外500米范围内无自然保护区、风景名胜区，500米范围内有应城村、布村。项目位于辛安泉域范围内，但不在其重点保护区及饮用水水源地一级保护区、二级保护区、准保护区范围内。项目厂界外分布有应城村水井（E，0.42km）、布村水井（SW，0.61km）等分散式居民饮用水井，厂界外500米范围内不涉及地下水集中式饮用水水源和热水、矿泉水、温泉等特殊地下水资源，距离项目最近的集中式水源地为东和集中供水水源地，位于厂区东北侧8.0km处。距离本项目最近的地表水为小丹河，位于厂区西侧约1.38km处。</w:t>
            </w:r>
          </w:p>
          <w:p w14:paraId="30F0071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本项目用地性质为工业用地，不占耕地。根据《</w:t>
            </w:r>
            <w:r>
              <w:rPr>
                <w:rFonts w:hint="default" w:ascii="Times New Roman" w:hAnsi="Times New Roman" w:eastAsia="宋体" w:cs="Times New Roman"/>
                <w:b w:val="0"/>
                <w:bCs w:val="0"/>
                <w:color w:val="auto"/>
                <w:spacing w:val="0"/>
                <w:kern w:val="0"/>
                <w:sz w:val="24"/>
                <w:szCs w:val="24"/>
                <w:highlight w:val="none"/>
                <w:lang w:val="en-US" w:eastAsia="zh-CN"/>
              </w:rPr>
              <w:t>长子县国土空间总体规划（2021-2035）</w:t>
            </w:r>
            <w:r>
              <w:rPr>
                <w:rFonts w:hint="eastAsia" w:cs="Times New Roman"/>
                <w:color w:val="auto"/>
                <w:spacing w:val="0"/>
                <w:kern w:val="0"/>
                <w:sz w:val="24"/>
                <w:szCs w:val="24"/>
                <w:highlight w:val="none"/>
                <w:lang w:val="en-US" w:eastAsia="zh-CN"/>
              </w:rPr>
              <w:t>》，</w:t>
            </w:r>
            <w:r>
              <w:rPr>
                <w:rFonts w:hint="default" w:ascii="Times New Roman" w:hAnsi="Times New Roman" w:eastAsia="宋体" w:cs="Times New Roman"/>
                <w:b w:val="0"/>
                <w:bCs w:val="0"/>
                <w:color w:val="auto"/>
                <w:spacing w:val="0"/>
                <w:kern w:val="0"/>
                <w:sz w:val="24"/>
                <w:szCs w:val="24"/>
                <w:highlight w:val="none"/>
                <w:lang w:val="en-US" w:eastAsia="zh-CN"/>
              </w:rPr>
              <w:t>本</w:t>
            </w:r>
            <w:r>
              <w:rPr>
                <w:rFonts w:hint="eastAsia" w:cs="Times New Roman"/>
                <w:b w:val="0"/>
                <w:bCs w:val="0"/>
                <w:color w:val="auto"/>
                <w:spacing w:val="0"/>
                <w:kern w:val="0"/>
                <w:sz w:val="24"/>
                <w:szCs w:val="24"/>
                <w:highlight w:val="none"/>
                <w:lang w:val="en-US" w:eastAsia="zh-CN"/>
              </w:rPr>
              <w:t>项目</w:t>
            </w:r>
            <w:r>
              <w:rPr>
                <w:rFonts w:hint="default" w:ascii="Times New Roman" w:hAnsi="Times New Roman" w:eastAsia="宋体" w:cs="Times New Roman"/>
                <w:b w:val="0"/>
                <w:bCs w:val="0"/>
                <w:color w:val="auto"/>
                <w:spacing w:val="0"/>
                <w:kern w:val="0"/>
                <w:sz w:val="24"/>
                <w:szCs w:val="24"/>
                <w:highlight w:val="none"/>
                <w:lang w:val="en-US" w:eastAsia="zh-CN"/>
              </w:rPr>
              <w:t>位于城镇开发边界区域</w:t>
            </w:r>
            <w:r>
              <w:rPr>
                <w:rFonts w:hint="eastAsia" w:ascii="Times New Roman" w:hAnsi="Times New Roman" w:eastAsia="宋体" w:cs="Times New Roman"/>
                <w:b w:val="0"/>
                <w:bCs w:val="0"/>
                <w:color w:val="auto"/>
                <w:spacing w:val="0"/>
                <w:kern w:val="0"/>
                <w:sz w:val="24"/>
                <w:szCs w:val="24"/>
                <w:highlight w:val="none"/>
                <w:lang w:val="en-US" w:eastAsia="zh-CN"/>
              </w:rPr>
              <w:t>内</w:t>
            </w:r>
            <w:r>
              <w:rPr>
                <w:rFonts w:hint="default" w:ascii="Times New Roman" w:hAnsi="Times New Roman" w:eastAsia="宋体" w:cs="Times New Roman"/>
                <w:b w:val="0"/>
                <w:bCs w:val="0"/>
                <w:color w:val="auto"/>
                <w:spacing w:val="0"/>
                <w:kern w:val="0"/>
                <w:sz w:val="24"/>
                <w:szCs w:val="24"/>
                <w:highlight w:val="none"/>
                <w:lang w:val="en-US" w:eastAsia="zh-CN"/>
              </w:rPr>
              <w:t>，不在永久基本农田、生态保护红线划定范围内</w:t>
            </w:r>
            <w:r>
              <w:rPr>
                <w:rFonts w:hint="eastAsia" w:ascii="Times New Roman" w:hAnsi="Times New Roman" w:eastAsia="宋体" w:cs="Times New Roman"/>
                <w:b w:val="0"/>
                <w:bCs w:val="0"/>
                <w:color w:val="auto"/>
                <w:spacing w:val="0"/>
                <w:kern w:val="0"/>
                <w:sz w:val="24"/>
                <w:szCs w:val="24"/>
                <w:highlight w:val="none"/>
                <w:lang w:val="en-US" w:eastAsia="zh-CN"/>
              </w:rPr>
              <w:t>。</w:t>
            </w:r>
            <w:r>
              <w:rPr>
                <w:rFonts w:hint="eastAsia" w:cs="Times New Roman"/>
                <w:color w:val="auto"/>
                <w:spacing w:val="0"/>
                <w:kern w:val="0"/>
                <w:sz w:val="24"/>
                <w:szCs w:val="24"/>
                <w:highlight w:val="none"/>
                <w:lang w:val="en-US" w:eastAsia="zh-CN"/>
              </w:rPr>
              <w:t>本项目符合“三线一单”要求，</w:t>
            </w:r>
            <w:r>
              <w:rPr>
                <w:rFonts w:hint="default" w:ascii="Times New Roman" w:hAnsi="Times New Roman" w:eastAsia="宋体" w:cs="Times New Roman"/>
                <w:color w:val="auto"/>
                <w:spacing w:val="0"/>
                <w:kern w:val="0"/>
                <w:sz w:val="24"/>
                <w:szCs w:val="24"/>
                <w:highlight w:val="none"/>
                <w:lang w:val="en-US" w:eastAsia="zh-CN"/>
              </w:rPr>
              <w:t>符合长治市生态环境准入、长治市浊漳河流域生态环境准入、长治市辛安泉域生态环境准入要求。</w:t>
            </w:r>
            <w:r>
              <w:rPr>
                <w:rFonts w:hint="eastAsia" w:cs="Times New Roman"/>
                <w:color w:val="auto"/>
                <w:spacing w:val="0"/>
                <w:kern w:val="0"/>
                <w:sz w:val="24"/>
                <w:szCs w:val="24"/>
                <w:highlight w:val="none"/>
                <w:lang w:val="en-US" w:eastAsia="zh-CN"/>
              </w:rPr>
              <w:t>本项目的建设不违背《</w:t>
            </w:r>
            <w:r>
              <w:rPr>
                <w:rFonts w:hint="default" w:ascii="Times New Roman" w:hAnsi="Times New Roman" w:eastAsia="宋体" w:cs="Times New Roman"/>
                <w:b w:val="0"/>
                <w:bCs w:val="0"/>
                <w:color w:val="auto"/>
                <w:spacing w:val="0"/>
                <w:kern w:val="0"/>
                <w:sz w:val="24"/>
                <w:szCs w:val="24"/>
                <w:highlight w:val="none"/>
                <w:lang w:val="en-US" w:eastAsia="zh-CN"/>
              </w:rPr>
              <w:t>长子县国土空间总体规划（2021-2035）</w:t>
            </w:r>
            <w:r>
              <w:rPr>
                <w:rFonts w:hint="eastAsia" w:cs="Times New Roman"/>
                <w:color w:val="auto"/>
                <w:spacing w:val="0"/>
                <w:kern w:val="0"/>
                <w:sz w:val="24"/>
                <w:szCs w:val="24"/>
                <w:highlight w:val="none"/>
                <w:lang w:val="en-US" w:eastAsia="zh-CN"/>
              </w:rPr>
              <w:t>》、《山西省人民政府关于坚决打赢汾河流域治理攻坚战的决定》等文件的相关要求。</w:t>
            </w:r>
          </w:p>
          <w:p w14:paraId="28AC810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本项目针对各类污染物均采取了严格的污染治理措施，并建立严格的环境风险防控体系，经治理后大气污染物能够达标排放，厂界噪声符合相关标准，固体废物得到合理处置。</w:t>
            </w:r>
          </w:p>
          <w:p w14:paraId="782650C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sz w:val="24"/>
                <w:szCs w:val="24"/>
                <w:highlight w:val="none"/>
                <w:lang w:val="en-US" w:eastAsia="zh-CN"/>
              </w:rPr>
            </w:pPr>
            <w:r>
              <w:rPr>
                <w:rFonts w:hint="eastAsia" w:cs="Times New Roman"/>
                <w:color w:val="auto"/>
                <w:spacing w:val="0"/>
                <w:kern w:val="0"/>
                <w:sz w:val="24"/>
                <w:szCs w:val="24"/>
                <w:highlight w:val="none"/>
                <w:lang w:val="en-US" w:eastAsia="zh-CN"/>
              </w:rPr>
              <w:t>因此，本项目的选址是可行的。</w:t>
            </w:r>
          </w:p>
        </w:tc>
      </w:tr>
    </w:tbl>
    <w:p w14:paraId="57005E25">
      <w:pPr>
        <w:spacing w:line="360" w:lineRule="auto"/>
        <w:outlineLvl w:val="0"/>
        <w:rPr>
          <w:rFonts w:hint="default" w:ascii="Times New Roman" w:hAnsi="Times New Roman" w:eastAsia="黑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AE1CB40">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8256"/>
      </w:tblGrid>
      <w:tr w14:paraId="48823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3C63DC12">
            <w:pPr>
              <w:pStyle w:val="1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161" w:type="dxa"/>
            <w:noWrap w:val="0"/>
            <w:vAlign w:val="top"/>
          </w:tcPr>
          <w:p w14:paraId="33119949">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2.1 项目背景</w:t>
            </w:r>
          </w:p>
          <w:p w14:paraId="56FBC7E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山西晋煤集团赵庄煤业有限责任公司赵庄二号井</w:t>
            </w:r>
            <w:r>
              <w:rPr>
                <w:rFonts w:hint="eastAsia" w:cs="Times New Roman"/>
                <w:b w:val="0"/>
                <w:bCs/>
                <w:color w:val="auto"/>
                <w:sz w:val="24"/>
                <w:szCs w:val="24"/>
                <w:highlight w:val="none"/>
                <w:lang w:val="en-US" w:eastAsia="zh-CN"/>
              </w:rPr>
              <w:t>（以下简称“赵庄二号井”）为国有独资企业，现隶属于晋能控股装备制造集团。矿井</w:t>
            </w:r>
            <w:r>
              <w:rPr>
                <w:rFonts w:hint="eastAsia" w:ascii="Times New Roman" w:hAnsi="Times New Roman" w:eastAsia="宋体" w:cs="Times New Roman"/>
                <w:b w:val="0"/>
                <w:bCs/>
                <w:color w:val="auto"/>
                <w:sz w:val="24"/>
                <w:szCs w:val="24"/>
                <w:highlight w:val="none"/>
                <w:lang w:val="en-US" w:eastAsia="zh-CN"/>
              </w:rPr>
              <w:t>位于长治市长子县东南约13km处的慈林镇布村一带，井田面积为15.431km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eastAsia" w:ascii="Times New Roman" w:hAnsi="Times New Roman" w:eastAsia="宋体" w:cs="Times New Roman"/>
                <w:b w:val="0"/>
                <w:bCs/>
                <w:color w:val="auto"/>
                <w:sz w:val="24"/>
                <w:szCs w:val="24"/>
                <w:highlight w:val="none"/>
                <w:lang w:val="en-US" w:eastAsia="zh-CN"/>
              </w:rPr>
              <w:t>，设计生产规模为1.2Mt/a。</w:t>
            </w:r>
          </w:p>
          <w:p w14:paraId="1649559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赵庄二号井井下分为一、二两个盘区，矿井现开采二盘区，盘区内在不同的生产区域布置有1个综采放顶煤工作面、1个连采连充开采工作面和3个综掘工作面，其中连采连充开采技术为覆岩离层注浆充填技术，利用煤层开采后覆岩下沉开裂过程中形成的离层空间，借助高压注浆泵，从地面通过钻孔向离层空间注入充填材料，支撑上位离层岩层、减缓岩层进一步弯曲下沉，从而达到减缓地表下沉的目的，现有西风井注浆站为二盘区提供充填服务。</w:t>
            </w:r>
          </w:p>
          <w:p w14:paraId="04DD0E4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西风井注浆站仅能满足下料孔2公里范围内的工作面充填，无法服务一盘区充填，赵庄二号井拟计划开展一盘区连采连充开采项目，该项目井下连采连充开采项目现已编制完成初步设计，根据初步设计报告，连采连充工作面所需的矸石由设置东风井场地的地面注浆站提供，运输路线为：地面注浆站→东进风立井→矸石缓冲仓→运矸联络巷→运矸措施巷→连采连充工作面回风顺槽→各充填地点。</w:t>
            </w:r>
          </w:p>
          <w:p w14:paraId="73336E2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本项目为东风井场地的地面注浆站，依托东风井现有场地建设，建成后服务于一盘区连采连充开采项目。</w:t>
            </w:r>
          </w:p>
          <w:p w14:paraId="6A49EE9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本次评价范围为地面注浆站建设工程，包括主体工程、储运工程、辅助及配套工程进行评价，其井下充填工程及配套设施需另行评价。</w:t>
            </w:r>
            <w:r>
              <w:rPr>
                <w:rFonts w:hint="eastAsia" w:ascii="Times New Roman" w:hAnsi="Times New Roman" w:eastAsia="宋体" w:cs="Times New Roman"/>
                <w:b w:val="0"/>
                <w:bCs/>
                <w:color w:val="auto"/>
                <w:sz w:val="24"/>
                <w:szCs w:val="24"/>
                <w:highlight w:val="none"/>
                <w:lang w:val="en-US" w:eastAsia="zh-CN"/>
              </w:rPr>
              <w:t>根据《建设项目环境影响评价分类管理名录》（2021年版），本项目属于“</w:t>
            </w:r>
            <w:r>
              <w:rPr>
                <w:rFonts w:hint="eastAsia" w:cs="Times New Roman"/>
                <w:b w:val="0"/>
                <w:bCs/>
                <w:color w:val="auto"/>
                <w:sz w:val="24"/>
                <w:szCs w:val="24"/>
                <w:highlight w:val="none"/>
                <w:lang w:val="en-US" w:eastAsia="zh-CN"/>
              </w:rPr>
              <w:t>二十七、非金属矿物制品业—56、砖瓦、石材等建筑材料制造 303—其他建筑材料制造</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因此</w:t>
            </w:r>
            <w:r>
              <w:rPr>
                <w:rFonts w:hint="eastAsia" w:ascii="Times New Roman" w:hAnsi="Times New Roman" w:eastAsia="宋体"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应</w:t>
            </w:r>
            <w:r>
              <w:rPr>
                <w:rFonts w:hint="eastAsia" w:ascii="Times New Roman" w:hAnsi="Times New Roman" w:eastAsia="宋体" w:cs="Times New Roman"/>
                <w:b w:val="0"/>
                <w:bCs/>
                <w:color w:val="auto"/>
                <w:sz w:val="24"/>
                <w:szCs w:val="24"/>
                <w:highlight w:val="none"/>
                <w:lang w:val="en-US" w:eastAsia="zh-CN"/>
              </w:rPr>
              <w:t>编制环境影响报告表。</w:t>
            </w:r>
          </w:p>
          <w:p w14:paraId="2B43F7CA">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color w:val="auto"/>
                <w:sz w:val="24"/>
                <w:szCs w:val="24"/>
                <w:highlight w:val="none"/>
                <w:lang w:val="en-US" w:eastAsia="zh-CN"/>
              </w:rPr>
              <w:t>2.2 工程组成</w:t>
            </w:r>
          </w:p>
          <w:p w14:paraId="3958298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lang w:val="en-US" w:eastAsia="zh-CN"/>
              </w:rPr>
              <w:t>项目组成</w:t>
            </w:r>
            <w:r>
              <w:rPr>
                <w:rFonts w:hint="default" w:ascii="Times New Roman" w:hAnsi="Times New Roman" w:eastAsia="宋体" w:cs="Times New Roman"/>
                <w:color w:val="auto"/>
                <w:sz w:val="24"/>
                <w:szCs w:val="20"/>
                <w:highlight w:val="none"/>
              </w:rPr>
              <w:t>内容见表</w:t>
            </w:r>
            <w:r>
              <w:rPr>
                <w:rFonts w:hint="eastAsia" w:ascii="Times New Roman" w:hAnsi="Times New Roman" w:eastAsia="宋体" w:cs="Times New Roman"/>
                <w:color w:val="auto"/>
                <w:sz w:val="24"/>
                <w:szCs w:val="20"/>
                <w:highlight w:val="none"/>
                <w:lang w:val="en-US" w:eastAsia="zh-CN"/>
              </w:rPr>
              <w:t>2.2</w:t>
            </w:r>
            <w:r>
              <w:rPr>
                <w:rFonts w:hint="default" w:ascii="Times New Roman" w:hAnsi="Times New Roman" w:eastAsia="宋体" w:cs="Times New Roman"/>
                <w:color w:val="auto"/>
                <w:sz w:val="24"/>
                <w:szCs w:val="20"/>
                <w:highlight w:val="none"/>
              </w:rPr>
              <w:t>-1。</w:t>
            </w:r>
          </w:p>
          <w:p w14:paraId="417EC98A">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表2</w:t>
            </w:r>
            <w:r>
              <w:rPr>
                <w:rFonts w:hint="eastAsia" w:ascii="Times New Roman" w:hAnsi="Times New Roman" w:eastAsia="黑体" w:cs="Times New Roman"/>
                <w:iCs/>
                <w:snapToGrid w:val="0"/>
                <w:color w:val="auto"/>
                <w:kern w:val="0"/>
                <w:sz w:val="21"/>
                <w:szCs w:val="20"/>
                <w:highlight w:val="none"/>
                <w:lang w:val="en-US" w:eastAsia="zh-CN" w:bidi="ar-SA"/>
              </w:rPr>
              <w:t>.2</w:t>
            </w:r>
            <w:r>
              <w:rPr>
                <w:rFonts w:hint="default" w:ascii="Times New Roman" w:hAnsi="Times New Roman" w:eastAsia="黑体" w:cs="Times New Roman"/>
                <w:iCs/>
                <w:snapToGrid w:val="0"/>
                <w:color w:val="auto"/>
                <w:kern w:val="0"/>
                <w:sz w:val="21"/>
                <w:szCs w:val="20"/>
                <w:highlight w:val="none"/>
                <w:lang w:val="en-US" w:eastAsia="zh-CN" w:bidi="ar-SA"/>
              </w:rPr>
              <w:t xml:space="preserve">-1  </w:t>
            </w:r>
            <w:r>
              <w:rPr>
                <w:rFonts w:hint="eastAsia" w:ascii="Times New Roman" w:hAnsi="Times New Roman" w:eastAsia="黑体" w:cs="Times New Roman"/>
                <w:iCs/>
                <w:snapToGrid w:val="0"/>
                <w:color w:val="auto"/>
                <w:kern w:val="0"/>
                <w:sz w:val="21"/>
                <w:szCs w:val="20"/>
                <w:highlight w:val="none"/>
                <w:lang w:val="en-US" w:eastAsia="zh-CN" w:bidi="ar-SA"/>
              </w:rPr>
              <w:t>项目组成</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459"/>
              <w:gridCol w:w="1200"/>
              <w:gridCol w:w="4837"/>
              <w:gridCol w:w="738"/>
            </w:tblGrid>
            <w:tr w14:paraId="4799B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l2br w:val="nil"/>
                    <w:tr2bl w:val="nil"/>
                  </w:tcBorders>
                  <w:noWrap w:val="0"/>
                  <w:vAlign w:val="center"/>
                </w:tcPr>
                <w:p w14:paraId="588A6EA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bCs/>
                      <w:color w:val="auto"/>
                      <w:szCs w:val="21"/>
                      <w:highlight w:val="none"/>
                      <w:lang w:val="en-US" w:eastAsia="zh-CN"/>
                    </w:rPr>
                  </w:pPr>
                  <w:bookmarkStart w:id="1" w:name="_Hlk528830402"/>
                  <w:r>
                    <w:rPr>
                      <w:rFonts w:hint="default" w:ascii="Times New Roman" w:hAnsi="Times New Roman" w:cs="Times New Roman"/>
                      <w:b/>
                      <w:bCs/>
                      <w:color w:val="auto"/>
                      <w:szCs w:val="21"/>
                      <w:highlight w:val="none"/>
                    </w:rPr>
                    <w:t>工程</w:t>
                  </w:r>
                  <w:r>
                    <w:rPr>
                      <w:rFonts w:hint="eastAsia" w:ascii="Times New Roman" w:hAnsi="Times New Roman" w:cs="Times New Roman"/>
                      <w:b/>
                      <w:bCs/>
                      <w:color w:val="auto"/>
                      <w:szCs w:val="21"/>
                      <w:highlight w:val="none"/>
                      <w:lang w:val="en-US" w:eastAsia="zh-CN"/>
                    </w:rPr>
                    <w:t>类型</w:t>
                  </w:r>
                </w:p>
              </w:tc>
              <w:tc>
                <w:tcPr>
                  <w:tcW w:w="1659" w:type="dxa"/>
                  <w:gridSpan w:val="2"/>
                  <w:tcBorders>
                    <w:tl2br w:val="nil"/>
                    <w:tr2bl w:val="nil"/>
                  </w:tcBorders>
                  <w:noWrap w:val="0"/>
                  <w:vAlign w:val="center"/>
                </w:tcPr>
                <w:p w14:paraId="22EBA29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主要生产单元</w:t>
                  </w:r>
                </w:p>
              </w:tc>
              <w:tc>
                <w:tcPr>
                  <w:tcW w:w="4837" w:type="dxa"/>
                  <w:tcBorders>
                    <w:tl2br w:val="nil"/>
                    <w:tr2bl w:val="nil"/>
                  </w:tcBorders>
                  <w:noWrap w:val="0"/>
                  <w:vAlign w:val="center"/>
                </w:tcPr>
                <w:p w14:paraId="0624702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建设内容</w:t>
                  </w:r>
                </w:p>
              </w:tc>
              <w:tc>
                <w:tcPr>
                  <w:tcW w:w="738" w:type="dxa"/>
                  <w:tcBorders>
                    <w:tl2br w:val="nil"/>
                    <w:tr2bl w:val="nil"/>
                  </w:tcBorders>
                  <w:noWrap w:val="0"/>
                  <w:vAlign w:val="center"/>
                </w:tcPr>
                <w:p w14:paraId="271FD4F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备注</w:t>
                  </w:r>
                </w:p>
              </w:tc>
            </w:tr>
            <w:tr w14:paraId="563E9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tcBorders>
                    <w:tl2br w:val="nil"/>
                    <w:tr2bl w:val="nil"/>
                  </w:tcBorders>
                  <w:noWrap w:val="0"/>
                  <w:vAlign w:val="center"/>
                </w:tcPr>
                <w:p w14:paraId="6CEA477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w:t>
                  </w:r>
                </w:p>
                <w:p w14:paraId="03740AB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659" w:type="dxa"/>
                  <w:gridSpan w:val="2"/>
                  <w:tcBorders>
                    <w:tl2br w:val="nil"/>
                    <w:tr2bl w:val="nil"/>
                  </w:tcBorders>
                  <w:noWrap w:val="0"/>
                  <w:vAlign w:val="center"/>
                </w:tcPr>
                <w:p w14:paraId="4B5CC49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制浆车间</w:t>
                  </w:r>
                </w:p>
              </w:tc>
              <w:tc>
                <w:tcPr>
                  <w:tcW w:w="4837" w:type="dxa"/>
                  <w:tcBorders>
                    <w:tl2br w:val="nil"/>
                    <w:tr2bl w:val="nil"/>
                  </w:tcBorders>
                  <w:noWrap w:val="0"/>
                  <w:vAlign w:val="center"/>
                </w:tcPr>
                <w:p w14:paraId="4C1269EA">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1座，3层</w:t>
                  </w:r>
                  <w:r>
                    <w:rPr>
                      <w:rFonts w:hint="eastAsia"/>
                      <w:color w:val="auto"/>
                      <w:highlight w:val="none"/>
                    </w:rPr>
                    <w:t>钢架结构</w:t>
                  </w:r>
                  <w:r>
                    <w:rPr>
                      <w:rFonts w:hint="eastAsia"/>
                      <w:color w:val="auto"/>
                      <w:highlight w:val="none"/>
                      <w:lang w:eastAsia="zh-CN"/>
                    </w:rPr>
                    <w:t>，</w:t>
                  </w:r>
                  <w:r>
                    <w:rPr>
                      <w:rFonts w:hint="eastAsia" w:ascii="Times New Roman" w:hAnsi="Times New Roman" w:eastAsia="宋体" w:cs="Times New Roman"/>
                      <w:color w:val="auto"/>
                      <w:szCs w:val="21"/>
                      <w:highlight w:val="none"/>
                      <w:lang w:val="en-US" w:eastAsia="zh-CN"/>
                    </w:rPr>
                    <w:t>占地</w:t>
                  </w:r>
                  <w:r>
                    <w:rPr>
                      <w:rFonts w:hint="default" w:ascii="Times New Roman" w:hAnsi="Times New Roman" w:eastAsia="宋体" w:cs="Times New Roman"/>
                      <w:color w:val="auto"/>
                      <w:szCs w:val="21"/>
                      <w:highlight w:val="none"/>
                      <w:lang w:eastAsia="zh-CN"/>
                    </w:rPr>
                    <w:t>面积</w:t>
                  </w:r>
                  <w:r>
                    <w:rPr>
                      <w:rFonts w:hint="eastAsia" w:ascii="Times New Roman" w:hAnsi="Times New Roman" w:eastAsia="宋体" w:cs="Times New Roman"/>
                      <w:color w:val="auto"/>
                      <w:szCs w:val="21"/>
                      <w:highlight w:val="none"/>
                      <w:lang w:val="en-US" w:eastAsia="zh-CN"/>
                    </w:rPr>
                    <w:t>125</w:t>
                  </w:r>
                  <w:r>
                    <w:rPr>
                      <w:rFonts w:hint="default" w:ascii="Times New Roman" w:hAnsi="Times New Roman" w:eastAsia="宋体" w:cs="Times New Roman"/>
                      <w:color w:val="auto"/>
                      <w:szCs w:val="21"/>
                      <w:highlight w:val="none"/>
                      <w:lang w:eastAsia="zh-CN"/>
                    </w:rPr>
                    <w:t>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每层高4m；1F设置1</w:t>
                  </w:r>
                  <w:r>
                    <w:rPr>
                      <w:rFonts w:hint="eastAsia" w:cs="Times New Roman"/>
                      <w:color w:val="auto"/>
                      <w:szCs w:val="21"/>
                      <w:highlight w:val="none"/>
                      <w:lang w:val="en-US" w:eastAsia="zh-CN"/>
                    </w:rPr>
                    <w:t>台</w:t>
                  </w:r>
                  <w:r>
                    <w:rPr>
                      <w:rFonts w:hint="eastAsia"/>
                      <w:color w:val="auto"/>
                      <w:highlight w:val="none"/>
                    </w:rPr>
                    <w:t>低速搅拌桶</w:t>
                  </w:r>
                  <w:r>
                    <w:rPr>
                      <w:rFonts w:hint="eastAsia"/>
                      <w:color w:val="auto"/>
                      <w:highlight w:val="none"/>
                      <w:lang w:eastAsia="zh-CN"/>
                    </w:rPr>
                    <w:t>、</w:t>
                  </w:r>
                  <w:r>
                    <w:rPr>
                      <w:rFonts w:hint="eastAsia"/>
                      <w:color w:val="auto"/>
                      <w:highlight w:val="none"/>
                      <w:lang w:val="en-US" w:eastAsia="zh-CN"/>
                    </w:rPr>
                    <w:t>2个</w:t>
                  </w:r>
                  <w:r>
                    <w:rPr>
                      <w:rFonts w:hint="eastAsia" w:cs="Times New Roman"/>
                      <w:color w:val="auto"/>
                      <w:sz w:val="21"/>
                      <w:szCs w:val="21"/>
                      <w:highlight w:val="none"/>
                      <w:lang w:eastAsia="zh-CN"/>
                    </w:rPr>
                    <w:t>添加剂搅拌桶</w:t>
                  </w:r>
                  <w:r>
                    <w:rPr>
                      <w:rFonts w:hint="default"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2F设置2</w:t>
                  </w:r>
                  <w:r>
                    <w:rPr>
                      <w:rFonts w:hint="default" w:ascii="Times New Roman" w:hAnsi="Times New Roman" w:eastAsia="宋体" w:cs="Times New Roman"/>
                      <w:color w:val="auto"/>
                      <w:szCs w:val="21"/>
                      <w:highlight w:val="none"/>
                      <w:lang w:eastAsia="zh-CN"/>
                    </w:rPr>
                    <w:t>台箱式高速制浆机</w:t>
                  </w:r>
                  <w:r>
                    <w:rPr>
                      <w:rFonts w:hint="eastAsia" w:ascii="Times New Roman" w:hAnsi="Times New Roman" w:eastAsia="宋体" w:cs="Times New Roman"/>
                      <w:color w:val="auto"/>
                      <w:szCs w:val="21"/>
                      <w:highlight w:val="none"/>
                      <w:lang w:val="en-US" w:eastAsia="zh-CN"/>
                    </w:rPr>
                    <w:t>及配套</w:t>
                  </w:r>
                  <w:r>
                    <w:rPr>
                      <w:rFonts w:hint="default" w:ascii="Times New Roman" w:hAnsi="Times New Roman" w:eastAsia="宋体" w:cs="Times New Roman"/>
                      <w:color w:val="auto"/>
                      <w:szCs w:val="21"/>
                      <w:highlight w:val="none"/>
                      <w:lang w:eastAsia="zh-CN"/>
                    </w:rPr>
                    <w:t>自动化操作台，</w:t>
                  </w:r>
                  <w:r>
                    <w:rPr>
                      <w:rFonts w:hint="eastAsia" w:ascii="Times New Roman" w:hAnsi="Times New Roman" w:eastAsia="宋体" w:cs="Times New Roman"/>
                      <w:color w:val="auto"/>
                      <w:szCs w:val="21"/>
                      <w:highlight w:val="none"/>
                      <w:lang w:val="en-US" w:eastAsia="zh-CN"/>
                    </w:rPr>
                    <w:t>3F设置2</w:t>
                  </w:r>
                  <w:r>
                    <w:rPr>
                      <w:rFonts w:hint="default" w:ascii="Times New Roman" w:hAnsi="Times New Roman" w:eastAsia="宋体" w:cs="Times New Roman"/>
                      <w:color w:val="auto"/>
                      <w:szCs w:val="21"/>
                      <w:highlight w:val="none"/>
                      <w:lang w:eastAsia="zh-CN"/>
                    </w:rPr>
                    <w:t>个称重水箱</w:t>
                  </w:r>
                </w:p>
              </w:tc>
              <w:tc>
                <w:tcPr>
                  <w:tcW w:w="738" w:type="dxa"/>
                  <w:tcBorders>
                    <w:tl2br w:val="nil"/>
                    <w:tr2bl w:val="nil"/>
                  </w:tcBorders>
                  <w:noWrap w:val="0"/>
                  <w:vAlign w:val="center"/>
                </w:tcPr>
                <w:p w14:paraId="30D844B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新建</w:t>
                  </w:r>
                </w:p>
              </w:tc>
            </w:tr>
            <w:tr w14:paraId="1AD62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restart"/>
                  <w:tcBorders>
                    <w:tl2br w:val="nil"/>
                    <w:tr2bl w:val="nil"/>
                  </w:tcBorders>
                  <w:noWrap w:val="0"/>
                  <w:vAlign w:val="center"/>
                </w:tcPr>
                <w:p w14:paraId="7C7FDD9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储运工程</w:t>
                  </w:r>
                </w:p>
              </w:tc>
              <w:tc>
                <w:tcPr>
                  <w:tcW w:w="1659" w:type="dxa"/>
                  <w:gridSpan w:val="2"/>
                  <w:tcBorders>
                    <w:tl2br w:val="nil"/>
                    <w:tr2bl w:val="nil"/>
                  </w:tcBorders>
                  <w:noWrap w:val="0"/>
                  <w:vAlign w:val="center"/>
                </w:tcPr>
                <w:p w14:paraId="3F720E9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储矸棚</w:t>
                  </w:r>
                </w:p>
              </w:tc>
              <w:tc>
                <w:tcPr>
                  <w:tcW w:w="4837" w:type="dxa"/>
                  <w:tcBorders>
                    <w:tl2br w:val="nil"/>
                    <w:tr2bl w:val="nil"/>
                  </w:tcBorders>
                  <w:noWrap w:val="0"/>
                  <w:vAlign w:val="center"/>
                </w:tcPr>
                <w:p w14:paraId="7121751C">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1座，</w:t>
                  </w:r>
                  <w:r>
                    <w:rPr>
                      <w:rFonts w:hint="default" w:ascii="Times New Roman" w:hAnsi="Times New Roman" w:cs="Times New Roman"/>
                      <w:color w:val="auto"/>
                      <w:kern w:val="2"/>
                      <w:sz w:val="21"/>
                      <w:szCs w:val="21"/>
                      <w:highlight w:val="none"/>
                      <w:lang w:val="en-US" w:eastAsia="zh-CN" w:bidi="ar-SA"/>
                    </w:rPr>
                    <w:t>门式</w:t>
                  </w:r>
                  <w:r>
                    <w:rPr>
                      <w:rFonts w:hint="eastAsia" w:cs="Times New Roman"/>
                      <w:color w:val="auto"/>
                      <w:kern w:val="2"/>
                      <w:sz w:val="21"/>
                      <w:szCs w:val="21"/>
                      <w:highlight w:val="none"/>
                      <w:lang w:val="en-US" w:eastAsia="zh-CN" w:bidi="ar-SA"/>
                    </w:rPr>
                    <w:t>钢架</w:t>
                  </w:r>
                  <w:r>
                    <w:rPr>
                      <w:rFonts w:hint="default" w:ascii="Times New Roman" w:hAnsi="Times New Roman" w:cs="Times New Roman"/>
                      <w:color w:val="auto"/>
                      <w:kern w:val="2"/>
                      <w:sz w:val="21"/>
                      <w:szCs w:val="21"/>
                      <w:highlight w:val="none"/>
                      <w:lang w:val="en-US" w:eastAsia="zh-CN" w:bidi="ar-SA"/>
                    </w:rPr>
                    <w:t>结构</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建筑面积1268</w:t>
                  </w:r>
                  <w:r>
                    <w:rPr>
                      <w:rFonts w:hint="default" w:ascii="Times New Roman" w:hAnsi="Times New Roman" w:cs="Times New Roman"/>
                      <w:color w:val="auto"/>
                      <w:kern w:val="2"/>
                      <w:sz w:val="21"/>
                      <w:szCs w:val="21"/>
                      <w:highlight w:val="none"/>
                      <w:lang w:val="en-US" w:eastAsia="zh-CN" w:bidi="ar-SA"/>
                    </w:rPr>
                    <w:t>m</w:t>
                  </w:r>
                  <w:r>
                    <w:rPr>
                      <w:rFonts w:hint="eastAsia" w:cs="Times New Roman"/>
                      <w:color w:val="auto"/>
                      <w:kern w:val="2"/>
                      <w:sz w:val="21"/>
                      <w:szCs w:val="21"/>
                      <w:highlight w:val="none"/>
                      <w:vertAlign w:val="superscript"/>
                      <w:lang w:val="en-US" w:eastAsia="zh-CN" w:bidi="ar-SA"/>
                    </w:rPr>
                    <w:t>2</w:t>
                  </w:r>
                  <w:r>
                    <w:rPr>
                      <w:rFonts w:hint="default" w:ascii="Times New Roman" w:hAnsi="Times New Roman" w:cs="Times New Roman"/>
                      <w:color w:val="auto"/>
                      <w:kern w:val="2"/>
                      <w:sz w:val="21"/>
                      <w:szCs w:val="21"/>
                      <w:highlight w:val="none"/>
                      <w:lang w:val="en-US" w:eastAsia="zh-CN" w:bidi="ar-SA"/>
                    </w:rPr>
                    <w:t>，高</w:t>
                  </w:r>
                  <w:r>
                    <w:rPr>
                      <w:rFonts w:hint="eastAsia" w:cs="Times New Roman"/>
                      <w:color w:val="auto"/>
                      <w:kern w:val="2"/>
                      <w:sz w:val="21"/>
                      <w:szCs w:val="21"/>
                      <w:highlight w:val="none"/>
                      <w:lang w:val="en-US" w:eastAsia="zh-CN" w:bidi="ar-SA"/>
                    </w:rPr>
                    <w:t>10</w:t>
                  </w:r>
                  <w:r>
                    <w:rPr>
                      <w:rFonts w:hint="default" w:ascii="Times New Roman" w:hAnsi="Times New Roman" w:cs="Times New Roman"/>
                      <w:color w:val="auto"/>
                      <w:kern w:val="2"/>
                      <w:sz w:val="21"/>
                      <w:szCs w:val="21"/>
                      <w:highlight w:val="none"/>
                      <w:lang w:val="en-US" w:eastAsia="zh-CN" w:bidi="ar-SA"/>
                    </w:rPr>
                    <w:t>m</w:t>
                  </w:r>
                </w:p>
              </w:tc>
              <w:tc>
                <w:tcPr>
                  <w:tcW w:w="738" w:type="dxa"/>
                  <w:tcBorders>
                    <w:tl2br w:val="nil"/>
                    <w:tr2bl w:val="nil"/>
                  </w:tcBorders>
                  <w:noWrap w:val="0"/>
                  <w:vAlign w:val="center"/>
                </w:tcPr>
                <w:p w14:paraId="13A6D25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7EEC1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389AFD2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1659" w:type="dxa"/>
                  <w:gridSpan w:val="2"/>
                  <w:tcBorders>
                    <w:tl2br w:val="nil"/>
                    <w:tr2bl w:val="nil"/>
                  </w:tcBorders>
                  <w:noWrap w:val="0"/>
                  <w:vAlign w:val="center"/>
                </w:tcPr>
                <w:p w14:paraId="0B2D8CE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水泥筒仓</w:t>
                  </w:r>
                </w:p>
              </w:tc>
              <w:tc>
                <w:tcPr>
                  <w:tcW w:w="4837" w:type="dxa"/>
                  <w:tcBorders>
                    <w:tl2br w:val="nil"/>
                    <w:tr2bl w:val="nil"/>
                  </w:tcBorders>
                  <w:noWrap w:val="0"/>
                  <w:vAlign w:val="center"/>
                </w:tcPr>
                <w:p w14:paraId="445C77FF">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lang w:eastAsia="zh-CN"/>
                    </w:rPr>
                    <w:t>座，仓身采用钢结构，直径Φ</w:t>
                  </w:r>
                  <w:r>
                    <w:rPr>
                      <w:rFonts w:hint="eastAsia" w:cs="Times New Roman"/>
                      <w:color w:val="auto"/>
                      <w:szCs w:val="21"/>
                      <w:highlight w:val="none"/>
                      <w:lang w:val="en-US" w:eastAsia="zh-CN"/>
                    </w:rPr>
                    <w:t>2.8</w:t>
                  </w:r>
                  <w:r>
                    <w:rPr>
                      <w:rFonts w:hint="default" w:ascii="Times New Roman" w:hAnsi="Times New Roman" w:eastAsia="宋体" w:cs="Times New Roman"/>
                      <w:color w:val="auto"/>
                      <w:szCs w:val="21"/>
                      <w:highlight w:val="none"/>
                      <w:lang w:eastAsia="zh-CN"/>
                    </w:rPr>
                    <w:t>m，</w:t>
                  </w:r>
                  <w:r>
                    <w:rPr>
                      <w:rFonts w:hint="eastAsia" w:ascii="Times New Roman" w:hAnsi="Times New Roman" w:eastAsia="宋体" w:cs="Times New Roman"/>
                      <w:color w:val="auto"/>
                      <w:szCs w:val="21"/>
                      <w:highlight w:val="none"/>
                      <w:lang w:val="en-US" w:eastAsia="zh-CN"/>
                    </w:rPr>
                    <w:t>仓体高</w:t>
                  </w:r>
                  <w:r>
                    <w:rPr>
                      <w:rFonts w:hint="eastAsia" w:cs="Times New Roman"/>
                      <w:color w:val="auto"/>
                      <w:szCs w:val="21"/>
                      <w:highlight w:val="none"/>
                      <w:lang w:val="en-US" w:eastAsia="zh-CN"/>
                    </w:rPr>
                    <w:t>13.5</w:t>
                  </w:r>
                  <w:r>
                    <w:rPr>
                      <w:rFonts w:hint="default" w:ascii="Times New Roman" w:hAnsi="Times New Roman" w:eastAsia="宋体" w:cs="Times New Roman"/>
                      <w:color w:val="auto"/>
                      <w:szCs w:val="21"/>
                      <w:highlight w:val="none"/>
                      <w:lang w:eastAsia="zh-CN"/>
                    </w:rPr>
                    <w:t>m，容积</w:t>
                  </w:r>
                  <w:r>
                    <w:rPr>
                      <w:rFonts w:hint="eastAsia" w:cs="Times New Roman"/>
                      <w:color w:val="auto"/>
                      <w:szCs w:val="21"/>
                      <w:highlight w:val="none"/>
                      <w:lang w:val="en-US" w:eastAsia="zh-CN"/>
                    </w:rPr>
                    <w:t>85</w:t>
                  </w:r>
                  <w:r>
                    <w:rPr>
                      <w:rFonts w:hint="default" w:ascii="Times New Roman" w:hAnsi="Times New Roman" w:eastAsia="宋体" w:cs="Times New Roman"/>
                      <w:color w:val="auto"/>
                      <w:szCs w:val="21"/>
                      <w:highlight w:val="none"/>
                      <w:lang w:eastAsia="zh-CN"/>
                    </w:rPr>
                    <w:t>m³</w:t>
                  </w:r>
                  <w:r>
                    <w:rPr>
                      <w:rFonts w:hint="eastAsia" w:cs="Times New Roman"/>
                      <w:color w:val="auto"/>
                      <w:szCs w:val="21"/>
                      <w:highlight w:val="none"/>
                      <w:lang w:val="en-US" w:eastAsia="zh-CN"/>
                    </w:rPr>
                    <w:t>/座</w:t>
                  </w:r>
                </w:p>
              </w:tc>
              <w:tc>
                <w:tcPr>
                  <w:tcW w:w="738" w:type="dxa"/>
                  <w:tcBorders>
                    <w:tl2br w:val="nil"/>
                    <w:tr2bl w:val="nil"/>
                  </w:tcBorders>
                  <w:noWrap w:val="0"/>
                  <w:vAlign w:val="center"/>
                </w:tcPr>
                <w:p w14:paraId="3FA2394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7BCC3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730F21B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1659" w:type="dxa"/>
                  <w:gridSpan w:val="2"/>
                  <w:tcBorders>
                    <w:tl2br w:val="nil"/>
                    <w:tr2bl w:val="nil"/>
                  </w:tcBorders>
                  <w:noWrap w:val="0"/>
                  <w:vAlign w:val="center"/>
                </w:tcPr>
                <w:p w14:paraId="4D5561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蓄水池</w:t>
                  </w:r>
                </w:p>
              </w:tc>
              <w:tc>
                <w:tcPr>
                  <w:tcW w:w="4837" w:type="dxa"/>
                  <w:tcBorders>
                    <w:tl2br w:val="nil"/>
                    <w:tr2bl w:val="nil"/>
                  </w:tcBorders>
                  <w:noWrap w:val="0"/>
                  <w:vAlign w:val="center"/>
                </w:tcPr>
                <w:p w14:paraId="5AC98744">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1座，地埋式结构，容积378m</w:t>
                  </w:r>
                  <w:r>
                    <w:rPr>
                      <w:rFonts w:hint="eastAsia" w:cs="Times New Roman"/>
                      <w:color w:val="auto"/>
                      <w:szCs w:val="21"/>
                      <w:highlight w:val="none"/>
                      <w:vertAlign w:val="superscript"/>
                      <w:lang w:val="en-US" w:eastAsia="zh-CN"/>
                    </w:rPr>
                    <w:t>3</w:t>
                  </w:r>
                  <w:r>
                    <w:rPr>
                      <w:rFonts w:hint="eastAsia" w:cs="Times New Roman"/>
                      <w:color w:val="auto"/>
                      <w:szCs w:val="21"/>
                      <w:highlight w:val="none"/>
                      <w:vertAlign w:val="baseline"/>
                      <w:lang w:val="en-US" w:eastAsia="zh-CN"/>
                    </w:rPr>
                    <w:t>（</w:t>
                  </w:r>
                  <w:r>
                    <w:rPr>
                      <w:rFonts w:hint="default" w:ascii="Times New Roman" w:hAnsi="Times New Roman" w:cs="Times New Roman"/>
                      <w:color w:val="auto"/>
                      <w:szCs w:val="21"/>
                      <w:highlight w:val="none"/>
                      <w:lang w:val="en-US" w:eastAsia="zh-CN"/>
                    </w:rPr>
                    <w:t>长12.0m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宽9.0m</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深3.5m</w:t>
                  </w:r>
                  <w:r>
                    <w:rPr>
                      <w:rFonts w:hint="eastAsia" w:cs="Times New Roman"/>
                      <w:color w:val="auto"/>
                      <w:szCs w:val="21"/>
                      <w:highlight w:val="none"/>
                      <w:vertAlign w:val="baseline"/>
                      <w:lang w:val="en-US" w:eastAsia="zh-CN"/>
                    </w:rPr>
                    <w:t>）</w:t>
                  </w:r>
                </w:p>
              </w:tc>
              <w:tc>
                <w:tcPr>
                  <w:tcW w:w="738" w:type="dxa"/>
                  <w:tcBorders>
                    <w:tl2br w:val="nil"/>
                    <w:tr2bl w:val="nil"/>
                  </w:tcBorders>
                  <w:noWrap w:val="0"/>
                  <w:vAlign w:val="center"/>
                </w:tcPr>
                <w:p w14:paraId="7C9E06B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714F3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726E70C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1659" w:type="dxa"/>
                  <w:gridSpan w:val="2"/>
                  <w:tcBorders>
                    <w:tl2br w:val="nil"/>
                    <w:tr2bl w:val="nil"/>
                  </w:tcBorders>
                  <w:noWrap w:val="0"/>
                  <w:vAlign w:val="center"/>
                </w:tcPr>
                <w:p w14:paraId="67D61B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添加剂储存</w:t>
                  </w:r>
                </w:p>
              </w:tc>
              <w:tc>
                <w:tcPr>
                  <w:tcW w:w="4837" w:type="dxa"/>
                  <w:tcBorders>
                    <w:tl2br w:val="nil"/>
                    <w:tr2bl w:val="nil"/>
                  </w:tcBorders>
                  <w:noWrap w:val="0"/>
                  <w:vAlign w:val="center"/>
                </w:tcPr>
                <w:p w14:paraId="5BDC7B3B">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添加剂主要成分为工业盐，袋装储存于制浆车间1F</w:t>
                  </w:r>
                </w:p>
              </w:tc>
              <w:tc>
                <w:tcPr>
                  <w:tcW w:w="738" w:type="dxa"/>
                  <w:tcBorders>
                    <w:tl2br w:val="nil"/>
                    <w:tr2bl w:val="nil"/>
                  </w:tcBorders>
                  <w:noWrap w:val="0"/>
                  <w:vAlign w:val="center"/>
                </w:tcPr>
                <w:p w14:paraId="6F92E9D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新建</w:t>
                  </w:r>
                </w:p>
              </w:tc>
            </w:tr>
            <w:tr w14:paraId="469FD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restart"/>
                  <w:tcBorders>
                    <w:tl2br w:val="nil"/>
                    <w:tr2bl w:val="nil"/>
                  </w:tcBorders>
                  <w:noWrap w:val="0"/>
                  <w:vAlign w:val="center"/>
                </w:tcPr>
                <w:p w14:paraId="5C8FBFF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辅助工程</w:t>
                  </w:r>
                </w:p>
              </w:tc>
              <w:tc>
                <w:tcPr>
                  <w:tcW w:w="1659" w:type="dxa"/>
                  <w:gridSpan w:val="2"/>
                  <w:tcBorders>
                    <w:tl2br w:val="nil"/>
                    <w:tr2bl w:val="nil"/>
                  </w:tcBorders>
                  <w:noWrap w:val="0"/>
                  <w:vAlign w:val="center"/>
                </w:tcPr>
                <w:p w14:paraId="723187E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洗车平台</w:t>
                  </w:r>
                </w:p>
              </w:tc>
              <w:tc>
                <w:tcPr>
                  <w:tcW w:w="4837" w:type="dxa"/>
                  <w:tcBorders>
                    <w:tl2br w:val="nil"/>
                    <w:tr2bl w:val="nil"/>
                  </w:tcBorders>
                  <w:noWrap w:val="0"/>
                  <w:vAlign w:val="center"/>
                </w:tcPr>
                <w:p w14:paraId="4ED3651F">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1座，包括高压冲洗区域、风干区、抖车区，设置1座收集池（27m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）、1座沉淀池（27m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）和1座清水池（27m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），总容积81m</w:t>
                  </w:r>
                  <w:r>
                    <w:rPr>
                      <w:rFonts w:hint="eastAsia" w:cs="Times New Roman"/>
                      <w:color w:val="auto"/>
                      <w:szCs w:val="21"/>
                      <w:highlight w:val="none"/>
                      <w:vertAlign w:val="superscript"/>
                      <w:lang w:val="en-US" w:eastAsia="zh-CN"/>
                    </w:rPr>
                    <w:t>3</w:t>
                  </w:r>
                </w:p>
              </w:tc>
              <w:tc>
                <w:tcPr>
                  <w:tcW w:w="738" w:type="dxa"/>
                  <w:tcBorders>
                    <w:tl2br w:val="nil"/>
                    <w:tr2bl w:val="nil"/>
                  </w:tcBorders>
                  <w:noWrap w:val="0"/>
                  <w:vAlign w:val="center"/>
                </w:tcPr>
                <w:p w14:paraId="670D006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054F7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517DE51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Cs w:val="21"/>
                      <w:highlight w:val="none"/>
                      <w:lang w:val="en-US" w:eastAsia="zh-CN"/>
                    </w:rPr>
                  </w:pPr>
                </w:p>
              </w:tc>
              <w:tc>
                <w:tcPr>
                  <w:tcW w:w="1659" w:type="dxa"/>
                  <w:gridSpan w:val="2"/>
                  <w:tcBorders>
                    <w:tl2br w:val="nil"/>
                    <w:tr2bl w:val="nil"/>
                  </w:tcBorders>
                  <w:noWrap w:val="0"/>
                  <w:vAlign w:val="center"/>
                </w:tcPr>
                <w:p w14:paraId="6FB7CB2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雨水收集池</w:t>
                  </w:r>
                </w:p>
              </w:tc>
              <w:tc>
                <w:tcPr>
                  <w:tcW w:w="4837" w:type="dxa"/>
                  <w:tcBorders>
                    <w:tl2br w:val="nil"/>
                    <w:tr2bl w:val="nil"/>
                  </w:tcBorders>
                  <w:noWrap w:val="0"/>
                  <w:vAlign w:val="center"/>
                </w:tcPr>
                <w:p w14:paraId="726983D5">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1座，</w:t>
                  </w:r>
                  <w:r>
                    <w:rPr>
                      <w:rFonts w:hint="default" w:ascii="Times New Roman" w:hAnsi="Times New Roman" w:eastAsia="宋体" w:cs="Times New Roman"/>
                      <w:color w:val="auto"/>
                      <w:szCs w:val="21"/>
                      <w:highlight w:val="none"/>
                      <w:lang w:val="en-US" w:eastAsia="zh-CN"/>
                    </w:rPr>
                    <w:t>敞口水池，</w:t>
                  </w:r>
                  <w:r>
                    <w:rPr>
                      <w:rFonts w:hint="eastAsia" w:cs="Times New Roman"/>
                      <w:color w:val="auto"/>
                      <w:szCs w:val="21"/>
                      <w:highlight w:val="none"/>
                      <w:lang w:val="en-US" w:eastAsia="zh-CN"/>
                    </w:rPr>
                    <w:t>容积126m</w:t>
                  </w:r>
                  <w:r>
                    <w:rPr>
                      <w:rFonts w:hint="eastAsia" w:cs="Times New Roman"/>
                      <w:color w:val="auto"/>
                      <w:szCs w:val="21"/>
                      <w:highlight w:val="none"/>
                      <w:vertAlign w:val="superscript"/>
                      <w:lang w:val="en-US" w:eastAsia="zh-CN"/>
                    </w:rPr>
                    <w:t>3</w:t>
                  </w:r>
                  <w:r>
                    <w:rPr>
                      <w:rFonts w:hint="eastAsia" w:cs="Times New Roman"/>
                      <w:color w:val="auto"/>
                      <w:szCs w:val="21"/>
                      <w:highlight w:val="none"/>
                      <w:vertAlign w:val="baseline"/>
                      <w:lang w:val="en-US" w:eastAsia="zh-CN"/>
                    </w:rPr>
                    <w:t>（</w:t>
                  </w:r>
                  <w:r>
                    <w:rPr>
                      <w:rFonts w:hint="default" w:ascii="Times New Roman" w:hAnsi="Times New Roman" w:eastAsia="宋体" w:cs="Times New Roman"/>
                      <w:color w:val="auto"/>
                      <w:szCs w:val="21"/>
                      <w:highlight w:val="none"/>
                      <w:lang w:val="en-US" w:eastAsia="zh-CN"/>
                    </w:rPr>
                    <w:t>长9.0m</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宽4.0m</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深3.5m</w:t>
                  </w:r>
                  <w:r>
                    <w:rPr>
                      <w:rFonts w:hint="eastAsia" w:cs="Times New Roman"/>
                      <w:color w:val="auto"/>
                      <w:szCs w:val="21"/>
                      <w:highlight w:val="none"/>
                      <w:vertAlign w:val="baseline"/>
                      <w:lang w:val="en-US" w:eastAsia="zh-CN"/>
                    </w:rPr>
                    <w:t>）</w:t>
                  </w:r>
                </w:p>
              </w:tc>
              <w:tc>
                <w:tcPr>
                  <w:tcW w:w="738" w:type="dxa"/>
                  <w:tcBorders>
                    <w:tl2br w:val="nil"/>
                    <w:tr2bl w:val="nil"/>
                  </w:tcBorders>
                  <w:noWrap w:val="0"/>
                  <w:vAlign w:val="center"/>
                </w:tcPr>
                <w:p w14:paraId="667A721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6035E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6B0BCE6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Cs w:val="21"/>
                      <w:highlight w:val="none"/>
                      <w:lang w:val="en-US" w:eastAsia="zh-CN"/>
                    </w:rPr>
                  </w:pPr>
                </w:p>
              </w:tc>
              <w:tc>
                <w:tcPr>
                  <w:tcW w:w="1659" w:type="dxa"/>
                  <w:gridSpan w:val="2"/>
                  <w:tcBorders>
                    <w:tl2br w:val="nil"/>
                    <w:tr2bl w:val="nil"/>
                  </w:tcBorders>
                  <w:noWrap w:val="0"/>
                  <w:vAlign w:val="center"/>
                </w:tcPr>
                <w:p w14:paraId="39A63BD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消防水池</w:t>
                  </w:r>
                </w:p>
              </w:tc>
              <w:tc>
                <w:tcPr>
                  <w:tcW w:w="4837" w:type="dxa"/>
                  <w:tcBorders>
                    <w:tl2br w:val="nil"/>
                    <w:tr2bl w:val="nil"/>
                  </w:tcBorders>
                  <w:noWrap w:val="0"/>
                  <w:vAlign w:val="center"/>
                </w:tcPr>
                <w:p w14:paraId="0067C1CF">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1座，地埋式结构，容积140m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（长5.0m、宽8.0m、</w:t>
                  </w:r>
                  <w:r>
                    <w:rPr>
                      <w:rFonts w:hint="default" w:ascii="Times New Roman" w:hAnsi="Times New Roman" w:cs="Times New Roman"/>
                      <w:color w:val="auto"/>
                      <w:szCs w:val="21"/>
                      <w:highlight w:val="none"/>
                      <w:lang w:val="en-US" w:eastAsia="zh-CN"/>
                    </w:rPr>
                    <w:t>深3.5m</w:t>
                  </w:r>
                  <w:r>
                    <w:rPr>
                      <w:rFonts w:hint="eastAsia" w:cs="Times New Roman"/>
                      <w:color w:val="auto"/>
                      <w:szCs w:val="21"/>
                      <w:highlight w:val="none"/>
                      <w:lang w:val="en-US" w:eastAsia="zh-CN"/>
                    </w:rPr>
                    <w:t>）</w:t>
                  </w:r>
                </w:p>
              </w:tc>
              <w:tc>
                <w:tcPr>
                  <w:tcW w:w="738" w:type="dxa"/>
                  <w:tcBorders>
                    <w:tl2br w:val="nil"/>
                    <w:tr2bl w:val="nil"/>
                  </w:tcBorders>
                  <w:noWrap w:val="0"/>
                  <w:vAlign w:val="center"/>
                </w:tcPr>
                <w:p w14:paraId="32017FF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新建</w:t>
                  </w:r>
                </w:p>
              </w:tc>
            </w:tr>
            <w:tr w14:paraId="60AC0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0A71160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Cs w:val="21"/>
                      <w:highlight w:val="none"/>
                      <w:lang w:val="en-US" w:eastAsia="zh-CN"/>
                    </w:rPr>
                  </w:pPr>
                </w:p>
              </w:tc>
              <w:tc>
                <w:tcPr>
                  <w:tcW w:w="1659" w:type="dxa"/>
                  <w:gridSpan w:val="2"/>
                  <w:tcBorders>
                    <w:tl2br w:val="nil"/>
                    <w:tr2bl w:val="nil"/>
                  </w:tcBorders>
                  <w:noWrap w:val="0"/>
                  <w:vAlign w:val="center"/>
                </w:tcPr>
                <w:p w14:paraId="433E8EF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地下泵房</w:t>
                  </w:r>
                </w:p>
              </w:tc>
              <w:tc>
                <w:tcPr>
                  <w:tcW w:w="4837" w:type="dxa"/>
                  <w:tcBorders>
                    <w:tl2br w:val="nil"/>
                    <w:tr2bl w:val="nil"/>
                  </w:tcBorders>
                  <w:noWrap w:val="0"/>
                  <w:vAlign w:val="center"/>
                </w:tcPr>
                <w:p w14:paraId="549F7ADD">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1座，地埋式结构，长6.0m，宽5.0m，</w:t>
                  </w:r>
                  <w:r>
                    <w:rPr>
                      <w:rFonts w:hint="default" w:ascii="Times New Roman" w:hAnsi="Times New Roman" w:cs="Times New Roman"/>
                      <w:color w:val="auto"/>
                      <w:szCs w:val="21"/>
                      <w:highlight w:val="none"/>
                      <w:lang w:val="en-US" w:eastAsia="zh-CN"/>
                    </w:rPr>
                    <w:t>深3.5m</w:t>
                  </w:r>
                </w:p>
              </w:tc>
              <w:tc>
                <w:tcPr>
                  <w:tcW w:w="738" w:type="dxa"/>
                  <w:tcBorders>
                    <w:tl2br w:val="nil"/>
                    <w:tr2bl w:val="nil"/>
                  </w:tcBorders>
                  <w:noWrap w:val="0"/>
                  <w:vAlign w:val="center"/>
                </w:tcPr>
                <w:p w14:paraId="1A46670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新建</w:t>
                  </w:r>
                </w:p>
              </w:tc>
            </w:tr>
            <w:tr w14:paraId="364A0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restart"/>
                  <w:tcBorders>
                    <w:tl2br w:val="nil"/>
                    <w:tr2bl w:val="nil"/>
                  </w:tcBorders>
                  <w:noWrap w:val="0"/>
                  <w:vAlign w:val="center"/>
                </w:tcPr>
                <w:p w14:paraId="57B4A6B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bookmarkStart w:id="2" w:name="_Hlk495656985"/>
                  <w:r>
                    <w:rPr>
                      <w:rFonts w:hint="default" w:ascii="Times New Roman" w:hAnsi="Times New Roman" w:cs="Times New Roman"/>
                      <w:color w:val="auto"/>
                      <w:szCs w:val="21"/>
                      <w:highlight w:val="none"/>
                    </w:rPr>
                    <w:t>公用工程</w:t>
                  </w:r>
                </w:p>
              </w:tc>
              <w:tc>
                <w:tcPr>
                  <w:tcW w:w="1659" w:type="dxa"/>
                  <w:gridSpan w:val="2"/>
                  <w:tcBorders>
                    <w:tl2br w:val="nil"/>
                    <w:tr2bl w:val="nil"/>
                  </w:tcBorders>
                  <w:noWrap w:val="0"/>
                  <w:vAlign w:val="center"/>
                </w:tcPr>
                <w:p w14:paraId="4B0398E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供电</w:t>
                  </w:r>
                </w:p>
              </w:tc>
              <w:tc>
                <w:tcPr>
                  <w:tcW w:w="4837" w:type="dxa"/>
                  <w:tcBorders>
                    <w:tl2br w:val="nil"/>
                    <w:tr2bl w:val="nil"/>
                  </w:tcBorders>
                  <w:noWrap w:val="0"/>
                  <w:vAlign w:val="center"/>
                </w:tcPr>
                <w:p w14:paraId="018E776A">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电源</w:t>
                  </w:r>
                  <w:r>
                    <w:rPr>
                      <w:rFonts w:hint="eastAsia" w:cs="Times New Roman"/>
                      <w:color w:val="auto"/>
                      <w:szCs w:val="21"/>
                      <w:highlight w:val="none"/>
                      <w:lang w:val="en-US" w:eastAsia="zh-CN"/>
                    </w:rPr>
                    <w:t>依托现有双回路高压进线电缆</w:t>
                  </w:r>
                  <w:r>
                    <w:rPr>
                      <w:rFonts w:hint="default" w:ascii="Times New Roman" w:hAnsi="Times New Roman" w:cs="Times New Roman"/>
                      <w:color w:val="auto"/>
                      <w:szCs w:val="21"/>
                      <w:highlight w:val="none"/>
                      <w:lang w:eastAsia="zh-CN"/>
                    </w:rPr>
                    <w:t>，配电室</w:t>
                  </w:r>
                  <w:r>
                    <w:rPr>
                      <w:rFonts w:hint="eastAsia" w:cs="Times New Roman"/>
                      <w:color w:val="auto"/>
                      <w:szCs w:val="21"/>
                      <w:highlight w:val="none"/>
                      <w:lang w:val="en-US" w:eastAsia="zh-CN"/>
                    </w:rPr>
                    <w:t>新增2</w:t>
                  </w:r>
                  <w:r>
                    <w:rPr>
                      <w:rFonts w:hint="default" w:ascii="Times New Roman" w:hAnsi="Times New Roman" w:cs="Times New Roman"/>
                      <w:color w:val="auto"/>
                      <w:szCs w:val="21"/>
                      <w:highlight w:val="none"/>
                    </w:rPr>
                    <w:t>台</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000kVA变压器</w:t>
                  </w:r>
                </w:p>
              </w:tc>
              <w:tc>
                <w:tcPr>
                  <w:tcW w:w="738" w:type="dxa"/>
                  <w:tcBorders>
                    <w:tl2br w:val="nil"/>
                    <w:tr2bl w:val="nil"/>
                  </w:tcBorders>
                  <w:noWrap w:val="0"/>
                  <w:vAlign w:val="center"/>
                </w:tcPr>
                <w:p w14:paraId="1DEE96E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r>
            <w:tr w14:paraId="3F94F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36C7602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1659" w:type="dxa"/>
                  <w:gridSpan w:val="2"/>
                  <w:tcBorders>
                    <w:tl2br w:val="nil"/>
                    <w:tr2bl w:val="nil"/>
                  </w:tcBorders>
                  <w:noWrap w:val="0"/>
                  <w:vAlign w:val="center"/>
                </w:tcPr>
                <w:p w14:paraId="68D3877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供水</w:t>
                  </w:r>
                </w:p>
              </w:tc>
              <w:tc>
                <w:tcPr>
                  <w:tcW w:w="4837" w:type="dxa"/>
                  <w:tcBorders>
                    <w:tl2br w:val="nil"/>
                    <w:tr2bl w:val="nil"/>
                  </w:tcBorders>
                  <w:noWrap w:val="0"/>
                  <w:vAlign w:val="center"/>
                </w:tcPr>
                <w:p w14:paraId="4CDCB7D6">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生活用水由</w:t>
                  </w:r>
                  <w:r>
                    <w:rPr>
                      <w:rFonts w:hint="eastAsia" w:cs="Times New Roman"/>
                      <w:color w:val="auto"/>
                      <w:kern w:val="2"/>
                      <w:sz w:val="21"/>
                      <w:szCs w:val="21"/>
                      <w:highlight w:val="none"/>
                      <w:lang w:val="en-US" w:eastAsia="zh-CN" w:bidi="ar-SA"/>
                    </w:rPr>
                    <w:t>罐车拉运</w:t>
                  </w:r>
                  <w:r>
                    <w:rPr>
                      <w:rFonts w:hint="default" w:ascii="Times New Roman" w:hAnsi="Times New Roman" w:cs="Times New Roman"/>
                      <w:color w:val="auto"/>
                      <w:kern w:val="2"/>
                      <w:sz w:val="21"/>
                      <w:szCs w:val="21"/>
                      <w:highlight w:val="none"/>
                      <w:lang w:val="en-US" w:eastAsia="zh-CN" w:bidi="ar-SA"/>
                    </w:rPr>
                    <w:t>；在东风井井筒内布置1条供水管，</w:t>
                  </w:r>
                  <w:r>
                    <w:rPr>
                      <w:rFonts w:hint="eastAsia" w:cs="Times New Roman"/>
                      <w:color w:val="auto"/>
                      <w:kern w:val="2"/>
                      <w:sz w:val="21"/>
                      <w:szCs w:val="21"/>
                      <w:highlight w:val="none"/>
                      <w:lang w:val="en-US" w:eastAsia="zh-CN" w:bidi="ar-SA"/>
                    </w:rPr>
                    <w:t>采用现有矿井水处理站处理后的矿井水</w:t>
                  </w:r>
                  <w:r>
                    <w:rPr>
                      <w:rFonts w:hint="default" w:ascii="Times New Roman" w:hAnsi="Times New Roman" w:cs="Times New Roman"/>
                      <w:color w:val="auto"/>
                      <w:kern w:val="2"/>
                      <w:sz w:val="21"/>
                      <w:szCs w:val="21"/>
                      <w:highlight w:val="none"/>
                      <w:lang w:val="en-US" w:eastAsia="zh-CN" w:bidi="ar-SA"/>
                    </w:rPr>
                    <w:t>为生产系统供水</w:t>
                  </w:r>
                </w:p>
              </w:tc>
              <w:tc>
                <w:tcPr>
                  <w:tcW w:w="738" w:type="dxa"/>
                  <w:tcBorders>
                    <w:tl2br w:val="nil"/>
                    <w:tr2bl w:val="nil"/>
                  </w:tcBorders>
                  <w:noWrap w:val="0"/>
                  <w:vAlign w:val="center"/>
                </w:tcPr>
                <w:p w14:paraId="3AF491F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新建</w:t>
                  </w:r>
                </w:p>
              </w:tc>
            </w:tr>
            <w:tr w14:paraId="7D9F7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03" w:type="dxa"/>
                  <w:vMerge w:val="continue"/>
                  <w:tcBorders>
                    <w:tl2br w:val="nil"/>
                    <w:tr2bl w:val="nil"/>
                  </w:tcBorders>
                  <w:noWrap w:val="0"/>
                  <w:vAlign w:val="center"/>
                </w:tcPr>
                <w:p w14:paraId="0F63349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1659" w:type="dxa"/>
                  <w:gridSpan w:val="2"/>
                  <w:tcBorders>
                    <w:tl2br w:val="nil"/>
                    <w:tr2bl w:val="nil"/>
                  </w:tcBorders>
                  <w:noWrap w:val="0"/>
                  <w:vAlign w:val="center"/>
                </w:tcPr>
                <w:p w14:paraId="294C213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供</w:t>
                  </w:r>
                  <w:r>
                    <w:rPr>
                      <w:rFonts w:hint="eastAsia" w:ascii="Times New Roman" w:hAnsi="Times New Roman" w:cs="Times New Roman"/>
                      <w:color w:val="auto"/>
                      <w:szCs w:val="21"/>
                      <w:highlight w:val="none"/>
                      <w:lang w:val="en-US" w:eastAsia="zh-CN"/>
                    </w:rPr>
                    <w:t>热</w:t>
                  </w:r>
                </w:p>
              </w:tc>
              <w:tc>
                <w:tcPr>
                  <w:tcW w:w="4837" w:type="dxa"/>
                  <w:tcBorders>
                    <w:tl2br w:val="nil"/>
                    <w:tr2bl w:val="nil"/>
                  </w:tcBorders>
                  <w:noWrap w:val="0"/>
                  <w:vAlign w:val="center"/>
                </w:tcPr>
                <w:p w14:paraId="002D38F7">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冬季</w:t>
                  </w:r>
                  <w:r>
                    <w:rPr>
                      <w:rFonts w:hint="eastAsia" w:cs="Times New Roman"/>
                      <w:color w:val="auto"/>
                      <w:szCs w:val="21"/>
                      <w:highlight w:val="none"/>
                      <w:lang w:val="en-US" w:eastAsia="zh-CN"/>
                    </w:rPr>
                    <w:t>采用电暖器供热</w:t>
                  </w:r>
                </w:p>
              </w:tc>
              <w:tc>
                <w:tcPr>
                  <w:tcW w:w="738" w:type="dxa"/>
                  <w:tcBorders>
                    <w:tl2br w:val="nil"/>
                    <w:tr2bl w:val="nil"/>
                  </w:tcBorders>
                  <w:noWrap w:val="0"/>
                  <w:vAlign w:val="center"/>
                </w:tcPr>
                <w:p w14:paraId="328FC60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新建</w:t>
                  </w:r>
                </w:p>
              </w:tc>
            </w:tr>
            <w:tr w14:paraId="0E55B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restart"/>
                  <w:tcBorders>
                    <w:tl2br w:val="nil"/>
                    <w:tr2bl w:val="nil"/>
                  </w:tcBorders>
                  <w:noWrap w:val="0"/>
                  <w:vAlign w:val="center"/>
                </w:tcPr>
                <w:p w14:paraId="0ED35CF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环保工程</w:t>
                  </w:r>
                </w:p>
              </w:tc>
              <w:tc>
                <w:tcPr>
                  <w:tcW w:w="459" w:type="dxa"/>
                  <w:vMerge w:val="restart"/>
                  <w:tcBorders>
                    <w:tl2br w:val="nil"/>
                    <w:tr2bl w:val="nil"/>
                  </w:tcBorders>
                  <w:noWrap w:val="0"/>
                  <w:vAlign w:val="center"/>
                </w:tcPr>
                <w:p w14:paraId="571077FB">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200" w:type="dxa"/>
                  <w:tcBorders>
                    <w:tl2br w:val="nil"/>
                    <w:tr2bl w:val="nil"/>
                  </w:tcBorders>
                  <w:noWrap w:val="0"/>
                  <w:vAlign w:val="center"/>
                </w:tcPr>
                <w:p w14:paraId="75B0FD0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储矸棚</w:t>
                  </w:r>
                </w:p>
                <w:p w14:paraId="0CCD667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扬尘</w:t>
                  </w:r>
                </w:p>
              </w:tc>
              <w:tc>
                <w:tcPr>
                  <w:tcW w:w="4837" w:type="dxa"/>
                  <w:tcBorders>
                    <w:tl2br w:val="nil"/>
                    <w:tr2bl w:val="nil"/>
                  </w:tcBorders>
                  <w:noWrap w:val="0"/>
                  <w:vAlign w:val="center"/>
                </w:tcPr>
                <w:p w14:paraId="2A3CE7A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全封闭</w:t>
                  </w:r>
                  <w:r>
                    <w:rPr>
                      <w:rFonts w:hint="eastAsia" w:ascii="Times New Roman" w:hAnsi="Times New Roman" w:eastAsia="宋体" w:cs="Times New Roman"/>
                      <w:color w:val="auto"/>
                      <w:spacing w:val="0"/>
                      <w:kern w:val="2"/>
                      <w:sz w:val="21"/>
                      <w:szCs w:val="21"/>
                      <w:highlight w:val="none"/>
                      <w:vertAlign w:val="baseline"/>
                      <w:lang w:val="en-US" w:eastAsia="zh-CN" w:bidi="ar-SA"/>
                    </w:rPr>
                    <w:t>储矸棚</w:t>
                  </w:r>
                  <w:r>
                    <w:rPr>
                      <w:rFonts w:hint="default" w:ascii="Times New Roman" w:hAnsi="Times New Roman" w:eastAsia="宋体" w:cs="Times New Roman"/>
                      <w:color w:val="auto"/>
                      <w:spacing w:val="0"/>
                      <w:kern w:val="2"/>
                      <w:sz w:val="21"/>
                      <w:szCs w:val="21"/>
                      <w:highlight w:val="none"/>
                      <w:vertAlign w:val="baseline"/>
                      <w:lang w:val="en-US" w:eastAsia="zh-CN" w:bidi="ar-SA"/>
                    </w:rPr>
                    <w:t>，地面硬化，棚顶设置1套可覆盖全场的喷雾降尘装置</w:t>
                  </w:r>
                  <w:r>
                    <w:rPr>
                      <w:rFonts w:hint="eastAsia" w:ascii="Times New Roman" w:hAnsi="Times New Roman" w:eastAsia="宋体" w:cs="Times New Roman"/>
                      <w:color w:val="auto"/>
                      <w:spacing w:val="0"/>
                      <w:kern w:val="2"/>
                      <w:sz w:val="21"/>
                      <w:szCs w:val="21"/>
                      <w:highlight w:val="none"/>
                      <w:vertAlign w:val="baseline"/>
                      <w:lang w:val="en-US" w:eastAsia="zh-CN" w:bidi="ar-SA"/>
                    </w:rPr>
                    <w:t>（顶部布置450个喷头，</w:t>
                  </w:r>
                  <w:r>
                    <w:rPr>
                      <w:rFonts w:hint="eastAsia"/>
                      <w:color w:val="auto"/>
                      <w:highlight w:val="none"/>
                    </w:rPr>
                    <w:t>喷头竖向间距为3.0m</w:t>
                  </w:r>
                  <w:r>
                    <w:rPr>
                      <w:rFonts w:hint="eastAsia"/>
                      <w:color w:val="auto"/>
                      <w:highlight w:val="none"/>
                      <w:lang w:eastAsia="zh-CN"/>
                    </w:rPr>
                    <w:t>，</w:t>
                  </w:r>
                  <w:r>
                    <w:rPr>
                      <w:rFonts w:hint="eastAsia"/>
                      <w:color w:val="auto"/>
                      <w:highlight w:val="none"/>
                    </w:rPr>
                    <w:t>横向间距为2.5m</w:t>
                  </w:r>
                  <w:r>
                    <w:rPr>
                      <w:rFonts w:hint="eastAsia" w:ascii="Times New Roman" w:hAnsi="Times New Roman" w:eastAsia="宋体" w:cs="Times New Roman"/>
                      <w:color w:val="auto"/>
                      <w:spacing w:val="0"/>
                      <w:kern w:val="2"/>
                      <w:sz w:val="21"/>
                      <w:szCs w:val="21"/>
                      <w:highlight w:val="none"/>
                      <w:vertAlign w:val="baseline"/>
                      <w:lang w:val="en-US" w:eastAsia="zh-CN" w:bidi="ar-SA"/>
                    </w:rPr>
                    <w:t>）</w:t>
                  </w:r>
                  <w:r>
                    <w:rPr>
                      <w:rFonts w:hint="default" w:ascii="Times New Roman" w:hAnsi="Times New Roman" w:eastAsia="宋体" w:cs="Times New Roman"/>
                      <w:color w:val="auto"/>
                      <w:spacing w:val="0"/>
                      <w:kern w:val="2"/>
                      <w:sz w:val="21"/>
                      <w:szCs w:val="21"/>
                      <w:highlight w:val="none"/>
                      <w:vertAlign w:val="baseline"/>
                      <w:lang w:val="en-US" w:eastAsia="zh-CN" w:bidi="ar-SA"/>
                    </w:rPr>
                    <w:t>，</w:t>
                  </w:r>
                  <w:r>
                    <w:rPr>
                      <w:rFonts w:hint="eastAsia" w:ascii="Times New Roman" w:hAnsi="Times New Roman" w:eastAsia="宋体" w:cs="Times New Roman"/>
                      <w:color w:val="auto"/>
                      <w:spacing w:val="0"/>
                      <w:kern w:val="2"/>
                      <w:sz w:val="21"/>
                      <w:szCs w:val="21"/>
                      <w:highlight w:val="none"/>
                      <w:vertAlign w:val="baseline"/>
                      <w:lang w:val="en-US" w:eastAsia="zh-CN" w:bidi="ar-SA"/>
                    </w:rPr>
                    <w:t>喷雾</w:t>
                  </w:r>
                  <w:r>
                    <w:rPr>
                      <w:rFonts w:hint="default" w:ascii="Times New Roman" w:hAnsi="Times New Roman" w:eastAsia="宋体" w:cs="Times New Roman"/>
                      <w:color w:val="auto"/>
                      <w:spacing w:val="0"/>
                      <w:kern w:val="2"/>
                      <w:sz w:val="21"/>
                      <w:szCs w:val="21"/>
                      <w:highlight w:val="none"/>
                      <w:vertAlign w:val="baseline"/>
                      <w:lang w:val="en-US" w:eastAsia="zh-CN" w:bidi="ar-SA"/>
                    </w:rPr>
                    <w:t>频次为每2小时1次</w:t>
                  </w:r>
                  <w:r>
                    <w:rPr>
                      <w:rFonts w:hint="eastAsia" w:ascii="Times New Roman" w:hAnsi="Times New Roman" w:eastAsia="宋体" w:cs="Times New Roman"/>
                      <w:color w:val="auto"/>
                      <w:spacing w:val="0"/>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定点卸料，</w:t>
                  </w:r>
                  <w:r>
                    <w:rPr>
                      <w:rFonts w:hint="eastAsia" w:cs="Times New Roman"/>
                      <w:color w:val="auto"/>
                      <w:kern w:val="2"/>
                      <w:sz w:val="21"/>
                      <w:szCs w:val="21"/>
                      <w:highlight w:val="none"/>
                      <w:lang w:val="en-US" w:eastAsia="zh-CN" w:bidi="ar-SA"/>
                    </w:rPr>
                    <w:t>保持</w:t>
                  </w:r>
                  <w:r>
                    <w:rPr>
                      <w:rFonts w:hint="default" w:ascii="Times New Roman" w:hAnsi="Times New Roman" w:eastAsia="宋体" w:cs="Times New Roman"/>
                      <w:color w:val="auto"/>
                      <w:kern w:val="2"/>
                      <w:sz w:val="21"/>
                      <w:szCs w:val="21"/>
                      <w:highlight w:val="none"/>
                      <w:lang w:val="en-US" w:eastAsia="zh-CN" w:bidi="ar-SA"/>
                    </w:rPr>
                    <w:t>平缓，卸料过程开启喷雾降尘装置，持续时长为卸料作业时长</w:t>
                  </w:r>
                </w:p>
              </w:tc>
              <w:tc>
                <w:tcPr>
                  <w:tcW w:w="738" w:type="dxa"/>
                  <w:tcBorders>
                    <w:tl2br w:val="nil"/>
                    <w:tr2bl w:val="nil"/>
                  </w:tcBorders>
                  <w:noWrap w:val="0"/>
                  <w:vAlign w:val="center"/>
                </w:tcPr>
                <w:p w14:paraId="016BB05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265C7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Merge w:val="continue"/>
                  <w:tcBorders>
                    <w:tl2br w:val="nil"/>
                    <w:tr2bl w:val="nil"/>
                  </w:tcBorders>
                  <w:noWrap w:val="0"/>
                  <w:vAlign w:val="center"/>
                </w:tcPr>
                <w:p w14:paraId="2D0E71F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6A27E6F8">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0342C47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矸石受料斗粉尘</w:t>
                  </w:r>
                </w:p>
              </w:tc>
              <w:tc>
                <w:tcPr>
                  <w:tcW w:w="4837" w:type="dxa"/>
                  <w:tcBorders>
                    <w:tl2br w:val="nil"/>
                    <w:tr2bl w:val="nil"/>
                  </w:tcBorders>
                  <w:noWrap w:val="0"/>
                  <w:vAlign w:val="center"/>
                </w:tcPr>
                <w:p w14:paraId="4B77ECB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矸石受料斗位于全封闭储矸棚内，为半地埋式结构</w:t>
                  </w:r>
                  <w:r>
                    <w:rPr>
                      <w:rFonts w:hint="eastAsia" w:cs="Times New Roman"/>
                      <w:color w:val="auto"/>
                      <w:kern w:val="2"/>
                      <w:sz w:val="21"/>
                      <w:szCs w:val="21"/>
                      <w:highlight w:val="none"/>
                      <w:lang w:val="en-US" w:eastAsia="zh-CN" w:bidi="ar-SA"/>
                    </w:rPr>
                    <w:t>；受料斗上方设置1个半密闭集气罩</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尺寸3m×2m，</w:t>
                  </w:r>
                  <w:r>
                    <w:rPr>
                      <w:rFonts w:hint="default" w:ascii="Times New Roman" w:hAnsi="Times New Roman" w:cs="Times New Roman"/>
                      <w:color w:val="auto"/>
                      <w:kern w:val="2"/>
                      <w:sz w:val="21"/>
                      <w:szCs w:val="21"/>
                      <w:highlight w:val="none"/>
                      <w:lang w:val="en-US" w:eastAsia="zh-CN" w:bidi="ar-SA"/>
                    </w:rPr>
                    <w:t>采用通风柜形式，彩钢板三面封闭</w:t>
                  </w:r>
                  <w:r>
                    <w:rPr>
                      <w:rFonts w:hint="eastAsia" w:cs="Times New Roman"/>
                      <w:color w:val="auto"/>
                      <w:kern w:val="2"/>
                      <w:sz w:val="21"/>
                      <w:szCs w:val="21"/>
                      <w:highlight w:val="none"/>
                      <w:lang w:val="en-US" w:eastAsia="zh-CN" w:bidi="ar-SA"/>
                    </w:rPr>
                    <w:t>，收集效率90%</w:t>
                  </w:r>
                  <w:r>
                    <w:rPr>
                      <w:rFonts w:hint="default" w:ascii="Times New Roman" w:hAnsi="Times New Roman" w:cs="Times New Roman"/>
                      <w:color w:val="auto"/>
                      <w:kern w:val="2"/>
                      <w:sz w:val="21"/>
                      <w:szCs w:val="21"/>
                      <w:highlight w:val="none"/>
                      <w:lang w:val="en-US" w:eastAsia="zh-CN" w:bidi="ar-SA"/>
                    </w:rPr>
                    <w:t>），粉尘经收集引入1台袋式除尘器</w:t>
                  </w:r>
                  <w:r>
                    <w:rPr>
                      <w:rFonts w:hint="eastAsia" w:cs="Times New Roman"/>
                      <w:color w:val="auto"/>
                      <w:kern w:val="2"/>
                      <w:sz w:val="21"/>
                      <w:szCs w:val="21"/>
                      <w:highlight w:val="none"/>
                      <w:lang w:val="en-US" w:eastAsia="zh-CN" w:bidi="ar-SA"/>
                    </w:rPr>
                    <w:t>（风量26000m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/h，过滤面积542m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，滤袋材质为涤纶针刺毡，过滤风速0.8m/min）</w:t>
                  </w:r>
                  <w:r>
                    <w:rPr>
                      <w:rFonts w:hint="default" w:ascii="Times New Roman" w:hAnsi="Times New Roman" w:cs="Times New Roman"/>
                      <w:color w:val="auto"/>
                      <w:kern w:val="2"/>
                      <w:sz w:val="21"/>
                      <w:szCs w:val="21"/>
                      <w:highlight w:val="none"/>
                      <w:lang w:val="en-US" w:eastAsia="zh-CN" w:bidi="ar-SA"/>
                    </w:rPr>
                    <w:t>进行处理，处理后由1根15m高排气筒排放（</w:t>
                  </w:r>
                  <w:r>
                    <w:rPr>
                      <w:rFonts w:hint="eastAsia" w:cs="Times New Roman"/>
                      <w:color w:val="auto"/>
                      <w:kern w:val="2"/>
                      <w:sz w:val="21"/>
                      <w:szCs w:val="21"/>
                      <w:highlight w:val="none"/>
                      <w:lang w:val="en-US" w:eastAsia="zh-CN" w:bidi="ar-SA"/>
                    </w:rPr>
                    <w:t>DA001，</w:t>
                  </w:r>
                  <w:r>
                    <w:rPr>
                      <w:rFonts w:hint="default" w:ascii="Times New Roman" w:hAnsi="Times New Roman" w:cs="Times New Roman"/>
                      <w:color w:val="auto"/>
                      <w:kern w:val="2"/>
                      <w:sz w:val="21"/>
                      <w:szCs w:val="21"/>
                      <w:highlight w:val="none"/>
                      <w:lang w:val="en-US" w:eastAsia="zh-CN" w:bidi="ar-SA"/>
                    </w:rPr>
                    <w:t>内径0.</w:t>
                  </w:r>
                  <w:r>
                    <w:rPr>
                      <w:rFonts w:hint="eastAsia" w:ascii="Times New Roman" w:hAnsi="Times New Roman" w:cs="Times New Roman"/>
                      <w:color w:val="auto"/>
                      <w:kern w:val="2"/>
                      <w:sz w:val="21"/>
                      <w:szCs w:val="21"/>
                      <w:highlight w:val="none"/>
                      <w:lang w:val="en-US" w:eastAsia="zh-CN" w:bidi="ar-SA"/>
                    </w:rPr>
                    <w:t>3</w:t>
                  </w:r>
                  <w:r>
                    <w:rPr>
                      <w:rFonts w:hint="default" w:ascii="Times New Roman" w:hAnsi="Times New Roman" w:cs="Times New Roman"/>
                      <w:color w:val="auto"/>
                      <w:kern w:val="2"/>
                      <w:sz w:val="21"/>
                      <w:szCs w:val="21"/>
                      <w:highlight w:val="none"/>
                      <w:lang w:val="en-US" w:eastAsia="zh-CN" w:bidi="ar-SA"/>
                    </w:rPr>
                    <w:t>m）</w:t>
                  </w:r>
                </w:p>
              </w:tc>
              <w:tc>
                <w:tcPr>
                  <w:tcW w:w="738" w:type="dxa"/>
                  <w:tcBorders>
                    <w:tl2br w:val="nil"/>
                    <w:tr2bl w:val="nil"/>
                  </w:tcBorders>
                  <w:noWrap w:val="0"/>
                  <w:vAlign w:val="center"/>
                </w:tcPr>
                <w:p w14:paraId="1018704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5D6B3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64C745F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38608FBC">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0BCC8FD4">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 w:val="21"/>
                      <w:szCs w:val="21"/>
                      <w:highlight w:val="none"/>
                      <w:lang w:val="en-US" w:eastAsia="zh-CN"/>
                    </w:rPr>
                    <w:t>水泥</w:t>
                  </w:r>
                  <w:r>
                    <w:rPr>
                      <w:rFonts w:hint="default" w:ascii="Times New Roman" w:hAnsi="Times New Roman" w:cs="Times New Roman"/>
                      <w:color w:val="auto"/>
                      <w:spacing w:val="0"/>
                      <w:sz w:val="21"/>
                      <w:szCs w:val="21"/>
                      <w:highlight w:val="none"/>
                    </w:rPr>
                    <w:t>筒仓</w:t>
                  </w:r>
                  <w:r>
                    <w:rPr>
                      <w:rFonts w:hint="default" w:ascii="Times New Roman" w:hAnsi="Times New Roman" w:cs="Times New Roman"/>
                      <w:color w:val="auto"/>
                      <w:spacing w:val="0"/>
                      <w:sz w:val="21"/>
                      <w:szCs w:val="21"/>
                      <w:highlight w:val="none"/>
                      <w:lang w:val="en-US" w:eastAsia="zh-CN"/>
                    </w:rPr>
                    <w:t>粉尘</w:t>
                  </w:r>
                </w:p>
              </w:tc>
              <w:tc>
                <w:tcPr>
                  <w:tcW w:w="4837" w:type="dxa"/>
                  <w:tcBorders>
                    <w:tl2br w:val="nil"/>
                    <w:tr2bl w:val="nil"/>
                  </w:tcBorders>
                  <w:noWrap w:val="0"/>
                  <w:vAlign w:val="center"/>
                </w:tcPr>
                <w:p w14:paraId="414905D8">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每座水泥筒仓仓顶均配套设置1台袋式除尘器（共</w:t>
                  </w:r>
                  <w:r>
                    <w:rPr>
                      <w:rFonts w:hint="eastAsia" w:cs="Times New Roman"/>
                      <w:color w:val="auto"/>
                      <w:spacing w:val="0"/>
                      <w:kern w:val="2"/>
                      <w:sz w:val="21"/>
                      <w:szCs w:val="21"/>
                      <w:highlight w:val="none"/>
                      <w:lang w:val="en-US" w:eastAsia="zh-CN" w:bidi="ar-SA"/>
                    </w:rPr>
                    <w:t>6</w:t>
                  </w:r>
                  <w:r>
                    <w:rPr>
                      <w:rFonts w:hint="eastAsia" w:ascii="Times New Roman" w:hAnsi="Times New Roman" w:eastAsia="宋体" w:cs="Times New Roman"/>
                      <w:color w:val="auto"/>
                      <w:spacing w:val="0"/>
                      <w:kern w:val="2"/>
                      <w:sz w:val="21"/>
                      <w:szCs w:val="21"/>
                      <w:highlight w:val="none"/>
                      <w:lang w:val="en-US" w:eastAsia="zh-CN" w:bidi="ar-SA"/>
                    </w:rPr>
                    <w:t>台，风量均为2500m</w:t>
                  </w:r>
                  <w:r>
                    <w:rPr>
                      <w:rFonts w:hint="eastAsia" w:ascii="Times New Roman" w:hAnsi="Times New Roman" w:eastAsia="宋体" w:cs="Times New Roman"/>
                      <w:color w:val="auto"/>
                      <w:spacing w:val="0"/>
                      <w:kern w:val="2"/>
                      <w:sz w:val="21"/>
                      <w:szCs w:val="21"/>
                      <w:highlight w:val="none"/>
                      <w:vertAlign w:val="superscript"/>
                      <w:lang w:val="en-US" w:eastAsia="zh-CN" w:bidi="ar-SA"/>
                    </w:rPr>
                    <w:t>3</w:t>
                  </w:r>
                  <w:r>
                    <w:rPr>
                      <w:rFonts w:hint="eastAsia" w:ascii="Times New Roman" w:hAnsi="Times New Roman" w:eastAsia="宋体" w:cs="Times New Roman"/>
                      <w:color w:val="auto"/>
                      <w:spacing w:val="0"/>
                      <w:kern w:val="2"/>
                      <w:sz w:val="21"/>
                      <w:szCs w:val="21"/>
                      <w:highlight w:val="none"/>
                      <w:lang w:val="en-US" w:eastAsia="zh-CN" w:bidi="ar-SA"/>
                    </w:rPr>
                    <w:t>/h，布袋材质：涤纶针刺毡，过滤风速0.8m/min，过滤面积</w:t>
                  </w:r>
                  <w:r>
                    <w:rPr>
                      <w:rFonts w:hint="eastAsia" w:cs="Times New Roman"/>
                      <w:color w:val="auto"/>
                      <w:spacing w:val="0"/>
                      <w:kern w:val="2"/>
                      <w:sz w:val="21"/>
                      <w:szCs w:val="21"/>
                      <w:highlight w:val="none"/>
                      <w:lang w:val="en-US" w:eastAsia="zh-CN" w:bidi="ar-SA"/>
                    </w:rPr>
                    <w:t>52.1</w:t>
                  </w:r>
                  <w:r>
                    <w:rPr>
                      <w:rFonts w:hint="eastAsia" w:ascii="Times New Roman" w:hAnsi="Times New Roman" w:eastAsia="宋体" w:cs="Times New Roman"/>
                      <w:color w:val="auto"/>
                      <w:spacing w:val="0"/>
                      <w:kern w:val="2"/>
                      <w:sz w:val="21"/>
                      <w:szCs w:val="21"/>
                      <w:highlight w:val="none"/>
                      <w:lang w:val="en-US" w:eastAsia="zh-CN" w:bidi="ar-SA"/>
                    </w:rPr>
                    <w:t>m</w:t>
                  </w:r>
                  <w:r>
                    <w:rPr>
                      <w:rFonts w:hint="eastAsia" w:ascii="Times New Roman" w:hAnsi="Times New Roman" w:eastAsia="宋体" w:cs="Times New Roman"/>
                      <w:color w:val="auto"/>
                      <w:spacing w:val="0"/>
                      <w:kern w:val="2"/>
                      <w:sz w:val="21"/>
                      <w:szCs w:val="21"/>
                      <w:highlight w:val="none"/>
                      <w:vertAlign w:val="superscript"/>
                      <w:lang w:val="en-US" w:eastAsia="zh-CN" w:bidi="ar-SA"/>
                    </w:rPr>
                    <w:t>2</w:t>
                  </w:r>
                  <w:r>
                    <w:rPr>
                      <w:rFonts w:hint="eastAsia" w:ascii="Times New Roman" w:hAnsi="Times New Roman" w:eastAsia="宋体" w:cs="Times New Roman"/>
                      <w:color w:val="auto"/>
                      <w:spacing w:val="0"/>
                      <w:kern w:val="2"/>
                      <w:sz w:val="21"/>
                      <w:szCs w:val="21"/>
                      <w:highlight w:val="none"/>
                      <w:lang w:val="en-US" w:eastAsia="zh-CN" w:bidi="ar-SA"/>
                    </w:rPr>
                    <w:t>），仓顶呼吸孔均设集气管，每台袋式除尘器均配套设置1根排气筒（共</w:t>
                  </w:r>
                  <w:r>
                    <w:rPr>
                      <w:rFonts w:hint="eastAsia" w:cs="Times New Roman"/>
                      <w:color w:val="auto"/>
                      <w:spacing w:val="0"/>
                      <w:kern w:val="2"/>
                      <w:sz w:val="21"/>
                      <w:szCs w:val="21"/>
                      <w:highlight w:val="none"/>
                      <w:lang w:val="en-US" w:eastAsia="zh-CN" w:bidi="ar-SA"/>
                    </w:rPr>
                    <w:t>6</w:t>
                  </w:r>
                  <w:r>
                    <w:rPr>
                      <w:rFonts w:hint="eastAsia" w:ascii="Times New Roman" w:hAnsi="Times New Roman" w:eastAsia="宋体" w:cs="Times New Roman"/>
                      <w:color w:val="auto"/>
                      <w:spacing w:val="0"/>
                      <w:kern w:val="2"/>
                      <w:sz w:val="21"/>
                      <w:szCs w:val="21"/>
                      <w:highlight w:val="none"/>
                      <w:lang w:val="en-US" w:eastAsia="zh-CN" w:bidi="ar-SA"/>
                    </w:rPr>
                    <w:t>根，</w:t>
                  </w:r>
                  <w:r>
                    <w:rPr>
                      <w:rFonts w:hint="eastAsia" w:cs="Times New Roman"/>
                      <w:color w:val="auto"/>
                      <w:spacing w:val="0"/>
                      <w:kern w:val="2"/>
                      <w:sz w:val="21"/>
                      <w:szCs w:val="21"/>
                      <w:highlight w:val="none"/>
                      <w:lang w:val="en-US" w:eastAsia="zh-CN" w:bidi="ar-SA"/>
                    </w:rPr>
                    <w:t>高度20m，内径0.3m</w:t>
                  </w:r>
                  <w:r>
                    <w:rPr>
                      <w:rFonts w:hint="eastAsia" w:ascii="Times New Roman" w:hAnsi="Times New Roman" w:eastAsia="宋体" w:cs="Times New Roman"/>
                      <w:color w:val="auto"/>
                      <w:spacing w:val="0"/>
                      <w:kern w:val="2"/>
                      <w:sz w:val="21"/>
                      <w:szCs w:val="21"/>
                      <w:highlight w:val="none"/>
                      <w:lang w:val="en-US" w:eastAsia="zh-CN" w:bidi="ar-SA"/>
                    </w:rPr>
                    <w:t>），粉尘经各自配套袋式除尘器处理后由配套排气筒（DA00</w:t>
                  </w:r>
                  <w:r>
                    <w:rPr>
                      <w:rFonts w:hint="eastAsia" w:cs="Times New Roman"/>
                      <w:color w:val="auto"/>
                      <w:spacing w:val="0"/>
                      <w:kern w:val="2"/>
                      <w:sz w:val="21"/>
                      <w:szCs w:val="21"/>
                      <w:highlight w:val="none"/>
                      <w:lang w:val="en-US" w:eastAsia="zh-CN" w:bidi="ar-SA"/>
                    </w:rPr>
                    <w:t>2</w:t>
                  </w:r>
                  <w:r>
                    <w:rPr>
                      <w:rFonts w:hint="eastAsia" w:ascii="Times New Roman" w:hAnsi="Times New Roman" w:eastAsia="宋体" w:cs="Times New Roman"/>
                      <w:color w:val="auto"/>
                      <w:spacing w:val="0"/>
                      <w:kern w:val="2"/>
                      <w:sz w:val="21"/>
                      <w:szCs w:val="21"/>
                      <w:highlight w:val="none"/>
                      <w:lang w:val="en-US" w:eastAsia="zh-CN" w:bidi="ar-SA"/>
                    </w:rPr>
                    <w:t>~DA00</w:t>
                  </w:r>
                  <w:r>
                    <w:rPr>
                      <w:rFonts w:hint="eastAsia" w:cs="Times New Roman"/>
                      <w:color w:val="auto"/>
                      <w:spacing w:val="0"/>
                      <w:kern w:val="2"/>
                      <w:sz w:val="21"/>
                      <w:szCs w:val="21"/>
                      <w:highlight w:val="none"/>
                      <w:lang w:val="en-US" w:eastAsia="zh-CN" w:bidi="ar-SA"/>
                    </w:rPr>
                    <w:t>7</w:t>
                  </w:r>
                  <w:r>
                    <w:rPr>
                      <w:rFonts w:hint="eastAsia" w:ascii="Times New Roman" w:hAnsi="Times New Roman" w:eastAsia="宋体" w:cs="Times New Roman"/>
                      <w:color w:val="auto"/>
                      <w:spacing w:val="0"/>
                      <w:kern w:val="2"/>
                      <w:sz w:val="21"/>
                      <w:szCs w:val="21"/>
                      <w:highlight w:val="none"/>
                      <w:lang w:val="en-US" w:eastAsia="zh-CN" w:bidi="ar-SA"/>
                    </w:rPr>
                    <w:t>）排放</w:t>
                  </w:r>
                </w:p>
              </w:tc>
              <w:tc>
                <w:tcPr>
                  <w:tcW w:w="738" w:type="dxa"/>
                  <w:tcBorders>
                    <w:tl2br w:val="nil"/>
                    <w:tr2bl w:val="nil"/>
                  </w:tcBorders>
                  <w:noWrap w:val="0"/>
                  <w:vAlign w:val="center"/>
                </w:tcPr>
                <w:p w14:paraId="198A0E1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51C2C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768B0C5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535BB70C">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1A425DE9">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制浆机</w:t>
                  </w:r>
                </w:p>
                <w:p w14:paraId="4002B022">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粉尘</w:t>
                  </w:r>
                </w:p>
              </w:tc>
              <w:tc>
                <w:tcPr>
                  <w:tcW w:w="4837" w:type="dxa"/>
                  <w:tcBorders>
                    <w:tl2br w:val="nil"/>
                    <w:tr2bl w:val="nil"/>
                  </w:tcBorders>
                  <w:noWrap w:val="0"/>
                  <w:vAlign w:val="center"/>
                </w:tcPr>
                <w:p w14:paraId="41955A17">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高速制浆机位于全封闭制浆车间内，每台制浆机上方均安装集气管道，粉尘经集气管道引入1台袋式除尘器</w:t>
                  </w:r>
                  <w:r>
                    <w:rPr>
                      <w:rFonts w:hint="eastAsia" w:cs="Times New Roman"/>
                      <w:color w:val="auto"/>
                      <w:kern w:val="2"/>
                      <w:sz w:val="21"/>
                      <w:szCs w:val="21"/>
                      <w:highlight w:val="none"/>
                      <w:lang w:val="en-US" w:eastAsia="zh-CN" w:bidi="ar-SA"/>
                    </w:rPr>
                    <w:t>（风量26000m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/h，过滤面积542m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，滤袋材质为涤纶针刺毡，过滤风速0.8m/min）</w:t>
                  </w:r>
                  <w:r>
                    <w:rPr>
                      <w:rFonts w:hint="eastAsia" w:ascii="Times New Roman" w:hAnsi="Times New Roman" w:eastAsia="宋体" w:cs="Times New Roman"/>
                      <w:color w:val="auto"/>
                      <w:spacing w:val="0"/>
                      <w:kern w:val="2"/>
                      <w:sz w:val="21"/>
                      <w:szCs w:val="21"/>
                      <w:highlight w:val="none"/>
                      <w:lang w:val="en-US" w:eastAsia="zh-CN" w:bidi="ar-SA"/>
                    </w:rPr>
                    <w:t>进行处理，处理后由1根15m高排气筒排放（</w:t>
                  </w:r>
                  <w:r>
                    <w:rPr>
                      <w:rFonts w:hint="eastAsia" w:cs="Times New Roman"/>
                      <w:color w:val="auto"/>
                      <w:spacing w:val="0"/>
                      <w:kern w:val="2"/>
                      <w:sz w:val="21"/>
                      <w:szCs w:val="21"/>
                      <w:highlight w:val="none"/>
                      <w:lang w:val="en-US" w:eastAsia="zh-CN" w:bidi="ar-SA"/>
                    </w:rPr>
                    <w:t>DA008，</w:t>
                  </w:r>
                  <w:r>
                    <w:rPr>
                      <w:rFonts w:hint="eastAsia" w:ascii="Times New Roman" w:hAnsi="Times New Roman" w:eastAsia="宋体" w:cs="Times New Roman"/>
                      <w:color w:val="auto"/>
                      <w:spacing w:val="0"/>
                      <w:kern w:val="2"/>
                      <w:sz w:val="21"/>
                      <w:szCs w:val="21"/>
                      <w:highlight w:val="none"/>
                      <w:lang w:val="en-US" w:eastAsia="zh-CN" w:bidi="ar-SA"/>
                    </w:rPr>
                    <w:t>内径0.3m）</w:t>
                  </w:r>
                </w:p>
              </w:tc>
              <w:tc>
                <w:tcPr>
                  <w:tcW w:w="738" w:type="dxa"/>
                  <w:tcBorders>
                    <w:tl2br w:val="nil"/>
                    <w:tr2bl w:val="nil"/>
                  </w:tcBorders>
                  <w:noWrap w:val="0"/>
                  <w:vAlign w:val="center"/>
                </w:tcPr>
                <w:p w14:paraId="748CF65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0836D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03" w:type="dxa"/>
                  <w:vMerge w:val="continue"/>
                  <w:tcBorders>
                    <w:tl2br w:val="nil"/>
                    <w:tr2bl w:val="nil"/>
                  </w:tcBorders>
                  <w:noWrap w:val="0"/>
                  <w:vAlign w:val="center"/>
                </w:tcPr>
                <w:p w14:paraId="5E0369E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442B25D0">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16E268C1">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 w:val="21"/>
                      <w:szCs w:val="21"/>
                      <w:highlight w:val="none"/>
                      <w:lang w:val="en-US" w:eastAsia="zh-CN"/>
                    </w:rPr>
                    <w:t>物料输送粉尘</w:t>
                  </w:r>
                </w:p>
              </w:tc>
              <w:tc>
                <w:tcPr>
                  <w:tcW w:w="4837" w:type="dxa"/>
                  <w:tcBorders>
                    <w:tl2br w:val="nil"/>
                    <w:tr2bl w:val="nil"/>
                  </w:tcBorders>
                  <w:noWrap w:val="0"/>
                  <w:vAlign w:val="center"/>
                </w:tcPr>
                <w:p w14:paraId="02F54418">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水泥采用全封闭螺旋输送机供料</w:t>
                  </w:r>
                </w:p>
              </w:tc>
              <w:tc>
                <w:tcPr>
                  <w:tcW w:w="738" w:type="dxa"/>
                  <w:tcBorders>
                    <w:tl2br w:val="nil"/>
                    <w:tr2bl w:val="nil"/>
                  </w:tcBorders>
                  <w:noWrap w:val="0"/>
                  <w:vAlign w:val="center"/>
                </w:tcPr>
                <w:p w14:paraId="72296322">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E494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03" w:type="dxa"/>
                  <w:vMerge w:val="continue"/>
                  <w:tcBorders>
                    <w:tl2br w:val="nil"/>
                    <w:tr2bl w:val="nil"/>
                  </w:tcBorders>
                  <w:noWrap w:val="0"/>
                  <w:vAlign w:val="center"/>
                </w:tcPr>
                <w:p w14:paraId="092A03D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30FB534F">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7263CEE7">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道路扬尘</w:t>
                  </w:r>
                </w:p>
              </w:tc>
              <w:tc>
                <w:tcPr>
                  <w:tcW w:w="4837" w:type="dxa"/>
                  <w:tcBorders>
                    <w:tl2br w:val="nil"/>
                    <w:tr2bl w:val="nil"/>
                  </w:tcBorders>
                  <w:noWrap w:val="0"/>
                  <w:vAlign w:val="center"/>
                </w:tcPr>
                <w:p w14:paraId="1DF9A5A3">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厂区地面硬化，定期洒水抑尘；运输车辆采用全封闭厢式车，车辆离开厂区时，对汽车轮胎清洗后方可上路</w:t>
                  </w:r>
                </w:p>
              </w:tc>
              <w:tc>
                <w:tcPr>
                  <w:tcW w:w="738" w:type="dxa"/>
                  <w:tcBorders>
                    <w:tl2br w:val="nil"/>
                    <w:tr2bl w:val="nil"/>
                  </w:tcBorders>
                  <w:noWrap w:val="0"/>
                  <w:vAlign w:val="center"/>
                </w:tcPr>
                <w:p w14:paraId="2D679D9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新建</w:t>
                  </w:r>
                </w:p>
              </w:tc>
            </w:tr>
            <w:tr w14:paraId="4BD0D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3" w:type="dxa"/>
                  <w:vMerge w:val="continue"/>
                  <w:tcBorders>
                    <w:tl2br w:val="nil"/>
                    <w:tr2bl w:val="nil"/>
                  </w:tcBorders>
                  <w:noWrap w:val="0"/>
                  <w:vAlign w:val="center"/>
                </w:tcPr>
                <w:p w14:paraId="0CF4133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restart"/>
                  <w:tcBorders>
                    <w:tl2br w:val="nil"/>
                    <w:tr2bl w:val="nil"/>
                  </w:tcBorders>
                  <w:noWrap w:val="0"/>
                  <w:vAlign w:val="center"/>
                </w:tcPr>
                <w:p w14:paraId="6F599C4D">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200" w:type="dxa"/>
                  <w:tcBorders>
                    <w:tl2br w:val="nil"/>
                    <w:tr2bl w:val="nil"/>
                  </w:tcBorders>
                  <w:noWrap w:val="0"/>
                  <w:vAlign w:val="center"/>
                </w:tcPr>
                <w:p w14:paraId="071317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浆料系统清洗废水</w:t>
                  </w:r>
                </w:p>
              </w:tc>
              <w:tc>
                <w:tcPr>
                  <w:tcW w:w="4837" w:type="dxa"/>
                  <w:tcBorders>
                    <w:tl2br w:val="nil"/>
                    <w:tr2bl w:val="nil"/>
                  </w:tcBorders>
                  <w:noWrap w:val="0"/>
                  <w:vAlign w:val="center"/>
                </w:tcPr>
                <w:p w14:paraId="05A3758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浆料系统清洗废水沿井筒污水管道输送至现有矿井水处理站处理后回用</w:t>
                  </w:r>
                </w:p>
              </w:tc>
              <w:tc>
                <w:tcPr>
                  <w:tcW w:w="738" w:type="dxa"/>
                  <w:tcBorders>
                    <w:tl2br w:val="nil"/>
                    <w:tr2bl w:val="nil"/>
                  </w:tcBorders>
                  <w:noWrap w:val="0"/>
                  <w:vAlign w:val="center"/>
                </w:tcPr>
                <w:p w14:paraId="23480F85">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依托原有</w:t>
                  </w:r>
                </w:p>
              </w:tc>
            </w:tr>
            <w:tr w14:paraId="55427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282973D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78357EAB">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08338A8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地面冲洗废水</w:t>
                  </w:r>
                </w:p>
              </w:tc>
              <w:tc>
                <w:tcPr>
                  <w:tcW w:w="4837" w:type="dxa"/>
                  <w:tcBorders>
                    <w:tl2br w:val="nil"/>
                    <w:tr2bl w:val="nil"/>
                  </w:tcBorders>
                  <w:noWrap w:val="0"/>
                  <w:vAlign w:val="center"/>
                </w:tcPr>
                <w:p w14:paraId="1321A5C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制浆车间外建设1座6</w:t>
                  </w:r>
                  <w:r>
                    <w:rPr>
                      <w:rFonts w:hint="eastAsia"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沉淀池</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地面</w:t>
                  </w:r>
                  <w:r>
                    <w:rPr>
                      <w:rFonts w:hint="eastAsia" w:ascii="Times New Roman" w:hAnsi="Times New Roman" w:eastAsia="宋体" w:cs="Times New Roman"/>
                      <w:color w:val="auto"/>
                      <w:kern w:val="2"/>
                      <w:sz w:val="21"/>
                      <w:szCs w:val="21"/>
                      <w:highlight w:val="none"/>
                      <w:lang w:val="en-US" w:eastAsia="zh-CN" w:bidi="ar-SA"/>
                    </w:rPr>
                    <w:t>冲洗废水经车间内排水渠导流至制浆车间外沉淀池，经沉淀处理后全部回用于生产，不外排</w:t>
                  </w:r>
                </w:p>
              </w:tc>
              <w:tc>
                <w:tcPr>
                  <w:tcW w:w="738" w:type="dxa"/>
                  <w:tcBorders>
                    <w:tl2br w:val="nil"/>
                    <w:tr2bl w:val="nil"/>
                  </w:tcBorders>
                  <w:noWrap w:val="0"/>
                  <w:vAlign w:val="center"/>
                </w:tcPr>
                <w:p w14:paraId="51CC307D">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4241B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496DA32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2E2780DD">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60F6A83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洗车废水</w:t>
                  </w:r>
                </w:p>
              </w:tc>
              <w:tc>
                <w:tcPr>
                  <w:tcW w:w="4837" w:type="dxa"/>
                  <w:tcBorders>
                    <w:tl2br w:val="nil"/>
                    <w:tr2bl w:val="nil"/>
                  </w:tcBorders>
                  <w:noWrap w:val="0"/>
                  <w:vAlign w:val="center"/>
                </w:tcPr>
                <w:p w14:paraId="055EE9DF">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洗车废水经三级沉淀池沉淀处理后，回用至洗车工序，循环使用，不外排</w:t>
                  </w:r>
                </w:p>
              </w:tc>
              <w:tc>
                <w:tcPr>
                  <w:tcW w:w="738" w:type="dxa"/>
                  <w:tcBorders>
                    <w:tl2br w:val="nil"/>
                    <w:tr2bl w:val="nil"/>
                  </w:tcBorders>
                  <w:noWrap w:val="0"/>
                  <w:vAlign w:val="center"/>
                </w:tcPr>
                <w:p w14:paraId="3601A453">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1BCD8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34BE7C8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190CF544">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5C4A454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4837" w:type="dxa"/>
                  <w:tcBorders>
                    <w:tl2br w:val="nil"/>
                    <w:tr2bl w:val="nil"/>
                  </w:tcBorders>
                  <w:noWrap w:val="0"/>
                  <w:vAlign w:val="center"/>
                </w:tcPr>
                <w:p w14:paraId="71FA41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生活污水主要为职工日常洗漱废水，水质较为简单，</w:t>
                  </w:r>
                  <w:r>
                    <w:rPr>
                      <w:rFonts w:hint="eastAsia" w:cs="Times New Roman"/>
                      <w:color w:val="auto"/>
                      <w:kern w:val="2"/>
                      <w:sz w:val="21"/>
                      <w:szCs w:val="21"/>
                      <w:highlight w:val="none"/>
                      <w:lang w:val="en-US" w:eastAsia="zh-CN" w:bidi="ar-SA"/>
                    </w:rPr>
                    <w:t>用于厂区洒水抑尘</w:t>
                  </w:r>
                  <w:r>
                    <w:rPr>
                      <w:rFonts w:hint="eastAsia" w:ascii="Times New Roman" w:hAnsi="Times New Roman" w:eastAsia="宋体" w:cs="Times New Roman"/>
                      <w:color w:val="auto"/>
                      <w:kern w:val="2"/>
                      <w:sz w:val="21"/>
                      <w:szCs w:val="21"/>
                      <w:highlight w:val="none"/>
                      <w:lang w:val="en-US" w:eastAsia="zh-CN" w:bidi="ar-SA"/>
                    </w:rPr>
                    <w:t>，不外排</w:t>
                  </w:r>
                </w:p>
              </w:tc>
              <w:tc>
                <w:tcPr>
                  <w:tcW w:w="738" w:type="dxa"/>
                  <w:tcBorders>
                    <w:tl2br w:val="nil"/>
                    <w:tr2bl w:val="nil"/>
                  </w:tcBorders>
                  <w:noWrap w:val="0"/>
                  <w:vAlign w:val="center"/>
                </w:tcPr>
                <w:p w14:paraId="28FA948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1E242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3179235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tcBorders>
                    <w:tl2br w:val="nil"/>
                    <w:tr2bl w:val="nil"/>
                  </w:tcBorders>
                  <w:noWrap w:val="0"/>
                  <w:vAlign w:val="center"/>
                </w:tcPr>
                <w:p w14:paraId="7498D9D0">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200" w:type="dxa"/>
                  <w:tcBorders>
                    <w:tl2br w:val="nil"/>
                    <w:tr2bl w:val="nil"/>
                  </w:tcBorders>
                  <w:noWrap w:val="0"/>
                  <w:vAlign w:val="center"/>
                </w:tcPr>
                <w:p w14:paraId="50DFEDE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生产设备</w:t>
                  </w:r>
                </w:p>
              </w:tc>
              <w:tc>
                <w:tcPr>
                  <w:tcW w:w="4837" w:type="dxa"/>
                  <w:tcBorders>
                    <w:tl2br w:val="nil"/>
                    <w:tr2bl w:val="nil"/>
                  </w:tcBorders>
                  <w:noWrap w:val="0"/>
                  <w:vAlign w:val="center"/>
                </w:tcPr>
                <w:p w14:paraId="1F34F24A">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选用低噪声设备，高噪音设备做基础减振、柔性连接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厂房隔声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加强管理，</w:t>
                  </w:r>
                  <w:r>
                    <w:rPr>
                      <w:rFonts w:hint="default" w:ascii="Times New Roman" w:hAnsi="Times New Roman" w:cs="Times New Roman"/>
                      <w:color w:val="auto"/>
                      <w:szCs w:val="21"/>
                      <w:highlight w:val="none"/>
                    </w:rPr>
                    <w:t>保持设备运行良好；车辆限速行驶，减少鸣笛</w:t>
                  </w:r>
                </w:p>
              </w:tc>
              <w:tc>
                <w:tcPr>
                  <w:tcW w:w="738" w:type="dxa"/>
                  <w:tcBorders>
                    <w:tl2br w:val="nil"/>
                    <w:tr2bl w:val="nil"/>
                  </w:tcBorders>
                  <w:noWrap w:val="0"/>
                  <w:vAlign w:val="center"/>
                </w:tcPr>
                <w:p w14:paraId="2CC06D7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024CC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0787EE7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restart"/>
                  <w:tcBorders>
                    <w:tl2br w:val="nil"/>
                    <w:tr2bl w:val="nil"/>
                  </w:tcBorders>
                  <w:noWrap w:val="0"/>
                  <w:vAlign w:val="center"/>
                </w:tcPr>
                <w:p w14:paraId="3E69D7D9">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w:t>
                  </w:r>
                </w:p>
                <w:p w14:paraId="6BCF299D">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tc>
              <w:tc>
                <w:tcPr>
                  <w:tcW w:w="1200" w:type="dxa"/>
                  <w:tcBorders>
                    <w:tl2br w:val="nil"/>
                    <w:tr2bl w:val="nil"/>
                  </w:tcBorders>
                  <w:noWrap w:val="0"/>
                  <w:vAlign w:val="center"/>
                </w:tcPr>
                <w:p w14:paraId="170B374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一般工业固体废物</w:t>
                  </w:r>
                </w:p>
              </w:tc>
              <w:tc>
                <w:tcPr>
                  <w:tcW w:w="4837" w:type="dxa"/>
                  <w:tcBorders>
                    <w:tl2br w:val="nil"/>
                    <w:tr2bl w:val="nil"/>
                  </w:tcBorders>
                  <w:noWrap w:val="0"/>
                  <w:vAlign w:val="center"/>
                </w:tcPr>
                <w:p w14:paraId="1224F0DC">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除尘器除尘灰、沉淀池沉渣集中收集后回用于搅拌工序</w:t>
                  </w:r>
                </w:p>
              </w:tc>
              <w:tc>
                <w:tcPr>
                  <w:tcW w:w="738" w:type="dxa"/>
                  <w:tcBorders>
                    <w:tl2br w:val="nil"/>
                    <w:tr2bl w:val="nil"/>
                  </w:tcBorders>
                  <w:noWrap w:val="0"/>
                  <w:vAlign w:val="center"/>
                </w:tcPr>
                <w:p w14:paraId="7A311DD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r>
            <w:tr w14:paraId="05CB9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51EA1B3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2B03378D">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1417808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w:t>
                  </w:r>
                </w:p>
              </w:tc>
              <w:tc>
                <w:tcPr>
                  <w:tcW w:w="4837" w:type="dxa"/>
                  <w:tcBorders>
                    <w:tl2br w:val="nil"/>
                    <w:tr2bl w:val="nil"/>
                  </w:tcBorders>
                  <w:shd w:val="clear" w:color="auto" w:fill="auto"/>
                  <w:noWrap w:val="0"/>
                  <w:vAlign w:val="center"/>
                </w:tcPr>
                <w:p w14:paraId="45262BC9">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废矿物油、废油桶分类收集，分区贮存于</w:t>
                  </w:r>
                  <w:r>
                    <w:rPr>
                      <w:rFonts w:hint="eastAsia" w:cs="Times New Roman"/>
                      <w:bCs/>
                      <w:color w:val="auto"/>
                      <w:kern w:val="2"/>
                      <w:sz w:val="21"/>
                      <w:szCs w:val="21"/>
                      <w:highlight w:val="none"/>
                      <w:lang w:val="en-US" w:eastAsia="zh-CN" w:bidi="ar-SA"/>
                    </w:rPr>
                    <w:t>现有</w:t>
                  </w:r>
                  <w:r>
                    <w:rPr>
                      <w:rFonts w:hint="eastAsia" w:ascii="Times New Roman" w:hAnsi="Times New Roman" w:eastAsia="宋体" w:cs="Times New Roman"/>
                      <w:bCs/>
                      <w:color w:val="auto"/>
                      <w:kern w:val="2"/>
                      <w:sz w:val="21"/>
                      <w:szCs w:val="21"/>
                      <w:highlight w:val="none"/>
                      <w:lang w:val="en-US" w:eastAsia="zh-CN" w:bidi="ar-SA"/>
                    </w:rPr>
                    <w:t>危险废物贮存库，定期委托有资质单位处置</w:t>
                  </w:r>
                </w:p>
              </w:tc>
              <w:tc>
                <w:tcPr>
                  <w:tcW w:w="738" w:type="dxa"/>
                  <w:tcBorders>
                    <w:tl2br w:val="nil"/>
                    <w:tr2bl w:val="nil"/>
                  </w:tcBorders>
                  <w:shd w:val="clear" w:color="auto" w:fill="auto"/>
                  <w:noWrap w:val="0"/>
                  <w:vAlign w:val="center"/>
                </w:tcPr>
                <w:p w14:paraId="4F974D8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依托原有</w:t>
                  </w:r>
                </w:p>
              </w:tc>
            </w:tr>
            <w:tr w14:paraId="38A67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3" w:type="dxa"/>
                  <w:vMerge w:val="continue"/>
                  <w:tcBorders>
                    <w:tl2br w:val="nil"/>
                    <w:tr2bl w:val="nil"/>
                  </w:tcBorders>
                  <w:noWrap w:val="0"/>
                  <w:vAlign w:val="center"/>
                </w:tcPr>
                <w:p w14:paraId="02814AE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rPr>
                  </w:pPr>
                </w:p>
              </w:tc>
              <w:tc>
                <w:tcPr>
                  <w:tcW w:w="459" w:type="dxa"/>
                  <w:vMerge w:val="continue"/>
                  <w:tcBorders>
                    <w:tl2br w:val="nil"/>
                    <w:tr2bl w:val="nil"/>
                  </w:tcBorders>
                  <w:noWrap w:val="0"/>
                  <w:vAlign w:val="center"/>
                </w:tcPr>
                <w:p w14:paraId="4F2087DA">
                  <w:pPr>
                    <w:pStyle w:val="6"/>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 w:val="21"/>
                      <w:szCs w:val="21"/>
                      <w:highlight w:val="none"/>
                    </w:rPr>
                  </w:pPr>
                </w:p>
              </w:tc>
              <w:tc>
                <w:tcPr>
                  <w:tcW w:w="1200" w:type="dxa"/>
                  <w:tcBorders>
                    <w:tl2br w:val="nil"/>
                    <w:tr2bl w:val="nil"/>
                  </w:tcBorders>
                  <w:noWrap w:val="0"/>
                  <w:vAlign w:val="center"/>
                </w:tcPr>
                <w:p w14:paraId="7922E82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outlineLvl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4837" w:type="dxa"/>
                  <w:tcBorders>
                    <w:tl2br w:val="nil"/>
                    <w:tr2bl w:val="nil"/>
                  </w:tcBorders>
                  <w:noWrap w:val="0"/>
                  <w:vAlign w:val="center"/>
                </w:tcPr>
                <w:p w14:paraId="1F0722EB">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Cs w:val="21"/>
                      <w:highlight w:val="none"/>
                      <w:lang w:val="en-US" w:eastAsia="zh-CN"/>
                    </w:rPr>
                    <w:t>集中收集后由环卫部门统一处置</w:t>
                  </w:r>
                </w:p>
              </w:tc>
              <w:tc>
                <w:tcPr>
                  <w:tcW w:w="738" w:type="dxa"/>
                  <w:tcBorders>
                    <w:tl2br w:val="nil"/>
                    <w:tr2bl w:val="nil"/>
                  </w:tcBorders>
                  <w:noWrap w:val="0"/>
                  <w:vAlign w:val="center"/>
                </w:tcPr>
                <w:p w14:paraId="635F083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r>
            <w:bookmarkEnd w:id="1"/>
            <w:bookmarkEnd w:id="2"/>
          </w:tbl>
          <w:p w14:paraId="5E0E239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各类池体建设内容见表2.1-2，具体防渗措施见分区防渗方案。</w:t>
            </w:r>
          </w:p>
          <w:p w14:paraId="5C33A71E">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黑体" w:cs="Times New Roman"/>
                <w:iCs/>
                <w:snapToGrid w:val="0"/>
                <w:color w:val="auto"/>
                <w:kern w:val="0"/>
                <w:sz w:val="21"/>
                <w:szCs w:val="20"/>
                <w:highlight w:val="none"/>
                <w:lang w:val="en-US" w:eastAsia="zh-CN" w:bidi="ar-SA"/>
              </w:rPr>
              <w:t>表</w:t>
            </w:r>
            <w:r>
              <w:rPr>
                <w:rFonts w:hint="eastAsia" w:ascii="Times New Roman" w:hAnsi="Times New Roman" w:eastAsia="黑体" w:cs="Times New Roman"/>
                <w:iCs/>
                <w:snapToGrid w:val="0"/>
                <w:color w:val="auto"/>
                <w:kern w:val="0"/>
                <w:sz w:val="21"/>
                <w:szCs w:val="20"/>
                <w:highlight w:val="none"/>
                <w:lang w:val="en-US" w:eastAsia="zh-CN" w:bidi="ar-SA"/>
              </w:rPr>
              <w:t>2.1-2</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ascii="Times New Roman" w:hAnsi="Times New Roman" w:eastAsia="黑体" w:cs="Times New Roman"/>
                <w:iCs/>
                <w:snapToGrid w:val="0"/>
                <w:color w:val="auto"/>
                <w:kern w:val="0"/>
                <w:sz w:val="21"/>
                <w:szCs w:val="20"/>
                <w:highlight w:val="none"/>
                <w:lang w:val="en-US" w:eastAsia="zh-CN" w:bidi="ar-SA"/>
              </w:rPr>
              <w:t>各类池体建设内容</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4"/>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635"/>
              <w:gridCol w:w="1534"/>
              <w:gridCol w:w="1731"/>
              <w:gridCol w:w="1296"/>
              <w:gridCol w:w="640"/>
              <w:gridCol w:w="1383"/>
            </w:tblGrid>
            <w:tr w14:paraId="3835A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0DA9933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序号</w:t>
                  </w:r>
                </w:p>
              </w:tc>
              <w:tc>
                <w:tcPr>
                  <w:tcW w:w="1366" w:type="pct"/>
                  <w:gridSpan w:val="2"/>
                  <w:tcBorders>
                    <w:tl2br w:val="nil"/>
                    <w:tr2bl w:val="nil"/>
                  </w:tcBorders>
                  <w:noWrap w:val="0"/>
                  <w:vAlign w:val="center"/>
                </w:tcPr>
                <w:p w14:paraId="447489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名称</w:t>
                  </w:r>
                </w:p>
              </w:tc>
              <w:tc>
                <w:tcPr>
                  <w:tcW w:w="1090" w:type="pct"/>
                  <w:tcBorders>
                    <w:tl2br w:val="nil"/>
                    <w:tr2bl w:val="nil"/>
                  </w:tcBorders>
                  <w:noWrap w:val="0"/>
                  <w:vAlign w:val="center"/>
                </w:tcPr>
                <w:p w14:paraId="1FAB20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尺寸</w:t>
                  </w:r>
                </w:p>
              </w:tc>
              <w:tc>
                <w:tcPr>
                  <w:tcW w:w="816" w:type="pct"/>
                  <w:tcBorders>
                    <w:tl2br w:val="nil"/>
                    <w:tr2bl w:val="nil"/>
                  </w:tcBorders>
                  <w:noWrap w:val="0"/>
                  <w:vAlign w:val="center"/>
                </w:tcPr>
                <w:p w14:paraId="2A18329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方式</w:t>
                  </w:r>
                </w:p>
              </w:tc>
              <w:tc>
                <w:tcPr>
                  <w:tcW w:w="403" w:type="pct"/>
                  <w:tcBorders>
                    <w:tl2br w:val="nil"/>
                    <w:tr2bl w:val="nil"/>
                  </w:tcBorders>
                  <w:noWrap w:val="0"/>
                  <w:vAlign w:val="center"/>
                </w:tcPr>
                <w:p w14:paraId="56543C4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数量</w:t>
                  </w:r>
                </w:p>
              </w:tc>
              <w:tc>
                <w:tcPr>
                  <w:tcW w:w="870" w:type="pct"/>
                  <w:tcBorders>
                    <w:tl2br w:val="nil"/>
                    <w:tr2bl w:val="nil"/>
                  </w:tcBorders>
                  <w:noWrap w:val="0"/>
                  <w:vAlign w:val="center"/>
                </w:tcPr>
                <w:p w14:paraId="791915F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防渗分区</w:t>
                  </w:r>
                </w:p>
              </w:tc>
            </w:tr>
            <w:tr w14:paraId="2A5A4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2CB6052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366" w:type="pct"/>
                  <w:gridSpan w:val="2"/>
                  <w:tcBorders>
                    <w:tl2br w:val="nil"/>
                    <w:tr2bl w:val="nil"/>
                  </w:tcBorders>
                  <w:shd w:val="clear" w:color="auto" w:fill="auto"/>
                  <w:noWrap w:val="0"/>
                  <w:vAlign w:val="center"/>
                </w:tcPr>
                <w:p w14:paraId="3AE5457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蓄水池</w:t>
                  </w:r>
                </w:p>
              </w:tc>
              <w:tc>
                <w:tcPr>
                  <w:tcW w:w="1090" w:type="pct"/>
                  <w:tcBorders>
                    <w:tl2br w:val="nil"/>
                    <w:tr2bl w:val="nil"/>
                  </w:tcBorders>
                  <w:shd w:val="clear" w:color="auto" w:fill="auto"/>
                  <w:noWrap w:val="0"/>
                  <w:vAlign w:val="center"/>
                </w:tcPr>
                <w:p w14:paraId="22E29BE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12m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9m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3.5m</w:t>
                  </w:r>
                </w:p>
              </w:tc>
              <w:tc>
                <w:tcPr>
                  <w:tcW w:w="816" w:type="pct"/>
                  <w:tcBorders>
                    <w:tl2br w:val="nil"/>
                    <w:tr2bl w:val="nil"/>
                  </w:tcBorders>
                  <w:noWrap w:val="0"/>
                  <w:vAlign w:val="center"/>
                </w:tcPr>
                <w:p w14:paraId="1262739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地下（地埋）</w:t>
                  </w:r>
                </w:p>
              </w:tc>
              <w:tc>
                <w:tcPr>
                  <w:tcW w:w="403" w:type="pct"/>
                  <w:tcBorders>
                    <w:tl2br w:val="nil"/>
                    <w:tr2bl w:val="nil"/>
                  </w:tcBorders>
                  <w:noWrap w:val="0"/>
                  <w:vAlign w:val="center"/>
                </w:tcPr>
                <w:p w14:paraId="3F4F60F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004CE50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r w14:paraId="073DB9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7581C73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00" w:type="pct"/>
                  <w:vMerge w:val="restart"/>
                  <w:tcBorders>
                    <w:tl2br w:val="nil"/>
                    <w:tr2bl w:val="nil"/>
                  </w:tcBorders>
                  <w:noWrap w:val="0"/>
                  <w:vAlign w:val="center"/>
                </w:tcPr>
                <w:p w14:paraId="09E8914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洗车平台</w:t>
                  </w:r>
                </w:p>
              </w:tc>
              <w:tc>
                <w:tcPr>
                  <w:tcW w:w="965" w:type="pct"/>
                  <w:tcBorders>
                    <w:tl2br w:val="nil"/>
                    <w:tr2bl w:val="nil"/>
                  </w:tcBorders>
                  <w:noWrap w:val="0"/>
                  <w:vAlign w:val="center"/>
                </w:tcPr>
                <w:p w14:paraId="5AFB5EC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收集池</w:t>
                  </w:r>
                </w:p>
              </w:tc>
              <w:tc>
                <w:tcPr>
                  <w:tcW w:w="1090" w:type="pct"/>
                  <w:tcBorders>
                    <w:tl2br w:val="nil"/>
                    <w:tr2bl w:val="nil"/>
                  </w:tcBorders>
                  <w:shd w:val="clear" w:color="auto" w:fill="auto"/>
                  <w:noWrap w:val="0"/>
                  <w:vAlign w:val="center"/>
                </w:tcPr>
                <w:p w14:paraId="52ED927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3m</w:t>
                  </w:r>
                </w:p>
              </w:tc>
              <w:tc>
                <w:tcPr>
                  <w:tcW w:w="816" w:type="pct"/>
                  <w:tcBorders>
                    <w:tl2br w:val="nil"/>
                    <w:tr2bl w:val="nil"/>
                  </w:tcBorders>
                  <w:shd w:val="clear" w:color="auto" w:fill="auto"/>
                  <w:noWrap w:val="0"/>
                  <w:vAlign w:val="center"/>
                </w:tcPr>
                <w:p w14:paraId="7C7BA75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地下（地埋）</w:t>
                  </w:r>
                </w:p>
              </w:tc>
              <w:tc>
                <w:tcPr>
                  <w:tcW w:w="403" w:type="pct"/>
                  <w:tcBorders>
                    <w:tl2br w:val="nil"/>
                    <w:tr2bl w:val="nil"/>
                  </w:tcBorders>
                  <w:shd w:val="clear" w:color="auto" w:fill="auto"/>
                  <w:noWrap w:val="0"/>
                  <w:vAlign w:val="center"/>
                </w:tcPr>
                <w:p w14:paraId="4720A2F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5B05521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r w14:paraId="57B32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35BBDB3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400" w:type="pct"/>
                  <w:vMerge w:val="continue"/>
                  <w:tcBorders>
                    <w:tl2br w:val="nil"/>
                    <w:tr2bl w:val="nil"/>
                  </w:tcBorders>
                  <w:noWrap w:val="0"/>
                  <w:vAlign w:val="center"/>
                </w:tcPr>
                <w:p w14:paraId="5758914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p>
              </w:tc>
              <w:tc>
                <w:tcPr>
                  <w:tcW w:w="965" w:type="pct"/>
                  <w:tcBorders>
                    <w:tl2br w:val="nil"/>
                    <w:tr2bl w:val="nil"/>
                  </w:tcBorders>
                  <w:noWrap w:val="0"/>
                  <w:vAlign w:val="center"/>
                </w:tcPr>
                <w:p w14:paraId="6145F99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沉淀池</w:t>
                  </w:r>
                </w:p>
              </w:tc>
              <w:tc>
                <w:tcPr>
                  <w:tcW w:w="1090" w:type="pct"/>
                  <w:tcBorders>
                    <w:tl2br w:val="nil"/>
                    <w:tr2bl w:val="nil"/>
                  </w:tcBorders>
                  <w:noWrap w:val="0"/>
                  <w:vAlign w:val="center"/>
                </w:tcPr>
                <w:p w14:paraId="28364E8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3m</w:t>
                  </w:r>
                </w:p>
              </w:tc>
              <w:tc>
                <w:tcPr>
                  <w:tcW w:w="816" w:type="pct"/>
                  <w:tcBorders>
                    <w:tl2br w:val="nil"/>
                    <w:tr2bl w:val="nil"/>
                  </w:tcBorders>
                  <w:noWrap w:val="0"/>
                  <w:vAlign w:val="center"/>
                </w:tcPr>
                <w:p w14:paraId="4E3E933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地下（地埋）</w:t>
                  </w:r>
                </w:p>
              </w:tc>
              <w:tc>
                <w:tcPr>
                  <w:tcW w:w="403" w:type="pct"/>
                  <w:tcBorders>
                    <w:tl2br w:val="nil"/>
                    <w:tr2bl w:val="nil"/>
                  </w:tcBorders>
                  <w:noWrap w:val="0"/>
                  <w:vAlign w:val="center"/>
                </w:tcPr>
                <w:p w14:paraId="0CD0C88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44472AE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r w14:paraId="311B1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29FE25D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400" w:type="pct"/>
                  <w:vMerge w:val="continue"/>
                  <w:tcBorders>
                    <w:tl2br w:val="nil"/>
                    <w:tr2bl w:val="nil"/>
                  </w:tcBorders>
                  <w:noWrap w:val="0"/>
                  <w:vAlign w:val="center"/>
                </w:tcPr>
                <w:p w14:paraId="7DE44E3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p>
              </w:tc>
              <w:tc>
                <w:tcPr>
                  <w:tcW w:w="965" w:type="pct"/>
                  <w:tcBorders>
                    <w:tl2br w:val="nil"/>
                    <w:tr2bl w:val="nil"/>
                  </w:tcBorders>
                  <w:noWrap w:val="0"/>
                  <w:vAlign w:val="center"/>
                </w:tcPr>
                <w:p w14:paraId="4BDB300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清水池</w:t>
                  </w:r>
                </w:p>
              </w:tc>
              <w:tc>
                <w:tcPr>
                  <w:tcW w:w="1090" w:type="pct"/>
                  <w:tcBorders>
                    <w:tl2br w:val="nil"/>
                    <w:tr2bl w:val="nil"/>
                  </w:tcBorders>
                  <w:noWrap w:val="0"/>
                  <w:vAlign w:val="center"/>
                </w:tcPr>
                <w:p w14:paraId="71EB828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3m</w:t>
                  </w:r>
                </w:p>
              </w:tc>
              <w:tc>
                <w:tcPr>
                  <w:tcW w:w="816" w:type="pct"/>
                  <w:tcBorders>
                    <w:tl2br w:val="nil"/>
                    <w:tr2bl w:val="nil"/>
                  </w:tcBorders>
                  <w:noWrap w:val="0"/>
                  <w:vAlign w:val="center"/>
                </w:tcPr>
                <w:p w14:paraId="4E3B399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地下（地埋）</w:t>
                  </w:r>
                </w:p>
              </w:tc>
              <w:tc>
                <w:tcPr>
                  <w:tcW w:w="403" w:type="pct"/>
                  <w:tcBorders>
                    <w:tl2br w:val="nil"/>
                    <w:tr2bl w:val="nil"/>
                  </w:tcBorders>
                  <w:noWrap w:val="0"/>
                  <w:vAlign w:val="center"/>
                </w:tcPr>
                <w:p w14:paraId="3C34AA2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145BAF1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r w14:paraId="6C25C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4B0BFCE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1366" w:type="pct"/>
                  <w:gridSpan w:val="2"/>
                  <w:tcBorders>
                    <w:tl2br w:val="nil"/>
                    <w:tr2bl w:val="nil"/>
                  </w:tcBorders>
                  <w:shd w:val="clear" w:color="auto" w:fill="auto"/>
                  <w:noWrap w:val="0"/>
                  <w:vAlign w:val="center"/>
                </w:tcPr>
                <w:p w14:paraId="4458073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雨水收集池</w:t>
                  </w:r>
                </w:p>
              </w:tc>
              <w:tc>
                <w:tcPr>
                  <w:tcW w:w="1090" w:type="pct"/>
                  <w:tcBorders>
                    <w:tl2br w:val="nil"/>
                    <w:tr2bl w:val="nil"/>
                  </w:tcBorders>
                  <w:shd w:val="clear" w:color="auto" w:fill="auto"/>
                  <w:noWrap w:val="0"/>
                  <w:vAlign w:val="center"/>
                </w:tcPr>
                <w:p w14:paraId="2EC1546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m</w:t>
                  </w:r>
                </w:p>
              </w:tc>
              <w:tc>
                <w:tcPr>
                  <w:tcW w:w="816" w:type="pct"/>
                  <w:tcBorders>
                    <w:tl2br w:val="nil"/>
                    <w:tr2bl w:val="nil"/>
                  </w:tcBorders>
                  <w:noWrap w:val="0"/>
                  <w:vAlign w:val="center"/>
                </w:tcPr>
                <w:p w14:paraId="47C8EFA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地下（敞口）</w:t>
                  </w:r>
                </w:p>
              </w:tc>
              <w:tc>
                <w:tcPr>
                  <w:tcW w:w="403" w:type="pct"/>
                  <w:tcBorders>
                    <w:tl2br w:val="nil"/>
                    <w:tr2bl w:val="nil"/>
                  </w:tcBorders>
                  <w:noWrap w:val="0"/>
                  <w:vAlign w:val="center"/>
                </w:tcPr>
                <w:p w14:paraId="7A02449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476A6B4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2"/>
                      <w:highlight w:val="none"/>
                      <w:lang w:val="en-US" w:eastAsia="zh-CN"/>
                    </w:rPr>
                    <w:t>重点</w:t>
                  </w:r>
                  <w:r>
                    <w:rPr>
                      <w:rFonts w:hint="default" w:ascii="Times New Roman" w:hAnsi="Times New Roman" w:eastAsia="宋体" w:cs="Times New Roman"/>
                      <w:color w:val="auto"/>
                      <w:szCs w:val="22"/>
                      <w:highlight w:val="none"/>
                      <w:lang w:val="en-US" w:eastAsia="zh-CN"/>
                    </w:rPr>
                    <w:t>防渗区</w:t>
                  </w:r>
                </w:p>
              </w:tc>
            </w:tr>
            <w:tr w14:paraId="46BCE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51A107E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1366" w:type="pct"/>
                  <w:gridSpan w:val="2"/>
                  <w:tcBorders>
                    <w:tl2br w:val="nil"/>
                    <w:tr2bl w:val="nil"/>
                  </w:tcBorders>
                  <w:shd w:val="clear" w:color="auto" w:fill="auto"/>
                  <w:noWrap w:val="0"/>
                  <w:vAlign w:val="center"/>
                </w:tcPr>
                <w:p w14:paraId="745A68C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消防水池</w:t>
                  </w:r>
                </w:p>
              </w:tc>
              <w:tc>
                <w:tcPr>
                  <w:tcW w:w="1090" w:type="pct"/>
                  <w:tcBorders>
                    <w:tl2br w:val="nil"/>
                    <w:tr2bl w:val="nil"/>
                  </w:tcBorders>
                  <w:shd w:val="clear" w:color="auto" w:fill="auto"/>
                  <w:noWrap w:val="0"/>
                  <w:vAlign w:val="center"/>
                </w:tcPr>
                <w:p w14:paraId="24C2330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m</w:t>
                  </w:r>
                </w:p>
              </w:tc>
              <w:tc>
                <w:tcPr>
                  <w:tcW w:w="816" w:type="pct"/>
                  <w:tcBorders>
                    <w:tl2br w:val="nil"/>
                    <w:tr2bl w:val="nil"/>
                  </w:tcBorders>
                  <w:noWrap w:val="0"/>
                  <w:vAlign w:val="center"/>
                </w:tcPr>
                <w:p w14:paraId="145FC36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地下（地埋）</w:t>
                  </w:r>
                </w:p>
              </w:tc>
              <w:tc>
                <w:tcPr>
                  <w:tcW w:w="403" w:type="pct"/>
                  <w:tcBorders>
                    <w:tl2br w:val="nil"/>
                    <w:tr2bl w:val="nil"/>
                  </w:tcBorders>
                  <w:noWrap w:val="0"/>
                  <w:vAlign w:val="center"/>
                </w:tcPr>
                <w:p w14:paraId="1B14C7A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1座</w:t>
                  </w:r>
                </w:p>
              </w:tc>
              <w:tc>
                <w:tcPr>
                  <w:tcW w:w="870" w:type="pct"/>
                  <w:tcBorders>
                    <w:tl2br w:val="nil"/>
                    <w:tr2bl w:val="nil"/>
                  </w:tcBorders>
                  <w:noWrap w:val="0"/>
                  <w:vAlign w:val="center"/>
                </w:tcPr>
                <w:p w14:paraId="45BE898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r w14:paraId="6FEC3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14:paraId="2B8A96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1366" w:type="pct"/>
                  <w:gridSpan w:val="2"/>
                  <w:tcBorders>
                    <w:tl2br w:val="nil"/>
                    <w:tr2bl w:val="nil"/>
                  </w:tcBorders>
                  <w:noWrap w:val="0"/>
                  <w:vAlign w:val="center"/>
                </w:tcPr>
                <w:p w14:paraId="2E8188A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冲洗废水沉淀池</w:t>
                  </w:r>
                </w:p>
              </w:tc>
              <w:tc>
                <w:tcPr>
                  <w:tcW w:w="1090" w:type="pct"/>
                  <w:tcBorders>
                    <w:tl2br w:val="nil"/>
                    <w:tr2bl w:val="nil"/>
                  </w:tcBorders>
                  <w:noWrap w:val="0"/>
                  <w:vAlign w:val="center"/>
                </w:tcPr>
                <w:p w14:paraId="5B11BEB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m</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m</w:t>
                  </w:r>
                </w:p>
              </w:tc>
              <w:tc>
                <w:tcPr>
                  <w:tcW w:w="816" w:type="pct"/>
                  <w:tcBorders>
                    <w:tl2br w:val="nil"/>
                    <w:tr2bl w:val="nil"/>
                  </w:tcBorders>
                  <w:noWrap w:val="0"/>
                  <w:vAlign w:val="center"/>
                </w:tcPr>
                <w:p w14:paraId="3AA40EC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地下（敞口）</w:t>
                  </w:r>
                </w:p>
              </w:tc>
              <w:tc>
                <w:tcPr>
                  <w:tcW w:w="403" w:type="pct"/>
                  <w:tcBorders>
                    <w:tl2br w:val="nil"/>
                    <w:tr2bl w:val="nil"/>
                  </w:tcBorders>
                  <w:noWrap w:val="0"/>
                  <w:vAlign w:val="center"/>
                </w:tcPr>
                <w:p w14:paraId="13D281B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1座</w:t>
                  </w:r>
                </w:p>
              </w:tc>
              <w:tc>
                <w:tcPr>
                  <w:tcW w:w="870" w:type="pct"/>
                  <w:tcBorders>
                    <w:tl2br w:val="nil"/>
                    <w:tr2bl w:val="nil"/>
                  </w:tcBorders>
                  <w:noWrap w:val="0"/>
                  <w:vAlign w:val="center"/>
                </w:tcPr>
                <w:p w14:paraId="1FB84B1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r>
          </w:tbl>
          <w:p w14:paraId="59F99529">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2.2 产能及主要</w:t>
            </w:r>
            <w:r>
              <w:rPr>
                <w:rFonts w:hint="default" w:ascii="Times New Roman" w:hAnsi="Times New Roman" w:eastAsia="宋体" w:cs="Times New Roman"/>
                <w:b/>
                <w:bCs w:val="0"/>
                <w:color w:val="auto"/>
                <w:sz w:val="24"/>
                <w:szCs w:val="24"/>
                <w:highlight w:val="none"/>
                <w:lang w:val="en-US" w:eastAsia="zh-CN"/>
              </w:rPr>
              <w:t>产品方案</w:t>
            </w:r>
          </w:p>
          <w:p w14:paraId="59BFE107">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产品方案见表</w:t>
            </w:r>
            <w:r>
              <w:rPr>
                <w:rFonts w:hint="eastAsia" w:ascii="Times New Roman" w:hAnsi="Times New Roman" w:eastAsia="宋体" w:cs="Times New Roman"/>
                <w:bCs/>
                <w:color w:val="auto"/>
                <w:sz w:val="24"/>
                <w:szCs w:val="24"/>
                <w:highlight w:val="none"/>
                <w:lang w:val="en-US" w:eastAsia="zh-CN"/>
              </w:rPr>
              <w:t>2.2-1。</w:t>
            </w:r>
          </w:p>
          <w:p w14:paraId="78FCDB91">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黑体" w:cs="Times New Roman"/>
                <w:iCs/>
                <w:snapToGrid w:val="0"/>
                <w:color w:val="auto"/>
                <w:kern w:val="0"/>
                <w:sz w:val="21"/>
                <w:szCs w:val="20"/>
                <w:highlight w:val="none"/>
                <w:lang w:val="en-US" w:eastAsia="zh-CN" w:bidi="ar-SA"/>
              </w:rPr>
              <w:t>表</w:t>
            </w:r>
            <w:r>
              <w:rPr>
                <w:rFonts w:hint="eastAsia" w:ascii="Times New Roman" w:hAnsi="Times New Roman" w:eastAsia="黑体" w:cs="Times New Roman"/>
                <w:iCs/>
                <w:snapToGrid w:val="0"/>
                <w:color w:val="auto"/>
                <w:kern w:val="0"/>
                <w:sz w:val="21"/>
                <w:szCs w:val="20"/>
                <w:highlight w:val="none"/>
                <w:lang w:val="en-US" w:eastAsia="zh-CN" w:bidi="ar-SA"/>
              </w:rPr>
              <w:t>2.2-1</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ascii="Times New Roman" w:hAnsi="Times New Roman" w:eastAsia="黑体" w:cs="Times New Roman"/>
                <w:iCs/>
                <w:snapToGrid w:val="0"/>
                <w:color w:val="auto"/>
                <w:kern w:val="0"/>
                <w:sz w:val="21"/>
                <w:szCs w:val="20"/>
                <w:highlight w:val="none"/>
                <w:lang w:val="en-US" w:eastAsia="zh-CN" w:bidi="ar-SA"/>
              </w:rPr>
              <w:t>产品方案</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69"/>
              <w:gridCol w:w="2669"/>
              <w:gridCol w:w="2669"/>
            </w:tblGrid>
            <w:tr w14:paraId="5CDD2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666" w:type="pct"/>
                  <w:tcBorders>
                    <w:tl2br w:val="nil"/>
                    <w:tr2bl w:val="nil"/>
                  </w:tcBorders>
                  <w:noWrap w:val="0"/>
                  <w:vAlign w:val="center"/>
                </w:tcPr>
                <w:p w14:paraId="56398FB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产品名称</w:t>
                  </w:r>
                </w:p>
              </w:tc>
              <w:tc>
                <w:tcPr>
                  <w:tcW w:w="1666" w:type="pct"/>
                  <w:tcBorders>
                    <w:tl2br w:val="nil"/>
                    <w:tr2bl w:val="nil"/>
                  </w:tcBorders>
                  <w:noWrap w:val="0"/>
                  <w:vAlign w:val="center"/>
                </w:tcPr>
                <w:p w14:paraId="4CC2D3F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形态</w:t>
                  </w:r>
                </w:p>
              </w:tc>
              <w:tc>
                <w:tcPr>
                  <w:tcW w:w="1666" w:type="pct"/>
                  <w:tcBorders>
                    <w:tl2br w:val="nil"/>
                    <w:tr2bl w:val="nil"/>
                  </w:tcBorders>
                  <w:noWrap w:val="0"/>
                  <w:vAlign w:val="center"/>
                </w:tcPr>
                <w:p w14:paraId="2D3CBA1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设计生产能力</w:t>
                  </w:r>
                </w:p>
              </w:tc>
            </w:tr>
            <w:tr w14:paraId="583084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noWrap w:val="0"/>
                  <w:vAlign w:val="center"/>
                </w:tcPr>
                <w:p w14:paraId="1D6C419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充填料</w:t>
                  </w:r>
                </w:p>
              </w:tc>
              <w:tc>
                <w:tcPr>
                  <w:tcW w:w="1666" w:type="pct"/>
                  <w:tcBorders>
                    <w:tl2br w:val="nil"/>
                    <w:tr2bl w:val="nil"/>
                  </w:tcBorders>
                  <w:noWrap w:val="0"/>
                  <w:vAlign w:val="center"/>
                </w:tcPr>
                <w:p w14:paraId="35CEA11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膏体（含水率10.50%）</w:t>
                  </w:r>
                </w:p>
              </w:tc>
              <w:tc>
                <w:tcPr>
                  <w:tcW w:w="1666" w:type="pct"/>
                  <w:tcBorders>
                    <w:tl2br w:val="nil"/>
                    <w:tr2bl w:val="nil"/>
                  </w:tcBorders>
                  <w:noWrap w:val="0"/>
                  <w:vAlign w:val="center"/>
                </w:tcPr>
                <w:p w14:paraId="1F16459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60万t</w:t>
                  </w:r>
                  <w:r>
                    <w:rPr>
                      <w:rFonts w:hint="default" w:ascii="Times New Roman" w:hAnsi="Times New Roman" w:eastAsia="宋体" w:cs="Times New Roman"/>
                      <w:color w:val="auto"/>
                      <w:szCs w:val="21"/>
                      <w:highlight w:val="none"/>
                      <w:lang w:val="en-US" w:eastAsia="zh-CN"/>
                    </w:rPr>
                    <w:t>/a</w:t>
                  </w:r>
                </w:p>
              </w:tc>
            </w:tr>
          </w:tbl>
          <w:p w14:paraId="74BE11CE">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2.3 主要</w:t>
            </w:r>
            <w:r>
              <w:rPr>
                <w:rFonts w:hint="default" w:ascii="Times New Roman" w:hAnsi="Times New Roman" w:eastAsia="宋体" w:cs="Times New Roman"/>
                <w:b/>
                <w:bCs w:val="0"/>
                <w:color w:val="auto"/>
                <w:sz w:val="24"/>
                <w:szCs w:val="24"/>
                <w:highlight w:val="none"/>
                <w:lang w:val="en-US" w:eastAsia="zh-CN"/>
              </w:rPr>
              <w:t>生产</w:t>
            </w:r>
            <w:r>
              <w:rPr>
                <w:rFonts w:hint="eastAsia" w:ascii="Times New Roman" w:hAnsi="Times New Roman" w:eastAsia="宋体" w:cs="Times New Roman"/>
                <w:b/>
                <w:bCs w:val="0"/>
                <w:color w:val="auto"/>
                <w:sz w:val="24"/>
                <w:szCs w:val="24"/>
                <w:highlight w:val="none"/>
                <w:lang w:val="en-US" w:eastAsia="zh-CN"/>
              </w:rPr>
              <w:t>设施及参数</w:t>
            </w:r>
          </w:p>
          <w:p w14:paraId="5AB14079">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本项目主要生产</w:t>
            </w:r>
            <w:r>
              <w:rPr>
                <w:rFonts w:hint="eastAsia" w:ascii="Times New Roman" w:hAnsi="Times New Roman" w:eastAsia="宋体" w:cs="Times New Roman"/>
                <w:bCs/>
                <w:color w:val="auto"/>
                <w:sz w:val="24"/>
                <w:szCs w:val="24"/>
                <w:highlight w:val="none"/>
                <w:lang w:val="en-US" w:eastAsia="zh-CN"/>
              </w:rPr>
              <w:t>设施</w:t>
            </w:r>
            <w:r>
              <w:rPr>
                <w:rFonts w:hint="default" w:ascii="Times New Roman" w:hAnsi="Times New Roman" w:eastAsia="宋体" w:cs="Times New Roman"/>
                <w:bCs/>
                <w:color w:val="auto"/>
                <w:sz w:val="24"/>
                <w:szCs w:val="24"/>
                <w:highlight w:val="none"/>
                <w:lang w:val="en-US" w:eastAsia="zh-CN"/>
              </w:rPr>
              <w:t>见表</w:t>
            </w:r>
            <w:r>
              <w:rPr>
                <w:rFonts w:hint="eastAsia" w:ascii="Times New Roman" w:hAnsi="Times New Roman" w:eastAsia="宋体" w:cs="Times New Roman"/>
                <w:bCs/>
                <w:color w:val="auto"/>
                <w:sz w:val="24"/>
                <w:szCs w:val="24"/>
                <w:highlight w:val="none"/>
                <w:lang w:val="en-US" w:eastAsia="zh-CN"/>
              </w:rPr>
              <w:t>2.3-1</w:t>
            </w:r>
            <w:r>
              <w:rPr>
                <w:rFonts w:hint="default" w:ascii="Times New Roman" w:hAnsi="Times New Roman" w:eastAsia="宋体" w:cs="Times New Roman"/>
                <w:bCs/>
                <w:color w:val="auto"/>
                <w:sz w:val="24"/>
                <w:szCs w:val="24"/>
                <w:highlight w:val="none"/>
                <w:lang w:val="en-US" w:eastAsia="zh-CN"/>
              </w:rPr>
              <w:t>。</w:t>
            </w:r>
          </w:p>
          <w:p w14:paraId="72F1DAFE">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表</w:t>
            </w:r>
            <w:r>
              <w:rPr>
                <w:rFonts w:hint="eastAsia" w:ascii="Times New Roman" w:hAnsi="Times New Roman" w:eastAsia="黑体" w:cs="Times New Roman"/>
                <w:iCs/>
                <w:snapToGrid w:val="0"/>
                <w:color w:val="auto"/>
                <w:kern w:val="0"/>
                <w:sz w:val="21"/>
                <w:szCs w:val="20"/>
                <w:highlight w:val="none"/>
                <w:lang w:val="en-US" w:eastAsia="zh-CN" w:bidi="ar-SA"/>
              </w:rPr>
              <w:t>2.3-1</w:t>
            </w:r>
            <w:r>
              <w:rPr>
                <w:rFonts w:hint="default" w:ascii="Times New Roman" w:hAnsi="Times New Roman" w:eastAsia="黑体" w:cs="Times New Roman"/>
                <w:iCs/>
                <w:snapToGrid w:val="0"/>
                <w:color w:val="auto"/>
                <w:kern w:val="0"/>
                <w:sz w:val="21"/>
                <w:szCs w:val="20"/>
                <w:highlight w:val="none"/>
                <w:lang w:val="en-US" w:eastAsia="zh-CN" w:bidi="ar-SA"/>
              </w:rPr>
              <w:t xml:space="preserve">  主要生产</w:t>
            </w:r>
            <w:r>
              <w:rPr>
                <w:rFonts w:hint="eastAsia" w:ascii="Times New Roman" w:hAnsi="Times New Roman" w:eastAsia="黑体" w:cs="Times New Roman"/>
                <w:iCs/>
                <w:snapToGrid w:val="0"/>
                <w:color w:val="auto"/>
                <w:kern w:val="0"/>
                <w:sz w:val="21"/>
                <w:szCs w:val="20"/>
                <w:highlight w:val="none"/>
                <w:lang w:val="en-US" w:eastAsia="zh-CN" w:bidi="ar-SA"/>
              </w:rPr>
              <w:t>设施</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55"/>
              <w:gridCol w:w="1172"/>
              <w:gridCol w:w="3514"/>
              <w:gridCol w:w="871"/>
              <w:gridCol w:w="466"/>
            </w:tblGrid>
            <w:tr w14:paraId="6EEA7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2721DF7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972" w:type="pct"/>
                  <w:tcBorders>
                    <w:tl2br w:val="nil"/>
                    <w:tr2bl w:val="nil"/>
                  </w:tcBorders>
                  <w:vAlign w:val="center"/>
                </w:tcPr>
                <w:p w14:paraId="7BD2634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732" w:type="pct"/>
                  <w:tcBorders>
                    <w:tl2br w:val="nil"/>
                    <w:tr2bl w:val="nil"/>
                  </w:tcBorders>
                  <w:vAlign w:val="center"/>
                </w:tcPr>
                <w:p w14:paraId="18D4522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c>
                <w:tcPr>
                  <w:tcW w:w="2195" w:type="pct"/>
                  <w:tcBorders>
                    <w:tl2br w:val="nil"/>
                    <w:tr2bl w:val="nil"/>
                  </w:tcBorders>
                  <w:vAlign w:val="center"/>
                </w:tcPr>
                <w:p w14:paraId="3DCED1E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设备参数</w:t>
                  </w:r>
                </w:p>
              </w:tc>
              <w:tc>
                <w:tcPr>
                  <w:tcW w:w="544" w:type="pct"/>
                  <w:tcBorders>
                    <w:tl2br w:val="nil"/>
                    <w:tr2bl w:val="nil"/>
                  </w:tcBorders>
                  <w:vAlign w:val="center"/>
                </w:tcPr>
                <w:p w14:paraId="71DFB79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289" w:type="pct"/>
                  <w:tcBorders>
                    <w:tl2br w:val="nil"/>
                    <w:tr2bl w:val="nil"/>
                  </w:tcBorders>
                  <w:vAlign w:val="center"/>
                </w:tcPr>
                <w:p w14:paraId="57B7523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单位</w:t>
                  </w:r>
                </w:p>
              </w:tc>
            </w:tr>
            <w:tr w14:paraId="2C27A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4865BA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浆料系统</w:t>
                  </w:r>
                </w:p>
              </w:tc>
            </w:tr>
            <w:tr w14:paraId="6621F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768258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72" w:type="pct"/>
                  <w:tcBorders>
                    <w:tl2br w:val="nil"/>
                    <w:tr2bl w:val="nil"/>
                  </w:tcBorders>
                  <w:vAlign w:val="center"/>
                </w:tcPr>
                <w:p w14:paraId="73BAED6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水泥筒仓</w:t>
                  </w:r>
                </w:p>
              </w:tc>
              <w:tc>
                <w:tcPr>
                  <w:tcW w:w="732" w:type="pct"/>
                  <w:tcBorders>
                    <w:tl2br w:val="nil"/>
                    <w:tr2bl w:val="nil"/>
                  </w:tcBorders>
                  <w:vAlign w:val="center"/>
                </w:tcPr>
                <w:p w14:paraId="0FFA1B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95" w:type="pct"/>
                  <w:tcBorders>
                    <w:tl2br w:val="nil"/>
                    <w:tr2bl w:val="nil"/>
                  </w:tcBorders>
                  <w:vAlign w:val="center"/>
                </w:tcPr>
                <w:p w14:paraId="5A87763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Φ2800×13500mm</w:t>
                  </w:r>
                  <w:r>
                    <w:rPr>
                      <w:rFonts w:hint="eastAsia" w:cs="Times New Roman"/>
                      <w:color w:val="auto"/>
                      <w:sz w:val="21"/>
                      <w:szCs w:val="21"/>
                      <w:highlight w:val="none"/>
                      <w:lang w:eastAsia="zh-CN"/>
                    </w:rPr>
                    <w:t>，储量85</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3</w:t>
                  </w:r>
                </w:p>
              </w:tc>
              <w:tc>
                <w:tcPr>
                  <w:tcW w:w="544" w:type="pct"/>
                  <w:tcBorders>
                    <w:tl2br w:val="nil"/>
                    <w:tr2bl w:val="nil"/>
                  </w:tcBorders>
                  <w:vAlign w:val="center"/>
                </w:tcPr>
                <w:p w14:paraId="716BE7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289" w:type="pct"/>
                  <w:tcBorders>
                    <w:tl2br w:val="nil"/>
                    <w:tr2bl w:val="nil"/>
                  </w:tcBorders>
                  <w:vAlign w:val="center"/>
                </w:tcPr>
                <w:p w14:paraId="556F96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座</w:t>
                  </w:r>
                </w:p>
              </w:tc>
            </w:tr>
            <w:tr w14:paraId="3003C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5935D8B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972" w:type="pct"/>
                  <w:tcBorders>
                    <w:tl2br w:val="nil"/>
                    <w:tr2bl w:val="nil"/>
                  </w:tcBorders>
                  <w:vAlign w:val="center"/>
                </w:tcPr>
                <w:p w14:paraId="7CDF391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高速制浆机</w:t>
                  </w:r>
                </w:p>
              </w:tc>
              <w:tc>
                <w:tcPr>
                  <w:tcW w:w="732" w:type="pct"/>
                  <w:tcBorders>
                    <w:tl2br w:val="nil"/>
                    <w:tr2bl w:val="nil"/>
                  </w:tcBorders>
                  <w:vAlign w:val="center"/>
                </w:tcPr>
                <w:p w14:paraId="0AC5DC5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水泥和水初步搅拌为混合料</w:t>
                  </w:r>
                </w:p>
              </w:tc>
              <w:tc>
                <w:tcPr>
                  <w:tcW w:w="2195" w:type="pct"/>
                  <w:tcBorders>
                    <w:tl2br w:val="nil"/>
                    <w:tr2bl w:val="nil"/>
                  </w:tcBorders>
                  <w:vAlign w:val="center"/>
                </w:tcPr>
                <w:p w14:paraId="0D3163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3259×2350×3186mm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总功率52kW</w:t>
                  </w:r>
                </w:p>
                <w:p w14:paraId="75B0416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制浆能力：1</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rPr>
                    <w:t>t/h</w:t>
                  </w:r>
                  <w:r>
                    <w:rPr>
                      <w:rFonts w:hint="eastAsia" w:cs="Times New Roman"/>
                      <w:color w:val="auto"/>
                      <w:sz w:val="21"/>
                      <w:szCs w:val="21"/>
                      <w:highlight w:val="none"/>
                      <w:lang w:eastAsia="zh-CN"/>
                    </w:rPr>
                    <w:t>，年工作</w:t>
                  </w:r>
                  <w:r>
                    <w:rPr>
                      <w:rFonts w:hint="eastAsia" w:cs="Times New Roman"/>
                      <w:color w:val="auto"/>
                      <w:sz w:val="21"/>
                      <w:szCs w:val="21"/>
                      <w:highlight w:val="none"/>
                      <w:lang w:val="en-US" w:eastAsia="zh-CN"/>
                    </w:rPr>
                    <w:t>330d，10h/d</w:t>
                  </w:r>
                </w:p>
              </w:tc>
              <w:tc>
                <w:tcPr>
                  <w:tcW w:w="544" w:type="pct"/>
                  <w:tcBorders>
                    <w:tl2br w:val="nil"/>
                    <w:tr2bl w:val="nil"/>
                  </w:tcBorders>
                  <w:vAlign w:val="center"/>
                </w:tcPr>
                <w:p w14:paraId="6B5D32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1用1备</w:t>
                  </w:r>
                  <w:r>
                    <w:rPr>
                      <w:rFonts w:hint="eastAsia" w:cs="Times New Roman"/>
                      <w:color w:val="auto"/>
                      <w:sz w:val="21"/>
                      <w:szCs w:val="21"/>
                      <w:highlight w:val="none"/>
                      <w:lang w:eastAsia="zh-CN"/>
                    </w:rPr>
                    <w:t>）</w:t>
                  </w:r>
                </w:p>
              </w:tc>
              <w:tc>
                <w:tcPr>
                  <w:tcW w:w="289" w:type="pct"/>
                  <w:tcBorders>
                    <w:tl2br w:val="nil"/>
                    <w:tr2bl w:val="nil"/>
                  </w:tcBorders>
                  <w:vAlign w:val="center"/>
                </w:tcPr>
                <w:p w14:paraId="56EB607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台</w:t>
                  </w:r>
                </w:p>
              </w:tc>
            </w:tr>
            <w:tr w14:paraId="11774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1F4E3DF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972" w:type="pct"/>
                  <w:tcBorders>
                    <w:tl2br w:val="nil"/>
                    <w:tr2bl w:val="nil"/>
                  </w:tcBorders>
                  <w:vAlign w:val="center"/>
                </w:tcPr>
                <w:p w14:paraId="67D6C09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低速搅拌桶</w:t>
                  </w:r>
                </w:p>
              </w:tc>
              <w:tc>
                <w:tcPr>
                  <w:tcW w:w="732" w:type="pct"/>
                  <w:tcBorders>
                    <w:tl2br w:val="nil"/>
                    <w:tr2bl w:val="nil"/>
                  </w:tcBorders>
                  <w:vAlign w:val="center"/>
                </w:tcPr>
                <w:p w14:paraId="2ED21F5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混合料和添加剂搅拌混合</w:t>
                  </w:r>
                </w:p>
              </w:tc>
              <w:tc>
                <w:tcPr>
                  <w:tcW w:w="2195" w:type="pct"/>
                  <w:tcBorders>
                    <w:tl2br w:val="nil"/>
                    <w:tr2bl w:val="nil"/>
                  </w:tcBorders>
                  <w:vAlign w:val="center"/>
                </w:tcPr>
                <w:p w14:paraId="45CC303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Φ4000×2000</w:t>
                  </w:r>
                  <w:r>
                    <w:rPr>
                      <w:rFonts w:hint="eastAsia" w:cs="Times New Roman"/>
                      <w:color w:val="auto"/>
                      <w:sz w:val="21"/>
                      <w:szCs w:val="21"/>
                      <w:highlight w:val="none"/>
                      <w:lang w:val="en-US" w:eastAsia="zh-CN"/>
                    </w:rPr>
                    <w:t>mm</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电机</w:t>
                  </w:r>
                  <w:r>
                    <w:rPr>
                      <w:rFonts w:hint="default" w:ascii="Times New Roman" w:hAnsi="Times New Roman" w:eastAsia="宋体" w:cs="Times New Roman"/>
                      <w:color w:val="auto"/>
                      <w:sz w:val="21"/>
                      <w:szCs w:val="21"/>
                      <w:highlight w:val="none"/>
                    </w:rPr>
                    <w:t>功率：</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kW</w:t>
                  </w:r>
                </w:p>
                <w:p w14:paraId="5A2D1A3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生产能力：</w:t>
                  </w:r>
                  <w:r>
                    <w:rPr>
                      <w:rFonts w:hint="eastAsia" w:cs="Times New Roman"/>
                      <w:color w:val="auto"/>
                      <w:sz w:val="21"/>
                      <w:szCs w:val="21"/>
                      <w:highlight w:val="none"/>
                      <w:lang w:val="en-US" w:eastAsia="zh-CN"/>
                    </w:rPr>
                    <w:t>100t/h</w:t>
                  </w:r>
                  <w:r>
                    <w:rPr>
                      <w:rFonts w:hint="eastAsia" w:cs="Times New Roman"/>
                      <w:color w:val="auto"/>
                      <w:sz w:val="21"/>
                      <w:szCs w:val="21"/>
                      <w:highlight w:val="none"/>
                      <w:lang w:eastAsia="zh-CN"/>
                    </w:rPr>
                    <w:t>，年工作</w:t>
                  </w:r>
                  <w:r>
                    <w:rPr>
                      <w:rFonts w:hint="eastAsia" w:cs="Times New Roman"/>
                      <w:color w:val="auto"/>
                      <w:sz w:val="21"/>
                      <w:szCs w:val="21"/>
                      <w:highlight w:val="none"/>
                      <w:lang w:val="en-US" w:eastAsia="zh-CN"/>
                    </w:rPr>
                    <w:t>330d，10h/d</w:t>
                  </w:r>
                </w:p>
              </w:tc>
              <w:tc>
                <w:tcPr>
                  <w:tcW w:w="544" w:type="pct"/>
                  <w:tcBorders>
                    <w:tl2br w:val="nil"/>
                    <w:tr2bl w:val="nil"/>
                  </w:tcBorders>
                  <w:vAlign w:val="center"/>
                </w:tcPr>
                <w:p w14:paraId="0BE79DE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89" w:type="pct"/>
                  <w:tcBorders>
                    <w:tl2br w:val="nil"/>
                    <w:tr2bl w:val="nil"/>
                  </w:tcBorders>
                  <w:vAlign w:val="center"/>
                </w:tcPr>
                <w:p w14:paraId="4D2A46F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台</w:t>
                  </w:r>
                </w:p>
              </w:tc>
            </w:tr>
            <w:tr w14:paraId="38231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41E1DB3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972" w:type="pct"/>
                  <w:tcBorders>
                    <w:tl2br w:val="nil"/>
                    <w:tr2bl w:val="nil"/>
                  </w:tcBorders>
                  <w:vAlign w:val="center"/>
                </w:tcPr>
                <w:p w14:paraId="43D5DCC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螺旋</w:t>
                  </w:r>
                  <w:r>
                    <w:rPr>
                      <w:rFonts w:hint="eastAsia" w:cs="Times New Roman"/>
                      <w:color w:val="auto"/>
                      <w:sz w:val="21"/>
                      <w:szCs w:val="21"/>
                      <w:highlight w:val="none"/>
                      <w:lang w:val="en-US" w:eastAsia="zh-CN"/>
                    </w:rPr>
                    <w:t>输送机</w:t>
                  </w:r>
                </w:p>
              </w:tc>
              <w:tc>
                <w:tcPr>
                  <w:tcW w:w="732" w:type="pct"/>
                  <w:tcBorders>
                    <w:tl2br w:val="nil"/>
                    <w:tr2bl w:val="nil"/>
                  </w:tcBorders>
                  <w:vAlign w:val="center"/>
                </w:tcPr>
                <w:p w14:paraId="1114BF0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195" w:type="pct"/>
                  <w:tcBorders>
                    <w:tl2br w:val="nil"/>
                    <w:tr2bl w:val="nil"/>
                  </w:tcBorders>
                  <w:vAlign w:val="center"/>
                </w:tcPr>
                <w:p w14:paraId="2BB0A5A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输送能力</w:t>
                  </w:r>
                  <w:r>
                    <w:rPr>
                      <w:rFonts w:hint="eastAsia" w:cs="Times New Roman"/>
                      <w:color w:val="auto"/>
                      <w:sz w:val="21"/>
                      <w:szCs w:val="21"/>
                      <w:highlight w:val="none"/>
                      <w:lang w:val="en-US" w:eastAsia="zh-CN"/>
                    </w:rPr>
                    <w:t>151.2t/h</w:t>
                  </w:r>
                </w:p>
              </w:tc>
              <w:tc>
                <w:tcPr>
                  <w:tcW w:w="544" w:type="pct"/>
                  <w:tcBorders>
                    <w:tl2br w:val="nil"/>
                    <w:tr2bl w:val="nil"/>
                  </w:tcBorders>
                  <w:vAlign w:val="center"/>
                </w:tcPr>
                <w:p w14:paraId="5714A78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c>
                <w:tcPr>
                  <w:tcW w:w="289" w:type="pct"/>
                  <w:tcBorders>
                    <w:tl2br w:val="nil"/>
                    <w:tr2bl w:val="nil"/>
                  </w:tcBorders>
                  <w:vAlign w:val="center"/>
                </w:tcPr>
                <w:p w14:paraId="0FF0D5F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台</w:t>
                  </w:r>
                </w:p>
              </w:tc>
            </w:tr>
            <w:tr w14:paraId="4E03F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716F08F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972" w:type="pct"/>
                  <w:tcBorders>
                    <w:tl2br w:val="nil"/>
                    <w:tr2bl w:val="nil"/>
                  </w:tcBorders>
                  <w:vAlign w:val="center"/>
                </w:tcPr>
                <w:p w14:paraId="204B6DE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添加剂搅拌桶</w:t>
                  </w:r>
                </w:p>
              </w:tc>
              <w:tc>
                <w:tcPr>
                  <w:tcW w:w="732" w:type="pct"/>
                  <w:tcBorders>
                    <w:tl2br w:val="nil"/>
                    <w:tr2bl w:val="nil"/>
                  </w:tcBorders>
                  <w:vAlign w:val="center"/>
                </w:tcPr>
                <w:p w14:paraId="41CE02B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添加剂</w:t>
                  </w:r>
                </w:p>
              </w:tc>
              <w:tc>
                <w:tcPr>
                  <w:tcW w:w="2195" w:type="pct"/>
                  <w:tcBorders>
                    <w:tl2br w:val="nil"/>
                    <w:tr2bl w:val="nil"/>
                  </w:tcBorders>
                  <w:vAlign w:val="center"/>
                </w:tcPr>
                <w:p w14:paraId="5CC54081">
                  <w:pPr>
                    <w:pStyle w:val="32"/>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rPr>
                    <w:t>Φ2200×1500，</w:t>
                  </w:r>
                  <w:r>
                    <w:rPr>
                      <w:rFonts w:hint="eastAsia" w:ascii="Times New Roman" w:hAnsi="Times New Roman" w:eastAsia="宋体" w:cs="Times New Roman"/>
                      <w:color w:val="auto"/>
                      <w:sz w:val="21"/>
                      <w:szCs w:val="21"/>
                      <w:highlight w:val="none"/>
                      <w:lang w:val="en-US" w:eastAsia="zh-CN"/>
                    </w:rPr>
                    <w:t>电机</w:t>
                  </w:r>
                  <w:r>
                    <w:rPr>
                      <w:rFonts w:hint="default" w:ascii="Times New Roman" w:hAnsi="Times New Roman" w:eastAsia="宋体" w:cs="Times New Roman"/>
                      <w:color w:val="auto"/>
                      <w:sz w:val="21"/>
                      <w:szCs w:val="21"/>
                      <w:highlight w:val="none"/>
                    </w:rPr>
                    <w:t>功率：</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kW</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储量5.7</w:t>
                  </w:r>
                  <w:r>
                    <w:rPr>
                      <w:rFonts w:hint="default" w:ascii="Times New Roman" w:hAnsi="Times New Roman" w:eastAsia="宋体" w:cs="Times New Roman"/>
                      <w:color w:val="auto"/>
                      <w:sz w:val="21"/>
                      <w:szCs w:val="21"/>
                      <w:highlight w:val="none"/>
                      <w:lang w:eastAsia="zh-CN"/>
                    </w:rPr>
                    <w:t>m</w:t>
                  </w:r>
                  <w:r>
                    <w:rPr>
                      <w:rFonts w:hint="eastAsia"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/个</w:t>
                  </w:r>
                </w:p>
              </w:tc>
              <w:tc>
                <w:tcPr>
                  <w:tcW w:w="544" w:type="pct"/>
                  <w:tcBorders>
                    <w:tl2br w:val="nil"/>
                    <w:tr2bl w:val="nil"/>
                  </w:tcBorders>
                  <w:vAlign w:val="center"/>
                </w:tcPr>
                <w:p w14:paraId="30FEDB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289" w:type="pct"/>
                  <w:tcBorders>
                    <w:tl2br w:val="nil"/>
                    <w:tr2bl w:val="nil"/>
                  </w:tcBorders>
                  <w:vAlign w:val="center"/>
                </w:tcPr>
                <w:p w14:paraId="2BC25A3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个</w:t>
                  </w:r>
                </w:p>
              </w:tc>
            </w:tr>
            <w:tr w14:paraId="72D50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101404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972" w:type="pct"/>
                  <w:tcBorders>
                    <w:tl2br w:val="nil"/>
                    <w:tr2bl w:val="nil"/>
                  </w:tcBorders>
                  <w:vAlign w:val="center"/>
                </w:tcPr>
                <w:p w14:paraId="49728B5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水泵</w:t>
                  </w:r>
                </w:p>
              </w:tc>
              <w:tc>
                <w:tcPr>
                  <w:tcW w:w="732" w:type="pct"/>
                  <w:tcBorders>
                    <w:tl2br w:val="nil"/>
                    <w:tr2bl w:val="nil"/>
                  </w:tcBorders>
                  <w:vAlign w:val="center"/>
                </w:tcPr>
                <w:p w14:paraId="36862E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195" w:type="pct"/>
                  <w:tcBorders>
                    <w:tl2br w:val="nil"/>
                    <w:tr2bl w:val="nil"/>
                  </w:tcBorders>
                  <w:vAlign w:val="center"/>
                </w:tcPr>
                <w:p w14:paraId="5A23DEE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额定功率：7.5kW</w:t>
                  </w:r>
                </w:p>
              </w:tc>
              <w:tc>
                <w:tcPr>
                  <w:tcW w:w="544" w:type="pct"/>
                  <w:tcBorders>
                    <w:tl2br w:val="nil"/>
                    <w:tr2bl w:val="nil"/>
                  </w:tcBorders>
                  <w:vAlign w:val="center"/>
                </w:tcPr>
                <w:p w14:paraId="76092BC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89" w:type="pct"/>
                  <w:tcBorders>
                    <w:tl2br w:val="nil"/>
                    <w:tr2bl w:val="nil"/>
                  </w:tcBorders>
                  <w:vAlign w:val="center"/>
                </w:tcPr>
                <w:p w14:paraId="0094E72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台</w:t>
                  </w:r>
                </w:p>
              </w:tc>
            </w:tr>
            <w:tr w14:paraId="544BA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6DB2E3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972" w:type="pct"/>
                  <w:tcBorders>
                    <w:tl2br w:val="nil"/>
                    <w:tr2bl w:val="nil"/>
                  </w:tcBorders>
                  <w:vAlign w:val="center"/>
                </w:tcPr>
                <w:p w14:paraId="55D1ECE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螺杆式空压机</w:t>
                  </w:r>
                </w:p>
              </w:tc>
              <w:tc>
                <w:tcPr>
                  <w:tcW w:w="732" w:type="pct"/>
                  <w:tcBorders>
                    <w:tl2br w:val="nil"/>
                    <w:tr2bl w:val="nil"/>
                  </w:tcBorders>
                  <w:vAlign w:val="center"/>
                </w:tcPr>
                <w:p w14:paraId="758E8D0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95" w:type="pct"/>
                  <w:tcBorders>
                    <w:tl2br w:val="nil"/>
                    <w:tr2bl w:val="nil"/>
                  </w:tcBorders>
                  <w:vAlign w:val="center"/>
                </w:tcPr>
                <w:p w14:paraId="7CDE8AF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额定功率：15kW</w:t>
                  </w:r>
                </w:p>
              </w:tc>
              <w:tc>
                <w:tcPr>
                  <w:tcW w:w="544" w:type="pct"/>
                  <w:tcBorders>
                    <w:tl2br w:val="nil"/>
                    <w:tr2bl w:val="nil"/>
                  </w:tcBorders>
                  <w:vAlign w:val="center"/>
                </w:tcPr>
                <w:p w14:paraId="116ACA7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289" w:type="pct"/>
                  <w:tcBorders>
                    <w:tl2br w:val="nil"/>
                    <w:tr2bl w:val="nil"/>
                  </w:tcBorders>
                  <w:vAlign w:val="center"/>
                </w:tcPr>
                <w:p w14:paraId="3062E00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台</w:t>
                  </w:r>
                </w:p>
              </w:tc>
            </w:tr>
            <w:tr w14:paraId="3F535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7BC960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972" w:type="pct"/>
                  <w:tcBorders>
                    <w:tl2br w:val="nil"/>
                    <w:tr2bl w:val="nil"/>
                  </w:tcBorders>
                  <w:vAlign w:val="center"/>
                </w:tcPr>
                <w:p w14:paraId="0472BD1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水箱</w:t>
                  </w:r>
                </w:p>
              </w:tc>
              <w:tc>
                <w:tcPr>
                  <w:tcW w:w="732" w:type="pct"/>
                  <w:tcBorders>
                    <w:tl2br w:val="nil"/>
                    <w:tr2bl w:val="nil"/>
                  </w:tcBorders>
                  <w:vAlign w:val="center"/>
                </w:tcPr>
                <w:p w14:paraId="542DCB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95" w:type="pct"/>
                  <w:tcBorders>
                    <w:tl2br w:val="nil"/>
                    <w:tr2bl w:val="nil"/>
                  </w:tcBorders>
                  <w:vAlign w:val="center"/>
                </w:tcPr>
                <w:p w14:paraId="45E7B0A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容量5m</w:t>
                  </w:r>
                  <w:r>
                    <w:rPr>
                      <w:rFonts w:hint="default" w:ascii="Times New Roman" w:hAnsi="Times New Roman" w:eastAsia="宋体" w:cs="Times New Roman"/>
                      <w:color w:val="auto"/>
                      <w:sz w:val="21"/>
                      <w:szCs w:val="21"/>
                      <w:highlight w:val="none"/>
                      <w:vertAlign w:val="superscript"/>
                    </w:rPr>
                    <w:t>3</w:t>
                  </w:r>
                </w:p>
              </w:tc>
              <w:tc>
                <w:tcPr>
                  <w:tcW w:w="544" w:type="pct"/>
                  <w:tcBorders>
                    <w:tl2br w:val="nil"/>
                    <w:tr2bl w:val="nil"/>
                  </w:tcBorders>
                  <w:vAlign w:val="center"/>
                </w:tcPr>
                <w:p w14:paraId="155736D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89" w:type="pct"/>
                  <w:tcBorders>
                    <w:tl2br w:val="nil"/>
                    <w:tr2bl w:val="nil"/>
                  </w:tcBorders>
                  <w:vAlign w:val="center"/>
                </w:tcPr>
                <w:p w14:paraId="49D9470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座</w:t>
                  </w:r>
                </w:p>
              </w:tc>
            </w:tr>
            <w:tr w14:paraId="2DE5C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52A1F6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矸石系统</w:t>
                  </w:r>
                </w:p>
              </w:tc>
            </w:tr>
            <w:tr w14:paraId="2BBA6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389B820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72" w:type="pct"/>
                  <w:tcBorders>
                    <w:tl2br w:val="nil"/>
                    <w:tr2bl w:val="nil"/>
                  </w:tcBorders>
                  <w:vAlign w:val="center"/>
                </w:tcPr>
                <w:p w14:paraId="77AB05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矸石受料斗</w:t>
                  </w:r>
                </w:p>
              </w:tc>
              <w:tc>
                <w:tcPr>
                  <w:tcW w:w="732" w:type="pct"/>
                  <w:tcBorders>
                    <w:tl2br w:val="nil"/>
                    <w:tr2bl w:val="nil"/>
                  </w:tcBorders>
                  <w:vAlign w:val="center"/>
                </w:tcPr>
                <w:p w14:paraId="0BEEE7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95" w:type="pct"/>
                  <w:tcBorders>
                    <w:tl2br w:val="nil"/>
                    <w:tr2bl w:val="nil"/>
                  </w:tcBorders>
                  <w:vAlign w:val="center"/>
                </w:tcPr>
                <w:p w14:paraId="3F5FFA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钢结构</w:t>
                  </w:r>
                </w:p>
              </w:tc>
              <w:tc>
                <w:tcPr>
                  <w:tcW w:w="544" w:type="pct"/>
                  <w:tcBorders>
                    <w:tl2br w:val="nil"/>
                    <w:tr2bl w:val="nil"/>
                  </w:tcBorders>
                  <w:vAlign w:val="center"/>
                </w:tcPr>
                <w:p w14:paraId="1F8CB63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89" w:type="pct"/>
                  <w:tcBorders>
                    <w:tl2br w:val="nil"/>
                    <w:tr2bl w:val="nil"/>
                  </w:tcBorders>
                  <w:vAlign w:val="center"/>
                </w:tcPr>
                <w:p w14:paraId="2023378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个</w:t>
                  </w:r>
                </w:p>
              </w:tc>
            </w:tr>
            <w:tr w14:paraId="7ECC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 w:type="pct"/>
                  <w:tcBorders>
                    <w:tl2br w:val="nil"/>
                    <w:tr2bl w:val="nil"/>
                  </w:tcBorders>
                  <w:vAlign w:val="center"/>
                </w:tcPr>
                <w:p w14:paraId="19DD861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72" w:type="pct"/>
                  <w:tcBorders>
                    <w:tl2br w:val="nil"/>
                    <w:tr2bl w:val="nil"/>
                  </w:tcBorders>
                  <w:vAlign w:val="center"/>
                </w:tcPr>
                <w:p w14:paraId="15E5FC0C">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bidi="ar"/>
                    </w:rPr>
                    <w:t>装载机</w:t>
                  </w:r>
                </w:p>
              </w:tc>
              <w:tc>
                <w:tcPr>
                  <w:tcW w:w="732" w:type="pct"/>
                  <w:tcBorders>
                    <w:tl2br w:val="nil"/>
                    <w:tr2bl w:val="nil"/>
                  </w:tcBorders>
                  <w:vAlign w:val="center"/>
                </w:tcPr>
                <w:p w14:paraId="35A58CA1">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2195" w:type="pct"/>
                  <w:tcBorders>
                    <w:tl2br w:val="nil"/>
                    <w:tr2bl w:val="nil"/>
                  </w:tcBorders>
                  <w:vAlign w:val="center"/>
                </w:tcPr>
                <w:p w14:paraId="2E512A6A">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bidi="ar"/>
                    </w:rPr>
                    <w:t>斗容</w:t>
                  </w:r>
                  <w:r>
                    <w:rPr>
                      <w:color w:val="auto"/>
                      <w:sz w:val="21"/>
                      <w:szCs w:val="21"/>
                      <w:highlight w:val="none"/>
                      <w:lang w:bidi="ar"/>
                    </w:rPr>
                    <w:t>3m³</w:t>
                  </w:r>
                </w:p>
              </w:tc>
              <w:tc>
                <w:tcPr>
                  <w:tcW w:w="544" w:type="pct"/>
                  <w:tcBorders>
                    <w:tl2br w:val="nil"/>
                    <w:tr2bl w:val="nil"/>
                  </w:tcBorders>
                  <w:vAlign w:val="center"/>
                </w:tcPr>
                <w:p w14:paraId="53D2A6A1">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lang w:bidi="ar"/>
                    </w:rPr>
                    <w:t>1</w:t>
                  </w:r>
                </w:p>
              </w:tc>
              <w:tc>
                <w:tcPr>
                  <w:tcW w:w="289" w:type="pct"/>
                  <w:tcBorders>
                    <w:tl2br w:val="nil"/>
                    <w:tr2bl w:val="nil"/>
                  </w:tcBorders>
                  <w:vAlign w:val="center"/>
                </w:tcPr>
                <w:p w14:paraId="4FF7C352">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bidi="ar"/>
                    </w:rPr>
                    <w:t>台</w:t>
                  </w:r>
                </w:p>
              </w:tc>
            </w:tr>
          </w:tbl>
          <w:p w14:paraId="17A4A5F3">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本项目将水泥和水按比例在高速制浆机内初步搅拌混合，水泥和水年用量合计157800t，年工作330d，每天工作10h，则每小时用量为47.82t。</w:t>
            </w:r>
          </w:p>
          <w:p w14:paraId="5F28AD34">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根据《山西晋煤集团赵庄煤业有限责任公司赵庄二号井东风井注浆站方案设计说明书》充填系统能力分析，考虑注浆站适应性，浆料系统预留一定的生产能力，最大充填能力按100t/h设计。</w:t>
            </w:r>
          </w:p>
          <w:p w14:paraId="421E3F92">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本项目设置2台</w:t>
            </w:r>
            <w:r>
              <w:rPr>
                <w:rFonts w:hint="default" w:cs="Times New Roman"/>
                <w:bCs/>
                <w:color w:val="auto"/>
                <w:sz w:val="24"/>
                <w:szCs w:val="24"/>
                <w:highlight w:val="none"/>
                <w:lang w:val="en-US" w:eastAsia="zh-CN"/>
              </w:rPr>
              <w:t>高速制浆机</w:t>
            </w:r>
            <w:r>
              <w:rPr>
                <w:rFonts w:hint="eastAsia" w:cs="Times New Roman"/>
                <w:bCs/>
                <w:color w:val="auto"/>
                <w:sz w:val="24"/>
                <w:szCs w:val="24"/>
                <w:highlight w:val="none"/>
                <w:lang w:val="en-US" w:eastAsia="zh-CN"/>
              </w:rPr>
              <w:t>，1用1备，制浆能力为100t/h；设置1台低速搅拌桶，生产能力为100t/h。生产能力与设计方案相匹配，可以满足生产要求。</w:t>
            </w:r>
          </w:p>
          <w:p w14:paraId="65F25D76">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 xml:space="preserve">2.4 </w:t>
            </w:r>
            <w:r>
              <w:rPr>
                <w:rFonts w:hint="default" w:ascii="Times New Roman" w:hAnsi="Times New Roman" w:eastAsia="宋体" w:cs="Times New Roman"/>
                <w:b/>
                <w:bCs w:val="0"/>
                <w:color w:val="auto"/>
                <w:sz w:val="24"/>
                <w:szCs w:val="24"/>
                <w:highlight w:val="none"/>
                <w:lang w:val="en-US" w:eastAsia="zh-CN"/>
              </w:rPr>
              <w:t>原辅材料</w:t>
            </w:r>
          </w:p>
          <w:p w14:paraId="394F71D0">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根据建设单位提供资料，本项目充填材料主要为煤矸石、水泥、水及添加剂，其中：矸石和浆料质量配比约为矸石：浆料=2.8：1，水泥、水、添加剂配比约为水泥：水：添加剂=5.99：3.98：0.03。充填材料具体消耗量见表2.4-1。</w:t>
            </w:r>
          </w:p>
          <w:p w14:paraId="7DF1A42F">
            <w:pPr>
              <w:keepNext w:val="0"/>
              <w:keepLines w:val="0"/>
              <w:pageBreakBefore w:val="0"/>
              <w:widowControl w:val="0"/>
              <w:kinsoku/>
              <w:wordWrap/>
              <w:overflowPunct/>
              <w:topLinePunct w:val="0"/>
              <w:autoSpaceDE/>
              <w:autoSpaceDN/>
              <w:bidi w:val="0"/>
              <w:adjustRightInd/>
              <w:snapToGrid/>
              <w:spacing w:before="0" w:after="0" w:line="480" w:lineRule="exact"/>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表</w:t>
            </w:r>
            <w:r>
              <w:rPr>
                <w:rFonts w:hint="eastAsia" w:ascii="Times New Roman" w:hAnsi="Times New Roman" w:eastAsia="黑体" w:cs="Times New Roman"/>
                <w:iCs/>
                <w:snapToGrid w:val="0"/>
                <w:color w:val="auto"/>
                <w:kern w:val="0"/>
                <w:sz w:val="21"/>
                <w:szCs w:val="20"/>
                <w:highlight w:val="none"/>
                <w:lang w:val="en-US" w:eastAsia="zh-CN" w:bidi="ar-SA"/>
              </w:rPr>
              <w:t>2.4-</w:t>
            </w:r>
            <w:r>
              <w:rPr>
                <w:rFonts w:hint="eastAsia" w:eastAsia="黑体" w:cs="Times New Roman"/>
                <w:iCs/>
                <w:snapToGrid w:val="0"/>
                <w:color w:val="auto"/>
                <w:kern w:val="0"/>
                <w:sz w:val="21"/>
                <w:szCs w:val="20"/>
                <w:highlight w:val="none"/>
                <w:lang w:val="en-US" w:eastAsia="zh-CN" w:bidi="ar-SA"/>
              </w:rPr>
              <w:t>1</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充填材料消耗情况</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5"/>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66"/>
              <w:gridCol w:w="960"/>
              <w:gridCol w:w="910"/>
              <w:gridCol w:w="4535"/>
            </w:tblGrid>
            <w:tr w14:paraId="70BD3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vAlign w:val="center"/>
                </w:tcPr>
                <w:p w14:paraId="1AA39DDC">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866" w:type="dxa"/>
                  <w:tcBorders>
                    <w:tl2br w:val="nil"/>
                    <w:tr2bl w:val="nil"/>
                  </w:tcBorders>
                  <w:vAlign w:val="center"/>
                </w:tcPr>
                <w:p w14:paraId="1FF6D164">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名称</w:t>
                  </w:r>
                </w:p>
              </w:tc>
              <w:tc>
                <w:tcPr>
                  <w:tcW w:w="960" w:type="dxa"/>
                  <w:tcBorders>
                    <w:tl2br w:val="nil"/>
                    <w:tr2bl w:val="nil"/>
                  </w:tcBorders>
                  <w:vAlign w:val="center"/>
                </w:tcPr>
                <w:p w14:paraId="092E226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年用量</w:t>
                  </w:r>
                </w:p>
              </w:tc>
              <w:tc>
                <w:tcPr>
                  <w:tcW w:w="910" w:type="dxa"/>
                  <w:tcBorders>
                    <w:tl2br w:val="nil"/>
                    <w:tr2bl w:val="nil"/>
                  </w:tcBorders>
                  <w:vAlign w:val="center"/>
                </w:tcPr>
                <w:p w14:paraId="29FC0C87">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4535" w:type="dxa"/>
                  <w:tcBorders>
                    <w:tl2br w:val="nil"/>
                    <w:tr2bl w:val="nil"/>
                  </w:tcBorders>
                  <w:vAlign w:val="center"/>
                </w:tcPr>
                <w:p w14:paraId="62379853">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来源</w:t>
                  </w:r>
                </w:p>
              </w:tc>
            </w:tr>
            <w:tr w14:paraId="334A9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vAlign w:val="center"/>
                </w:tcPr>
                <w:p w14:paraId="3CC53B7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866" w:type="dxa"/>
                  <w:tcBorders>
                    <w:tl2br w:val="nil"/>
                    <w:tr2bl w:val="nil"/>
                  </w:tcBorders>
                  <w:vAlign w:val="center"/>
                </w:tcPr>
                <w:p w14:paraId="7AF669BF">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煤矸石</w:t>
                  </w:r>
                </w:p>
              </w:tc>
              <w:tc>
                <w:tcPr>
                  <w:tcW w:w="960" w:type="dxa"/>
                  <w:tcBorders>
                    <w:tl2br w:val="nil"/>
                    <w:tr2bl w:val="nil"/>
                  </w:tcBorders>
                  <w:shd w:val="clear" w:color="auto" w:fill="auto"/>
                  <w:vAlign w:val="center"/>
                </w:tcPr>
                <w:p w14:paraId="38C80393">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442000</w:t>
                  </w:r>
                </w:p>
              </w:tc>
              <w:tc>
                <w:tcPr>
                  <w:tcW w:w="910" w:type="dxa"/>
                  <w:tcBorders>
                    <w:tl2br w:val="nil"/>
                    <w:tr2bl w:val="nil"/>
                  </w:tcBorders>
                  <w:vAlign w:val="center"/>
                </w:tcPr>
                <w:p w14:paraId="376823B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t/a</w:t>
                  </w:r>
                </w:p>
              </w:tc>
              <w:tc>
                <w:tcPr>
                  <w:tcW w:w="4535" w:type="dxa"/>
                  <w:tcBorders>
                    <w:tl2br w:val="nil"/>
                    <w:tr2bl w:val="nil"/>
                  </w:tcBorders>
                  <w:vAlign w:val="center"/>
                </w:tcPr>
                <w:p w14:paraId="376AC743">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山西晋煤集团赵庄煤业有限责任公司洗选矸石</w:t>
                  </w:r>
                </w:p>
              </w:tc>
            </w:tr>
            <w:tr w14:paraId="1733F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vAlign w:val="center"/>
                </w:tcPr>
                <w:p w14:paraId="36DA405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866" w:type="dxa"/>
                  <w:tcBorders>
                    <w:tl2br w:val="nil"/>
                    <w:tr2bl w:val="nil"/>
                  </w:tcBorders>
                  <w:vAlign w:val="center"/>
                </w:tcPr>
                <w:p w14:paraId="22614998">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水泥</w:t>
                  </w:r>
                </w:p>
              </w:tc>
              <w:tc>
                <w:tcPr>
                  <w:tcW w:w="960" w:type="dxa"/>
                  <w:tcBorders>
                    <w:tl2br w:val="nil"/>
                    <w:tr2bl w:val="nil"/>
                  </w:tcBorders>
                  <w:shd w:val="clear" w:color="auto" w:fill="auto"/>
                  <w:vAlign w:val="center"/>
                </w:tcPr>
                <w:p w14:paraId="1F3AD0CA">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94800</w:t>
                  </w:r>
                </w:p>
              </w:tc>
              <w:tc>
                <w:tcPr>
                  <w:tcW w:w="910" w:type="dxa"/>
                  <w:tcBorders>
                    <w:tl2br w:val="nil"/>
                    <w:tr2bl w:val="nil"/>
                  </w:tcBorders>
                  <w:vAlign w:val="center"/>
                </w:tcPr>
                <w:p w14:paraId="4E1D3C9A">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t/a</w:t>
                  </w:r>
                </w:p>
              </w:tc>
              <w:tc>
                <w:tcPr>
                  <w:tcW w:w="4535" w:type="dxa"/>
                  <w:tcBorders>
                    <w:tl2br w:val="nil"/>
                    <w:tr2bl w:val="nil"/>
                  </w:tcBorders>
                  <w:vAlign w:val="center"/>
                </w:tcPr>
                <w:p w14:paraId="5621BC3F">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外购</w:t>
                  </w:r>
                </w:p>
              </w:tc>
            </w:tr>
            <w:tr w14:paraId="6D3AC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vAlign w:val="center"/>
                </w:tcPr>
                <w:p w14:paraId="28410A3B">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66" w:type="dxa"/>
                  <w:tcBorders>
                    <w:tl2br w:val="nil"/>
                    <w:tr2bl w:val="nil"/>
                  </w:tcBorders>
                  <w:vAlign w:val="center"/>
                </w:tcPr>
                <w:p w14:paraId="65C1390B">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w:t>
                  </w:r>
                </w:p>
              </w:tc>
              <w:tc>
                <w:tcPr>
                  <w:tcW w:w="960" w:type="dxa"/>
                  <w:tcBorders>
                    <w:tl2br w:val="nil"/>
                    <w:tr2bl w:val="nil"/>
                  </w:tcBorders>
                  <w:shd w:val="clear" w:color="auto" w:fill="auto"/>
                  <w:vAlign w:val="center"/>
                </w:tcPr>
                <w:p w14:paraId="6E488E90">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63000</w:t>
                  </w:r>
                </w:p>
              </w:tc>
              <w:tc>
                <w:tcPr>
                  <w:tcW w:w="910" w:type="dxa"/>
                  <w:tcBorders>
                    <w:tl2br w:val="nil"/>
                    <w:tr2bl w:val="nil"/>
                  </w:tcBorders>
                  <w:vAlign w:val="center"/>
                </w:tcPr>
                <w:p w14:paraId="1A1D9A81">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t/a</w:t>
                  </w:r>
                </w:p>
              </w:tc>
              <w:tc>
                <w:tcPr>
                  <w:tcW w:w="4535" w:type="dxa"/>
                  <w:tcBorders>
                    <w:tl2br w:val="nil"/>
                    <w:tr2bl w:val="nil"/>
                  </w:tcBorders>
                  <w:vAlign w:val="center"/>
                </w:tcPr>
                <w:p w14:paraId="1151D0B8">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采用现有矿井水处理站处理后的矿井水</w:t>
                  </w:r>
                </w:p>
              </w:tc>
            </w:tr>
            <w:tr w14:paraId="39B40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vAlign w:val="center"/>
                </w:tcPr>
                <w:p w14:paraId="326CE8ED">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866" w:type="dxa"/>
                  <w:tcBorders>
                    <w:tl2br w:val="nil"/>
                    <w:tr2bl w:val="nil"/>
                  </w:tcBorders>
                  <w:vAlign w:val="center"/>
                </w:tcPr>
                <w:p w14:paraId="77B51836">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添加剂</w:t>
                  </w:r>
                </w:p>
              </w:tc>
              <w:tc>
                <w:tcPr>
                  <w:tcW w:w="960" w:type="dxa"/>
                  <w:tcBorders>
                    <w:tl2br w:val="nil"/>
                    <w:tr2bl w:val="nil"/>
                  </w:tcBorders>
                  <w:shd w:val="clear" w:color="auto" w:fill="auto"/>
                  <w:vAlign w:val="center"/>
                </w:tcPr>
                <w:p w14:paraId="35443D7E">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258.519</w:t>
                  </w:r>
                </w:p>
              </w:tc>
              <w:tc>
                <w:tcPr>
                  <w:tcW w:w="910" w:type="dxa"/>
                  <w:tcBorders>
                    <w:tl2br w:val="nil"/>
                    <w:tr2bl w:val="nil"/>
                  </w:tcBorders>
                  <w:vAlign w:val="center"/>
                </w:tcPr>
                <w:p w14:paraId="4CE9F9E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t/a</w:t>
                  </w:r>
                </w:p>
              </w:tc>
              <w:tc>
                <w:tcPr>
                  <w:tcW w:w="4535" w:type="dxa"/>
                  <w:tcBorders>
                    <w:tl2br w:val="nil"/>
                    <w:tr2bl w:val="nil"/>
                  </w:tcBorders>
                  <w:vAlign w:val="center"/>
                </w:tcPr>
                <w:p w14:paraId="64656EA9">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主要成分为工业盐，</w:t>
                  </w:r>
                  <w:r>
                    <w:rPr>
                      <w:rFonts w:hint="eastAsia" w:ascii="Times New Roman" w:hAnsi="Times New Roman" w:cs="Times New Roman"/>
                      <w:color w:val="auto"/>
                      <w:sz w:val="21"/>
                      <w:szCs w:val="21"/>
                      <w:highlight w:val="none"/>
                      <w:vertAlign w:val="baseline"/>
                      <w:lang w:val="en-US" w:eastAsia="zh-CN"/>
                    </w:rPr>
                    <w:t>外购</w:t>
                  </w:r>
                </w:p>
              </w:tc>
            </w:tr>
          </w:tbl>
          <w:p w14:paraId="7D0D0B95">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1.煤矸石</w:t>
            </w:r>
          </w:p>
          <w:p w14:paraId="1AAFD4B2">
            <w:pPr>
              <w:keepNext w:val="0"/>
              <w:keepLines w:val="0"/>
              <w:pageBreakBefore w:val="0"/>
              <w:widowControl w:val="0"/>
              <w:kinsoku/>
              <w:wordWrap/>
              <w:overflowPunct/>
              <w:topLinePunct w:val="0"/>
              <w:bidi w:val="0"/>
              <w:spacing w:line="480" w:lineRule="exact"/>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本</w:t>
            </w:r>
            <w:r>
              <w:rPr>
                <w:rFonts w:hint="eastAsia" w:ascii="Times New Roman" w:hAnsi="Times New Roman" w:eastAsia="宋体" w:cs="Times New Roman"/>
                <w:bCs/>
                <w:color w:val="auto"/>
                <w:sz w:val="24"/>
                <w:szCs w:val="24"/>
                <w:highlight w:val="none"/>
                <w:lang w:val="en-US" w:eastAsia="zh-CN"/>
              </w:rPr>
              <w:t>项目</w:t>
            </w:r>
            <w:r>
              <w:rPr>
                <w:rFonts w:hint="eastAsia" w:cs="Times New Roman"/>
                <w:bCs/>
                <w:color w:val="auto"/>
                <w:sz w:val="24"/>
                <w:szCs w:val="24"/>
                <w:highlight w:val="none"/>
                <w:lang w:val="en-US" w:eastAsia="zh-CN"/>
              </w:rPr>
              <w:t>采用山西晋煤集团赵庄煤业有限责任公司（以下简称“赵庄煤矿”）选煤厂洗选出的矸石（粒度≤20mm），无需破碎直接用于充填。根据《山西晋城无烟煤矿业集团有限责任公司赵庄煤业15号煤配采工程环境影响报告书》，赵庄煤矿选煤厂矸石产生量约127万t/a，目前全部用于煤矸石填沟造地开发复垦项目。赵庄煤矿位于本项目南侧3.8km处，矸石运输工作由赵庄煤矿负责，运输路线为赵庄煤矿北门—运煤专用线—227省道—丹慈路—布村道路—东风井厂区，途中涉及环境保护目标为布村，</w:t>
            </w:r>
            <w:r>
              <w:rPr>
                <w:rFonts w:hint="eastAsia" w:cs="Times New Roman"/>
                <w:color w:val="auto"/>
                <w:sz w:val="24"/>
                <w:highlight w:val="none"/>
                <w:lang w:val="en-US" w:eastAsia="zh-CN"/>
              </w:rPr>
              <w:t>运输车辆采用全封闭厢式货车</w:t>
            </w:r>
            <w:r>
              <w:rPr>
                <w:rFonts w:hint="eastAsia" w:ascii="Times New Roman" w:hAnsi="Times New Roman" w:eastAsia="宋体" w:cs="Times New Roman"/>
                <w:color w:val="auto"/>
                <w:sz w:val="24"/>
                <w:highlight w:val="none"/>
                <w:lang w:val="en-US" w:eastAsia="zh-CN"/>
              </w:rPr>
              <w:t>，</w:t>
            </w:r>
            <w:r>
              <w:rPr>
                <w:rFonts w:hint="eastAsia" w:cs="Times New Roman"/>
                <w:bCs/>
                <w:color w:val="auto"/>
                <w:sz w:val="24"/>
                <w:szCs w:val="24"/>
                <w:highlight w:val="none"/>
                <w:lang w:val="en-US" w:eastAsia="zh-CN"/>
              </w:rPr>
              <w:t>运输过程中执行清洁运输要求。煤矸石综合利用协议见附件7，矸石运输路线见附图8。</w:t>
            </w:r>
          </w:p>
          <w:p w14:paraId="6A1231CE">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本次评价</w:t>
            </w:r>
            <w:r>
              <w:rPr>
                <w:rFonts w:hint="eastAsia" w:cs="Times New Roman"/>
                <w:bCs/>
                <w:color w:val="auto"/>
                <w:sz w:val="24"/>
                <w:szCs w:val="24"/>
                <w:highlight w:val="none"/>
                <w:lang w:val="en-US" w:eastAsia="zh-CN"/>
              </w:rPr>
              <w:t>引用《山西晋煤集团赵庄煤业有限责任公司赵庄二号井“三下”近水平厚煤层安全高效充填开采关键技术与应用研究项目环境影响报告书》中的矸石成份及</w:t>
            </w:r>
            <w:r>
              <w:rPr>
                <w:rFonts w:hint="eastAsia" w:ascii="Times New Roman" w:hAnsi="Times New Roman" w:eastAsia="宋体" w:cs="Times New Roman"/>
                <w:bCs/>
                <w:color w:val="auto"/>
                <w:sz w:val="24"/>
                <w:szCs w:val="24"/>
                <w:highlight w:val="none"/>
                <w:lang w:val="en-US" w:eastAsia="zh-CN"/>
              </w:rPr>
              <w:t>淋溶试验数据，</w:t>
            </w:r>
            <w:r>
              <w:rPr>
                <w:rFonts w:hint="eastAsia" w:cs="Times New Roman"/>
                <w:bCs/>
                <w:color w:val="auto"/>
                <w:sz w:val="24"/>
                <w:szCs w:val="24"/>
                <w:highlight w:val="none"/>
                <w:lang w:val="en-US" w:eastAsia="zh-CN"/>
              </w:rPr>
              <w:t>2023年12月</w:t>
            </w:r>
            <w:r>
              <w:rPr>
                <w:rFonts w:hint="eastAsia" w:ascii="Times New Roman" w:hAnsi="Times New Roman" w:eastAsia="宋体" w:cs="Times New Roman"/>
                <w:bCs/>
                <w:color w:val="auto"/>
                <w:sz w:val="24"/>
                <w:szCs w:val="24"/>
                <w:highlight w:val="none"/>
                <w:lang w:val="en-US" w:eastAsia="zh-CN"/>
              </w:rPr>
              <w:t>赵庄二号井委托山西地质集团检测技术有限公司自然资源部太原矿产资源检测中心</w:t>
            </w:r>
            <w:r>
              <w:rPr>
                <w:rFonts w:hint="eastAsia" w:cs="Times New Roman"/>
                <w:bCs/>
                <w:color w:val="auto"/>
                <w:sz w:val="24"/>
                <w:szCs w:val="24"/>
                <w:highlight w:val="none"/>
                <w:lang w:val="en-US" w:eastAsia="zh-CN"/>
              </w:rPr>
              <w:t>对赵庄煤矿</w:t>
            </w:r>
            <w:r>
              <w:rPr>
                <w:rFonts w:hint="eastAsia" w:ascii="Times New Roman" w:hAnsi="Times New Roman" w:eastAsia="宋体" w:cs="Times New Roman"/>
                <w:bCs/>
                <w:color w:val="auto"/>
                <w:sz w:val="24"/>
                <w:szCs w:val="24"/>
                <w:highlight w:val="none"/>
                <w:lang w:val="en-US" w:eastAsia="zh-CN"/>
              </w:rPr>
              <w:t>煤矸石进行</w:t>
            </w:r>
            <w:r>
              <w:rPr>
                <w:rFonts w:hint="eastAsia" w:cs="Times New Roman"/>
                <w:bCs/>
                <w:color w:val="auto"/>
                <w:sz w:val="24"/>
                <w:szCs w:val="24"/>
                <w:highlight w:val="none"/>
                <w:lang w:val="en-US" w:eastAsia="zh-CN"/>
              </w:rPr>
              <w:t>了分析浸溶试验</w:t>
            </w:r>
            <w:r>
              <w:rPr>
                <w:rFonts w:hint="eastAsia" w:ascii="Times New Roman" w:hAnsi="Times New Roman" w:eastAsia="宋体" w:cs="Times New Roman"/>
                <w:bCs/>
                <w:color w:val="auto"/>
                <w:sz w:val="24"/>
                <w:szCs w:val="24"/>
                <w:highlight w:val="none"/>
                <w:lang w:val="en-US" w:eastAsia="zh-CN"/>
              </w:rPr>
              <w:t>，矸石成份见表</w:t>
            </w:r>
            <w:r>
              <w:rPr>
                <w:rFonts w:hint="eastAsia" w:cs="Times New Roman"/>
                <w:bCs/>
                <w:color w:val="auto"/>
                <w:sz w:val="24"/>
                <w:szCs w:val="24"/>
                <w:highlight w:val="none"/>
                <w:lang w:val="en-US" w:eastAsia="zh-CN"/>
              </w:rPr>
              <w:t>2.4-2</w:t>
            </w:r>
            <w:r>
              <w:rPr>
                <w:rFonts w:hint="eastAsia" w:ascii="Times New Roman" w:hAnsi="Times New Roman" w:eastAsia="宋体" w:cs="Times New Roman"/>
                <w:bCs/>
                <w:color w:val="auto"/>
                <w:sz w:val="24"/>
                <w:szCs w:val="24"/>
                <w:highlight w:val="none"/>
                <w:lang w:val="en-US" w:eastAsia="zh-CN"/>
              </w:rPr>
              <w:t>，淋溶试验结果见表</w:t>
            </w:r>
            <w:r>
              <w:rPr>
                <w:rFonts w:hint="eastAsia" w:cs="Times New Roman"/>
                <w:bCs/>
                <w:color w:val="auto"/>
                <w:sz w:val="24"/>
                <w:szCs w:val="24"/>
                <w:highlight w:val="none"/>
                <w:lang w:val="en-US" w:eastAsia="zh-CN"/>
              </w:rPr>
              <w:t>2.4-3</w:t>
            </w:r>
            <w:r>
              <w:rPr>
                <w:rFonts w:hint="eastAsia" w:ascii="Times New Roman" w:hAnsi="Times New Roman" w:eastAsia="宋体" w:cs="Times New Roman"/>
                <w:bCs/>
                <w:color w:val="auto"/>
                <w:sz w:val="24"/>
                <w:szCs w:val="24"/>
                <w:highlight w:val="none"/>
                <w:lang w:val="en-US" w:eastAsia="zh-CN"/>
              </w:rPr>
              <w:t>。</w:t>
            </w:r>
          </w:p>
          <w:p w14:paraId="2BBF20FB">
            <w:pPr>
              <w:keepNext w:val="0"/>
              <w:keepLines w:val="0"/>
              <w:pageBreakBefore w:val="0"/>
              <w:widowControl w:val="0"/>
              <w:kinsoku/>
              <w:wordWrap/>
              <w:overflowPunct/>
              <w:topLinePunct w:val="0"/>
              <w:autoSpaceDE/>
              <w:autoSpaceDN/>
              <w:bidi w:val="0"/>
              <w:adjustRightInd/>
              <w:snapToGrid/>
              <w:spacing w:before="0" w:after="0" w:line="480" w:lineRule="exact"/>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表</w:t>
            </w:r>
            <w:r>
              <w:rPr>
                <w:rFonts w:hint="eastAsia" w:ascii="Times New Roman" w:hAnsi="Times New Roman" w:eastAsia="黑体" w:cs="Times New Roman"/>
                <w:iCs/>
                <w:snapToGrid w:val="0"/>
                <w:color w:val="auto"/>
                <w:kern w:val="0"/>
                <w:sz w:val="21"/>
                <w:szCs w:val="20"/>
                <w:highlight w:val="none"/>
                <w:lang w:val="en-US" w:eastAsia="zh-CN" w:bidi="ar-SA"/>
              </w:rPr>
              <w:t>2.4-</w:t>
            </w:r>
            <w:r>
              <w:rPr>
                <w:rFonts w:hint="eastAsia" w:eastAsia="黑体" w:cs="Times New Roman"/>
                <w:iCs/>
                <w:snapToGrid w:val="0"/>
                <w:color w:val="auto"/>
                <w:kern w:val="0"/>
                <w:sz w:val="21"/>
                <w:szCs w:val="20"/>
                <w:highlight w:val="none"/>
                <w:lang w:val="en-US" w:eastAsia="zh-CN" w:bidi="ar-SA"/>
              </w:rPr>
              <w:t>2</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煤矸石</w:t>
            </w:r>
            <w:r>
              <w:rPr>
                <w:rFonts w:hint="eastAsia" w:ascii="Times New Roman" w:hAnsi="Times New Roman" w:eastAsia="黑体" w:cs="Times New Roman"/>
                <w:iCs/>
                <w:snapToGrid w:val="0"/>
                <w:color w:val="auto"/>
                <w:kern w:val="0"/>
                <w:sz w:val="21"/>
                <w:szCs w:val="20"/>
                <w:highlight w:val="none"/>
                <w:lang w:val="en-US" w:eastAsia="zh-CN" w:bidi="ar-SA"/>
              </w:rPr>
              <w:t>主要成</w:t>
            </w:r>
            <w:r>
              <w:rPr>
                <w:rFonts w:hint="eastAsia" w:eastAsia="黑体" w:cs="Times New Roman"/>
                <w:iCs/>
                <w:snapToGrid w:val="0"/>
                <w:color w:val="auto"/>
                <w:kern w:val="0"/>
                <w:sz w:val="21"/>
                <w:szCs w:val="20"/>
                <w:highlight w:val="none"/>
                <w:lang w:val="en-US" w:eastAsia="zh-CN" w:bidi="ar-SA"/>
              </w:rPr>
              <w:t>份</w:t>
            </w:r>
            <w:r>
              <w:rPr>
                <w:rFonts w:hint="default" w:ascii="Times New Roman" w:hAnsi="Times New Roman" w:eastAsia="黑体" w:cs="Times New Roman"/>
                <w:iCs/>
                <w:snapToGrid w:val="0"/>
                <w:color w:val="auto"/>
                <w:kern w:val="0"/>
                <w:sz w:val="21"/>
                <w:szCs w:val="20"/>
                <w:highlight w:val="none"/>
                <w:lang w:val="en-US" w:eastAsia="zh-CN" w:bidi="ar-SA"/>
              </w:rPr>
              <w:t>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133"/>
              <w:gridCol w:w="1133"/>
              <w:gridCol w:w="1133"/>
              <w:gridCol w:w="1133"/>
              <w:gridCol w:w="1133"/>
              <w:gridCol w:w="1139"/>
            </w:tblGrid>
            <w:tr w14:paraId="71699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3" w:type="dxa"/>
                  <w:tcBorders>
                    <w:tl2br w:val="nil"/>
                    <w:tr2bl w:val="nil"/>
                  </w:tcBorders>
                  <w:noWrap w:val="0"/>
                  <w:vAlign w:val="center"/>
                </w:tcPr>
                <w:p w14:paraId="3015005B">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项目</w:t>
                  </w:r>
                </w:p>
              </w:tc>
              <w:tc>
                <w:tcPr>
                  <w:tcW w:w="1133" w:type="dxa"/>
                  <w:tcBorders>
                    <w:tl2br w:val="nil"/>
                    <w:tr2bl w:val="nil"/>
                  </w:tcBorders>
                  <w:noWrap w:val="0"/>
                  <w:vAlign w:val="center"/>
                </w:tcPr>
                <w:p w14:paraId="62BDFC2B">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SiO</w:t>
                  </w:r>
                  <w:r>
                    <w:rPr>
                      <w:rFonts w:hint="eastAsia" w:cs="Times New Roman"/>
                      <w:color w:val="auto"/>
                      <w:szCs w:val="21"/>
                      <w:highlight w:val="none"/>
                      <w:vertAlign w:val="subscript"/>
                      <w:lang w:val="en-US" w:eastAsia="zh-CN"/>
                    </w:rPr>
                    <w:t>2</w:t>
                  </w:r>
                </w:p>
              </w:tc>
              <w:tc>
                <w:tcPr>
                  <w:tcW w:w="1133" w:type="dxa"/>
                  <w:tcBorders>
                    <w:tl2br w:val="nil"/>
                    <w:tr2bl w:val="nil"/>
                  </w:tcBorders>
                  <w:noWrap w:val="0"/>
                  <w:vAlign w:val="center"/>
                </w:tcPr>
                <w:p w14:paraId="07145DB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Al</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O</w:t>
                  </w:r>
                  <w:r>
                    <w:rPr>
                      <w:rFonts w:hint="eastAsia" w:cs="Times New Roman"/>
                      <w:color w:val="auto"/>
                      <w:szCs w:val="21"/>
                      <w:highlight w:val="none"/>
                      <w:vertAlign w:val="subscript"/>
                      <w:lang w:val="en-US" w:eastAsia="zh-CN"/>
                    </w:rPr>
                    <w:t>3</w:t>
                  </w:r>
                </w:p>
              </w:tc>
              <w:tc>
                <w:tcPr>
                  <w:tcW w:w="1133" w:type="dxa"/>
                  <w:tcBorders>
                    <w:tl2br w:val="nil"/>
                    <w:tr2bl w:val="nil"/>
                  </w:tcBorders>
                  <w:noWrap w:val="0"/>
                  <w:vAlign w:val="center"/>
                </w:tcPr>
                <w:p w14:paraId="2D73F00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Fe</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O</w:t>
                  </w:r>
                  <w:r>
                    <w:rPr>
                      <w:rFonts w:hint="eastAsia" w:cs="Times New Roman"/>
                      <w:color w:val="auto"/>
                      <w:szCs w:val="21"/>
                      <w:highlight w:val="none"/>
                      <w:vertAlign w:val="subscript"/>
                      <w:lang w:val="en-US" w:eastAsia="zh-CN"/>
                    </w:rPr>
                    <w:t>3</w:t>
                  </w:r>
                </w:p>
              </w:tc>
              <w:tc>
                <w:tcPr>
                  <w:tcW w:w="1133" w:type="dxa"/>
                  <w:tcBorders>
                    <w:tl2br w:val="nil"/>
                    <w:tr2bl w:val="nil"/>
                  </w:tcBorders>
                  <w:noWrap w:val="0"/>
                  <w:vAlign w:val="center"/>
                </w:tcPr>
                <w:p w14:paraId="67F5261D">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CaO</w:t>
                  </w:r>
                </w:p>
              </w:tc>
              <w:tc>
                <w:tcPr>
                  <w:tcW w:w="1133" w:type="dxa"/>
                  <w:tcBorders>
                    <w:tl2br w:val="nil"/>
                    <w:tr2bl w:val="nil"/>
                  </w:tcBorders>
                  <w:noWrap w:val="0"/>
                  <w:vAlign w:val="center"/>
                </w:tcPr>
                <w:p w14:paraId="1BFA6A4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MgO</w:t>
                  </w:r>
                </w:p>
              </w:tc>
              <w:tc>
                <w:tcPr>
                  <w:tcW w:w="1139" w:type="dxa"/>
                  <w:tcBorders>
                    <w:tl2br w:val="nil"/>
                    <w:tr2bl w:val="nil"/>
                  </w:tcBorders>
                  <w:noWrap w:val="0"/>
                  <w:vAlign w:val="center"/>
                </w:tcPr>
                <w:p w14:paraId="2C13F09D">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w:t>
                  </w:r>
                </w:p>
              </w:tc>
            </w:tr>
            <w:tr w14:paraId="659EE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3" w:type="dxa"/>
                  <w:tcBorders>
                    <w:tl2br w:val="nil"/>
                    <w:tr2bl w:val="nil"/>
                  </w:tcBorders>
                  <w:noWrap w:val="0"/>
                  <w:vAlign w:val="center"/>
                </w:tcPr>
                <w:p w14:paraId="4E196E12">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结果</w:t>
                  </w:r>
                </w:p>
              </w:tc>
              <w:tc>
                <w:tcPr>
                  <w:tcW w:w="1133" w:type="dxa"/>
                  <w:tcBorders>
                    <w:tl2br w:val="nil"/>
                    <w:tr2bl w:val="nil"/>
                  </w:tcBorders>
                  <w:noWrap w:val="0"/>
                  <w:vAlign w:val="center"/>
                </w:tcPr>
                <w:p w14:paraId="7AD88958">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53.28%</w:t>
                  </w:r>
                </w:p>
              </w:tc>
              <w:tc>
                <w:tcPr>
                  <w:tcW w:w="1133" w:type="dxa"/>
                  <w:tcBorders>
                    <w:tl2br w:val="nil"/>
                    <w:tr2bl w:val="nil"/>
                  </w:tcBorders>
                  <w:noWrap w:val="0"/>
                  <w:vAlign w:val="center"/>
                </w:tcPr>
                <w:p w14:paraId="712089C9">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25.32%</w:t>
                  </w:r>
                </w:p>
              </w:tc>
              <w:tc>
                <w:tcPr>
                  <w:tcW w:w="1133" w:type="dxa"/>
                  <w:tcBorders>
                    <w:tl2br w:val="nil"/>
                    <w:tr2bl w:val="nil"/>
                  </w:tcBorders>
                  <w:noWrap w:val="0"/>
                  <w:vAlign w:val="center"/>
                </w:tcPr>
                <w:p w14:paraId="5540A66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2.17%</w:t>
                  </w:r>
                </w:p>
              </w:tc>
              <w:tc>
                <w:tcPr>
                  <w:tcW w:w="1133" w:type="dxa"/>
                  <w:tcBorders>
                    <w:tl2br w:val="nil"/>
                    <w:tr2bl w:val="nil"/>
                  </w:tcBorders>
                  <w:noWrap w:val="0"/>
                  <w:vAlign w:val="center"/>
                </w:tcPr>
                <w:p w14:paraId="3C888FE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0.284</w:t>
                  </w:r>
                  <w:r>
                    <w:rPr>
                      <w:rFonts w:hint="eastAsia" w:cs="Times New Roman"/>
                      <w:color w:val="auto"/>
                      <w:kern w:val="2"/>
                      <w:sz w:val="21"/>
                      <w:szCs w:val="21"/>
                      <w:highlight w:val="none"/>
                      <w:lang w:val="en-US" w:eastAsia="zh-CN" w:bidi="ar-SA"/>
                    </w:rPr>
                    <w:t>%</w:t>
                  </w:r>
                </w:p>
              </w:tc>
              <w:tc>
                <w:tcPr>
                  <w:tcW w:w="1133" w:type="dxa"/>
                  <w:tcBorders>
                    <w:tl2br w:val="nil"/>
                    <w:tr2bl w:val="nil"/>
                  </w:tcBorders>
                  <w:noWrap w:val="0"/>
                  <w:vAlign w:val="center"/>
                </w:tcPr>
                <w:p w14:paraId="6B40444C">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0.472</w:t>
                  </w:r>
                  <w:r>
                    <w:rPr>
                      <w:rFonts w:hint="eastAsia" w:cs="Times New Roman"/>
                      <w:color w:val="auto"/>
                      <w:kern w:val="2"/>
                      <w:sz w:val="21"/>
                      <w:szCs w:val="21"/>
                      <w:highlight w:val="none"/>
                      <w:lang w:val="en-US" w:eastAsia="zh-CN" w:bidi="ar-SA"/>
                    </w:rPr>
                    <w:t>%</w:t>
                  </w:r>
                </w:p>
              </w:tc>
              <w:tc>
                <w:tcPr>
                  <w:tcW w:w="1139" w:type="dxa"/>
                  <w:tcBorders>
                    <w:tl2br w:val="nil"/>
                    <w:tr2bl w:val="nil"/>
                  </w:tcBorders>
                  <w:noWrap w:val="0"/>
                  <w:vAlign w:val="center"/>
                </w:tcPr>
                <w:p w14:paraId="0C83B85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0.124</w:t>
                  </w:r>
                  <w:r>
                    <w:rPr>
                      <w:rFonts w:hint="eastAsia" w:cs="Times New Roman"/>
                      <w:color w:val="auto"/>
                      <w:kern w:val="2"/>
                      <w:sz w:val="21"/>
                      <w:szCs w:val="21"/>
                      <w:highlight w:val="none"/>
                      <w:lang w:val="en-US" w:eastAsia="zh-CN" w:bidi="ar-SA"/>
                    </w:rPr>
                    <w:t>%</w:t>
                  </w:r>
                </w:p>
              </w:tc>
            </w:tr>
            <w:tr w14:paraId="30CB9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3" w:type="dxa"/>
                  <w:tcBorders>
                    <w:tl2br w:val="nil"/>
                    <w:tr2bl w:val="nil"/>
                  </w:tcBorders>
                  <w:noWrap w:val="0"/>
                  <w:vAlign w:val="center"/>
                </w:tcPr>
                <w:p w14:paraId="4871A09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项目</w:t>
                  </w:r>
                </w:p>
              </w:tc>
              <w:tc>
                <w:tcPr>
                  <w:tcW w:w="1133" w:type="dxa"/>
                  <w:tcBorders>
                    <w:tl2br w:val="nil"/>
                    <w:tr2bl w:val="nil"/>
                  </w:tcBorders>
                  <w:noWrap w:val="0"/>
                  <w:vAlign w:val="center"/>
                </w:tcPr>
                <w:p w14:paraId="16C45C59">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Na</w:t>
                  </w:r>
                  <w:r>
                    <w:rPr>
                      <w:rFonts w:hint="eastAsia" w:cs="Times New Roman"/>
                      <w:color w:val="auto"/>
                      <w:kern w:val="2"/>
                      <w:sz w:val="21"/>
                      <w:szCs w:val="21"/>
                      <w:highlight w:val="none"/>
                      <w:vertAlign w:val="subscript"/>
                      <w:lang w:val="en-US" w:eastAsia="zh-CN" w:bidi="ar-SA"/>
                    </w:rPr>
                    <w:t>2</w:t>
                  </w:r>
                  <w:r>
                    <w:rPr>
                      <w:rFonts w:hint="eastAsia" w:cs="Times New Roman"/>
                      <w:color w:val="auto"/>
                      <w:kern w:val="2"/>
                      <w:sz w:val="21"/>
                      <w:szCs w:val="21"/>
                      <w:highlight w:val="none"/>
                      <w:lang w:val="en-US" w:eastAsia="zh-CN" w:bidi="ar-SA"/>
                    </w:rPr>
                    <w:t>O</w:t>
                  </w:r>
                </w:p>
              </w:tc>
              <w:tc>
                <w:tcPr>
                  <w:tcW w:w="1133" w:type="dxa"/>
                  <w:tcBorders>
                    <w:tl2br w:val="nil"/>
                    <w:tr2bl w:val="nil"/>
                  </w:tcBorders>
                  <w:noWrap w:val="0"/>
                  <w:vAlign w:val="center"/>
                </w:tcPr>
                <w:p w14:paraId="2BF54FA8">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MnO</w:t>
                  </w:r>
                  <w:r>
                    <w:rPr>
                      <w:rFonts w:hint="eastAsia" w:cs="Times New Roman"/>
                      <w:color w:val="auto"/>
                      <w:kern w:val="2"/>
                      <w:sz w:val="21"/>
                      <w:szCs w:val="21"/>
                      <w:highlight w:val="none"/>
                      <w:vertAlign w:val="subscript"/>
                      <w:lang w:val="en-US" w:eastAsia="zh-CN" w:bidi="ar-SA"/>
                    </w:rPr>
                    <w:t>2</w:t>
                  </w:r>
                </w:p>
              </w:tc>
              <w:tc>
                <w:tcPr>
                  <w:tcW w:w="1133" w:type="dxa"/>
                  <w:tcBorders>
                    <w:tl2br w:val="nil"/>
                    <w:tr2bl w:val="nil"/>
                  </w:tcBorders>
                  <w:noWrap w:val="0"/>
                  <w:vAlign w:val="center"/>
                </w:tcPr>
                <w:p w14:paraId="412DA14A">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K</w:t>
                  </w:r>
                  <w:r>
                    <w:rPr>
                      <w:rFonts w:hint="eastAsia" w:cs="Times New Roman"/>
                      <w:color w:val="auto"/>
                      <w:kern w:val="2"/>
                      <w:sz w:val="21"/>
                      <w:szCs w:val="21"/>
                      <w:highlight w:val="none"/>
                      <w:vertAlign w:val="subscript"/>
                      <w:lang w:val="en-US" w:eastAsia="zh-CN" w:bidi="ar-SA"/>
                    </w:rPr>
                    <w:t>2</w:t>
                  </w:r>
                  <w:r>
                    <w:rPr>
                      <w:rFonts w:hint="eastAsia" w:cs="Times New Roman"/>
                      <w:color w:val="auto"/>
                      <w:kern w:val="2"/>
                      <w:sz w:val="21"/>
                      <w:szCs w:val="21"/>
                      <w:highlight w:val="none"/>
                      <w:lang w:val="en-US" w:eastAsia="zh-CN" w:bidi="ar-SA"/>
                    </w:rPr>
                    <w:t>O</w:t>
                  </w:r>
                </w:p>
              </w:tc>
              <w:tc>
                <w:tcPr>
                  <w:tcW w:w="1133" w:type="dxa"/>
                  <w:tcBorders>
                    <w:tl2br w:val="nil"/>
                    <w:tr2bl w:val="nil"/>
                  </w:tcBorders>
                  <w:noWrap w:val="0"/>
                  <w:vAlign w:val="center"/>
                </w:tcPr>
                <w:p w14:paraId="668A7D95">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P</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O</w:t>
                  </w:r>
                  <w:r>
                    <w:rPr>
                      <w:rFonts w:hint="eastAsia" w:cs="Times New Roman"/>
                      <w:color w:val="auto"/>
                      <w:szCs w:val="21"/>
                      <w:highlight w:val="none"/>
                      <w:vertAlign w:val="subscript"/>
                      <w:lang w:val="en-US" w:eastAsia="zh-CN"/>
                    </w:rPr>
                    <w:t>5</w:t>
                  </w:r>
                </w:p>
              </w:tc>
              <w:tc>
                <w:tcPr>
                  <w:tcW w:w="1133" w:type="dxa"/>
                  <w:tcBorders>
                    <w:tl2br w:val="nil"/>
                    <w:tr2bl w:val="nil"/>
                  </w:tcBorders>
                  <w:noWrap w:val="0"/>
                  <w:vAlign w:val="center"/>
                </w:tcPr>
                <w:p w14:paraId="5737703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烧失量</w:t>
                  </w:r>
                </w:p>
              </w:tc>
              <w:tc>
                <w:tcPr>
                  <w:tcW w:w="1139" w:type="dxa"/>
                  <w:tcBorders>
                    <w:tl2br w:val="nil"/>
                    <w:tr2bl w:val="nil"/>
                  </w:tcBorders>
                  <w:noWrap w:val="0"/>
                  <w:vAlign w:val="center"/>
                </w:tcPr>
                <w:p w14:paraId="354D3188">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TiO</w:t>
                  </w:r>
                  <w:r>
                    <w:rPr>
                      <w:rFonts w:hint="eastAsia" w:cs="Times New Roman"/>
                      <w:color w:val="auto"/>
                      <w:szCs w:val="21"/>
                      <w:highlight w:val="none"/>
                      <w:vertAlign w:val="subscript"/>
                      <w:lang w:val="en-US" w:eastAsia="zh-CN"/>
                    </w:rPr>
                    <w:t>2</w:t>
                  </w:r>
                </w:p>
              </w:tc>
            </w:tr>
            <w:tr w14:paraId="75879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3" w:type="dxa"/>
                  <w:tcBorders>
                    <w:tl2br w:val="nil"/>
                    <w:tr2bl w:val="nil"/>
                  </w:tcBorders>
                  <w:noWrap w:val="0"/>
                  <w:vAlign w:val="center"/>
                </w:tcPr>
                <w:p w14:paraId="25BC8B75">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结果</w:t>
                  </w:r>
                </w:p>
              </w:tc>
              <w:tc>
                <w:tcPr>
                  <w:tcW w:w="1133" w:type="dxa"/>
                  <w:tcBorders>
                    <w:tl2br w:val="nil"/>
                    <w:tr2bl w:val="nil"/>
                  </w:tcBorders>
                  <w:noWrap w:val="0"/>
                  <w:vAlign w:val="center"/>
                </w:tcPr>
                <w:p w14:paraId="6592096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0.842%</w:t>
                  </w:r>
                </w:p>
              </w:tc>
              <w:tc>
                <w:tcPr>
                  <w:tcW w:w="1133" w:type="dxa"/>
                  <w:tcBorders>
                    <w:tl2br w:val="nil"/>
                    <w:tr2bl w:val="nil"/>
                  </w:tcBorders>
                  <w:noWrap w:val="0"/>
                  <w:vAlign w:val="center"/>
                </w:tcPr>
                <w:p w14:paraId="3EC63CD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355mg/kg</w:t>
                  </w:r>
                </w:p>
              </w:tc>
              <w:tc>
                <w:tcPr>
                  <w:tcW w:w="1133" w:type="dxa"/>
                  <w:tcBorders>
                    <w:tl2br w:val="nil"/>
                    <w:tr2bl w:val="nil"/>
                  </w:tcBorders>
                  <w:noWrap w:val="0"/>
                  <w:vAlign w:val="center"/>
                </w:tcPr>
                <w:p w14:paraId="37DCC67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c>
                <w:tcPr>
                  <w:tcW w:w="1133" w:type="dxa"/>
                  <w:tcBorders>
                    <w:tl2br w:val="nil"/>
                    <w:tr2bl w:val="nil"/>
                  </w:tcBorders>
                  <w:noWrap w:val="0"/>
                  <w:vAlign w:val="center"/>
                </w:tcPr>
                <w:p w14:paraId="17B7FEE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0.062</w:t>
                  </w:r>
                  <w:r>
                    <w:rPr>
                      <w:rFonts w:hint="eastAsia" w:cs="Times New Roman"/>
                      <w:color w:val="auto"/>
                      <w:kern w:val="2"/>
                      <w:sz w:val="21"/>
                      <w:szCs w:val="21"/>
                      <w:highlight w:val="none"/>
                      <w:lang w:val="en-US" w:eastAsia="zh-CN" w:bidi="ar-SA"/>
                    </w:rPr>
                    <w:t>%</w:t>
                  </w:r>
                </w:p>
              </w:tc>
              <w:tc>
                <w:tcPr>
                  <w:tcW w:w="1133" w:type="dxa"/>
                  <w:tcBorders>
                    <w:tl2br w:val="nil"/>
                    <w:tr2bl w:val="nil"/>
                  </w:tcBorders>
                  <w:noWrap w:val="0"/>
                  <w:vAlign w:val="center"/>
                </w:tcPr>
                <w:p w14:paraId="423A2524">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12.46</w:t>
                  </w:r>
                </w:p>
              </w:tc>
              <w:tc>
                <w:tcPr>
                  <w:tcW w:w="1139" w:type="dxa"/>
                  <w:tcBorders>
                    <w:tl2br w:val="nil"/>
                    <w:tr2bl w:val="nil"/>
                  </w:tcBorders>
                  <w:noWrap w:val="0"/>
                  <w:vAlign w:val="center"/>
                </w:tcPr>
                <w:p w14:paraId="55DDA556">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0.797</w:t>
                  </w:r>
                  <w:r>
                    <w:rPr>
                      <w:rFonts w:hint="eastAsia" w:cs="Times New Roman"/>
                      <w:color w:val="auto"/>
                      <w:kern w:val="2"/>
                      <w:sz w:val="21"/>
                      <w:szCs w:val="21"/>
                      <w:highlight w:val="none"/>
                      <w:lang w:val="en-US" w:eastAsia="zh-CN" w:bidi="ar-SA"/>
                    </w:rPr>
                    <w:t>%</w:t>
                  </w:r>
                </w:p>
              </w:tc>
            </w:tr>
          </w:tbl>
          <w:p w14:paraId="06B40EB9">
            <w:pPr>
              <w:keepNext w:val="0"/>
              <w:keepLines w:val="0"/>
              <w:pageBreakBefore w:val="0"/>
              <w:widowControl w:val="0"/>
              <w:kinsoku/>
              <w:wordWrap/>
              <w:overflowPunct/>
              <w:topLinePunct w:val="0"/>
              <w:autoSpaceDE/>
              <w:autoSpaceDN/>
              <w:bidi w:val="0"/>
              <w:adjustRightInd/>
              <w:snapToGrid/>
              <w:spacing w:before="0" w:after="0" w:line="480" w:lineRule="exact"/>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表2.4-</w:t>
            </w:r>
            <w:r>
              <w:rPr>
                <w:rFonts w:hint="eastAsia" w:eastAsia="黑体" w:cs="Times New Roman"/>
                <w:iCs/>
                <w:snapToGrid w:val="0"/>
                <w:color w:val="auto"/>
                <w:kern w:val="0"/>
                <w:sz w:val="21"/>
                <w:szCs w:val="20"/>
                <w:highlight w:val="none"/>
                <w:lang w:val="en-US" w:eastAsia="zh-CN" w:bidi="ar-SA"/>
              </w:rPr>
              <w:t>3</w:t>
            </w:r>
            <w:r>
              <w:rPr>
                <w:rFonts w:hint="eastAsia" w:ascii="Times New Roman" w:hAnsi="Times New Roman" w:eastAsia="黑体" w:cs="Times New Roman"/>
                <w:iCs/>
                <w:snapToGrid w:val="0"/>
                <w:color w:val="auto"/>
                <w:kern w:val="0"/>
                <w:sz w:val="21"/>
                <w:szCs w:val="20"/>
                <w:highlight w:val="none"/>
                <w:lang w:val="en-US" w:eastAsia="zh-CN" w:bidi="ar-SA"/>
              </w:rPr>
              <w:t xml:space="preserve">  煤</w:t>
            </w:r>
            <w:r>
              <w:rPr>
                <w:rFonts w:hint="default" w:ascii="Times New Roman" w:hAnsi="Times New Roman" w:eastAsia="黑体" w:cs="Times New Roman"/>
                <w:iCs/>
                <w:snapToGrid w:val="0"/>
                <w:color w:val="auto"/>
                <w:kern w:val="0"/>
                <w:sz w:val="21"/>
                <w:szCs w:val="20"/>
                <w:highlight w:val="none"/>
                <w:lang w:val="en-US" w:eastAsia="zh-CN" w:bidi="ar-SA"/>
              </w:rPr>
              <w:t>矸石</w:t>
            </w:r>
            <w:r>
              <w:rPr>
                <w:rFonts w:hint="eastAsia" w:ascii="Times New Roman" w:hAnsi="Times New Roman" w:eastAsia="黑体" w:cs="Times New Roman"/>
                <w:iCs/>
                <w:snapToGrid w:val="0"/>
                <w:color w:val="auto"/>
                <w:kern w:val="0"/>
                <w:sz w:val="21"/>
                <w:szCs w:val="20"/>
                <w:highlight w:val="none"/>
                <w:lang w:val="en-US" w:eastAsia="zh-CN" w:bidi="ar-SA"/>
              </w:rPr>
              <w:t>浸出液分析结果与标准对比表</w:t>
            </w:r>
          </w:p>
          <w:tbl>
            <w:tblPr>
              <w:tblStyle w:val="25"/>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1096"/>
              <w:gridCol w:w="1715"/>
              <w:gridCol w:w="2897"/>
              <w:gridCol w:w="1166"/>
            </w:tblGrid>
            <w:tr w14:paraId="6E9D1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614E12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序号</w:t>
                  </w:r>
                </w:p>
              </w:tc>
              <w:tc>
                <w:tcPr>
                  <w:tcW w:w="690" w:type="pct"/>
                  <w:noWrap w:val="0"/>
                  <w:vAlign w:val="center"/>
                </w:tcPr>
                <w:p w14:paraId="35980BB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项目</w:t>
                  </w:r>
                </w:p>
              </w:tc>
              <w:tc>
                <w:tcPr>
                  <w:tcW w:w="1080" w:type="pct"/>
                  <w:noWrap w:val="0"/>
                  <w:vAlign w:val="center"/>
                </w:tcPr>
                <w:p w14:paraId="062D05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样品浸出浓度（mg/L）</w:t>
                  </w:r>
                </w:p>
              </w:tc>
              <w:tc>
                <w:tcPr>
                  <w:tcW w:w="1824" w:type="pct"/>
                  <w:noWrap w:val="0"/>
                  <w:vAlign w:val="center"/>
                </w:tcPr>
                <w:p w14:paraId="5AF7AD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w:t>
                  </w:r>
                  <w:r>
                    <w:rPr>
                      <w:rFonts w:hint="default" w:ascii="Times New Roman" w:hAnsi="Times New Roman" w:eastAsia="宋体" w:cs="Times New Roman"/>
                      <w:color w:val="auto"/>
                      <w:spacing w:val="4"/>
                      <w:sz w:val="21"/>
                      <w:szCs w:val="21"/>
                      <w:highlight w:val="none"/>
                      <w:lang w:val="en-US" w:eastAsia="zh-CN"/>
                    </w:rPr>
                    <w:t>污水</w:t>
                  </w:r>
                  <w:r>
                    <w:rPr>
                      <w:rFonts w:hint="eastAsia" w:ascii="Times New Roman" w:hAnsi="Times New Roman" w:eastAsia="宋体" w:cs="Times New Roman"/>
                      <w:color w:val="auto"/>
                      <w:spacing w:val="4"/>
                      <w:sz w:val="21"/>
                      <w:szCs w:val="21"/>
                      <w:highlight w:val="none"/>
                      <w:lang w:val="en-US" w:eastAsia="zh-CN"/>
                    </w:rPr>
                    <w:t>综合</w:t>
                  </w:r>
                  <w:r>
                    <w:rPr>
                      <w:rFonts w:hint="default" w:ascii="Times New Roman" w:hAnsi="Times New Roman" w:eastAsia="宋体" w:cs="Times New Roman"/>
                      <w:color w:val="auto"/>
                      <w:spacing w:val="4"/>
                      <w:sz w:val="21"/>
                      <w:szCs w:val="21"/>
                      <w:highlight w:val="none"/>
                      <w:lang w:val="en-US" w:eastAsia="zh-CN"/>
                    </w:rPr>
                    <w:t>排放标准</w:t>
                  </w:r>
                  <w:r>
                    <w:rPr>
                      <w:rFonts w:hint="eastAsia" w:ascii="Times New Roman" w:hAnsi="Times New Roman" w:eastAsia="宋体" w:cs="Times New Roman"/>
                      <w:color w:val="auto"/>
                      <w:spacing w:val="4"/>
                      <w:sz w:val="21"/>
                      <w:szCs w:val="21"/>
                      <w:highlight w:val="none"/>
                      <w:lang w:val="en-US" w:eastAsia="zh-CN"/>
                    </w:rPr>
                    <w:t>》（GB8978-1996）一级标准</w:t>
                  </w:r>
                </w:p>
              </w:tc>
              <w:tc>
                <w:tcPr>
                  <w:tcW w:w="734" w:type="pct"/>
                  <w:noWrap w:val="0"/>
                  <w:vAlign w:val="center"/>
                </w:tcPr>
                <w:p w14:paraId="535D470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达标情况</w:t>
                  </w:r>
                </w:p>
              </w:tc>
            </w:tr>
            <w:tr w14:paraId="6E46A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1A341A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1</w:t>
                  </w:r>
                </w:p>
              </w:tc>
              <w:tc>
                <w:tcPr>
                  <w:tcW w:w="690" w:type="pct"/>
                  <w:noWrap w:val="0"/>
                  <w:vAlign w:val="center"/>
                </w:tcPr>
                <w:p w14:paraId="24D508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pH</w:t>
                  </w:r>
                </w:p>
              </w:tc>
              <w:tc>
                <w:tcPr>
                  <w:tcW w:w="1080" w:type="pct"/>
                  <w:noWrap w:val="0"/>
                  <w:vAlign w:val="center"/>
                </w:tcPr>
                <w:p w14:paraId="1F4D01F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8.46</w:t>
                  </w:r>
                </w:p>
              </w:tc>
              <w:tc>
                <w:tcPr>
                  <w:tcW w:w="1824" w:type="pct"/>
                  <w:noWrap w:val="0"/>
                  <w:vAlign w:val="center"/>
                </w:tcPr>
                <w:p w14:paraId="4A22D3F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6~9</w:t>
                  </w:r>
                </w:p>
              </w:tc>
              <w:tc>
                <w:tcPr>
                  <w:tcW w:w="734" w:type="pct"/>
                  <w:noWrap w:val="0"/>
                  <w:vAlign w:val="center"/>
                </w:tcPr>
                <w:p w14:paraId="1AE381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675A5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5771ED7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2</w:t>
                  </w:r>
                </w:p>
              </w:tc>
              <w:tc>
                <w:tcPr>
                  <w:tcW w:w="690" w:type="pct"/>
                  <w:noWrap w:val="0"/>
                  <w:vAlign w:val="center"/>
                </w:tcPr>
                <w:p w14:paraId="4B185AE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highlight w:val="none"/>
                      <w:lang w:val="en-US" w:eastAsia="zh-CN"/>
                    </w:rPr>
                  </w:pPr>
                  <w:r>
                    <w:rPr>
                      <w:rFonts w:hint="default" w:ascii="Times New Roman" w:hAnsi="Times New Roman" w:eastAsia="宋体" w:cs="Times New Roman"/>
                      <w:color w:val="auto"/>
                      <w:spacing w:val="4"/>
                      <w:sz w:val="21"/>
                      <w:szCs w:val="21"/>
                      <w:highlight w:val="none"/>
                      <w:lang w:val="en-US" w:eastAsia="zh-CN"/>
                    </w:rPr>
                    <w:t>Hg</w:t>
                  </w:r>
                </w:p>
              </w:tc>
              <w:tc>
                <w:tcPr>
                  <w:tcW w:w="1080" w:type="pct"/>
                  <w:noWrap w:val="0"/>
                  <w:vAlign w:val="center"/>
                </w:tcPr>
                <w:p w14:paraId="7E5D7EE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0.00002</w:t>
                  </w:r>
                </w:p>
              </w:tc>
              <w:tc>
                <w:tcPr>
                  <w:tcW w:w="1824" w:type="pct"/>
                  <w:noWrap w:val="0"/>
                  <w:vAlign w:val="center"/>
                </w:tcPr>
                <w:p w14:paraId="137EFA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0.05</w:t>
                  </w:r>
                </w:p>
              </w:tc>
              <w:tc>
                <w:tcPr>
                  <w:tcW w:w="734" w:type="pct"/>
                  <w:noWrap w:val="0"/>
                  <w:vAlign w:val="center"/>
                </w:tcPr>
                <w:p w14:paraId="4DE4FA8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0727D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5841842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3</w:t>
                  </w:r>
                </w:p>
              </w:tc>
              <w:tc>
                <w:tcPr>
                  <w:tcW w:w="690" w:type="pct"/>
                  <w:noWrap w:val="0"/>
                  <w:vAlign w:val="center"/>
                </w:tcPr>
                <w:p w14:paraId="420D71E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Pb</w:t>
                  </w:r>
                </w:p>
              </w:tc>
              <w:tc>
                <w:tcPr>
                  <w:tcW w:w="1080" w:type="pct"/>
                  <w:noWrap w:val="0"/>
                  <w:vAlign w:val="center"/>
                </w:tcPr>
                <w:p w14:paraId="51E779E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0.0100</w:t>
                  </w:r>
                </w:p>
              </w:tc>
              <w:tc>
                <w:tcPr>
                  <w:tcW w:w="1824" w:type="pct"/>
                  <w:noWrap w:val="0"/>
                  <w:vAlign w:val="center"/>
                </w:tcPr>
                <w:p w14:paraId="6212E61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1.0</w:t>
                  </w:r>
                </w:p>
              </w:tc>
              <w:tc>
                <w:tcPr>
                  <w:tcW w:w="734" w:type="pct"/>
                  <w:noWrap w:val="0"/>
                  <w:vAlign w:val="center"/>
                </w:tcPr>
                <w:p w14:paraId="7359C6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4BD27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2E4507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4</w:t>
                  </w:r>
                </w:p>
              </w:tc>
              <w:tc>
                <w:tcPr>
                  <w:tcW w:w="690" w:type="pct"/>
                  <w:noWrap w:val="0"/>
                  <w:vAlign w:val="center"/>
                </w:tcPr>
                <w:p w14:paraId="6A8E62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Cd</w:t>
                  </w:r>
                </w:p>
              </w:tc>
              <w:tc>
                <w:tcPr>
                  <w:tcW w:w="1080" w:type="pct"/>
                  <w:noWrap w:val="0"/>
                  <w:vAlign w:val="center"/>
                </w:tcPr>
                <w:p w14:paraId="706EF57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&lt;0.0012</w:t>
                  </w:r>
                </w:p>
              </w:tc>
              <w:tc>
                <w:tcPr>
                  <w:tcW w:w="1824" w:type="pct"/>
                  <w:noWrap w:val="0"/>
                  <w:vAlign w:val="center"/>
                </w:tcPr>
                <w:p w14:paraId="1204753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0.1</w:t>
                  </w:r>
                </w:p>
              </w:tc>
              <w:tc>
                <w:tcPr>
                  <w:tcW w:w="734" w:type="pct"/>
                  <w:noWrap w:val="0"/>
                  <w:vAlign w:val="center"/>
                </w:tcPr>
                <w:p w14:paraId="0948517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4FCB5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2B06A4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5</w:t>
                  </w:r>
                </w:p>
              </w:tc>
              <w:tc>
                <w:tcPr>
                  <w:tcW w:w="690" w:type="pct"/>
                  <w:noWrap w:val="0"/>
                  <w:vAlign w:val="center"/>
                </w:tcPr>
                <w:p w14:paraId="699E31B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Cr</w:t>
                  </w:r>
                </w:p>
              </w:tc>
              <w:tc>
                <w:tcPr>
                  <w:tcW w:w="1080" w:type="pct"/>
                  <w:noWrap w:val="0"/>
                  <w:vAlign w:val="center"/>
                </w:tcPr>
                <w:p w14:paraId="07BEF67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0.0194</w:t>
                  </w:r>
                </w:p>
              </w:tc>
              <w:tc>
                <w:tcPr>
                  <w:tcW w:w="1824" w:type="pct"/>
                  <w:noWrap w:val="0"/>
                  <w:vAlign w:val="center"/>
                </w:tcPr>
                <w:p w14:paraId="3B102FA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1.5</w:t>
                  </w:r>
                </w:p>
              </w:tc>
              <w:tc>
                <w:tcPr>
                  <w:tcW w:w="734" w:type="pct"/>
                  <w:noWrap w:val="0"/>
                  <w:vAlign w:val="center"/>
                </w:tcPr>
                <w:p w14:paraId="6A0C2BC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3AE0B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694A799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6</w:t>
                  </w:r>
                </w:p>
              </w:tc>
              <w:tc>
                <w:tcPr>
                  <w:tcW w:w="690" w:type="pct"/>
                  <w:noWrap w:val="0"/>
                  <w:vAlign w:val="center"/>
                </w:tcPr>
                <w:p w14:paraId="6F1AAB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Cu</w:t>
                  </w:r>
                </w:p>
              </w:tc>
              <w:tc>
                <w:tcPr>
                  <w:tcW w:w="1080" w:type="pct"/>
                  <w:noWrap w:val="0"/>
                  <w:vAlign w:val="center"/>
                </w:tcPr>
                <w:p w14:paraId="44C9E46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0.0037</w:t>
                  </w:r>
                </w:p>
              </w:tc>
              <w:tc>
                <w:tcPr>
                  <w:tcW w:w="1824" w:type="pct"/>
                  <w:noWrap w:val="0"/>
                  <w:vAlign w:val="center"/>
                </w:tcPr>
                <w:p w14:paraId="09E9A16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0.5</w:t>
                  </w:r>
                </w:p>
              </w:tc>
              <w:tc>
                <w:tcPr>
                  <w:tcW w:w="734" w:type="pct"/>
                  <w:noWrap w:val="0"/>
                  <w:vAlign w:val="center"/>
                </w:tcPr>
                <w:p w14:paraId="7A82929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6F073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2DA31EB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7</w:t>
                  </w:r>
                </w:p>
              </w:tc>
              <w:tc>
                <w:tcPr>
                  <w:tcW w:w="690" w:type="pct"/>
                  <w:noWrap w:val="0"/>
                  <w:vAlign w:val="center"/>
                </w:tcPr>
                <w:p w14:paraId="792F708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Zn</w:t>
                  </w:r>
                </w:p>
              </w:tc>
              <w:tc>
                <w:tcPr>
                  <w:tcW w:w="1080" w:type="pct"/>
                  <w:noWrap w:val="0"/>
                  <w:vAlign w:val="center"/>
                </w:tcPr>
                <w:p w14:paraId="5C4B2E9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&lt;0.0064</w:t>
                  </w:r>
                </w:p>
              </w:tc>
              <w:tc>
                <w:tcPr>
                  <w:tcW w:w="1824" w:type="pct"/>
                  <w:noWrap w:val="0"/>
                  <w:vAlign w:val="center"/>
                </w:tcPr>
                <w:p w14:paraId="0448AB0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2.0</w:t>
                  </w:r>
                </w:p>
              </w:tc>
              <w:tc>
                <w:tcPr>
                  <w:tcW w:w="734" w:type="pct"/>
                  <w:noWrap w:val="0"/>
                  <w:vAlign w:val="center"/>
                </w:tcPr>
                <w:p w14:paraId="53FCB13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359A9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13F9962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8</w:t>
                  </w:r>
                </w:p>
              </w:tc>
              <w:tc>
                <w:tcPr>
                  <w:tcW w:w="690" w:type="pct"/>
                  <w:noWrap w:val="0"/>
                  <w:vAlign w:val="center"/>
                </w:tcPr>
                <w:p w14:paraId="46D1A7D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Ni</w:t>
                  </w:r>
                </w:p>
              </w:tc>
              <w:tc>
                <w:tcPr>
                  <w:tcW w:w="1080" w:type="pct"/>
                  <w:noWrap w:val="0"/>
                  <w:vAlign w:val="center"/>
                </w:tcPr>
                <w:p w14:paraId="475A29A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0.0058</w:t>
                  </w:r>
                </w:p>
              </w:tc>
              <w:tc>
                <w:tcPr>
                  <w:tcW w:w="1824" w:type="pct"/>
                  <w:noWrap w:val="0"/>
                  <w:vAlign w:val="center"/>
                </w:tcPr>
                <w:p w14:paraId="58F9F77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1.0</w:t>
                  </w:r>
                </w:p>
              </w:tc>
              <w:tc>
                <w:tcPr>
                  <w:tcW w:w="734" w:type="pct"/>
                  <w:noWrap w:val="0"/>
                  <w:vAlign w:val="center"/>
                </w:tcPr>
                <w:p w14:paraId="62E05F5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03437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29B21EC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9</w:t>
                  </w:r>
                </w:p>
              </w:tc>
              <w:tc>
                <w:tcPr>
                  <w:tcW w:w="690" w:type="pct"/>
                  <w:noWrap w:val="0"/>
                  <w:vAlign w:val="center"/>
                </w:tcPr>
                <w:p w14:paraId="682CE9D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As</w:t>
                  </w:r>
                </w:p>
              </w:tc>
              <w:tc>
                <w:tcPr>
                  <w:tcW w:w="1080" w:type="pct"/>
                  <w:noWrap w:val="0"/>
                  <w:vAlign w:val="center"/>
                </w:tcPr>
                <w:p w14:paraId="4A2CA11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0.0078</w:t>
                  </w:r>
                </w:p>
              </w:tc>
              <w:tc>
                <w:tcPr>
                  <w:tcW w:w="1824" w:type="pct"/>
                  <w:noWrap w:val="0"/>
                  <w:vAlign w:val="center"/>
                </w:tcPr>
                <w:p w14:paraId="277D8F5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0.5</w:t>
                  </w:r>
                </w:p>
              </w:tc>
              <w:tc>
                <w:tcPr>
                  <w:tcW w:w="734" w:type="pct"/>
                  <w:noWrap w:val="0"/>
                  <w:vAlign w:val="center"/>
                </w:tcPr>
                <w:p w14:paraId="6152B7E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680C3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6BFEABB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10</w:t>
                  </w:r>
                </w:p>
              </w:tc>
              <w:tc>
                <w:tcPr>
                  <w:tcW w:w="690" w:type="pct"/>
                  <w:noWrap w:val="0"/>
                  <w:vAlign w:val="center"/>
                </w:tcPr>
                <w:p w14:paraId="430B7E2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F</w:t>
                  </w:r>
                  <w:r>
                    <w:rPr>
                      <w:rFonts w:hint="default" w:ascii="Times New Roman" w:hAnsi="Times New Roman" w:eastAsia="宋体" w:cs="Times New Roman"/>
                      <w:color w:val="auto"/>
                      <w:spacing w:val="4"/>
                      <w:sz w:val="21"/>
                      <w:szCs w:val="21"/>
                      <w:highlight w:val="none"/>
                      <w:vertAlign w:val="superscript"/>
                      <w:lang w:val="en-US" w:eastAsia="zh-CN"/>
                    </w:rPr>
                    <w:t>-</w:t>
                  </w:r>
                </w:p>
              </w:tc>
              <w:tc>
                <w:tcPr>
                  <w:tcW w:w="1080" w:type="pct"/>
                  <w:noWrap w:val="0"/>
                  <w:vAlign w:val="center"/>
                </w:tcPr>
                <w:p w14:paraId="4A8FBB9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1.40</w:t>
                  </w:r>
                </w:p>
              </w:tc>
              <w:tc>
                <w:tcPr>
                  <w:tcW w:w="1824" w:type="pct"/>
                  <w:noWrap w:val="0"/>
                  <w:vAlign w:val="center"/>
                </w:tcPr>
                <w:p w14:paraId="5EC0660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10</w:t>
                  </w:r>
                </w:p>
              </w:tc>
              <w:tc>
                <w:tcPr>
                  <w:tcW w:w="734" w:type="pct"/>
                  <w:noWrap w:val="0"/>
                  <w:vAlign w:val="center"/>
                </w:tcPr>
                <w:p w14:paraId="217A6F9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239A3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398FA1C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11</w:t>
                  </w:r>
                </w:p>
              </w:tc>
              <w:tc>
                <w:tcPr>
                  <w:tcW w:w="690" w:type="pct"/>
                  <w:noWrap w:val="0"/>
                  <w:vAlign w:val="center"/>
                </w:tcPr>
                <w:p w14:paraId="0BC1069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Ba</w:t>
                  </w:r>
                </w:p>
              </w:tc>
              <w:tc>
                <w:tcPr>
                  <w:tcW w:w="1080" w:type="pct"/>
                  <w:noWrap w:val="0"/>
                  <w:vAlign w:val="center"/>
                </w:tcPr>
                <w:p w14:paraId="1CF532E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0.334</w:t>
                  </w:r>
                </w:p>
              </w:tc>
              <w:tc>
                <w:tcPr>
                  <w:tcW w:w="1824" w:type="pct"/>
                  <w:noWrap w:val="0"/>
                  <w:vAlign w:val="center"/>
                </w:tcPr>
                <w:p w14:paraId="1070F95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w:t>
                  </w:r>
                </w:p>
              </w:tc>
              <w:tc>
                <w:tcPr>
                  <w:tcW w:w="734" w:type="pct"/>
                  <w:noWrap w:val="0"/>
                  <w:vAlign w:val="center"/>
                </w:tcPr>
                <w:p w14:paraId="13B5CC2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651D2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49955A8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12</w:t>
                  </w:r>
                </w:p>
              </w:tc>
              <w:tc>
                <w:tcPr>
                  <w:tcW w:w="690" w:type="pct"/>
                  <w:noWrap w:val="0"/>
                  <w:vAlign w:val="center"/>
                </w:tcPr>
                <w:p w14:paraId="13BF43F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Be</w:t>
                  </w:r>
                </w:p>
              </w:tc>
              <w:tc>
                <w:tcPr>
                  <w:tcW w:w="1080" w:type="pct"/>
                  <w:noWrap w:val="0"/>
                  <w:vAlign w:val="center"/>
                </w:tcPr>
                <w:p w14:paraId="0DC6C1D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0.0012</w:t>
                  </w:r>
                </w:p>
              </w:tc>
              <w:tc>
                <w:tcPr>
                  <w:tcW w:w="1824" w:type="pct"/>
                  <w:noWrap w:val="0"/>
                  <w:vAlign w:val="center"/>
                </w:tcPr>
                <w:p w14:paraId="035334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0.005</w:t>
                  </w:r>
                </w:p>
              </w:tc>
              <w:tc>
                <w:tcPr>
                  <w:tcW w:w="734" w:type="pct"/>
                  <w:noWrap w:val="0"/>
                  <w:vAlign w:val="center"/>
                </w:tcPr>
                <w:p w14:paraId="0AD1CD5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2E858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1E355BE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13</w:t>
                  </w:r>
                </w:p>
              </w:tc>
              <w:tc>
                <w:tcPr>
                  <w:tcW w:w="690" w:type="pct"/>
                  <w:noWrap w:val="0"/>
                  <w:vAlign w:val="center"/>
                </w:tcPr>
                <w:p w14:paraId="7678C2A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CN-</w:t>
                  </w:r>
                </w:p>
              </w:tc>
              <w:tc>
                <w:tcPr>
                  <w:tcW w:w="1080" w:type="pct"/>
                  <w:noWrap w:val="0"/>
                  <w:vAlign w:val="center"/>
                </w:tcPr>
                <w:p w14:paraId="676B696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&lt;0.0001</w:t>
                  </w:r>
                </w:p>
              </w:tc>
              <w:tc>
                <w:tcPr>
                  <w:tcW w:w="1824" w:type="pct"/>
                  <w:noWrap w:val="0"/>
                  <w:vAlign w:val="center"/>
                </w:tcPr>
                <w:p w14:paraId="30C0456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0.5</w:t>
                  </w:r>
                </w:p>
              </w:tc>
              <w:tc>
                <w:tcPr>
                  <w:tcW w:w="734" w:type="pct"/>
                  <w:noWrap w:val="0"/>
                  <w:vAlign w:val="center"/>
                </w:tcPr>
                <w:p w14:paraId="0CAFCFC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0C00D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6C9F49F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14</w:t>
                  </w:r>
                </w:p>
              </w:tc>
              <w:tc>
                <w:tcPr>
                  <w:tcW w:w="690" w:type="pct"/>
                  <w:noWrap w:val="0"/>
                  <w:vAlign w:val="center"/>
                </w:tcPr>
                <w:p w14:paraId="570FE71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Cr</w:t>
                  </w:r>
                  <w:r>
                    <w:rPr>
                      <w:rFonts w:hint="default" w:ascii="Times New Roman" w:hAnsi="Times New Roman" w:eastAsia="宋体" w:cs="Times New Roman"/>
                      <w:color w:val="auto"/>
                      <w:spacing w:val="4"/>
                      <w:sz w:val="21"/>
                      <w:szCs w:val="21"/>
                      <w:highlight w:val="none"/>
                      <w:vertAlign w:val="superscript"/>
                      <w:lang w:val="en-US" w:eastAsia="zh-CN"/>
                    </w:rPr>
                    <w:t>6+</w:t>
                  </w:r>
                </w:p>
              </w:tc>
              <w:tc>
                <w:tcPr>
                  <w:tcW w:w="1080" w:type="pct"/>
                  <w:noWrap w:val="0"/>
                  <w:vAlign w:val="center"/>
                </w:tcPr>
                <w:p w14:paraId="0355902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&lt;0.0001</w:t>
                  </w:r>
                </w:p>
              </w:tc>
              <w:tc>
                <w:tcPr>
                  <w:tcW w:w="1824" w:type="pct"/>
                  <w:noWrap w:val="0"/>
                  <w:vAlign w:val="center"/>
                </w:tcPr>
                <w:p w14:paraId="781F006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0.5</w:t>
                  </w:r>
                </w:p>
              </w:tc>
              <w:tc>
                <w:tcPr>
                  <w:tcW w:w="734" w:type="pct"/>
                  <w:noWrap w:val="0"/>
                  <w:vAlign w:val="center"/>
                </w:tcPr>
                <w:p w14:paraId="418AEB3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r w14:paraId="35019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9" w:type="pct"/>
                  <w:noWrap w:val="0"/>
                  <w:vAlign w:val="center"/>
                </w:tcPr>
                <w:p w14:paraId="4065EF8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15</w:t>
                  </w:r>
                </w:p>
              </w:tc>
              <w:tc>
                <w:tcPr>
                  <w:tcW w:w="690" w:type="pct"/>
                  <w:noWrap w:val="0"/>
                  <w:vAlign w:val="center"/>
                </w:tcPr>
                <w:p w14:paraId="01CA8EFD">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eastAsia" w:ascii="Times New Roman" w:hAnsi="Times New Roman" w:eastAsia="宋体" w:cs="Times New Roman"/>
                      <w:color w:val="auto"/>
                      <w:spacing w:val="4"/>
                      <w:kern w:val="2"/>
                      <w:sz w:val="21"/>
                      <w:szCs w:val="21"/>
                      <w:highlight w:val="none"/>
                      <w:lang w:val="en-US" w:eastAsia="zh-CN" w:bidi="ar-SA"/>
                    </w:rPr>
                    <w:t>Se</w:t>
                  </w:r>
                </w:p>
              </w:tc>
              <w:tc>
                <w:tcPr>
                  <w:tcW w:w="1080" w:type="pct"/>
                  <w:noWrap w:val="0"/>
                  <w:vAlign w:val="center"/>
                </w:tcPr>
                <w:p w14:paraId="6ABE7ED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0.0026</w:t>
                  </w:r>
                </w:p>
              </w:tc>
              <w:tc>
                <w:tcPr>
                  <w:tcW w:w="1824" w:type="pct"/>
                  <w:noWrap w:val="0"/>
                  <w:vAlign w:val="center"/>
                </w:tcPr>
                <w:p w14:paraId="27FFD81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w:t>
                  </w:r>
                </w:p>
              </w:tc>
              <w:tc>
                <w:tcPr>
                  <w:tcW w:w="734" w:type="pct"/>
                  <w:noWrap w:val="0"/>
                  <w:vAlign w:val="center"/>
                </w:tcPr>
                <w:p w14:paraId="6857061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kern w:val="2"/>
                      <w:sz w:val="21"/>
                      <w:szCs w:val="21"/>
                      <w:highlight w:val="none"/>
                      <w:lang w:val="en-US" w:eastAsia="zh-CN" w:bidi="ar-SA"/>
                    </w:rPr>
                    <w:t>达标</w:t>
                  </w:r>
                </w:p>
              </w:tc>
            </w:tr>
          </w:tbl>
          <w:p w14:paraId="505E258F">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从表中试验结果看出，煤矸石浸出液任何一种污染物的浓度均未超过《污水综合排放标准》</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GB8978-1996</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最高允许排放浓度，pH值在6~9范围内，根据《一般工业固体废物贮存和填埋污染控制标准》</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GB18599-2020</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，项目矸石为第I类一般工业固体废物。</w:t>
            </w:r>
          </w:p>
          <w:p w14:paraId="1198D20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本项目厂区西南侧设置1座门式钢架结构储矸棚，建筑面积1268m</w:t>
            </w:r>
            <w:r>
              <w:rPr>
                <w:rFonts w:hint="eastAsia" w:cs="Times New Roman"/>
                <w:b w:val="0"/>
                <w:bCs/>
                <w:color w:val="auto"/>
                <w:sz w:val="24"/>
                <w:szCs w:val="24"/>
                <w:highlight w:val="none"/>
                <w:vertAlign w:val="superscript"/>
                <w:lang w:val="en-US" w:eastAsia="zh-CN"/>
              </w:rPr>
              <w:t>2</w:t>
            </w:r>
            <w:r>
              <w:rPr>
                <w:rFonts w:hint="eastAsia" w:cs="Times New Roman"/>
                <w:b w:val="0"/>
                <w:bCs/>
                <w:color w:val="auto"/>
                <w:sz w:val="24"/>
                <w:szCs w:val="24"/>
                <w:highlight w:val="none"/>
                <w:lang w:val="en-US" w:eastAsia="zh-CN"/>
              </w:rPr>
              <w:t>，高10m，设计堆高4m，矸石密度取2500kg/m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lang w:val="en-US" w:eastAsia="zh-CN"/>
              </w:rPr>
              <w:t>，设计最大储量约12680t。项目设计年工作330天，每天消耗矸石约1394t，储煤棚可满足9天的矸石用量。</w:t>
            </w:r>
          </w:p>
          <w:p w14:paraId="68647E1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2.</w:t>
            </w:r>
            <w:r>
              <w:rPr>
                <w:rFonts w:hint="eastAsia" w:ascii="Times New Roman" w:hAnsi="Times New Roman" w:eastAsia="宋体" w:cs="Times New Roman"/>
                <w:b w:val="0"/>
                <w:bCs/>
                <w:color w:val="auto"/>
                <w:sz w:val="24"/>
                <w:szCs w:val="24"/>
                <w:highlight w:val="none"/>
                <w:lang w:val="en-US" w:eastAsia="zh-CN"/>
              </w:rPr>
              <w:t>水泥</w:t>
            </w:r>
          </w:p>
          <w:p w14:paraId="2EB47BEF">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w:t>
            </w:r>
            <w:r>
              <w:rPr>
                <w:rFonts w:hint="eastAsia" w:ascii="Times New Roman" w:hAnsi="Times New Roman" w:eastAsia="宋体" w:cs="Times New Roman"/>
                <w:b w:val="0"/>
                <w:bCs/>
                <w:color w:val="auto"/>
                <w:sz w:val="24"/>
                <w:szCs w:val="24"/>
                <w:highlight w:val="none"/>
                <w:lang w:val="en-US" w:eastAsia="zh-CN"/>
              </w:rPr>
              <w:t>选用425号硅酸盐水泥</w:t>
            </w:r>
            <w:r>
              <w:rPr>
                <w:rFonts w:hint="eastAsia" w:cs="Times New Roman"/>
                <w:b w:val="0"/>
                <w:bCs/>
                <w:color w:val="auto"/>
                <w:sz w:val="24"/>
                <w:szCs w:val="24"/>
                <w:highlight w:val="none"/>
                <w:lang w:val="en-US" w:eastAsia="zh-CN"/>
              </w:rPr>
              <w:t>，由硅酸盐水泥熟料、5%-20%的混合材料及适量石膏磨细制成的水硬性胶凝材料。具有强度高、水化热大，抗冻性好、干缩小，耐磨性较好、抗碳化性较好、耐腐蚀性差、不耐高温的特性</w:t>
            </w:r>
            <w:r>
              <w:rPr>
                <w:rFonts w:hint="eastAsia" w:ascii="Times New Roman" w:hAnsi="Times New Roman" w:eastAsia="宋体" w:cs="Times New Roman"/>
                <w:b w:val="0"/>
                <w:bCs/>
                <w:color w:val="auto"/>
                <w:sz w:val="24"/>
                <w:szCs w:val="24"/>
                <w:highlight w:val="none"/>
                <w:lang w:val="en-US" w:eastAsia="zh-CN"/>
              </w:rPr>
              <w:t>。</w:t>
            </w:r>
          </w:p>
          <w:p w14:paraId="6BF9655D">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3.</w:t>
            </w:r>
            <w:r>
              <w:rPr>
                <w:rFonts w:hint="eastAsia" w:ascii="Times New Roman" w:hAnsi="Times New Roman" w:eastAsia="宋体" w:cs="Times New Roman"/>
                <w:b w:val="0"/>
                <w:bCs/>
                <w:color w:val="auto"/>
                <w:sz w:val="24"/>
                <w:szCs w:val="24"/>
                <w:highlight w:val="none"/>
                <w:lang w:val="en-US" w:eastAsia="zh-CN"/>
              </w:rPr>
              <w:t>水</w:t>
            </w:r>
          </w:p>
          <w:p w14:paraId="6C8DD28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本项目充填材料水源利用现有矿井水处理站处理后的矿井水</w:t>
            </w:r>
            <w:r>
              <w:rPr>
                <w:rFonts w:hint="eastAsia" w:ascii="Times New Roman" w:hAnsi="Times New Roman" w:eastAsia="宋体" w:cs="Times New Roman"/>
                <w:b w:val="0"/>
                <w:bCs/>
                <w:color w:val="auto"/>
                <w:sz w:val="24"/>
                <w:szCs w:val="24"/>
                <w:highlight w:val="none"/>
                <w:lang w:val="en-US" w:eastAsia="zh-CN"/>
              </w:rPr>
              <w:t>。</w:t>
            </w:r>
          </w:p>
          <w:p w14:paraId="240B389D">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4.添加剂</w:t>
            </w:r>
          </w:p>
          <w:p w14:paraId="3D50A88E">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添加剂主要成分为工业盐，</w:t>
            </w:r>
            <w:r>
              <w:rPr>
                <w:rFonts w:hint="eastAsia" w:ascii="Times New Roman" w:hAnsi="Times New Roman" w:eastAsia="宋体" w:cs="Times New Roman"/>
                <w:b w:val="0"/>
                <w:bCs/>
                <w:color w:val="auto"/>
                <w:sz w:val="24"/>
                <w:szCs w:val="24"/>
                <w:highlight w:val="none"/>
                <w:lang w:val="en-US" w:eastAsia="zh-CN"/>
              </w:rPr>
              <w:t>工业盐可延缓充填</w:t>
            </w:r>
            <w:r>
              <w:rPr>
                <w:rFonts w:hint="eastAsia" w:cs="Times New Roman"/>
                <w:b w:val="0"/>
                <w:bCs/>
                <w:color w:val="auto"/>
                <w:sz w:val="24"/>
                <w:szCs w:val="24"/>
                <w:highlight w:val="none"/>
                <w:lang w:val="en-US" w:eastAsia="zh-CN"/>
              </w:rPr>
              <w:t>浆料</w:t>
            </w:r>
            <w:r>
              <w:rPr>
                <w:rFonts w:hint="eastAsia" w:ascii="Times New Roman" w:hAnsi="Times New Roman" w:eastAsia="宋体" w:cs="Times New Roman"/>
                <w:b w:val="0"/>
                <w:bCs/>
                <w:color w:val="auto"/>
                <w:sz w:val="24"/>
                <w:szCs w:val="24"/>
                <w:highlight w:val="none"/>
                <w:lang w:val="en-US" w:eastAsia="zh-CN"/>
              </w:rPr>
              <w:t>的凝固时间</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降低充填</w:t>
            </w:r>
            <w:r>
              <w:rPr>
                <w:rFonts w:hint="eastAsia" w:cs="Times New Roman"/>
                <w:b w:val="0"/>
                <w:bCs/>
                <w:color w:val="auto"/>
                <w:sz w:val="24"/>
                <w:szCs w:val="24"/>
                <w:highlight w:val="none"/>
                <w:lang w:val="en-US" w:eastAsia="zh-CN"/>
              </w:rPr>
              <w:t>浆料</w:t>
            </w:r>
            <w:r>
              <w:rPr>
                <w:rFonts w:hint="eastAsia" w:ascii="Times New Roman" w:hAnsi="Times New Roman" w:eastAsia="宋体" w:cs="Times New Roman"/>
                <w:b w:val="0"/>
                <w:bCs/>
                <w:color w:val="auto"/>
                <w:sz w:val="24"/>
                <w:szCs w:val="24"/>
                <w:highlight w:val="none"/>
                <w:lang w:val="en-US" w:eastAsia="zh-CN"/>
              </w:rPr>
              <w:t>的冰点，防止材料在输送或凝固过程中因低温冻结，</w:t>
            </w:r>
            <w:r>
              <w:rPr>
                <w:rFonts w:hint="eastAsia" w:cs="Times New Roman"/>
                <w:b w:val="0"/>
                <w:bCs/>
                <w:color w:val="auto"/>
                <w:sz w:val="24"/>
                <w:szCs w:val="24"/>
                <w:highlight w:val="none"/>
                <w:lang w:val="en-US" w:eastAsia="zh-CN"/>
              </w:rPr>
              <w:t>同时</w:t>
            </w:r>
            <w:r>
              <w:rPr>
                <w:rFonts w:hint="eastAsia" w:ascii="Times New Roman" w:hAnsi="Times New Roman" w:eastAsia="宋体" w:cs="Times New Roman"/>
                <w:b w:val="0"/>
                <w:bCs/>
                <w:color w:val="auto"/>
                <w:sz w:val="24"/>
                <w:szCs w:val="24"/>
                <w:highlight w:val="none"/>
                <w:lang w:val="en-US" w:eastAsia="zh-CN"/>
              </w:rPr>
              <w:t>可降低</w:t>
            </w:r>
            <w:r>
              <w:rPr>
                <w:rFonts w:hint="eastAsia" w:cs="Times New Roman"/>
                <w:b w:val="0"/>
                <w:bCs/>
                <w:color w:val="auto"/>
                <w:sz w:val="24"/>
                <w:szCs w:val="24"/>
                <w:highlight w:val="none"/>
                <w:lang w:val="en-US" w:eastAsia="zh-CN"/>
              </w:rPr>
              <w:t>浆料</w:t>
            </w:r>
            <w:r>
              <w:rPr>
                <w:rFonts w:hint="eastAsia" w:ascii="Times New Roman" w:hAnsi="Times New Roman" w:eastAsia="宋体" w:cs="Times New Roman"/>
                <w:b w:val="0"/>
                <w:bCs/>
                <w:color w:val="auto"/>
                <w:sz w:val="24"/>
                <w:szCs w:val="24"/>
                <w:highlight w:val="none"/>
                <w:lang w:val="en-US" w:eastAsia="zh-CN"/>
              </w:rPr>
              <w:t>黏度，提升流动性。</w:t>
            </w:r>
          </w:p>
          <w:p w14:paraId="3E332FDC">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 xml:space="preserve">2.5 </w:t>
            </w:r>
            <w:r>
              <w:rPr>
                <w:rFonts w:hint="default" w:ascii="Times New Roman" w:hAnsi="Times New Roman" w:eastAsia="宋体" w:cs="Times New Roman"/>
                <w:b/>
                <w:bCs w:val="0"/>
                <w:color w:val="auto"/>
                <w:sz w:val="24"/>
                <w:szCs w:val="24"/>
                <w:highlight w:val="none"/>
                <w:lang w:val="en-US" w:eastAsia="zh-CN"/>
              </w:rPr>
              <w:t>劳动定员及工作制度</w:t>
            </w:r>
          </w:p>
          <w:p w14:paraId="0A3D821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工作制度：年工作</w:t>
            </w:r>
            <w:r>
              <w:rPr>
                <w:rFonts w:hint="default" w:ascii="Times New Roman" w:hAnsi="Times New Roman" w:eastAsia="宋体" w:cs="Times New Roman"/>
                <w:bCs/>
                <w:color w:val="auto"/>
                <w:sz w:val="24"/>
                <w:szCs w:val="24"/>
                <w:highlight w:val="none"/>
                <w:lang w:eastAsia="zh-CN"/>
              </w:rPr>
              <w:t>3</w:t>
            </w:r>
            <w:r>
              <w:rPr>
                <w:rFonts w:hint="eastAsia"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lang w:val="en-US" w:eastAsia="zh-CN"/>
              </w:rPr>
              <w:t>天，每天</w:t>
            </w:r>
            <w:r>
              <w:rPr>
                <w:rFonts w:hint="eastAsia" w:cs="Times New Roman"/>
                <w:bCs/>
                <w:color w:val="auto"/>
                <w:sz w:val="24"/>
                <w:szCs w:val="24"/>
                <w:highlight w:val="none"/>
                <w:lang w:val="en-US" w:eastAsia="zh-CN"/>
              </w:rPr>
              <w:t>两班生产，每班</w:t>
            </w:r>
            <w:r>
              <w:rPr>
                <w:rFonts w:hint="eastAsia" w:ascii="Times New Roman" w:hAnsi="Times New Roman" w:eastAsia="宋体" w:cs="Times New Roman"/>
                <w:bCs/>
                <w:color w:val="auto"/>
                <w:sz w:val="24"/>
                <w:szCs w:val="24"/>
                <w:highlight w:val="none"/>
                <w:lang w:val="en-US" w:eastAsia="zh-CN"/>
              </w:rPr>
              <w:t>工作</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小时。</w:t>
            </w:r>
          </w:p>
          <w:p w14:paraId="71CBDD99">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劳动定员：</w:t>
            </w:r>
            <w:r>
              <w:rPr>
                <w:rFonts w:hint="eastAsia" w:cs="Times New Roman"/>
                <w:bCs/>
                <w:color w:val="auto"/>
                <w:sz w:val="24"/>
                <w:szCs w:val="24"/>
                <w:highlight w:val="none"/>
                <w:lang w:val="en-US" w:eastAsia="zh-CN"/>
              </w:rPr>
              <w:t>项目劳动定员10</w:t>
            </w:r>
            <w:r>
              <w:rPr>
                <w:rFonts w:hint="eastAsia" w:ascii="Times New Roman" w:hAnsi="Times New Roman" w:eastAsia="宋体" w:cs="Times New Roman"/>
                <w:bCs/>
                <w:color w:val="auto"/>
                <w:sz w:val="24"/>
                <w:szCs w:val="24"/>
                <w:highlight w:val="none"/>
                <w:lang w:val="en-US" w:eastAsia="zh-CN"/>
              </w:rPr>
              <w:t>人</w:t>
            </w:r>
            <w:r>
              <w:rPr>
                <w:rFonts w:hint="default" w:ascii="Times New Roman" w:hAnsi="Times New Roman" w:eastAsia="宋体" w:cs="Times New Roman"/>
                <w:bCs/>
                <w:color w:val="auto"/>
                <w:sz w:val="24"/>
                <w:szCs w:val="24"/>
                <w:highlight w:val="none"/>
                <w:lang w:val="en-US" w:eastAsia="zh-CN"/>
              </w:rPr>
              <w:t>。</w:t>
            </w:r>
          </w:p>
          <w:p w14:paraId="5F1664CD">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 xml:space="preserve">2.6 </w:t>
            </w:r>
            <w:r>
              <w:rPr>
                <w:rFonts w:hint="default" w:ascii="Times New Roman" w:hAnsi="Times New Roman" w:eastAsia="宋体" w:cs="Times New Roman"/>
                <w:b/>
                <w:bCs w:val="0"/>
                <w:color w:val="auto"/>
                <w:sz w:val="24"/>
                <w:szCs w:val="24"/>
                <w:highlight w:val="none"/>
                <w:lang w:val="en-US" w:eastAsia="zh-CN"/>
              </w:rPr>
              <w:t>平面布置</w:t>
            </w:r>
          </w:p>
          <w:p w14:paraId="55B3CCD6">
            <w:pPr>
              <w:autoSpaceDE w:val="0"/>
              <w:autoSpaceDN w:val="0"/>
              <w:spacing w:line="480" w:lineRule="exact"/>
              <w:ind w:firstLine="480" w:firstLineChars="200"/>
              <w:jc w:val="both"/>
              <w:rPr>
                <w:rFonts w:hint="eastAsia" w:ascii="Times New Roman" w:hAnsi="Times New Roman"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w:t>
            </w:r>
            <w:r>
              <w:rPr>
                <w:rFonts w:hint="eastAsia" w:ascii="Times New Roman" w:hAnsi="Times New Roman" w:eastAsia="宋体" w:cs="Times New Roman"/>
                <w:b w:val="0"/>
                <w:bCs w:val="0"/>
                <w:color w:val="auto"/>
                <w:sz w:val="24"/>
                <w:highlight w:val="none"/>
                <w:lang w:val="en-US" w:eastAsia="zh-CN"/>
              </w:rPr>
              <w:t>占地面积</w:t>
            </w:r>
            <w:r>
              <w:rPr>
                <w:rFonts w:hint="eastAsia" w:cs="Times New Roman"/>
                <w:b w:val="0"/>
                <w:bCs w:val="0"/>
                <w:color w:val="auto"/>
                <w:sz w:val="24"/>
                <w:highlight w:val="none"/>
                <w:lang w:val="en-US" w:eastAsia="zh-CN"/>
              </w:rPr>
              <w:t>为4000</w:t>
            </w:r>
            <w:r>
              <w:rPr>
                <w:rFonts w:hint="default" w:ascii="Times New Roman" w:hAnsi="Times New Roman" w:cs="Times New Roman"/>
                <w:b w:val="0"/>
                <w:bCs w:val="0"/>
                <w:color w:val="auto"/>
                <w:sz w:val="24"/>
                <w:highlight w:val="none"/>
              </w:rPr>
              <w:t>m</w:t>
            </w:r>
            <w:r>
              <w:rPr>
                <w:rFonts w:hint="default" w:ascii="Times New Roman" w:hAnsi="Times New Roman" w:cs="Times New Roman"/>
                <w:b w:val="0"/>
                <w:bCs w:val="0"/>
                <w:color w:val="auto"/>
                <w:sz w:val="24"/>
                <w:highlight w:val="none"/>
                <w:vertAlign w:val="superscript"/>
              </w:rPr>
              <w:t>2</w:t>
            </w:r>
            <w:r>
              <w:rPr>
                <w:rFonts w:hint="default" w:ascii="Times New Roman" w:hAnsi="Times New Roman" w:cs="Times New Roman"/>
                <w:b w:val="0"/>
                <w:bCs w:val="0"/>
                <w:color w:val="auto"/>
                <w:sz w:val="24"/>
                <w:highlight w:val="none"/>
              </w:rPr>
              <w:t>，</w:t>
            </w:r>
            <w:r>
              <w:rPr>
                <w:rFonts w:hint="eastAsia" w:cs="Times New Roman"/>
                <w:b w:val="0"/>
                <w:bCs w:val="0"/>
                <w:color w:val="auto"/>
                <w:sz w:val="24"/>
                <w:highlight w:val="none"/>
                <w:lang w:val="en-US" w:eastAsia="zh-CN"/>
              </w:rPr>
              <w:t>现布置有井筒、电控室、暖风机房等，本次新建</w:t>
            </w:r>
            <w:r>
              <w:rPr>
                <w:rFonts w:hint="default" w:ascii="Times New Roman" w:hAnsi="Times New Roman" w:cs="Times New Roman"/>
                <w:b w:val="0"/>
                <w:bCs w:val="0"/>
                <w:color w:val="auto"/>
                <w:sz w:val="24"/>
                <w:highlight w:val="none"/>
              </w:rPr>
              <w:t>储矸棚、洗车平台</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蓄水池、消防水池、消防泵房、制浆</w:t>
            </w:r>
            <w:r>
              <w:rPr>
                <w:rFonts w:hint="eastAsia" w:cs="Times New Roman"/>
                <w:b w:val="0"/>
                <w:bCs w:val="0"/>
                <w:color w:val="auto"/>
                <w:sz w:val="24"/>
                <w:highlight w:val="none"/>
                <w:lang w:val="en-US" w:eastAsia="zh-CN"/>
              </w:rPr>
              <w:t>车间</w:t>
            </w:r>
            <w:r>
              <w:rPr>
                <w:rFonts w:hint="default" w:ascii="Times New Roman" w:hAnsi="Times New Roman" w:cs="Times New Roman"/>
                <w:b w:val="0"/>
                <w:bCs w:val="0"/>
                <w:color w:val="auto"/>
                <w:sz w:val="24"/>
                <w:highlight w:val="none"/>
              </w:rPr>
              <w:t>、</w:t>
            </w:r>
            <w:r>
              <w:rPr>
                <w:rFonts w:hint="eastAsia" w:cs="Times New Roman"/>
                <w:b w:val="0"/>
                <w:bCs w:val="0"/>
                <w:color w:val="auto"/>
                <w:sz w:val="24"/>
                <w:highlight w:val="none"/>
                <w:lang w:val="en-US" w:eastAsia="zh-CN"/>
              </w:rPr>
              <w:t>水泥筒仓、初期</w:t>
            </w:r>
            <w:r>
              <w:rPr>
                <w:rFonts w:hint="default" w:ascii="Times New Roman" w:hAnsi="Times New Roman" w:cs="Times New Roman"/>
                <w:b w:val="0"/>
                <w:bCs w:val="0"/>
                <w:color w:val="auto"/>
                <w:sz w:val="24"/>
                <w:highlight w:val="none"/>
              </w:rPr>
              <w:t>雨水收集池</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其中：</w:t>
            </w:r>
            <w:r>
              <w:rPr>
                <w:rFonts w:hint="default" w:ascii="Times New Roman" w:hAnsi="Times New Roman" w:cs="Times New Roman"/>
                <w:b w:val="0"/>
                <w:bCs w:val="0"/>
                <w:color w:val="auto"/>
                <w:sz w:val="24"/>
                <w:highlight w:val="none"/>
              </w:rPr>
              <w:t>储矸棚布置于</w:t>
            </w:r>
            <w:r>
              <w:rPr>
                <w:rFonts w:hint="eastAsia" w:cs="Times New Roman"/>
                <w:b w:val="0"/>
                <w:bCs w:val="0"/>
                <w:color w:val="auto"/>
                <w:sz w:val="24"/>
                <w:highlight w:val="none"/>
                <w:lang w:eastAsia="zh-CN"/>
              </w:rPr>
              <w:t>厂区</w:t>
            </w:r>
            <w:r>
              <w:rPr>
                <w:rFonts w:hint="eastAsia" w:cs="Times New Roman"/>
                <w:b w:val="0"/>
                <w:bCs w:val="0"/>
                <w:color w:val="auto"/>
                <w:sz w:val="24"/>
                <w:highlight w:val="none"/>
                <w:lang w:val="en-US" w:eastAsia="zh-CN"/>
              </w:rPr>
              <w:t>西南侧</w:t>
            </w:r>
            <w:r>
              <w:rPr>
                <w:rFonts w:hint="default" w:ascii="Times New Roman" w:hAnsi="Times New Roman" w:cs="Times New Roman"/>
                <w:b w:val="0"/>
                <w:bCs w:val="0"/>
                <w:color w:val="auto"/>
                <w:sz w:val="24"/>
                <w:highlight w:val="none"/>
              </w:rPr>
              <w:t>，L形布置；</w:t>
            </w:r>
            <w:r>
              <w:rPr>
                <w:rFonts w:hint="eastAsia" w:cs="Times New Roman"/>
                <w:b w:val="0"/>
                <w:bCs w:val="0"/>
                <w:color w:val="auto"/>
                <w:sz w:val="24"/>
                <w:highlight w:val="none"/>
                <w:lang w:val="en-US" w:eastAsia="zh-CN"/>
              </w:rPr>
              <w:t>厂区北侧由西向东，依次布置洗车平台、</w:t>
            </w:r>
            <w:r>
              <w:rPr>
                <w:rFonts w:hint="default" w:ascii="Times New Roman" w:hAnsi="Times New Roman" w:cs="Times New Roman"/>
                <w:b w:val="0"/>
                <w:bCs w:val="0"/>
                <w:color w:val="auto"/>
                <w:sz w:val="24"/>
                <w:highlight w:val="none"/>
              </w:rPr>
              <w:t>蓄水池、消防水池、消防泵房</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水泥筒仓、</w:t>
            </w:r>
            <w:r>
              <w:rPr>
                <w:rFonts w:hint="default" w:ascii="Times New Roman" w:hAnsi="Times New Roman" w:cs="Times New Roman"/>
                <w:b w:val="0"/>
                <w:bCs w:val="0"/>
                <w:color w:val="auto"/>
                <w:sz w:val="24"/>
                <w:highlight w:val="none"/>
              </w:rPr>
              <w:t>制浆</w:t>
            </w:r>
            <w:r>
              <w:rPr>
                <w:rFonts w:hint="eastAsia" w:cs="Times New Roman"/>
                <w:b w:val="0"/>
                <w:bCs w:val="0"/>
                <w:color w:val="auto"/>
                <w:sz w:val="24"/>
                <w:highlight w:val="none"/>
                <w:lang w:val="en-US" w:eastAsia="zh-CN"/>
              </w:rPr>
              <w:t>车间</w:t>
            </w:r>
            <w:r>
              <w:rPr>
                <w:rFonts w:hint="default" w:ascii="Times New Roman" w:hAnsi="Times New Roman" w:cs="Times New Roman"/>
                <w:b w:val="0"/>
                <w:bCs w:val="0"/>
                <w:color w:val="auto"/>
                <w:sz w:val="24"/>
                <w:highlight w:val="none"/>
                <w:lang w:val="en-US" w:eastAsia="zh-CN"/>
              </w:rPr>
              <w:t>及</w:t>
            </w:r>
            <w:r>
              <w:rPr>
                <w:rFonts w:hint="default" w:ascii="Times New Roman" w:hAnsi="Times New Roman" w:cs="Times New Roman"/>
                <w:b w:val="0"/>
                <w:bCs w:val="0"/>
                <w:color w:val="auto"/>
                <w:sz w:val="24"/>
                <w:highlight w:val="none"/>
              </w:rPr>
              <w:t>雨水收集池布置于</w:t>
            </w:r>
            <w:r>
              <w:rPr>
                <w:rFonts w:hint="eastAsia" w:cs="Times New Roman"/>
                <w:b w:val="0"/>
                <w:bCs w:val="0"/>
                <w:color w:val="auto"/>
                <w:sz w:val="24"/>
                <w:highlight w:val="none"/>
                <w:lang w:eastAsia="zh-CN"/>
              </w:rPr>
              <w:t>厂区</w:t>
            </w:r>
            <w:r>
              <w:rPr>
                <w:rFonts w:hint="default" w:ascii="Times New Roman" w:hAnsi="Times New Roman" w:cs="Times New Roman"/>
                <w:b w:val="0"/>
                <w:bCs w:val="0"/>
                <w:color w:val="auto"/>
                <w:sz w:val="24"/>
                <w:highlight w:val="none"/>
              </w:rPr>
              <w:t>东侧</w:t>
            </w:r>
            <w:r>
              <w:rPr>
                <w:rFonts w:hint="eastAsia" w:ascii="Times New Roman" w:hAnsi="Times New Roman" w:cs="Times New Roman"/>
                <w:b w:val="0"/>
                <w:bCs w:val="0"/>
                <w:color w:val="auto"/>
                <w:sz w:val="24"/>
                <w:highlight w:val="none"/>
                <w:lang w:val="en-US" w:eastAsia="zh-CN"/>
              </w:rPr>
              <w:t>。</w:t>
            </w:r>
          </w:p>
          <w:p w14:paraId="12B22759">
            <w:pPr>
              <w:autoSpaceDE w:val="0"/>
              <w:autoSpaceDN w:val="0"/>
              <w:spacing w:line="480" w:lineRule="exact"/>
              <w:ind w:firstLine="480" w:firstLineChars="200"/>
              <w:jc w:val="both"/>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平面布置图见附图。</w:t>
            </w:r>
          </w:p>
          <w:p w14:paraId="3BA512BE">
            <w:pPr>
              <w:keepNext w:val="0"/>
              <w:keepLines w:val="0"/>
              <w:pageBreakBefore w:val="0"/>
              <w:widowControl w:val="0"/>
              <w:kinsoku/>
              <w:wordWrap/>
              <w:overflowPunct/>
              <w:topLinePunct w:val="0"/>
              <w:autoSpaceDE w:val="0"/>
              <w:autoSpaceDN w:val="0"/>
              <w:bidi w:val="0"/>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 xml:space="preserve">2.7 </w:t>
            </w:r>
            <w:r>
              <w:rPr>
                <w:rFonts w:hint="eastAsia" w:cs="Times New Roman"/>
                <w:b/>
                <w:bCs/>
                <w:color w:val="auto"/>
                <w:sz w:val="24"/>
                <w:szCs w:val="24"/>
                <w:highlight w:val="none"/>
                <w:lang w:val="en-US" w:eastAsia="zh-CN"/>
              </w:rPr>
              <w:t>公用工程</w:t>
            </w:r>
          </w:p>
          <w:p w14:paraId="106D6FEB">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1.给排水</w:t>
            </w:r>
          </w:p>
          <w:p w14:paraId="55A9B89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（1）给水</w:t>
            </w:r>
          </w:p>
          <w:p w14:paraId="71B02BAE">
            <w:pPr>
              <w:spacing w:line="480" w:lineRule="exact"/>
              <w:ind w:firstLine="480" w:firstLineChars="200"/>
              <w:rPr>
                <w:rFonts w:hint="default" w:ascii="Times New Roman" w:hAnsi="Times New Roman" w:eastAsia="宋体" w:cs="Times New Roman"/>
                <w:color w:val="auto"/>
                <w:sz w:val="24"/>
                <w:szCs w:val="24"/>
                <w:highlight w:val="none"/>
              </w:rPr>
            </w:pPr>
            <w:r>
              <w:rPr>
                <w:rFonts w:hint="eastAsia" w:cs="Times New Roman"/>
                <w:bCs/>
                <w:color w:val="auto"/>
                <w:sz w:val="24"/>
                <w:szCs w:val="24"/>
                <w:highlight w:val="none"/>
                <w:lang w:val="en-US" w:eastAsia="zh-CN"/>
              </w:rPr>
              <w:t>本项目生活用水由罐车拉运；生产系统采用现有矿井水处理站处理后的矿井水</w:t>
            </w:r>
            <w:r>
              <w:rPr>
                <w:rFonts w:hint="default" w:ascii="Times New Roman" w:hAnsi="Times New Roman" w:eastAsia="宋体" w:cs="Times New Roman"/>
                <w:color w:val="auto"/>
                <w:sz w:val="24"/>
                <w:szCs w:val="24"/>
                <w:highlight w:val="none"/>
              </w:rPr>
              <w:t>。</w:t>
            </w:r>
          </w:p>
          <w:p w14:paraId="5EE4D48B">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本项目用水环节主要为生活用水、</w:t>
            </w:r>
            <w:r>
              <w:rPr>
                <w:rFonts w:hint="eastAsia" w:cs="Times New Roman"/>
                <w:bCs/>
                <w:color w:val="auto"/>
                <w:sz w:val="24"/>
                <w:szCs w:val="24"/>
                <w:highlight w:val="none"/>
                <w:lang w:val="en-US" w:eastAsia="zh-CN"/>
              </w:rPr>
              <w:t>生产</w:t>
            </w:r>
            <w:r>
              <w:rPr>
                <w:rFonts w:hint="eastAsia" w:ascii="Times New Roman" w:hAnsi="Times New Roman" w:eastAsia="宋体" w:cs="Times New Roman"/>
                <w:bCs/>
                <w:color w:val="auto"/>
                <w:sz w:val="24"/>
                <w:szCs w:val="24"/>
                <w:highlight w:val="none"/>
                <w:lang w:val="en-US" w:eastAsia="zh-CN"/>
              </w:rPr>
              <w:t>用水</w:t>
            </w:r>
            <w:r>
              <w:rPr>
                <w:rFonts w:hint="eastAsia" w:cs="Times New Roman"/>
                <w:bCs/>
                <w:color w:val="auto"/>
                <w:sz w:val="24"/>
                <w:szCs w:val="24"/>
                <w:highlight w:val="none"/>
                <w:lang w:val="en-US" w:eastAsia="zh-CN"/>
              </w:rPr>
              <w:t>及其他用水</w:t>
            </w:r>
            <w:r>
              <w:rPr>
                <w:rFonts w:hint="eastAsia" w:cs="Times New Roman"/>
                <w:bCs/>
                <w:color w:val="auto"/>
                <w:spacing w:val="0"/>
                <w:sz w:val="24"/>
                <w:szCs w:val="24"/>
                <w:highlight w:val="none"/>
                <w:lang w:val="en-US" w:eastAsia="zh-CN"/>
              </w:rPr>
              <w:t>。</w:t>
            </w:r>
          </w:p>
          <w:p w14:paraId="0C863CD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①</w:t>
            </w:r>
            <w:r>
              <w:rPr>
                <w:rFonts w:hint="default" w:ascii="Times New Roman" w:hAnsi="Times New Roman" w:eastAsia="宋体" w:cs="Times New Roman"/>
                <w:bCs/>
                <w:color w:val="auto"/>
                <w:sz w:val="24"/>
                <w:szCs w:val="24"/>
                <w:highlight w:val="none"/>
                <w:lang w:val="en-US" w:eastAsia="zh-CN"/>
              </w:rPr>
              <w:t>生活用水</w:t>
            </w:r>
          </w:p>
          <w:p w14:paraId="7F667A40">
            <w:pPr>
              <w:spacing w:line="480" w:lineRule="exact"/>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劳动定员</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人。</w:t>
            </w:r>
            <w:r>
              <w:rPr>
                <w:rFonts w:hint="eastAsia" w:ascii="Times New Roman" w:hAnsi="Times New Roman" w:eastAsia="宋体" w:cs="Times New Roman"/>
                <w:color w:val="auto"/>
                <w:sz w:val="24"/>
                <w:szCs w:val="24"/>
                <w:highlight w:val="none"/>
                <w:lang w:val="en-US" w:eastAsia="zh-CN"/>
              </w:rPr>
              <w:t>参考</w:t>
            </w:r>
            <w:r>
              <w:rPr>
                <w:rFonts w:hint="default" w:ascii="Times New Roman" w:hAnsi="Times New Roman" w:eastAsia="宋体" w:cs="Times New Roman"/>
                <w:color w:val="auto"/>
                <w:sz w:val="24"/>
                <w:szCs w:val="24"/>
                <w:highlight w:val="none"/>
              </w:rPr>
              <w:t>《山西省用水定额》</w:t>
            </w:r>
            <w:r>
              <w:rPr>
                <w:rFonts w:hint="default" w:ascii="Times New Roman" w:hAnsi="Times New Roman" w:eastAsia="宋体" w:cs="Times New Roman"/>
                <w:color w:val="auto"/>
                <w:sz w:val="24"/>
                <w:szCs w:val="24"/>
                <w:highlight w:val="none"/>
                <w:lang w:val="en-US" w:eastAsia="zh-CN"/>
              </w:rPr>
              <w:t>（DB 14T 1049.4</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，生活用水量按</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0L/d·人计算，则生活用水量为</w:t>
            </w:r>
            <w:r>
              <w:rPr>
                <w:rFonts w:hint="eastAsia"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231</w:t>
            </w:r>
            <w:r>
              <w:rPr>
                <w:rFonts w:hint="eastAsia" w:ascii="Times New Roman" w:hAnsi="Times New Roman" w:eastAsia="宋体" w:cs="Times New Roman"/>
                <w:color w:val="auto"/>
                <w:sz w:val="24"/>
                <w:szCs w:val="24"/>
                <w:highlight w:val="none"/>
                <w:vertAlign w:val="baseli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sz w:val="24"/>
                <w:szCs w:val="24"/>
                <w:highlight w:val="none"/>
                <w:lang w:eastAsia="zh-CN"/>
              </w:rPr>
              <w:t>。</w:t>
            </w:r>
          </w:p>
          <w:p w14:paraId="19C66DA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②</w:t>
            </w:r>
            <w:r>
              <w:rPr>
                <w:rFonts w:hint="eastAsia" w:ascii="Times New Roman" w:hAnsi="Times New Roman" w:eastAsia="宋体" w:cs="Times New Roman"/>
                <w:bCs/>
                <w:color w:val="auto"/>
                <w:sz w:val="24"/>
                <w:szCs w:val="24"/>
                <w:highlight w:val="none"/>
                <w:lang w:val="en-US" w:eastAsia="zh-CN"/>
              </w:rPr>
              <w:t>生产用水</w:t>
            </w:r>
          </w:p>
          <w:p w14:paraId="5CB8CB36">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生产用水包括制浆用水</w:t>
            </w:r>
            <w:r>
              <w:rPr>
                <w:rFonts w:hint="default" w:ascii="Times New Roman" w:hAnsi="Times New Roman" w:eastAsia="宋体" w:cs="Times New Roman"/>
                <w:bCs/>
                <w:color w:val="auto"/>
                <w:spacing w:val="0"/>
                <w:sz w:val="24"/>
                <w:szCs w:val="24"/>
                <w:highlight w:val="none"/>
                <w:lang w:val="en-US" w:eastAsia="zh-CN"/>
              </w:rPr>
              <w:t>、</w:t>
            </w:r>
            <w:r>
              <w:rPr>
                <w:rFonts w:hint="eastAsia" w:cs="Times New Roman"/>
                <w:bCs/>
                <w:color w:val="auto"/>
                <w:spacing w:val="0"/>
                <w:sz w:val="24"/>
                <w:szCs w:val="24"/>
                <w:highlight w:val="none"/>
                <w:lang w:val="en-US" w:eastAsia="zh-CN"/>
              </w:rPr>
              <w:t>制浆系统清洗用水</w:t>
            </w:r>
            <w:r>
              <w:rPr>
                <w:rFonts w:hint="eastAsia" w:ascii="Times New Roman" w:hAnsi="Times New Roman" w:eastAsia="宋体" w:cs="Times New Roman"/>
                <w:bCs/>
                <w:color w:val="auto"/>
                <w:spacing w:val="0"/>
                <w:sz w:val="24"/>
                <w:szCs w:val="24"/>
                <w:highlight w:val="none"/>
                <w:lang w:val="en-US" w:eastAsia="zh-CN"/>
              </w:rPr>
              <w:t>、</w:t>
            </w:r>
            <w:r>
              <w:rPr>
                <w:rFonts w:hint="eastAsia" w:cs="Times New Roman"/>
                <w:bCs/>
                <w:color w:val="auto"/>
                <w:spacing w:val="0"/>
                <w:sz w:val="24"/>
                <w:szCs w:val="24"/>
                <w:highlight w:val="none"/>
                <w:lang w:val="en-US" w:eastAsia="zh-CN"/>
              </w:rPr>
              <w:t>地面冲洗用水</w:t>
            </w:r>
            <w:r>
              <w:rPr>
                <w:rFonts w:hint="eastAsia" w:ascii="Times New Roman" w:hAnsi="Times New Roman" w:eastAsia="宋体" w:cs="Times New Roman"/>
                <w:bCs/>
                <w:color w:val="auto"/>
                <w:spacing w:val="0"/>
                <w:sz w:val="24"/>
                <w:szCs w:val="24"/>
                <w:highlight w:val="none"/>
                <w:lang w:val="en-US" w:eastAsia="zh-CN"/>
              </w:rPr>
              <w:t>、</w:t>
            </w:r>
            <w:r>
              <w:rPr>
                <w:rFonts w:hint="eastAsia" w:cs="Times New Roman"/>
                <w:bCs/>
                <w:color w:val="auto"/>
                <w:spacing w:val="0"/>
                <w:sz w:val="24"/>
                <w:szCs w:val="24"/>
                <w:highlight w:val="none"/>
                <w:lang w:val="en-US" w:eastAsia="zh-CN"/>
              </w:rPr>
              <w:t>管道清洗水、</w:t>
            </w:r>
            <w:r>
              <w:rPr>
                <w:rFonts w:hint="eastAsia" w:ascii="Times New Roman" w:hAnsi="Times New Roman" w:eastAsia="宋体" w:cs="Times New Roman"/>
                <w:bCs/>
                <w:color w:val="auto"/>
                <w:spacing w:val="0"/>
                <w:sz w:val="24"/>
                <w:szCs w:val="24"/>
                <w:highlight w:val="none"/>
                <w:lang w:val="en-US" w:eastAsia="zh-CN"/>
              </w:rPr>
              <w:t>洗车用水、</w:t>
            </w:r>
            <w:r>
              <w:rPr>
                <w:rFonts w:hint="eastAsia" w:cs="Times New Roman"/>
                <w:bCs/>
                <w:color w:val="auto"/>
                <w:spacing w:val="0"/>
                <w:sz w:val="24"/>
                <w:szCs w:val="24"/>
                <w:highlight w:val="none"/>
                <w:lang w:val="en-US" w:eastAsia="zh-CN"/>
              </w:rPr>
              <w:t>储矸棚喷雾用水。</w:t>
            </w:r>
          </w:p>
          <w:p w14:paraId="2005BF05">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A.制浆用水</w:t>
            </w:r>
          </w:p>
          <w:p w14:paraId="394BBCE7">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类比同类型企业及建设单位提供资料，本项目制浆用水量为63000m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/a（190.910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r>
              <w:rPr>
                <w:rFonts w:hint="eastAsia" w:cs="Times New Roman"/>
                <w:bCs/>
                <w:color w:val="auto"/>
                <w:sz w:val="24"/>
                <w:szCs w:val="24"/>
                <w:highlight w:val="none"/>
                <w:lang w:val="en-US" w:eastAsia="zh-CN"/>
              </w:rPr>
              <w:t>）。</w:t>
            </w:r>
          </w:p>
          <w:p w14:paraId="427F5CFB">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pacing w:val="0"/>
                <w:sz w:val="24"/>
                <w:szCs w:val="24"/>
                <w:highlight w:val="none"/>
                <w:lang w:val="en-US" w:eastAsia="zh-CN"/>
              </w:rPr>
              <w:t>B.</w:t>
            </w:r>
            <w:r>
              <w:rPr>
                <w:rFonts w:hint="eastAsia" w:cs="Times New Roman"/>
                <w:bCs/>
                <w:color w:val="auto"/>
                <w:spacing w:val="0"/>
                <w:sz w:val="24"/>
                <w:szCs w:val="24"/>
                <w:highlight w:val="none"/>
                <w:lang w:val="en-US" w:eastAsia="zh-CN"/>
              </w:rPr>
              <w:t>浆料系统清洗用水</w:t>
            </w:r>
          </w:p>
          <w:p w14:paraId="3FD6291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类比同类型企业及建设单位提供资料，</w:t>
            </w:r>
            <w:r>
              <w:rPr>
                <w:rFonts w:hint="eastAsia" w:ascii="Times New Roman" w:hAnsi="Times New Roman" w:eastAsia="宋体" w:cs="Times New Roman"/>
                <w:bCs/>
                <w:color w:val="auto"/>
                <w:sz w:val="24"/>
                <w:szCs w:val="24"/>
                <w:highlight w:val="none"/>
                <w:lang w:val="en-US" w:eastAsia="zh-CN"/>
              </w:rPr>
              <w:t>每天工作结束后须对</w:t>
            </w:r>
            <w:r>
              <w:rPr>
                <w:rFonts w:hint="eastAsia" w:cs="Times New Roman"/>
                <w:bCs/>
                <w:color w:val="auto"/>
                <w:sz w:val="24"/>
                <w:szCs w:val="24"/>
                <w:highlight w:val="none"/>
                <w:lang w:val="en-US" w:eastAsia="zh-CN"/>
              </w:rPr>
              <w:t>搅拌桶、制浆机</w:t>
            </w:r>
            <w:r>
              <w:rPr>
                <w:rFonts w:hint="eastAsia" w:ascii="Times New Roman" w:hAnsi="Times New Roman" w:eastAsia="宋体" w:cs="Times New Roman"/>
                <w:bCs/>
                <w:color w:val="auto"/>
                <w:sz w:val="24"/>
                <w:szCs w:val="24"/>
                <w:highlight w:val="none"/>
                <w:lang w:val="en-US" w:eastAsia="zh-CN"/>
              </w:rPr>
              <w:t>进行</w:t>
            </w:r>
            <w:r>
              <w:rPr>
                <w:rFonts w:hint="eastAsia" w:cs="Times New Roman"/>
                <w:bCs/>
                <w:color w:val="auto"/>
                <w:sz w:val="24"/>
                <w:szCs w:val="24"/>
                <w:highlight w:val="none"/>
                <w:lang w:val="en-US" w:eastAsia="zh-CN"/>
              </w:rPr>
              <w:t>清洗</w:t>
            </w:r>
            <w:r>
              <w:rPr>
                <w:rFonts w:hint="eastAsia" w:ascii="Times New Roman" w:hAnsi="Times New Roman" w:eastAsia="宋体" w:cs="Times New Roman"/>
                <w:bCs/>
                <w:color w:val="auto"/>
                <w:sz w:val="24"/>
                <w:szCs w:val="24"/>
                <w:highlight w:val="none"/>
                <w:lang w:val="en-US" w:eastAsia="zh-CN"/>
              </w:rPr>
              <w:t>，清洗用水</w:t>
            </w:r>
            <w:r>
              <w:rPr>
                <w:rFonts w:hint="eastAsia" w:cs="Times New Roman"/>
                <w:bCs/>
                <w:color w:val="auto"/>
                <w:sz w:val="24"/>
                <w:szCs w:val="24"/>
                <w:highlight w:val="none"/>
                <w:lang w:val="en-US" w:eastAsia="zh-CN"/>
              </w:rPr>
              <w:t>量为35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11550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p>
          <w:p w14:paraId="707724D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C.地面冲洗用水</w:t>
            </w:r>
          </w:p>
          <w:p w14:paraId="0C7EA371">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制浆车间</w:t>
            </w:r>
            <w:r>
              <w:rPr>
                <w:rFonts w:hint="eastAsia" w:ascii="Times New Roman" w:hAnsi="Times New Roman" w:eastAsia="宋体" w:cs="Times New Roman"/>
                <w:color w:val="auto"/>
                <w:sz w:val="24"/>
                <w:szCs w:val="24"/>
                <w:highlight w:val="none"/>
                <w:lang w:val="en-US" w:eastAsia="zh-CN"/>
              </w:rPr>
              <w:t>需每天冲洗</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清洗</w:t>
            </w:r>
            <w:r>
              <w:rPr>
                <w:rFonts w:hint="default" w:ascii="Times New Roman" w:hAnsi="Times New Roman" w:eastAsia="宋体" w:cs="Times New Roman"/>
                <w:color w:val="auto"/>
                <w:sz w:val="24"/>
                <w:szCs w:val="24"/>
                <w:highlight w:val="none"/>
                <w:lang w:val="en-US" w:eastAsia="zh-CN"/>
              </w:rPr>
              <w:t>面积</w:t>
            </w:r>
            <w:r>
              <w:rPr>
                <w:rFonts w:hint="eastAsia" w:ascii="Times New Roman" w:hAnsi="Times New Roman" w:eastAsia="宋体" w:cs="Times New Roman"/>
                <w:color w:val="auto"/>
                <w:sz w:val="24"/>
                <w:szCs w:val="24"/>
                <w:highlight w:val="none"/>
                <w:lang w:val="en-US" w:eastAsia="zh-CN"/>
              </w:rPr>
              <w:t>约</w:t>
            </w:r>
            <w:r>
              <w:rPr>
                <w:rFonts w:hint="eastAsia" w:cs="Times New Roman"/>
                <w:color w:val="auto"/>
                <w:sz w:val="24"/>
                <w:szCs w:val="24"/>
                <w:highlight w:val="none"/>
                <w:lang w:val="en-US" w:eastAsia="zh-CN"/>
              </w:rPr>
              <w:t>500</w:t>
            </w:r>
            <w:r>
              <w:rPr>
                <w:rFonts w:hint="default"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根据《建筑给水排水设计手册》，场地清洁水用水量为1.0~2.0L/次</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本次</w:t>
            </w:r>
            <w:r>
              <w:rPr>
                <w:rFonts w:hint="default" w:ascii="Times New Roman" w:hAnsi="Times New Roman" w:eastAsia="宋体" w:cs="Times New Roman"/>
                <w:color w:val="auto"/>
                <w:sz w:val="24"/>
                <w:szCs w:val="24"/>
                <w:highlight w:val="none"/>
                <w:lang w:val="en-US" w:eastAsia="zh-CN"/>
              </w:rPr>
              <w:t>清洁用水按1.</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L/次</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计算，</w:t>
            </w:r>
            <w:r>
              <w:rPr>
                <w:rFonts w:hint="eastAsia" w:cs="Times New Roman"/>
                <w:color w:val="auto"/>
                <w:sz w:val="24"/>
                <w:szCs w:val="24"/>
                <w:highlight w:val="none"/>
                <w:lang w:val="en-US" w:eastAsia="zh-CN"/>
              </w:rPr>
              <w:t>每天冲洗1次，</w:t>
            </w:r>
            <w:r>
              <w:rPr>
                <w:rFonts w:hint="default" w:ascii="Times New Roman" w:hAnsi="Times New Roman" w:eastAsia="宋体" w:cs="Times New Roman"/>
                <w:color w:val="auto"/>
                <w:sz w:val="24"/>
                <w:szCs w:val="24"/>
                <w:highlight w:val="none"/>
                <w:lang w:val="en-US" w:eastAsia="zh-CN"/>
              </w:rPr>
              <w:t>则</w:t>
            </w:r>
            <w:r>
              <w:rPr>
                <w:rFonts w:hint="eastAsia" w:cs="Times New Roman"/>
                <w:color w:val="auto"/>
                <w:sz w:val="24"/>
                <w:szCs w:val="24"/>
                <w:highlight w:val="none"/>
                <w:lang w:val="en-US" w:eastAsia="zh-CN"/>
              </w:rPr>
              <w:t>地面冲洗用水</w:t>
            </w:r>
            <w:r>
              <w:rPr>
                <w:rFonts w:hint="eastAsia" w:ascii="Times New Roman" w:hAnsi="Times New Roman" w:eastAsia="宋体" w:cs="Times New Roman"/>
                <w:color w:val="auto"/>
                <w:sz w:val="24"/>
                <w:szCs w:val="24"/>
                <w:highlight w:val="none"/>
                <w:lang w:val="en-US" w:eastAsia="zh-CN"/>
              </w:rPr>
              <w:t>量</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247.5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bCs/>
                <w:color w:val="auto"/>
                <w:sz w:val="24"/>
                <w:szCs w:val="24"/>
                <w:highlight w:val="none"/>
                <w:lang w:val="en-US" w:eastAsia="zh-CN"/>
              </w:rPr>
              <w:t>。</w:t>
            </w:r>
          </w:p>
          <w:p w14:paraId="04F6880F">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cs="Times New Roman"/>
                <w:bCs/>
                <w:color w:val="auto"/>
                <w:spacing w:val="0"/>
                <w:sz w:val="24"/>
                <w:szCs w:val="24"/>
                <w:highlight w:val="none"/>
                <w:lang w:val="en-US" w:eastAsia="zh-CN"/>
              </w:rPr>
              <w:t>D.</w:t>
            </w:r>
            <w:r>
              <w:rPr>
                <w:rFonts w:hint="eastAsia" w:ascii="Times New Roman" w:hAnsi="Times New Roman" w:eastAsia="宋体" w:cs="Times New Roman"/>
                <w:bCs/>
                <w:color w:val="auto"/>
                <w:spacing w:val="0"/>
                <w:sz w:val="24"/>
                <w:szCs w:val="24"/>
                <w:highlight w:val="none"/>
                <w:lang w:val="en-US" w:eastAsia="zh-CN"/>
              </w:rPr>
              <w:t>洗车用水</w:t>
            </w:r>
          </w:p>
          <w:p w14:paraId="1E35836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sz w:val="24"/>
                <w:szCs w:val="24"/>
                <w:highlight w:val="none"/>
                <w:lang w:eastAsia="zh-CN"/>
              </w:rPr>
            </w:pPr>
            <w:r>
              <w:rPr>
                <w:rFonts w:hint="default" w:ascii="Times New Roman" w:hAnsi="Times New Roman" w:eastAsia="宋体" w:cs="Times New Roman"/>
                <w:b w:val="0"/>
                <w:bCs w:val="0"/>
                <w:color w:val="auto"/>
                <w:spacing w:val="0"/>
                <w:sz w:val="24"/>
                <w:szCs w:val="24"/>
                <w:highlight w:val="none"/>
                <w:lang w:val="en-US" w:eastAsia="zh-CN"/>
              </w:rPr>
              <w:t>根据</w:t>
            </w:r>
            <w:r>
              <w:rPr>
                <w:rFonts w:hint="default" w:ascii="Times New Roman" w:hAnsi="Times New Roman" w:eastAsia="宋体" w:cs="Times New Roman"/>
                <w:bCs/>
                <w:color w:val="auto"/>
                <w:spacing w:val="0"/>
                <w:sz w:val="24"/>
                <w:szCs w:val="24"/>
                <w:highlight w:val="none"/>
                <w:lang w:val="en-US" w:eastAsia="zh-CN"/>
              </w:rPr>
              <w:t>《山西省用水定额 第3部分：服务业用水定额》（DB 14/T 1049.3-2021）</w:t>
            </w:r>
            <w:r>
              <w:rPr>
                <w:rFonts w:hint="default" w:ascii="Times New Roman" w:hAnsi="Times New Roman" w:eastAsia="宋体" w:cs="Times New Roman"/>
                <w:b w:val="0"/>
                <w:bCs w:val="0"/>
                <w:color w:val="auto"/>
                <w:spacing w:val="0"/>
                <w:sz w:val="24"/>
                <w:szCs w:val="24"/>
                <w:highlight w:val="none"/>
                <w:lang w:val="en-US" w:eastAsia="zh-CN"/>
              </w:rPr>
              <w:t>，“公共汽车、载重汽车--循环用水冲洗补水40~60L/（辆·次）”，本项目取50L/（辆·次），</w:t>
            </w:r>
            <w:r>
              <w:rPr>
                <w:rFonts w:hint="default" w:ascii="Times New Roman" w:hAnsi="Times New Roman" w:eastAsia="宋体" w:cs="Times New Roman"/>
                <w:bCs/>
                <w:color w:val="auto"/>
                <w:spacing w:val="0"/>
                <w:sz w:val="24"/>
                <w:highlight w:val="none"/>
              </w:rPr>
              <w:t>每天冲洗车辆约</w:t>
            </w:r>
            <w:r>
              <w:rPr>
                <w:rFonts w:hint="eastAsia" w:cs="Times New Roman"/>
                <w:bCs/>
                <w:color w:val="auto"/>
                <w:spacing w:val="0"/>
                <w:sz w:val="24"/>
                <w:highlight w:val="none"/>
                <w:lang w:val="en-US" w:eastAsia="zh-CN"/>
              </w:rPr>
              <w:t>66</w:t>
            </w:r>
            <w:r>
              <w:rPr>
                <w:rFonts w:hint="default" w:ascii="Times New Roman" w:hAnsi="Times New Roman" w:eastAsia="宋体" w:cs="Times New Roman"/>
                <w:bCs/>
                <w:color w:val="auto"/>
                <w:spacing w:val="0"/>
                <w:sz w:val="24"/>
                <w:highlight w:val="none"/>
              </w:rPr>
              <w:t>辆次</w:t>
            </w:r>
            <w:r>
              <w:rPr>
                <w:rFonts w:hint="default" w:ascii="Times New Roman" w:hAnsi="Times New Roman" w:eastAsia="宋体" w:cs="Times New Roman"/>
                <w:b w:val="0"/>
                <w:bCs w:val="0"/>
                <w:color w:val="auto"/>
                <w:spacing w:val="0"/>
                <w:sz w:val="24"/>
                <w:szCs w:val="24"/>
                <w:highlight w:val="none"/>
                <w:lang w:val="en-US" w:eastAsia="zh-CN"/>
              </w:rPr>
              <w:t>，则</w:t>
            </w:r>
            <w:r>
              <w:rPr>
                <w:rFonts w:hint="eastAsia" w:ascii="Times New Roman" w:hAnsi="Times New Roman" w:eastAsia="宋体" w:cs="Times New Roman"/>
                <w:b w:val="0"/>
                <w:bCs w:val="0"/>
                <w:color w:val="auto"/>
                <w:spacing w:val="0"/>
                <w:sz w:val="24"/>
                <w:szCs w:val="24"/>
                <w:highlight w:val="none"/>
                <w:lang w:val="en-US" w:eastAsia="zh-CN"/>
              </w:rPr>
              <w:t>洗车</w:t>
            </w:r>
            <w:r>
              <w:rPr>
                <w:rFonts w:hint="default" w:ascii="Times New Roman" w:hAnsi="Times New Roman" w:eastAsia="宋体" w:cs="Times New Roman"/>
                <w:b w:val="0"/>
                <w:bCs w:val="0"/>
                <w:color w:val="auto"/>
                <w:spacing w:val="0"/>
                <w:sz w:val="24"/>
                <w:szCs w:val="24"/>
                <w:highlight w:val="none"/>
                <w:lang w:val="en-US" w:eastAsia="zh-CN"/>
              </w:rPr>
              <w:t>用水量约为</w:t>
            </w:r>
            <w:r>
              <w:rPr>
                <w:rFonts w:hint="eastAsia" w:cs="Times New Roman"/>
                <w:b w:val="0"/>
                <w:bCs w:val="0"/>
                <w:color w:val="auto"/>
                <w:spacing w:val="0"/>
                <w:sz w:val="24"/>
                <w:szCs w:val="24"/>
                <w:highlight w:val="none"/>
                <w:lang w:val="en-US" w:eastAsia="zh-CN"/>
              </w:rPr>
              <w:t>3.3</w:t>
            </w:r>
            <w:r>
              <w:rPr>
                <w:rFonts w:hint="default" w:ascii="Times New Roman" w:hAnsi="Times New Roman" w:eastAsia="宋体" w:cs="Times New Roman"/>
                <w:b w:val="0"/>
                <w:bCs w:val="0"/>
                <w:color w:val="auto"/>
                <w:spacing w:val="0"/>
                <w:sz w:val="24"/>
                <w:szCs w:val="24"/>
                <w:highlight w:val="none"/>
                <w:lang w:val="en-US" w:eastAsia="zh-CN"/>
              </w:rPr>
              <w:t>m</w:t>
            </w:r>
            <w:r>
              <w:rPr>
                <w:rFonts w:hint="default" w:ascii="Times New Roman" w:hAnsi="Times New Roman" w:eastAsia="宋体" w:cs="Times New Roman"/>
                <w:b w:val="0"/>
                <w:bCs w:val="0"/>
                <w:color w:val="auto"/>
                <w:spacing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sz w:val="24"/>
                <w:szCs w:val="24"/>
                <w:highlight w:val="none"/>
                <w:lang w:val="en-US" w:eastAsia="zh-CN"/>
              </w:rPr>
              <w:t>/d，补充水量按用水量的20%计，则车辆冲洗补充用水量约0.</w:t>
            </w:r>
            <w:r>
              <w:rPr>
                <w:rFonts w:hint="eastAsia" w:ascii="Times New Roman" w:hAnsi="Times New Roman" w:cs="Times New Roman"/>
                <w:b w:val="0"/>
                <w:bCs w:val="0"/>
                <w:color w:val="auto"/>
                <w:spacing w:val="0"/>
                <w:sz w:val="24"/>
                <w:szCs w:val="24"/>
                <w:highlight w:val="none"/>
                <w:lang w:val="en-US" w:eastAsia="zh-CN"/>
              </w:rPr>
              <w:t>6</w:t>
            </w:r>
            <w:r>
              <w:rPr>
                <w:rFonts w:hint="eastAsia" w:cs="Times New Roman"/>
                <w:b w:val="0"/>
                <w:bCs w:val="0"/>
                <w:color w:val="auto"/>
                <w:spacing w:val="0"/>
                <w:sz w:val="24"/>
                <w:szCs w:val="24"/>
                <w:highlight w:val="none"/>
                <w:lang w:val="en-US" w:eastAsia="zh-CN"/>
              </w:rPr>
              <w:t>6</w:t>
            </w:r>
            <w:r>
              <w:rPr>
                <w:rFonts w:hint="default" w:ascii="Times New Roman" w:hAnsi="Times New Roman" w:eastAsia="宋体" w:cs="Times New Roman"/>
                <w:b w:val="0"/>
                <w:bCs w:val="0"/>
                <w:color w:val="auto"/>
                <w:spacing w:val="0"/>
                <w:sz w:val="24"/>
                <w:szCs w:val="24"/>
                <w:highlight w:val="none"/>
                <w:lang w:val="en-US" w:eastAsia="zh-CN"/>
              </w:rPr>
              <w:t>m</w:t>
            </w:r>
            <w:r>
              <w:rPr>
                <w:rFonts w:hint="default" w:ascii="Times New Roman" w:hAnsi="Times New Roman" w:eastAsia="宋体" w:cs="Times New Roman"/>
                <w:b w:val="0"/>
                <w:bCs w:val="0"/>
                <w:color w:val="auto"/>
                <w:spacing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sz w:val="24"/>
                <w:szCs w:val="24"/>
                <w:highlight w:val="none"/>
                <w:lang w:val="en-US" w:eastAsia="zh-CN"/>
              </w:rPr>
              <w:t>/d</w:t>
            </w:r>
            <w:r>
              <w:rPr>
                <w:rFonts w:hint="eastAsia" w:ascii="Times New Roman" w:hAnsi="Times New Roman" w:cs="Times New Roman"/>
                <w:b w:val="0"/>
                <w:bCs w:val="0"/>
                <w:color w:val="auto"/>
                <w:spacing w:val="0"/>
                <w:sz w:val="24"/>
                <w:szCs w:val="24"/>
                <w:highlight w:val="none"/>
                <w:lang w:val="en-US" w:eastAsia="zh-CN"/>
              </w:rPr>
              <w:t>（</w:t>
            </w:r>
            <w:r>
              <w:rPr>
                <w:rFonts w:hint="eastAsia" w:cs="Times New Roman"/>
                <w:b w:val="0"/>
                <w:bCs w:val="0"/>
                <w:color w:val="auto"/>
                <w:spacing w:val="0"/>
                <w:sz w:val="24"/>
                <w:szCs w:val="24"/>
                <w:highlight w:val="none"/>
                <w:lang w:val="en-US" w:eastAsia="zh-CN"/>
              </w:rPr>
              <w:t>217.8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pacing w:val="0"/>
                <w:sz w:val="24"/>
                <w:szCs w:val="24"/>
                <w:highlight w:val="none"/>
              </w:rPr>
              <w:t>。</w:t>
            </w:r>
          </w:p>
          <w:p w14:paraId="258695D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Cs/>
                <w:color w:val="auto"/>
                <w:spacing w:val="0"/>
                <w:sz w:val="24"/>
                <w:szCs w:val="24"/>
                <w:highlight w:val="none"/>
                <w:lang w:val="en-US" w:eastAsia="zh-CN"/>
              </w:rPr>
              <w:t>E</w:t>
            </w:r>
            <w:r>
              <w:rPr>
                <w:rFonts w:hint="eastAsia" w:ascii="Times New Roman" w:hAnsi="Times New Roman" w:eastAsia="宋体" w:cs="Times New Roman"/>
                <w:bCs/>
                <w:color w:val="auto"/>
                <w:spacing w:val="0"/>
                <w:sz w:val="24"/>
                <w:szCs w:val="24"/>
                <w:highlight w:val="none"/>
                <w:lang w:val="en-US" w:eastAsia="zh-CN"/>
              </w:rPr>
              <w:t>.</w:t>
            </w:r>
            <w:r>
              <w:rPr>
                <w:rFonts w:hint="eastAsia" w:cs="Times New Roman"/>
                <w:bCs/>
                <w:color w:val="auto"/>
                <w:spacing w:val="0"/>
                <w:sz w:val="24"/>
                <w:szCs w:val="24"/>
                <w:highlight w:val="none"/>
                <w:lang w:val="en-US" w:eastAsia="zh-CN"/>
              </w:rPr>
              <w:t>储矸棚喷雾用水</w:t>
            </w:r>
          </w:p>
          <w:p w14:paraId="56B7E00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cs="Times New Roman"/>
                <w:bCs/>
                <w:color w:val="auto"/>
                <w:spacing w:val="0"/>
                <w:sz w:val="24"/>
                <w:highlight w:val="none"/>
                <w:lang w:val="en-US" w:eastAsia="zh-CN"/>
              </w:rPr>
              <w:t>煤矸石</w:t>
            </w:r>
            <w:r>
              <w:rPr>
                <w:rFonts w:hint="eastAsia" w:ascii="Times New Roman" w:hAnsi="Times New Roman" w:eastAsia="宋体" w:cs="Times New Roman"/>
                <w:bCs/>
                <w:color w:val="auto"/>
                <w:spacing w:val="0"/>
                <w:sz w:val="24"/>
                <w:highlight w:val="none"/>
                <w:lang w:val="en-US" w:eastAsia="zh-CN"/>
              </w:rPr>
              <w:t>堆存</w:t>
            </w:r>
            <w:r>
              <w:rPr>
                <w:rFonts w:hint="default" w:ascii="Times New Roman" w:hAnsi="Times New Roman" w:eastAsia="宋体" w:cs="Times New Roman"/>
                <w:bCs/>
                <w:color w:val="auto"/>
                <w:spacing w:val="0"/>
                <w:sz w:val="24"/>
                <w:highlight w:val="none"/>
                <w:lang w:val="en-US" w:eastAsia="zh-CN"/>
              </w:rPr>
              <w:t>过程需定期</w:t>
            </w:r>
            <w:r>
              <w:rPr>
                <w:rFonts w:hint="eastAsia" w:cs="Times New Roman"/>
                <w:bCs/>
                <w:color w:val="auto"/>
                <w:spacing w:val="0"/>
                <w:sz w:val="24"/>
                <w:highlight w:val="none"/>
                <w:lang w:val="en-US" w:eastAsia="zh-CN"/>
              </w:rPr>
              <w:t>喷雾</w:t>
            </w:r>
            <w:r>
              <w:rPr>
                <w:rFonts w:hint="eastAsia" w:ascii="Times New Roman" w:hAnsi="Times New Roman" w:eastAsia="宋体" w:cs="Times New Roman"/>
                <w:bCs/>
                <w:color w:val="auto"/>
                <w:spacing w:val="0"/>
                <w:sz w:val="24"/>
                <w:highlight w:val="none"/>
                <w:lang w:val="en-US" w:eastAsia="zh-CN"/>
              </w:rPr>
              <w:t>抑尘</w:t>
            </w:r>
            <w:r>
              <w:rPr>
                <w:rFonts w:hint="default" w:ascii="Times New Roman" w:hAnsi="Times New Roman" w:eastAsia="宋体" w:cs="Times New Roman"/>
                <w:bCs/>
                <w:color w:val="auto"/>
                <w:spacing w:val="0"/>
                <w:sz w:val="24"/>
                <w:highlight w:val="none"/>
                <w:lang w:val="en-US" w:eastAsia="zh-CN"/>
              </w:rPr>
              <w:t>，</w:t>
            </w:r>
            <w:r>
              <w:rPr>
                <w:rFonts w:hint="eastAsia" w:cs="Times New Roman"/>
                <w:color w:val="auto"/>
                <w:spacing w:val="0"/>
                <w:sz w:val="24"/>
                <w:highlight w:val="none"/>
                <w:lang w:val="en-US" w:eastAsia="zh-CN"/>
              </w:rPr>
              <w:t>储矸棚</w:t>
            </w:r>
            <w:r>
              <w:rPr>
                <w:rFonts w:hint="eastAsia" w:ascii="Times New Roman" w:hAnsi="Times New Roman" w:eastAsia="宋体" w:cs="Times New Roman"/>
                <w:color w:val="auto"/>
                <w:spacing w:val="0"/>
                <w:sz w:val="24"/>
                <w:highlight w:val="none"/>
                <w:lang w:val="en-US" w:eastAsia="zh-CN"/>
              </w:rPr>
              <w:t>顶部</w:t>
            </w:r>
            <w:r>
              <w:rPr>
                <w:rFonts w:hint="eastAsia" w:cs="Times New Roman"/>
                <w:color w:val="auto"/>
                <w:spacing w:val="0"/>
                <w:sz w:val="24"/>
                <w:highlight w:val="none"/>
                <w:lang w:val="en-US" w:eastAsia="zh-CN"/>
              </w:rPr>
              <w:t>设置</w:t>
            </w:r>
            <w:r>
              <w:rPr>
                <w:rFonts w:hint="eastAsia" w:ascii="Times New Roman" w:hAnsi="Times New Roman" w:eastAsia="宋体" w:cs="Times New Roman"/>
                <w:color w:val="auto"/>
                <w:spacing w:val="0"/>
                <w:sz w:val="24"/>
                <w:highlight w:val="none"/>
                <w:lang w:val="en-US" w:eastAsia="zh-CN"/>
              </w:rPr>
              <w:t>覆盖全场的</w:t>
            </w:r>
            <w:r>
              <w:rPr>
                <w:rFonts w:hint="eastAsia" w:cs="Times New Roman"/>
                <w:color w:val="auto"/>
                <w:spacing w:val="0"/>
                <w:sz w:val="24"/>
                <w:highlight w:val="none"/>
                <w:lang w:val="en-US" w:eastAsia="zh-CN"/>
              </w:rPr>
              <w:t>喷雾降尘</w:t>
            </w:r>
            <w:r>
              <w:rPr>
                <w:rFonts w:hint="eastAsia" w:ascii="Times New Roman" w:hAnsi="Times New Roman" w:eastAsia="宋体" w:cs="Times New Roman"/>
                <w:color w:val="auto"/>
                <w:spacing w:val="0"/>
                <w:sz w:val="24"/>
                <w:highlight w:val="none"/>
                <w:lang w:val="en-US" w:eastAsia="zh-CN"/>
              </w:rPr>
              <w:t>装置，</w:t>
            </w:r>
            <w:r>
              <w:rPr>
                <w:rFonts w:hint="eastAsia" w:cs="Times New Roman"/>
                <w:bCs/>
                <w:color w:val="auto"/>
                <w:sz w:val="24"/>
                <w:szCs w:val="24"/>
                <w:highlight w:val="none"/>
                <w:lang w:val="en-US" w:eastAsia="zh-CN"/>
              </w:rPr>
              <w:t>类比同类型企业及建设单位提供资料，</w:t>
            </w:r>
            <w:r>
              <w:rPr>
                <w:rFonts w:hint="default" w:ascii="Times New Roman" w:hAnsi="Times New Roman" w:eastAsia="宋体" w:cs="Times New Roman"/>
                <w:color w:val="auto"/>
                <w:spacing w:val="0"/>
                <w:sz w:val="24"/>
                <w:highlight w:val="none"/>
              </w:rPr>
              <w:t>用水指标</w:t>
            </w:r>
            <w:r>
              <w:rPr>
                <w:rFonts w:hint="default" w:ascii="Times New Roman" w:hAnsi="Times New Roman" w:eastAsia="宋体" w:cs="Times New Roman"/>
                <w:color w:val="auto"/>
                <w:spacing w:val="0"/>
                <w:sz w:val="24"/>
                <w:highlight w:val="none"/>
                <w:lang w:val="en-US" w:eastAsia="zh-CN"/>
              </w:rPr>
              <w:t>按照</w:t>
            </w:r>
            <w:r>
              <w:rPr>
                <w:rFonts w:hint="default" w:ascii="Times New Roman" w:hAnsi="Times New Roman" w:eastAsia="宋体" w:cs="Times New Roman"/>
                <w:color w:val="auto"/>
                <w:spacing w:val="0"/>
                <w:sz w:val="24"/>
                <w:highlight w:val="none"/>
              </w:rPr>
              <w:t>1.</w:t>
            </w:r>
            <w:r>
              <w:rPr>
                <w:rFonts w:hint="eastAsia" w:cs="Times New Roman"/>
                <w:color w:val="auto"/>
                <w:spacing w:val="0"/>
                <w:sz w:val="24"/>
                <w:highlight w:val="none"/>
                <w:lang w:val="en-US" w:eastAsia="zh-CN"/>
              </w:rPr>
              <w:t>5</w:t>
            </w:r>
            <w:r>
              <w:rPr>
                <w:rFonts w:hint="default" w:ascii="Times New Roman" w:hAnsi="Times New Roman" w:eastAsia="宋体" w:cs="Times New Roman"/>
                <w:color w:val="auto"/>
                <w:spacing w:val="0"/>
                <w:sz w:val="24"/>
                <w:highlight w:val="none"/>
              </w:rPr>
              <w:t>L/m</w:t>
            </w:r>
            <w:r>
              <w:rPr>
                <w:rFonts w:hint="default" w:ascii="Times New Roman" w:hAnsi="Times New Roman" w:eastAsia="宋体" w:cs="Times New Roman"/>
                <w:color w:val="auto"/>
                <w:spacing w:val="0"/>
                <w:sz w:val="24"/>
                <w:highlight w:val="none"/>
                <w:vertAlign w:val="superscript"/>
              </w:rPr>
              <w:t>2</w:t>
            </w:r>
            <w:r>
              <w:rPr>
                <w:rFonts w:hint="default" w:ascii="Times New Roman" w:hAnsi="Times New Roman" w:eastAsia="宋体" w:cs="Times New Roman"/>
                <w:color w:val="auto"/>
                <w:spacing w:val="0"/>
                <w:sz w:val="24"/>
                <w:highlight w:val="none"/>
              </w:rPr>
              <w:t>·次，</w:t>
            </w:r>
            <w:r>
              <w:rPr>
                <w:rFonts w:hint="default" w:ascii="Times New Roman" w:hAnsi="Times New Roman" w:eastAsia="宋体" w:cs="Times New Roman"/>
                <w:color w:val="auto"/>
                <w:spacing w:val="0"/>
                <w:sz w:val="24"/>
                <w:highlight w:val="none"/>
                <w:lang w:val="en-US" w:eastAsia="zh-CN"/>
              </w:rPr>
              <w:t>频次为每2小时1次</w:t>
            </w:r>
            <w:r>
              <w:rPr>
                <w:rFonts w:hint="default" w:ascii="Times New Roman" w:hAnsi="Times New Roman" w:eastAsia="宋体" w:cs="Times New Roman"/>
                <w:color w:val="auto"/>
                <w:spacing w:val="0"/>
                <w:sz w:val="24"/>
                <w:highlight w:val="none"/>
                <w:lang w:eastAsia="zh-CN"/>
              </w:rPr>
              <w:t>，</w:t>
            </w:r>
            <w:r>
              <w:rPr>
                <w:rFonts w:hint="eastAsia" w:cs="Times New Roman"/>
                <w:color w:val="auto"/>
                <w:spacing w:val="0"/>
                <w:sz w:val="24"/>
                <w:highlight w:val="none"/>
                <w:lang w:val="en-US" w:eastAsia="zh-CN"/>
              </w:rPr>
              <w:t>储矸棚</w:t>
            </w:r>
            <w:r>
              <w:rPr>
                <w:rFonts w:hint="default" w:ascii="Times New Roman" w:hAnsi="Times New Roman" w:eastAsia="宋体" w:cs="Times New Roman"/>
                <w:color w:val="auto"/>
                <w:spacing w:val="0"/>
                <w:sz w:val="24"/>
                <w:highlight w:val="none"/>
              </w:rPr>
              <w:t>面积</w:t>
            </w:r>
            <w:r>
              <w:rPr>
                <w:rFonts w:hint="eastAsia" w:ascii="Times New Roman" w:hAnsi="Times New Roman" w:eastAsia="宋体" w:cs="Times New Roman"/>
                <w:color w:val="auto"/>
                <w:spacing w:val="0"/>
                <w:sz w:val="24"/>
                <w:highlight w:val="none"/>
                <w:lang w:val="en-US" w:eastAsia="zh-CN"/>
              </w:rPr>
              <w:t>为1268</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2</w:t>
            </w:r>
            <w:r>
              <w:rPr>
                <w:rFonts w:hint="default" w:ascii="Times New Roman" w:hAnsi="Times New Roman" w:eastAsia="宋体" w:cs="Times New Roman"/>
                <w:color w:val="auto"/>
                <w:spacing w:val="0"/>
                <w:sz w:val="24"/>
                <w:highlight w:val="none"/>
              </w:rPr>
              <w:t>，则每天用水量为</w:t>
            </w:r>
            <w:r>
              <w:rPr>
                <w:rFonts w:hint="eastAsia" w:cs="Times New Roman"/>
                <w:color w:val="auto"/>
                <w:spacing w:val="0"/>
                <w:sz w:val="24"/>
                <w:highlight w:val="none"/>
                <w:lang w:val="en-US" w:eastAsia="zh-CN"/>
              </w:rPr>
              <w:t>22.824</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eastAsia" w:ascii="Times New Roman" w:hAnsi="Times New Roman" w:eastAsia="宋体" w:cs="Times New Roman"/>
                <w:color w:val="auto"/>
                <w:spacing w:val="0"/>
                <w:sz w:val="24"/>
                <w:highlight w:val="none"/>
                <w:lang w:eastAsia="zh-CN"/>
              </w:rPr>
              <w:t>（</w:t>
            </w:r>
            <w:r>
              <w:rPr>
                <w:rFonts w:hint="eastAsia" w:cs="Times New Roman"/>
                <w:color w:val="auto"/>
                <w:spacing w:val="0"/>
                <w:sz w:val="24"/>
                <w:highlight w:val="none"/>
                <w:lang w:val="en-US" w:eastAsia="zh-CN"/>
              </w:rPr>
              <w:t>7531.92</w:t>
            </w:r>
            <w:r>
              <w:rPr>
                <w:rFonts w:hint="default" w:ascii="Times New Roman" w:hAnsi="Times New Roman" w:eastAsia="宋体" w:cs="Times New Roman"/>
                <w:color w:val="auto"/>
                <w:spacing w:val="0"/>
                <w:sz w:val="24"/>
                <w:szCs w:val="24"/>
                <w:highlight w:val="none"/>
                <w:lang w:val="en-US" w:eastAsia="zh-CN"/>
              </w:rPr>
              <w:t>m</w:t>
            </w:r>
            <w:r>
              <w:rPr>
                <w:rFonts w:hint="default" w:ascii="Times New Roman" w:hAnsi="Times New Roman" w:eastAsia="宋体" w:cs="Times New Roman"/>
                <w:color w:val="auto"/>
                <w:spacing w:val="0"/>
                <w:sz w:val="24"/>
                <w:szCs w:val="24"/>
                <w:highlight w:val="none"/>
                <w:vertAlign w:val="superscript"/>
                <w:lang w:val="en-US" w:eastAsia="zh-CN"/>
              </w:rPr>
              <w:t>3</w:t>
            </w:r>
            <w:r>
              <w:rPr>
                <w:rFonts w:hint="default" w:ascii="Times New Roman" w:hAnsi="Times New Roman" w:eastAsia="宋体" w:cs="Times New Roman"/>
                <w:color w:val="auto"/>
                <w:spacing w:val="0"/>
                <w:sz w:val="24"/>
                <w:szCs w:val="24"/>
                <w:highlight w:val="none"/>
                <w:lang w:val="en-US" w:eastAsia="zh-CN"/>
              </w:rPr>
              <w:t>/a</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eastAsia="zh-CN"/>
              </w:rPr>
              <w:t>。</w:t>
            </w:r>
          </w:p>
          <w:p w14:paraId="4FE2588C">
            <w:pPr>
              <w:keepNext w:val="0"/>
              <w:keepLines w:val="0"/>
              <w:pageBreakBefore w:val="0"/>
              <w:widowControl w:val="0"/>
              <w:kinsoku/>
              <w:wordWrap/>
              <w:overflowPunct/>
              <w:topLinePunct w:val="0"/>
              <w:bidi w:val="0"/>
              <w:spacing w:line="480" w:lineRule="exact"/>
              <w:ind w:firstLine="480" w:firstLineChars="200"/>
              <w:textAlignment w:val="auto"/>
              <w:rPr>
                <w:rFonts w:hint="eastAsia" w:cs="Times New Roman"/>
                <w:bCs/>
                <w:color w:val="auto"/>
                <w:spacing w:val="0"/>
                <w:sz w:val="24"/>
                <w:szCs w:val="24"/>
                <w:highlight w:val="none"/>
                <w:lang w:val="en-US" w:eastAsia="zh-CN"/>
              </w:rPr>
            </w:pPr>
            <w:r>
              <w:rPr>
                <w:rFonts w:hint="eastAsia" w:cs="Times New Roman"/>
                <w:color w:val="auto"/>
                <w:sz w:val="24"/>
                <w:szCs w:val="24"/>
                <w:highlight w:val="none"/>
                <w:lang w:val="en-US" w:eastAsia="zh-CN"/>
              </w:rPr>
              <w:t>③</w:t>
            </w:r>
            <w:r>
              <w:rPr>
                <w:rFonts w:hint="eastAsia" w:cs="Times New Roman"/>
                <w:bCs/>
                <w:color w:val="auto"/>
                <w:spacing w:val="0"/>
                <w:sz w:val="24"/>
                <w:szCs w:val="24"/>
                <w:highlight w:val="none"/>
                <w:lang w:val="en-US" w:eastAsia="zh-CN"/>
              </w:rPr>
              <w:t>其他用水</w:t>
            </w:r>
          </w:p>
          <w:p w14:paraId="349D63E6">
            <w:pPr>
              <w:keepNext w:val="0"/>
              <w:keepLines w:val="0"/>
              <w:pageBreakBefore w:val="0"/>
              <w:widowControl w:val="0"/>
              <w:kinsoku/>
              <w:wordWrap/>
              <w:topLinePunct w:val="0"/>
              <w:autoSpaceDE/>
              <w:autoSpaceDN/>
              <w:bidi w:val="0"/>
              <w:adjustRightInd w:val="0"/>
              <w:snapToGrid w:val="0"/>
              <w:spacing w:line="480" w:lineRule="exact"/>
              <w:ind w:firstLine="480" w:firstLineChars="200"/>
              <w:jc w:val="both"/>
              <w:rPr>
                <w:rFonts w:hint="default" w:ascii="Times New Roman" w:hAnsi="Times New Roman" w:eastAsia="宋体" w:cs="Times New Roman"/>
                <w:bCs/>
                <w:color w:val="auto"/>
                <w:spacing w:val="0"/>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项目道路</w:t>
            </w:r>
            <w:r>
              <w:rPr>
                <w:rFonts w:hint="eastAsia" w:cs="Times New Roman"/>
                <w:color w:val="auto"/>
                <w:sz w:val="24"/>
                <w:szCs w:val="24"/>
                <w:highlight w:val="none"/>
                <w:lang w:val="en-US" w:eastAsia="zh-CN"/>
              </w:rPr>
              <w:t>浇洒</w:t>
            </w:r>
            <w:r>
              <w:rPr>
                <w:rFonts w:hint="default" w:ascii="Times New Roman" w:hAnsi="Times New Roman" w:eastAsia="宋体" w:cs="Times New Roman"/>
                <w:color w:val="auto"/>
                <w:sz w:val="24"/>
                <w:szCs w:val="24"/>
                <w:highlight w:val="none"/>
                <w:lang w:val="en-US" w:eastAsia="zh-CN"/>
              </w:rPr>
              <w:t>面积约</w:t>
            </w:r>
            <w:r>
              <w:rPr>
                <w:rFonts w:hint="eastAsia"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、绿化面积约</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《山西省用水定额》</w:t>
            </w:r>
            <w:r>
              <w:rPr>
                <w:rFonts w:hint="default" w:ascii="Times New Roman" w:hAnsi="Times New Roman" w:eastAsia="宋体" w:cs="Times New Roman"/>
                <w:color w:val="auto"/>
                <w:sz w:val="24"/>
                <w:szCs w:val="24"/>
                <w:highlight w:val="none"/>
                <w:lang w:val="en-US" w:eastAsia="zh-CN"/>
              </w:rPr>
              <w:t>（DB 14T 1049.</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浇洒</w:t>
            </w:r>
            <w:r>
              <w:rPr>
                <w:rFonts w:hint="eastAsia" w:ascii="Times New Roman" w:hAnsi="Times New Roman" w:eastAsia="宋体" w:cs="Times New Roman"/>
                <w:color w:val="auto"/>
                <w:sz w:val="24"/>
                <w:szCs w:val="24"/>
                <w:highlight w:val="none"/>
                <w:lang w:val="en-US" w:eastAsia="zh-CN"/>
              </w:rPr>
              <w:t>、绿化</w:t>
            </w:r>
            <w:r>
              <w:rPr>
                <w:rFonts w:hint="default" w:ascii="Times New Roman" w:hAnsi="Times New Roman" w:eastAsia="宋体" w:cs="Times New Roman"/>
                <w:color w:val="auto"/>
                <w:sz w:val="24"/>
                <w:szCs w:val="24"/>
                <w:highlight w:val="none"/>
                <w:lang w:val="en-US" w:eastAsia="zh-CN"/>
              </w:rPr>
              <w:t>用水</w:t>
            </w:r>
            <w:r>
              <w:rPr>
                <w:rFonts w:hint="eastAsia" w:cs="Times New Roman"/>
                <w:color w:val="auto"/>
                <w:sz w:val="24"/>
                <w:szCs w:val="24"/>
                <w:highlight w:val="none"/>
                <w:lang w:val="en-US" w:eastAsia="zh-CN"/>
              </w:rPr>
              <w:t>定额先进值为1.5</w:t>
            </w:r>
            <w:r>
              <w:rPr>
                <w:rFonts w:hint="default" w:ascii="Times New Roman" w:hAnsi="Times New Roman" w:eastAsia="宋体" w:cs="Times New Roman"/>
                <w:color w:val="auto"/>
                <w:sz w:val="24"/>
                <w:szCs w:val="24"/>
                <w:highlight w:val="none"/>
                <w:lang w:val="en-US" w:eastAsia="zh-CN"/>
              </w:rPr>
              <w:t>L/m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lang w:val="en-US" w:eastAsia="zh-CN"/>
              </w:rPr>
              <w:t>d，则浇洒、绿化用水量为</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180天，324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p>
          <w:p w14:paraId="16B7A87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（2）排水</w:t>
            </w:r>
          </w:p>
          <w:p w14:paraId="4FBDCEF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sz w:val="24"/>
                <w:szCs w:val="20"/>
                <w:highlight w:val="none"/>
              </w:rPr>
            </w:pPr>
            <w:r>
              <w:rPr>
                <w:rFonts w:hint="eastAsia" w:ascii="Times New Roman" w:hAnsi="Times New Roman" w:eastAsia="宋体" w:cs="Times New Roman"/>
                <w:color w:val="auto"/>
                <w:spacing w:val="0"/>
                <w:sz w:val="24"/>
                <w:szCs w:val="24"/>
                <w:highlight w:val="none"/>
                <w:lang w:val="en-US" w:eastAsia="zh-CN"/>
              </w:rPr>
              <w:t>①</w:t>
            </w:r>
            <w:r>
              <w:rPr>
                <w:rFonts w:hint="default" w:ascii="Times New Roman" w:hAnsi="Times New Roman" w:eastAsia="宋体" w:cs="Times New Roman"/>
                <w:b w:val="0"/>
                <w:bCs w:val="0"/>
                <w:color w:val="auto"/>
                <w:spacing w:val="0"/>
                <w:sz w:val="24"/>
                <w:szCs w:val="20"/>
                <w:highlight w:val="none"/>
              </w:rPr>
              <w:t>生活污水</w:t>
            </w:r>
          </w:p>
          <w:p w14:paraId="7297F12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b w:val="0"/>
                <w:bCs w:val="0"/>
                <w:color w:val="auto"/>
                <w:spacing w:val="0"/>
                <w:kern w:val="2"/>
                <w:sz w:val="24"/>
                <w:szCs w:val="22"/>
                <w:highlight w:val="none"/>
                <w:lang w:val="en-US" w:eastAsia="zh-CN" w:bidi="ar-SA"/>
              </w:rPr>
              <w:t>本项目</w:t>
            </w:r>
            <w:r>
              <w:rPr>
                <w:rFonts w:hint="default" w:ascii="Times New Roman" w:hAnsi="Times New Roman" w:eastAsia="宋体" w:cs="Times New Roman"/>
                <w:b w:val="0"/>
                <w:bCs w:val="0"/>
                <w:color w:val="auto"/>
                <w:spacing w:val="0"/>
                <w:sz w:val="24"/>
                <w:szCs w:val="20"/>
                <w:highlight w:val="none"/>
              </w:rPr>
              <w:t>生活</w:t>
            </w:r>
            <w:r>
              <w:rPr>
                <w:rFonts w:hint="eastAsia" w:ascii="Times New Roman" w:hAnsi="Times New Roman" w:cs="Times New Roman"/>
                <w:b w:val="0"/>
                <w:bCs w:val="0"/>
                <w:color w:val="auto"/>
                <w:spacing w:val="0"/>
                <w:sz w:val="24"/>
                <w:szCs w:val="20"/>
                <w:highlight w:val="none"/>
                <w:lang w:val="en-US" w:eastAsia="zh-CN"/>
              </w:rPr>
              <w:t>污水产生量按照</w:t>
            </w:r>
            <w:r>
              <w:rPr>
                <w:rFonts w:hint="default" w:ascii="Times New Roman" w:hAnsi="Times New Roman" w:eastAsia="宋体" w:cs="Times New Roman"/>
                <w:b w:val="0"/>
                <w:bCs w:val="0"/>
                <w:color w:val="auto"/>
                <w:spacing w:val="0"/>
                <w:sz w:val="24"/>
                <w:szCs w:val="20"/>
                <w:highlight w:val="none"/>
                <w:lang w:eastAsia="zh-CN"/>
              </w:rPr>
              <w:t>用水量的</w:t>
            </w:r>
            <w:r>
              <w:rPr>
                <w:rFonts w:hint="default" w:ascii="Times New Roman" w:hAnsi="Times New Roman" w:eastAsia="宋体" w:cs="Times New Roman"/>
                <w:b w:val="0"/>
                <w:bCs w:val="0"/>
                <w:color w:val="auto"/>
                <w:spacing w:val="0"/>
                <w:sz w:val="24"/>
                <w:szCs w:val="20"/>
                <w:highlight w:val="none"/>
                <w:lang w:val="en-US" w:eastAsia="zh-CN"/>
              </w:rPr>
              <w:t>80%</w:t>
            </w:r>
            <w:r>
              <w:rPr>
                <w:rFonts w:hint="eastAsia" w:ascii="Times New Roman" w:hAnsi="Times New Roman" w:cs="Times New Roman"/>
                <w:b w:val="0"/>
                <w:bCs w:val="0"/>
                <w:color w:val="auto"/>
                <w:spacing w:val="0"/>
                <w:sz w:val="24"/>
                <w:szCs w:val="20"/>
                <w:highlight w:val="none"/>
                <w:lang w:val="en-US" w:eastAsia="zh-CN"/>
              </w:rPr>
              <w:t>计算</w:t>
            </w:r>
            <w:r>
              <w:rPr>
                <w:rFonts w:hint="default" w:ascii="Times New Roman" w:hAnsi="Times New Roman" w:eastAsia="宋体" w:cs="Times New Roman"/>
                <w:b w:val="0"/>
                <w:bCs w:val="0"/>
                <w:color w:val="auto"/>
                <w:spacing w:val="0"/>
                <w:sz w:val="24"/>
                <w:szCs w:val="20"/>
                <w:highlight w:val="none"/>
                <w:lang w:val="en-US" w:eastAsia="zh-CN"/>
              </w:rPr>
              <w:t>，</w:t>
            </w:r>
            <w:r>
              <w:rPr>
                <w:rFonts w:hint="eastAsia" w:ascii="Times New Roman" w:hAnsi="Times New Roman" w:cs="Times New Roman"/>
                <w:b w:val="0"/>
                <w:bCs w:val="0"/>
                <w:color w:val="auto"/>
                <w:spacing w:val="0"/>
                <w:sz w:val="24"/>
                <w:szCs w:val="20"/>
                <w:highlight w:val="none"/>
                <w:lang w:val="en-US" w:eastAsia="zh-CN"/>
              </w:rPr>
              <w:t>则污水产生</w:t>
            </w:r>
            <w:r>
              <w:rPr>
                <w:rFonts w:hint="default" w:ascii="Times New Roman" w:hAnsi="Times New Roman" w:eastAsia="宋体" w:cs="Times New Roman"/>
                <w:b w:val="0"/>
                <w:bCs w:val="0"/>
                <w:color w:val="auto"/>
                <w:spacing w:val="0"/>
                <w:sz w:val="24"/>
                <w:szCs w:val="20"/>
                <w:highlight w:val="none"/>
                <w:lang w:val="en-US" w:eastAsia="zh-CN"/>
              </w:rPr>
              <w:t>量为</w:t>
            </w:r>
            <w:r>
              <w:rPr>
                <w:rFonts w:hint="eastAsia" w:ascii="Times New Roman" w:hAnsi="Times New Roman" w:cs="Times New Roman"/>
                <w:b w:val="0"/>
                <w:bCs w:val="0"/>
                <w:color w:val="auto"/>
                <w:spacing w:val="0"/>
                <w:sz w:val="24"/>
                <w:szCs w:val="20"/>
                <w:highlight w:val="none"/>
                <w:lang w:val="en-US" w:eastAsia="zh-CN"/>
              </w:rPr>
              <w:t>0.56</w:t>
            </w:r>
            <w:r>
              <w:rPr>
                <w:rFonts w:hint="default" w:ascii="Times New Roman" w:hAnsi="Times New Roman" w:eastAsia="宋体" w:cs="Times New Roman"/>
                <w:b w:val="0"/>
                <w:bCs w:val="0"/>
                <w:color w:val="auto"/>
                <w:spacing w:val="0"/>
                <w:szCs w:val="20"/>
                <w:highlight w:val="none"/>
              </w:rPr>
              <w:t>m</w:t>
            </w:r>
            <w:r>
              <w:rPr>
                <w:rFonts w:hint="default" w:ascii="Times New Roman" w:hAnsi="Times New Roman" w:eastAsia="宋体" w:cs="Times New Roman"/>
                <w:b w:val="0"/>
                <w:bCs w:val="0"/>
                <w:color w:val="auto"/>
                <w:spacing w:val="0"/>
                <w:szCs w:val="20"/>
                <w:highlight w:val="none"/>
                <w:vertAlign w:val="superscript"/>
              </w:rPr>
              <w:t>3</w:t>
            </w:r>
            <w:r>
              <w:rPr>
                <w:rFonts w:hint="default" w:ascii="Times New Roman" w:hAnsi="Times New Roman" w:eastAsia="宋体" w:cs="Times New Roman"/>
                <w:b w:val="0"/>
                <w:bCs w:val="0"/>
                <w:color w:val="auto"/>
                <w:spacing w:val="0"/>
                <w:sz w:val="24"/>
                <w:szCs w:val="20"/>
                <w:highlight w:val="none"/>
              </w:rPr>
              <w:t>/d</w:t>
            </w:r>
            <w:r>
              <w:rPr>
                <w:rFonts w:hint="eastAsia" w:ascii="Times New Roman" w:hAnsi="Times New Roman" w:cs="Times New Roman"/>
                <w:b w:val="0"/>
                <w:bCs w:val="0"/>
                <w:color w:val="auto"/>
                <w:spacing w:val="0"/>
                <w:sz w:val="24"/>
                <w:szCs w:val="20"/>
                <w:highlight w:val="none"/>
                <w:lang w:eastAsia="zh-CN"/>
              </w:rPr>
              <w:t>（</w:t>
            </w:r>
            <w:r>
              <w:rPr>
                <w:rFonts w:hint="eastAsia" w:ascii="Times New Roman" w:hAnsi="Times New Roman" w:cs="Times New Roman"/>
                <w:b w:val="0"/>
                <w:bCs w:val="0"/>
                <w:color w:val="auto"/>
                <w:spacing w:val="0"/>
                <w:sz w:val="24"/>
                <w:szCs w:val="20"/>
                <w:highlight w:val="none"/>
                <w:lang w:val="en-US" w:eastAsia="zh-CN"/>
              </w:rPr>
              <w:t>184.8m</w:t>
            </w:r>
            <w:r>
              <w:rPr>
                <w:rFonts w:hint="eastAsia" w:ascii="Times New Roman" w:hAnsi="Times New Roman" w:cs="Times New Roman"/>
                <w:b w:val="0"/>
                <w:bCs w:val="0"/>
                <w:color w:val="auto"/>
                <w:spacing w:val="0"/>
                <w:sz w:val="24"/>
                <w:szCs w:val="20"/>
                <w:highlight w:val="none"/>
                <w:vertAlign w:val="superscript"/>
                <w:lang w:val="en-US" w:eastAsia="zh-CN"/>
              </w:rPr>
              <w:t>3</w:t>
            </w:r>
            <w:r>
              <w:rPr>
                <w:rFonts w:hint="eastAsia" w:ascii="Times New Roman" w:hAnsi="Times New Roman" w:cs="Times New Roman"/>
                <w:b w:val="0"/>
                <w:bCs w:val="0"/>
                <w:color w:val="auto"/>
                <w:spacing w:val="0"/>
                <w:sz w:val="24"/>
                <w:szCs w:val="20"/>
                <w:highlight w:val="none"/>
                <w:lang w:val="en-US" w:eastAsia="zh-CN"/>
              </w:rPr>
              <w:t>/a</w:t>
            </w:r>
            <w:r>
              <w:rPr>
                <w:rFonts w:hint="eastAsia" w:ascii="Times New Roman" w:hAnsi="Times New Roman" w:cs="Times New Roman"/>
                <w:b w:val="0"/>
                <w:bCs w:val="0"/>
                <w:color w:val="auto"/>
                <w:spacing w:val="0"/>
                <w:sz w:val="24"/>
                <w:szCs w:val="20"/>
                <w:highlight w:val="none"/>
                <w:lang w:eastAsia="zh-CN"/>
              </w:rPr>
              <w:t>）。</w:t>
            </w:r>
            <w:r>
              <w:rPr>
                <w:rFonts w:hint="default" w:ascii="Times New Roman" w:hAnsi="Times New Roman" w:eastAsia="宋体" w:cs="Times New Roman"/>
                <w:color w:val="auto"/>
                <w:spacing w:val="0"/>
                <w:sz w:val="24"/>
                <w:szCs w:val="24"/>
                <w:highlight w:val="none"/>
              </w:rPr>
              <w:t>生活污水</w:t>
            </w:r>
            <w:r>
              <w:rPr>
                <w:rFonts w:hint="eastAsia" w:ascii="Times New Roman" w:hAnsi="Times New Roman" w:eastAsia="宋体" w:cs="Times New Roman"/>
                <w:color w:val="auto"/>
                <w:spacing w:val="0"/>
                <w:sz w:val="24"/>
                <w:szCs w:val="24"/>
                <w:highlight w:val="none"/>
                <w:lang w:val="en-US" w:eastAsia="zh-CN"/>
              </w:rPr>
              <w:t>主要</w:t>
            </w:r>
            <w:r>
              <w:rPr>
                <w:rFonts w:hint="default" w:ascii="Times New Roman" w:hAnsi="Times New Roman" w:eastAsia="宋体" w:cs="Times New Roman"/>
                <w:color w:val="auto"/>
                <w:spacing w:val="0"/>
                <w:sz w:val="24"/>
                <w:szCs w:val="24"/>
                <w:highlight w:val="none"/>
              </w:rPr>
              <w:t>为职工</w:t>
            </w:r>
            <w:r>
              <w:rPr>
                <w:rFonts w:hint="eastAsia" w:ascii="Times New Roman" w:hAnsi="Times New Roman" w:eastAsia="宋体" w:cs="Times New Roman"/>
                <w:color w:val="auto"/>
                <w:spacing w:val="0"/>
                <w:sz w:val="24"/>
                <w:szCs w:val="24"/>
                <w:highlight w:val="none"/>
                <w:lang w:val="en-US" w:eastAsia="zh-CN"/>
              </w:rPr>
              <w:t>日常</w:t>
            </w:r>
            <w:r>
              <w:rPr>
                <w:rFonts w:hint="default" w:ascii="Times New Roman" w:hAnsi="Times New Roman" w:eastAsia="宋体" w:cs="Times New Roman"/>
                <w:color w:val="auto"/>
                <w:spacing w:val="0"/>
                <w:sz w:val="24"/>
                <w:szCs w:val="24"/>
                <w:highlight w:val="none"/>
              </w:rPr>
              <w:t>洗漱废水，</w:t>
            </w:r>
            <w:r>
              <w:rPr>
                <w:rFonts w:hint="eastAsia" w:ascii="Times New Roman" w:hAnsi="Times New Roman" w:eastAsia="宋体" w:cs="Times New Roman"/>
                <w:color w:val="auto"/>
                <w:spacing w:val="0"/>
                <w:sz w:val="24"/>
                <w:szCs w:val="24"/>
                <w:highlight w:val="none"/>
                <w:lang w:val="en-US" w:eastAsia="zh-CN"/>
              </w:rPr>
              <w:t>水质</w:t>
            </w:r>
            <w:r>
              <w:rPr>
                <w:rFonts w:hint="eastAsia" w:cs="Times New Roman"/>
                <w:color w:val="auto"/>
                <w:spacing w:val="0"/>
                <w:sz w:val="24"/>
                <w:szCs w:val="24"/>
                <w:highlight w:val="none"/>
                <w:lang w:val="en-US" w:eastAsia="zh-CN"/>
              </w:rPr>
              <w:t>较为</w:t>
            </w:r>
            <w:r>
              <w:rPr>
                <w:rFonts w:hint="eastAsia" w:ascii="Times New Roman" w:hAnsi="Times New Roman" w:eastAsia="宋体" w:cs="Times New Roman"/>
                <w:color w:val="auto"/>
                <w:spacing w:val="0"/>
                <w:sz w:val="24"/>
                <w:szCs w:val="24"/>
                <w:highlight w:val="none"/>
                <w:lang w:val="en-US" w:eastAsia="zh-CN"/>
              </w:rPr>
              <w:t>简单，</w:t>
            </w:r>
            <w:r>
              <w:rPr>
                <w:rFonts w:hint="eastAsia" w:cs="Times New Roman"/>
                <w:color w:val="auto"/>
                <w:spacing w:val="0"/>
                <w:sz w:val="24"/>
                <w:szCs w:val="24"/>
                <w:highlight w:val="none"/>
                <w:lang w:eastAsia="zh-CN"/>
              </w:rPr>
              <w:t>用于厂区洒水抑尘</w:t>
            </w:r>
            <w:r>
              <w:rPr>
                <w:rFonts w:hint="default" w:ascii="Times New Roman" w:hAnsi="Times New Roman" w:eastAsia="宋体" w:cs="Times New Roman"/>
                <w:color w:val="auto"/>
                <w:spacing w:val="0"/>
                <w:sz w:val="24"/>
                <w:szCs w:val="24"/>
                <w:highlight w:val="none"/>
              </w:rPr>
              <w:t>，不外排</w:t>
            </w:r>
            <w:r>
              <w:rPr>
                <w:rFonts w:hint="default" w:ascii="Times New Roman" w:hAnsi="Times New Roman" w:eastAsia="宋体" w:cs="Times New Roman"/>
                <w:color w:val="auto"/>
                <w:spacing w:val="0"/>
                <w:sz w:val="24"/>
                <w:szCs w:val="24"/>
                <w:highlight w:val="none"/>
                <w:lang w:val="en-US" w:eastAsia="zh-CN"/>
              </w:rPr>
              <w:t>。</w:t>
            </w:r>
          </w:p>
          <w:p w14:paraId="0EBD1EE4">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sz w:val="24"/>
                <w:szCs w:val="20"/>
                <w:highlight w:val="none"/>
                <w:lang w:val="en-US"/>
              </w:rPr>
            </w:pPr>
            <w:r>
              <w:rPr>
                <w:rFonts w:hint="default" w:ascii="Times New Roman" w:hAnsi="Times New Roman" w:eastAsia="宋体" w:cs="Times New Roman"/>
                <w:color w:val="auto"/>
                <w:spacing w:val="0"/>
                <w:sz w:val="24"/>
                <w:szCs w:val="24"/>
                <w:highlight w:val="none"/>
                <w:lang w:val="en-US" w:eastAsia="zh-CN"/>
              </w:rPr>
              <w:t>②</w:t>
            </w:r>
            <w:r>
              <w:rPr>
                <w:rFonts w:hint="eastAsia" w:ascii="Times New Roman" w:hAnsi="Times New Roman" w:cs="Times New Roman"/>
                <w:b w:val="0"/>
                <w:bCs w:val="0"/>
                <w:color w:val="auto"/>
                <w:spacing w:val="0"/>
                <w:sz w:val="24"/>
                <w:szCs w:val="20"/>
                <w:highlight w:val="none"/>
                <w:lang w:val="en-US" w:eastAsia="zh-CN"/>
              </w:rPr>
              <w:t>生产废水</w:t>
            </w:r>
          </w:p>
          <w:p w14:paraId="3A477F05">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A.</w:t>
            </w:r>
            <w:r>
              <w:rPr>
                <w:rFonts w:hint="eastAsia" w:cs="Times New Roman"/>
                <w:bCs/>
                <w:color w:val="auto"/>
                <w:spacing w:val="0"/>
                <w:sz w:val="24"/>
                <w:szCs w:val="24"/>
                <w:highlight w:val="none"/>
                <w:lang w:val="en-US" w:eastAsia="zh-CN"/>
              </w:rPr>
              <w:t>浆料系统清洗废水</w:t>
            </w:r>
          </w:p>
          <w:p w14:paraId="1E93464D">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pacing w:val="0"/>
                <w:sz w:val="24"/>
                <w:szCs w:val="24"/>
                <w:highlight w:val="none"/>
                <w:lang w:val="en-US" w:eastAsia="zh-CN"/>
              </w:rPr>
              <w:t>浆料系统</w:t>
            </w:r>
            <w:r>
              <w:rPr>
                <w:rFonts w:hint="eastAsia" w:cs="Times New Roman"/>
                <w:bCs/>
                <w:color w:val="auto"/>
                <w:sz w:val="24"/>
                <w:szCs w:val="24"/>
                <w:highlight w:val="none"/>
                <w:lang w:val="en-US" w:eastAsia="zh-CN"/>
              </w:rPr>
              <w:t>清洗废水</w:t>
            </w:r>
            <w:r>
              <w:rPr>
                <w:rFonts w:hint="eastAsia" w:ascii="Times New Roman" w:hAnsi="Times New Roman" w:eastAsia="宋体" w:cs="Times New Roman"/>
                <w:bCs/>
                <w:color w:val="auto"/>
                <w:sz w:val="24"/>
                <w:szCs w:val="24"/>
                <w:highlight w:val="none"/>
                <w:lang w:val="en-US" w:eastAsia="zh-CN"/>
              </w:rPr>
              <w:t>产生量按用水量的90%计算，则废水产生量为</w:t>
            </w:r>
            <w:r>
              <w:rPr>
                <w:rFonts w:hint="eastAsia" w:cs="Times New Roman"/>
                <w:bCs/>
                <w:color w:val="auto"/>
                <w:sz w:val="24"/>
                <w:szCs w:val="24"/>
                <w:highlight w:val="none"/>
                <w:lang w:val="en-US" w:eastAsia="zh-CN"/>
              </w:rPr>
              <w:t>31.5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r>
              <w:rPr>
                <w:rFonts w:hint="eastAsia" w:cs="Times New Roman"/>
                <w:bCs/>
                <w:color w:val="auto"/>
                <w:sz w:val="24"/>
                <w:szCs w:val="24"/>
                <w:highlight w:val="none"/>
                <w:lang w:val="en-US" w:eastAsia="zh-CN"/>
              </w:rPr>
              <w:t>10395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eastAsia" w:cs="Times New Roman"/>
                <w:bCs/>
                <w:color w:val="auto"/>
                <w:sz w:val="24"/>
                <w:szCs w:val="24"/>
                <w:highlight w:val="none"/>
                <w:lang w:val="en-US" w:eastAsia="zh-CN"/>
              </w:rPr>
              <w:t>。待系统</w:t>
            </w:r>
            <w:r>
              <w:rPr>
                <w:rFonts w:hint="eastAsia" w:ascii="Times New Roman" w:hAnsi="Times New Roman" w:eastAsia="宋体" w:cs="Times New Roman"/>
                <w:bCs/>
                <w:color w:val="auto"/>
                <w:sz w:val="24"/>
                <w:szCs w:val="24"/>
                <w:highlight w:val="none"/>
                <w:lang w:val="en-US" w:eastAsia="zh-CN"/>
              </w:rPr>
              <w:t>生产结束后，直接</w:t>
            </w:r>
            <w:r>
              <w:rPr>
                <w:rFonts w:hint="eastAsia" w:cs="Times New Roman"/>
                <w:bCs/>
                <w:color w:val="auto"/>
                <w:sz w:val="24"/>
                <w:szCs w:val="24"/>
                <w:highlight w:val="none"/>
                <w:lang w:val="en-US" w:eastAsia="zh-CN"/>
              </w:rPr>
              <w:t>向</w:t>
            </w:r>
            <w:r>
              <w:rPr>
                <w:rFonts w:hint="eastAsia" w:ascii="Times New Roman" w:hAnsi="Times New Roman" w:eastAsia="宋体" w:cs="Times New Roman"/>
                <w:bCs/>
                <w:color w:val="auto"/>
                <w:sz w:val="24"/>
                <w:szCs w:val="24"/>
                <w:highlight w:val="none"/>
                <w:lang w:val="en-US" w:eastAsia="zh-CN"/>
              </w:rPr>
              <w:t>制浆机</w:t>
            </w:r>
            <w:r>
              <w:rPr>
                <w:rFonts w:hint="eastAsia" w:cs="Times New Roman"/>
                <w:bCs/>
                <w:color w:val="auto"/>
                <w:sz w:val="24"/>
                <w:szCs w:val="24"/>
                <w:highlight w:val="none"/>
                <w:lang w:val="en-US" w:eastAsia="zh-CN"/>
              </w:rPr>
              <w:t>、搅拌桶加水清洗</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清洗废水沿井筒污水管道输送至现有矿井水处理站处理后回用</w:t>
            </w:r>
            <w:r>
              <w:rPr>
                <w:rFonts w:hint="eastAsia" w:ascii="Times New Roman" w:hAnsi="Times New Roman" w:eastAsia="宋体" w:cs="Times New Roman"/>
                <w:bCs/>
                <w:color w:val="auto"/>
                <w:sz w:val="24"/>
                <w:szCs w:val="24"/>
                <w:highlight w:val="none"/>
                <w:lang w:val="en-US" w:eastAsia="zh-CN"/>
              </w:rPr>
              <w:t>。</w:t>
            </w:r>
          </w:p>
          <w:p w14:paraId="360A937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B.地面冲洗废水</w:t>
            </w:r>
          </w:p>
          <w:p w14:paraId="3F13ADC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地面冲洗废水</w:t>
            </w:r>
            <w:r>
              <w:rPr>
                <w:rFonts w:hint="eastAsia" w:ascii="Times New Roman" w:hAnsi="Times New Roman" w:eastAsia="宋体" w:cs="Times New Roman"/>
                <w:bCs/>
                <w:color w:val="auto"/>
                <w:sz w:val="24"/>
                <w:szCs w:val="24"/>
                <w:highlight w:val="none"/>
                <w:lang w:val="en-US" w:eastAsia="zh-CN"/>
              </w:rPr>
              <w:t>产生量按用水量的90%计算，则废水产生量为0.675m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/d（222.75m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/a）。制浆车间外建设1座6m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沉淀池，地面冲洗废水经车间内排水渠导流至制浆车间外沉淀池，经沉淀处理后全部回用于生产，不外排</w:t>
            </w:r>
            <w:r>
              <w:rPr>
                <w:rFonts w:hint="eastAsia" w:cs="Times New Roman"/>
                <w:bCs/>
                <w:color w:val="auto"/>
                <w:sz w:val="24"/>
                <w:szCs w:val="24"/>
                <w:highlight w:val="none"/>
                <w:lang w:val="en-US" w:eastAsia="zh-CN"/>
              </w:rPr>
              <w:t>。</w:t>
            </w:r>
          </w:p>
          <w:p w14:paraId="45D21DD9">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cs="Times New Roman"/>
                <w:bCs/>
                <w:color w:val="auto"/>
                <w:spacing w:val="0"/>
                <w:sz w:val="24"/>
                <w:szCs w:val="24"/>
                <w:highlight w:val="none"/>
                <w:lang w:val="en-US" w:eastAsia="zh-CN"/>
              </w:rPr>
              <w:t>C.</w:t>
            </w:r>
            <w:r>
              <w:rPr>
                <w:rFonts w:hint="eastAsia" w:ascii="Times New Roman" w:hAnsi="Times New Roman" w:eastAsia="宋体" w:cs="Times New Roman"/>
                <w:bCs/>
                <w:color w:val="auto"/>
                <w:spacing w:val="0"/>
                <w:sz w:val="24"/>
                <w:szCs w:val="24"/>
                <w:highlight w:val="none"/>
                <w:lang w:val="en-US" w:eastAsia="zh-CN"/>
              </w:rPr>
              <w:t>洗车废水</w:t>
            </w:r>
          </w:p>
          <w:p w14:paraId="3C3C957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sz w:val="24"/>
                <w:szCs w:val="24"/>
                <w:highlight w:val="none"/>
                <w:lang w:eastAsia="zh-CN"/>
              </w:rPr>
            </w:pPr>
            <w:r>
              <w:rPr>
                <w:rFonts w:hint="eastAsia" w:ascii="Times New Roman" w:hAnsi="Times New Roman" w:eastAsia="宋体" w:cs="Times New Roman"/>
                <w:b w:val="0"/>
                <w:bCs w:val="0"/>
                <w:color w:val="auto"/>
                <w:spacing w:val="0"/>
                <w:sz w:val="24"/>
                <w:szCs w:val="20"/>
                <w:highlight w:val="none"/>
                <w:lang w:val="en-US" w:eastAsia="zh-CN"/>
              </w:rPr>
              <w:t>洗车废水</w:t>
            </w:r>
            <w:r>
              <w:rPr>
                <w:rFonts w:hint="default" w:ascii="Times New Roman" w:hAnsi="Times New Roman" w:eastAsia="宋体" w:cs="Times New Roman"/>
                <w:b w:val="0"/>
                <w:bCs w:val="0"/>
                <w:color w:val="auto"/>
                <w:spacing w:val="0"/>
                <w:sz w:val="24"/>
                <w:szCs w:val="20"/>
                <w:highlight w:val="none"/>
                <w:lang w:eastAsia="zh-CN"/>
              </w:rPr>
              <w:t>产生量为</w:t>
            </w:r>
            <w:r>
              <w:rPr>
                <w:rFonts w:hint="eastAsia" w:cs="Times New Roman"/>
                <w:b w:val="0"/>
                <w:bCs w:val="0"/>
                <w:color w:val="auto"/>
                <w:spacing w:val="0"/>
                <w:sz w:val="24"/>
                <w:szCs w:val="20"/>
                <w:highlight w:val="none"/>
                <w:lang w:val="en-US" w:eastAsia="zh-CN"/>
              </w:rPr>
              <w:t>2.64</w:t>
            </w:r>
            <w:r>
              <w:rPr>
                <w:rFonts w:hint="default" w:ascii="Times New Roman" w:hAnsi="Times New Roman" w:eastAsia="宋体" w:cs="Times New Roman"/>
                <w:b w:val="0"/>
                <w:bCs w:val="0"/>
                <w:color w:val="auto"/>
                <w:spacing w:val="0"/>
                <w:sz w:val="24"/>
                <w:szCs w:val="24"/>
                <w:highlight w:val="none"/>
              </w:rPr>
              <w:t>m</w:t>
            </w:r>
            <w:r>
              <w:rPr>
                <w:rFonts w:hint="default" w:ascii="Times New Roman" w:hAnsi="Times New Roman" w:eastAsia="宋体" w:cs="Times New Roman"/>
                <w:b w:val="0"/>
                <w:bCs w:val="0"/>
                <w:color w:val="auto"/>
                <w:spacing w:val="0"/>
                <w:sz w:val="24"/>
                <w:szCs w:val="24"/>
                <w:highlight w:val="none"/>
                <w:vertAlign w:val="superscript"/>
              </w:rPr>
              <w:t>3</w:t>
            </w:r>
            <w:r>
              <w:rPr>
                <w:rFonts w:hint="default" w:ascii="Times New Roman" w:hAnsi="Times New Roman" w:eastAsia="宋体" w:cs="Times New Roman"/>
                <w:b w:val="0"/>
                <w:bCs w:val="0"/>
                <w:color w:val="auto"/>
                <w:spacing w:val="0"/>
                <w:sz w:val="24"/>
                <w:szCs w:val="24"/>
                <w:highlight w:val="none"/>
              </w:rPr>
              <w:t>/</w:t>
            </w:r>
            <w:r>
              <w:rPr>
                <w:rFonts w:hint="eastAsia" w:ascii="Times New Roman" w:hAnsi="Times New Roman" w:eastAsia="宋体" w:cs="Times New Roman"/>
                <w:b w:val="0"/>
                <w:bCs w:val="0"/>
                <w:color w:val="auto"/>
                <w:spacing w:val="0"/>
                <w:sz w:val="24"/>
                <w:szCs w:val="24"/>
                <w:highlight w:val="none"/>
                <w:lang w:val="en-US" w:eastAsia="zh-CN"/>
              </w:rPr>
              <w:t>d</w:t>
            </w:r>
            <w:r>
              <w:rPr>
                <w:rFonts w:hint="eastAsia" w:cs="Times New Roman"/>
                <w:b w:val="0"/>
                <w:bCs w:val="0"/>
                <w:color w:val="auto"/>
                <w:spacing w:val="0"/>
                <w:sz w:val="24"/>
                <w:szCs w:val="24"/>
                <w:highlight w:val="none"/>
                <w:lang w:val="en-US" w:eastAsia="zh-CN"/>
              </w:rPr>
              <w:t>（871.2</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eastAsia" w:cs="Times New Roman"/>
                <w:b w:val="0"/>
                <w:bCs w:val="0"/>
                <w:color w:val="auto"/>
                <w:spacing w:val="0"/>
                <w:sz w:val="24"/>
                <w:szCs w:val="24"/>
                <w:highlight w:val="none"/>
                <w:lang w:val="en-US" w:eastAsia="zh-CN"/>
              </w:rPr>
              <w:t>）</w:t>
            </w:r>
            <w:r>
              <w:rPr>
                <w:rFonts w:hint="default" w:ascii="Times New Roman" w:hAnsi="Times New Roman" w:eastAsia="宋体" w:cs="Times New Roman"/>
                <w:b w:val="0"/>
                <w:bCs w:val="0"/>
                <w:color w:val="auto"/>
                <w:spacing w:val="0"/>
                <w:sz w:val="24"/>
                <w:szCs w:val="20"/>
                <w:highlight w:val="none"/>
                <w:lang w:eastAsia="zh-CN"/>
              </w:rPr>
              <w:t>，</w:t>
            </w:r>
            <w:r>
              <w:rPr>
                <w:rFonts w:hint="default" w:ascii="Times New Roman" w:hAnsi="Times New Roman" w:eastAsia="宋体" w:cs="Times New Roman"/>
                <w:bCs/>
                <w:color w:val="auto"/>
                <w:spacing w:val="0"/>
                <w:sz w:val="24"/>
                <w:highlight w:val="none"/>
              </w:rPr>
              <w:t>废水经三级沉淀池沉淀处理后，回用至洗车工序，循环使用，不外排</w:t>
            </w:r>
            <w:r>
              <w:rPr>
                <w:rFonts w:hint="default" w:ascii="Times New Roman" w:hAnsi="Times New Roman" w:eastAsia="宋体" w:cs="Times New Roman"/>
                <w:b w:val="0"/>
                <w:bCs w:val="0"/>
                <w:color w:val="auto"/>
                <w:spacing w:val="0"/>
                <w:sz w:val="24"/>
                <w:szCs w:val="20"/>
                <w:highlight w:val="none"/>
                <w:lang w:eastAsia="zh-CN"/>
              </w:rPr>
              <w:t>。</w:t>
            </w:r>
          </w:p>
          <w:p w14:paraId="48C97C4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eastAsia" w:ascii="Times New Roman" w:hAnsi="Times New Roman" w:eastAsia="宋体" w:cs="Times New Roman"/>
                <w:bCs/>
                <w:color w:val="auto"/>
                <w:sz w:val="24"/>
                <w:szCs w:val="24"/>
                <w:highlight w:val="none"/>
                <w:lang w:val="en-US" w:eastAsia="zh-CN"/>
              </w:rPr>
              <w:t>水平衡表</w:t>
            </w:r>
            <w:r>
              <w:rPr>
                <w:rFonts w:hint="default" w:ascii="Times New Roman" w:hAnsi="Times New Roman" w:eastAsia="宋体" w:cs="Times New Roman"/>
                <w:bCs/>
                <w:color w:val="auto"/>
                <w:sz w:val="24"/>
                <w:szCs w:val="24"/>
                <w:highlight w:val="none"/>
                <w:lang w:val="en-US" w:eastAsia="zh-CN"/>
              </w:rPr>
              <w:t>见表2</w:t>
            </w:r>
            <w:r>
              <w:rPr>
                <w:rFonts w:hint="eastAsia" w:ascii="Times New Roman" w:hAnsi="Times New Roman" w:eastAsia="宋体" w:cs="Times New Roman"/>
                <w:bCs/>
                <w:color w:val="auto"/>
                <w:sz w:val="24"/>
                <w:szCs w:val="24"/>
                <w:highlight w:val="none"/>
                <w:lang w:val="en-US" w:eastAsia="zh-CN"/>
              </w:rPr>
              <w:t>.7-1，</w:t>
            </w:r>
            <w:r>
              <w:rPr>
                <w:rFonts w:hint="default" w:ascii="Times New Roman" w:hAnsi="Times New Roman" w:eastAsia="宋体" w:cs="Times New Roman"/>
                <w:bCs/>
                <w:color w:val="auto"/>
                <w:sz w:val="24"/>
                <w:szCs w:val="24"/>
                <w:highlight w:val="none"/>
                <w:lang w:val="en-US" w:eastAsia="zh-CN"/>
              </w:rPr>
              <w:t>水平衡图见图2.</w:t>
            </w:r>
            <w:r>
              <w:rPr>
                <w:rFonts w:hint="eastAsia" w:ascii="Times New Roman" w:hAnsi="Times New Roman" w:eastAsia="宋体" w:cs="Times New Roman"/>
                <w:bCs/>
                <w:color w:val="auto"/>
                <w:sz w:val="24"/>
                <w:szCs w:val="24"/>
                <w:highlight w:val="none"/>
                <w:lang w:val="en-US" w:eastAsia="zh-CN"/>
              </w:rPr>
              <w:t>7-2</w:t>
            </w:r>
            <w:r>
              <w:rPr>
                <w:rFonts w:hint="eastAsia" w:cs="Times New Roman"/>
                <w:bCs/>
                <w:color w:val="auto"/>
                <w:sz w:val="24"/>
                <w:szCs w:val="24"/>
                <w:highlight w:val="none"/>
                <w:lang w:val="en-US" w:eastAsia="zh-CN"/>
              </w:rPr>
              <w:t>~图2.7-3</w:t>
            </w:r>
            <w:r>
              <w:rPr>
                <w:rFonts w:hint="default" w:ascii="Times New Roman" w:hAnsi="Times New Roman" w:eastAsia="宋体" w:cs="Times New Roman"/>
                <w:bCs/>
                <w:color w:val="auto"/>
                <w:sz w:val="24"/>
                <w:szCs w:val="24"/>
                <w:highlight w:val="none"/>
                <w:lang w:val="en-US" w:eastAsia="zh-CN"/>
              </w:rPr>
              <w:t>。</w:t>
            </w:r>
          </w:p>
          <w:p w14:paraId="701C5E04">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color w:val="auto"/>
                <w:highlight w:val="none"/>
                <w:lang w:val="en-US" w:eastAsia="zh-CN"/>
              </w:rPr>
            </w:pPr>
            <w:r>
              <w:rPr>
                <w:rFonts w:hint="default" w:ascii="Times New Roman" w:hAnsi="Times New Roman" w:eastAsia="黑体" w:cs="Times New Roman"/>
                <w:iCs/>
                <w:snapToGrid w:val="0"/>
                <w:color w:val="auto"/>
                <w:kern w:val="0"/>
                <w:sz w:val="21"/>
                <w:szCs w:val="20"/>
                <w:highlight w:val="none"/>
                <w:lang w:val="en-US" w:eastAsia="zh-CN" w:bidi="ar-SA"/>
              </w:rPr>
              <w:t>表2</w:t>
            </w:r>
            <w:r>
              <w:rPr>
                <w:rFonts w:hint="eastAsia" w:ascii="Times New Roman" w:hAnsi="Times New Roman" w:eastAsia="黑体" w:cs="Times New Roman"/>
                <w:iCs/>
                <w:snapToGrid w:val="0"/>
                <w:color w:val="auto"/>
                <w:kern w:val="0"/>
                <w:sz w:val="21"/>
                <w:szCs w:val="20"/>
                <w:highlight w:val="none"/>
                <w:lang w:val="en-US" w:eastAsia="zh-CN" w:bidi="ar-SA"/>
              </w:rPr>
              <w:t>.7-1</w:t>
            </w:r>
            <w:r>
              <w:rPr>
                <w:rFonts w:hint="default" w:ascii="Times New Roman" w:hAnsi="Times New Roman" w:eastAsia="黑体" w:cs="Times New Roman"/>
                <w:iCs/>
                <w:snapToGrid w:val="0"/>
                <w:color w:val="auto"/>
                <w:kern w:val="0"/>
                <w:sz w:val="21"/>
                <w:szCs w:val="20"/>
                <w:highlight w:val="none"/>
                <w:lang w:val="en-US" w:eastAsia="zh-CN" w:bidi="ar-SA"/>
              </w:rPr>
              <w:t xml:space="preserve">  水平衡表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398"/>
              <w:gridCol w:w="2199"/>
              <w:gridCol w:w="1084"/>
              <w:gridCol w:w="1085"/>
              <w:gridCol w:w="1084"/>
              <w:gridCol w:w="1087"/>
            </w:tblGrid>
            <w:tr w14:paraId="239897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40" w:hRule="atLeast"/>
                <w:jc w:val="center"/>
              </w:trPr>
              <w:tc>
                <w:tcPr>
                  <w:tcW w:w="1399" w:type="dxa"/>
                  <w:vMerge w:val="restart"/>
                  <w:noWrap w:val="0"/>
                  <w:vAlign w:val="center"/>
                </w:tcPr>
                <w:p w14:paraId="61749EF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用水类型</w:t>
                  </w:r>
                </w:p>
              </w:tc>
              <w:tc>
                <w:tcPr>
                  <w:tcW w:w="2199" w:type="dxa"/>
                  <w:vMerge w:val="restart"/>
                  <w:noWrap w:val="0"/>
                  <w:vAlign w:val="center"/>
                </w:tcPr>
                <w:p w14:paraId="4986373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用水量指标</w:t>
                  </w:r>
                </w:p>
              </w:tc>
              <w:tc>
                <w:tcPr>
                  <w:tcW w:w="2169" w:type="dxa"/>
                  <w:gridSpan w:val="2"/>
                  <w:noWrap w:val="0"/>
                  <w:vAlign w:val="center"/>
                </w:tcPr>
                <w:p w14:paraId="193EFC2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用水量（m</w:t>
                  </w:r>
                  <w:r>
                    <w:rPr>
                      <w:rFonts w:hint="default" w:ascii="Times New Roman" w:hAnsi="Times New Roman" w:eastAsia="宋体" w:cs="Times New Roman"/>
                      <w:color w:val="auto"/>
                      <w:kern w:val="21"/>
                      <w:sz w:val="21"/>
                      <w:szCs w:val="21"/>
                      <w:highlight w:val="none"/>
                      <w:vertAlign w:val="superscript"/>
                    </w:rPr>
                    <w:t>3</w:t>
                  </w:r>
                  <w:r>
                    <w:rPr>
                      <w:rFonts w:hint="default" w:ascii="Times New Roman" w:hAnsi="Times New Roman" w:eastAsia="宋体" w:cs="Times New Roman"/>
                      <w:color w:val="auto"/>
                      <w:kern w:val="21"/>
                      <w:sz w:val="21"/>
                      <w:szCs w:val="21"/>
                      <w:highlight w:val="none"/>
                    </w:rPr>
                    <w:t>）</w:t>
                  </w:r>
                </w:p>
              </w:tc>
              <w:tc>
                <w:tcPr>
                  <w:tcW w:w="2170" w:type="dxa"/>
                  <w:gridSpan w:val="2"/>
                  <w:noWrap w:val="0"/>
                  <w:vAlign w:val="center"/>
                </w:tcPr>
                <w:p w14:paraId="2D0C3FE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产</w:t>
                  </w:r>
                  <w:r>
                    <w:rPr>
                      <w:rFonts w:hint="eastAsia" w:ascii="Times New Roman" w:hAnsi="Times New Roman" w:eastAsia="宋体" w:cs="Times New Roman"/>
                      <w:color w:val="auto"/>
                      <w:kern w:val="21"/>
                      <w:sz w:val="21"/>
                      <w:szCs w:val="21"/>
                      <w:highlight w:val="none"/>
                      <w:lang w:val="en-US" w:eastAsia="zh-CN"/>
                    </w:rPr>
                    <w:t>废</w:t>
                  </w:r>
                  <w:r>
                    <w:rPr>
                      <w:rFonts w:hint="default" w:ascii="Times New Roman" w:hAnsi="Times New Roman" w:eastAsia="宋体" w:cs="Times New Roman"/>
                      <w:color w:val="auto"/>
                      <w:kern w:val="21"/>
                      <w:sz w:val="21"/>
                      <w:szCs w:val="21"/>
                      <w:highlight w:val="none"/>
                    </w:rPr>
                    <w:t>量（m</w:t>
                  </w:r>
                  <w:r>
                    <w:rPr>
                      <w:rFonts w:hint="default" w:ascii="Times New Roman" w:hAnsi="Times New Roman" w:eastAsia="宋体" w:cs="Times New Roman"/>
                      <w:color w:val="auto"/>
                      <w:kern w:val="21"/>
                      <w:sz w:val="21"/>
                      <w:szCs w:val="21"/>
                      <w:highlight w:val="none"/>
                      <w:vertAlign w:val="superscript"/>
                    </w:rPr>
                    <w:t>3</w:t>
                  </w:r>
                  <w:r>
                    <w:rPr>
                      <w:rFonts w:hint="default" w:ascii="Times New Roman" w:hAnsi="Times New Roman" w:eastAsia="宋体" w:cs="Times New Roman"/>
                      <w:color w:val="auto"/>
                      <w:kern w:val="21"/>
                      <w:sz w:val="21"/>
                      <w:szCs w:val="21"/>
                      <w:highlight w:val="none"/>
                    </w:rPr>
                    <w:t>）</w:t>
                  </w:r>
                </w:p>
              </w:tc>
            </w:tr>
            <w:tr w14:paraId="0CE863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vMerge w:val="continue"/>
                  <w:noWrap w:val="0"/>
                  <w:vAlign w:val="center"/>
                </w:tcPr>
                <w:p w14:paraId="40117B1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p>
              </w:tc>
              <w:tc>
                <w:tcPr>
                  <w:tcW w:w="2199" w:type="dxa"/>
                  <w:vMerge w:val="continue"/>
                  <w:noWrap w:val="0"/>
                  <w:vAlign w:val="center"/>
                </w:tcPr>
                <w:p w14:paraId="7CD9379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p>
              </w:tc>
              <w:tc>
                <w:tcPr>
                  <w:tcW w:w="1084" w:type="dxa"/>
                  <w:noWrap w:val="0"/>
                  <w:vAlign w:val="center"/>
                </w:tcPr>
                <w:p w14:paraId="4489A73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日用水量</w:t>
                  </w:r>
                </w:p>
              </w:tc>
              <w:tc>
                <w:tcPr>
                  <w:tcW w:w="1084" w:type="dxa"/>
                  <w:noWrap w:val="0"/>
                  <w:vAlign w:val="center"/>
                </w:tcPr>
                <w:p w14:paraId="10A8FD4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年用水量</w:t>
                  </w:r>
                </w:p>
              </w:tc>
              <w:tc>
                <w:tcPr>
                  <w:tcW w:w="1084" w:type="dxa"/>
                  <w:noWrap w:val="0"/>
                  <w:vAlign w:val="center"/>
                </w:tcPr>
                <w:p w14:paraId="1DFC82E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日产生量</w:t>
                  </w:r>
                </w:p>
              </w:tc>
              <w:tc>
                <w:tcPr>
                  <w:tcW w:w="1087" w:type="dxa"/>
                  <w:noWrap w:val="0"/>
                  <w:vAlign w:val="center"/>
                </w:tcPr>
                <w:p w14:paraId="3F9D0E6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年产生量</w:t>
                  </w:r>
                </w:p>
              </w:tc>
            </w:tr>
            <w:tr w14:paraId="6CE4AB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257E6E7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生活用水</w:t>
                  </w:r>
                </w:p>
              </w:tc>
              <w:tc>
                <w:tcPr>
                  <w:tcW w:w="2199" w:type="dxa"/>
                  <w:noWrap w:val="0"/>
                  <w:vAlign w:val="center"/>
                </w:tcPr>
                <w:p w14:paraId="301DFA7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eastAsia" w:cs="Times New Roman"/>
                      <w:color w:val="auto"/>
                      <w:kern w:val="21"/>
                      <w:sz w:val="21"/>
                      <w:szCs w:val="21"/>
                      <w:highlight w:val="none"/>
                      <w:lang w:val="en-US" w:eastAsia="zh-CN"/>
                    </w:rPr>
                    <w:t>70</w:t>
                  </w:r>
                  <w:r>
                    <w:rPr>
                      <w:rFonts w:hint="default" w:ascii="Times New Roman" w:hAnsi="Times New Roman" w:eastAsia="宋体" w:cs="Times New Roman"/>
                      <w:color w:val="auto"/>
                      <w:kern w:val="21"/>
                      <w:sz w:val="21"/>
                      <w:szCs w:val="21"/>
                      <w:highlight w:val="none"/>
                    </w:rPr>
                    <w:t>L/人·d</w:t>
                  </w:r>
                  <w:r>
                    <w:rPr>
                      <w:rFonts w:hint="eastAsia" w:cs="Times New Roman"/>
                      <w:color w:val="auto"/>
                      <w:kern w:val="21"/>
                      <w:sz w:val="21"/>
                      <w:szCs w:val="21"/>
                      <w:highlight w:val="none"/>
                      <w:lang w:eastAsia="zh-CN"/>
                    </w:rPr>
                    <w:t>，</w:t>
                  </w:r>
                  <w:r>
                    <w:rPr>
                      <w:rFonts w:hint="eastAsia" w:cs="Times New Roman"/>
                      <w:color w:val="auto"/>
                      <w:kern w:val="21"/>
                      <w:sz w:val="21"/>
                      <w:szCs w:val="21"/>
                      <w:highlight w:val="none"/>
                      <w:lang w:val="en-US" w:eastAsia="zh-CN"/>
                    </w:rPr>
                    <w:t>10</w:t>
                  </w:r>
                  <w:r>
                    <w:rPr>
                      <w:rFonts w:hint="default" w:ascii="Times New Roman" w:hAnsi="Times New Roman" w:eastAsia="宋体" w:cs="Times New Roman"/>
                      <w:color w:val="auto"/>
                      <w:kern w:val="21"/>
                      <w:sz w:val="21"/>
                      <w:szCs w:val="21"/>
                      <w:highlight w:val="none"/>
                    </w:rPr>
                    <w:t>人</w:t>
                  </w:r>
                </w:p>
              </w:tc>
              <w:tc>
                <w:tcPr>
                  <w:tcW w:w="1084" w:type="dxa"/>
                  <w:noWrap w:val="0"/>
                  <w:vAlign w:val="center"/>
                </w:tcPr>
                <w:p w14:paraId="4E69295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0.7</w:t>
                  </w:r>
                </w:p>
              </w:tc>
              <w:tc>
                <w:tcPr>
                  <w:tcW w:w="1084" w:type="dxa"/>
                  <w:noWrap w:val="0"/>
                  <w:vAlign w:val="center"/>
                </w:tcPr>
                <w:p w14:paraId="7E2EB70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231</w:t>
                  </w:r>
                </w:p>
              </w:tc>
              <w:tc>
                <w:tcPr>
                  <w:tcW w:w="1084" w:type="dxa"/>
                  <w:noWrap w:val="0"/>
                  <w:vAlign w:val="center"/>
                </w:tcPr>
                <w:p w14:paraId="55AB7B2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0.56</w:t>
                  </w:r>
                </w:p>
              </w:tc>
              <w:tc>
                <w:tcPr>
                  <w:tcW w:w="1087" w:type="dxa"/>
                  <w:noWrap w:val="0"/>
                  <w:vAlign w:val="center"/>
                </w:tcPr>
                <w:p w14:paraId="2882B0B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184.8</w:t>
                  </w:r>
                </w:p>
              </w:tc>
            </w:tr>
            <w:tr w14:paraId="225265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52378A3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eastAsia" w:cs="Times New Roman"/>
                      <w:color w:val="auto"/>
                      <w:kern w:val="21"/>
                      <w:sz w:val="21"/>
                      <w:szCs w:val="21"/>
                      <w:highlight w:val="none"/>
                      <w:lang w:val="en-US" w:eastAsia="zh-CN"/>
                    </w:rPr>
                    <w:t>制浆用水</w:t>
                  </w:r>
                </w:p>
              </w:tc>
              <w:tc>
                <w:tcPr>
                  <w:tcW w:w="2199" w:type="dxa"/>
                  <w:noWrap w:val="0"/>
                  <w:vAlign w:val="center"/>
                </w:tcPr>
                <w:p w14:paraId="3AEDA74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rPr>
                  </w:pPr>
                  <w:r>
                    <w:rPr>
                      <w:rFonts w:hint="eastAsia" w:ascii="Times New Roman" w:hAnsi="Times New Roman" w:eastAsia="宋体" w:cs="Times New Roman"/>
                      <w:color w:val="auto"/>
                      <w:kern w:val="21"/>
                      <w:sz w:val="21"/>
                      <w:szCs w:val="21"/>
                      <w:highlight w:val="none"/>
                      <w:lang w:val="en-US" w:eastAsia="zh-CN"/>
                    </w:rPr>
                    <w:t>-</w:t>
                  </w:r>
                </w:p>
              </w:tc>
              <w:tc>
                <w:tcPr>
                  <w:tcW w:w="1084" w:type="dxa"/>
                  <w:noWrap w:val="0"/>
                  <w:vAlign w:val="center"/>
                </w:tcPr>
                <w:p w14:paraId="53649F0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190.910</w:t>
                  </w:r>
                </w:p>
              </w:tc>
              <w:tc>
                <w:tcPr>
                  <w:tcW w:w="1084" w:type="dxa"/>
                  <w:noWrap w:val="0"/>
                  <w:vAlign w:val="center"/>
                </w:tcPr>
                <w:p w14:paraId="392F286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63000</w:t>
                  </w:r>
                </w:p>
              </w:tc>
              <w:tc>
                <w:tcPr>
                  <w:tcW w:w="1084" w:type="dxa"/>
                  <w:noWrap w:val="0"/>
                  <w:vAlign w:val="center"/>
                </w:tcPr>
                <w:p w14:paraId="1C5BCB2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w:t>
                  </w:r>
                </w:p>
              </w:tc>
              <w:tc>
                <w:tcPr>
                  <w:tcW w:w="1087" w:type="dxa"/>
                  <w:noWrap w:val="0"/>
                  <w:vAlign w:val="center"/>
                </w:tcPr>
                <w:p w14:paraId="4796E49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w:t>
                  </w:r>
                </w:p>
              </w:tc>
            </w:tr>
            <w:tr w14:paraId="6328C9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0BD825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浆料系统</w:t>
                  </w:r>
                </w:p>
                <w:p w14:paraId="3175BFE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清洗用水</w:t>
                  </w:r>
                </w:p>
              </w:tc>
              <w:tc>
                <w:tcPr>
                  <w:tcW w:w="2199" w:type="dxa"/>
                  <w:noWrap w:val="0"/>
                  <w:vAlign w:val="center"/>
                </w:tcPr>
                <w:p w14:paraId="62BA3BA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w:t>
                  </w:r>
                </w:p>
              </w:tc>
              <w:tc>
                <w:tcPr>
                  <w:tcW w:w="1084" w:type="dxa"/>
                  <w:noWrap w:val="0"/>
                  <w:vAlign w:val="center"/>
                </w:tcPr>
                <w:p w14:paraId="26E3B06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35</w:t>
                  </w:r>
                </w:p>
              </w:tc>
              <w:tc>
                <w:tcPr>
                  <w:tcW w:w="1084" w:type="dxa"/>
                  <w:noWrap w:val="0"/>
                  <w:vAlign w:val="center"/>
                </w:tcPr>
                <w:p w14:paraId="73F13E9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11550</w:t>
                  </w:r>
                </w:p>
              </w:tc>
              <w:tc>
                <w:tcPr>
                  <w:tcW w:w="1084" w:type="dxa"/>
                  <w:noWrap w:val="0"/>
                  <w:vAlign w:val="center"/>
                </w:tcPr>
                <w:p w14:paraId="24B47CE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31.5</w:t>
                  </w:r>
                </w:p>
              </w:tc>
              <w:tc>
                <w:tcPr>
                  <w:tcW w:w="1087" w:type="dxa"/>
                  <w:noWrap w:val="0"/>
                  <w:vAlign w:val="center"/>
                </w:tcPr>
                <w:p w14:paraId="08BFA0F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10395</w:t>
                  </w:r>
                </w:p>
              </w:tc>
            </w:tr>
            <w:tr w14:paraId="2E562B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2FC1289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地面冲洗</w:t>
                  </w:r>
                </w:p>
                <w:p w14:paraId="143BBB1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用水</w:t>
                  </w:r>
                </w:p>
              </w:tc>
              <w:tc>
                <w:tcPr>
                  <w:tcW w:w="2199" w:type="dxa"/>
                  <w:noWrap w:val="0"/>
                  <w:vAlign w:val="center"/>
                </w:tcPr>
                <w:p w14:paraId="3779081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w:t>
                  </w:r>
                  <w:r>
                    <w:rPr>
                      <w:rFonts w:hint="eastAsia" w:cs="Times New Roman"/>
                      <w:color w:val="auto"/>
                      <w:kern w:val="21"/>
                      <w:sz w:val="21"/>
                      <w:szCs w:val="21"/>
                      <w:highlight w:val="none"/>
                      <w:lang w:val="en-US" w:eastAsia="zh-CN"/>
                    </w:rPr>
                    <w:t>5</w:t>
                  </w:r>
                  <w:r>
                    <w:rPr>
                      <w:rFonts w:hint="default" w:ascii="Times New Roman" w:hAnsi="Times New Roman" w:eastAsia="宋体" w:cs="Times New Roman"/>
                      <w:color w:val="auto"/>
                      <w:kern w:val="21"/>
                      <w:sz w:val="21"/>
                      <w:szCs w:val="21"/>
                      <w:highlight w:val="none"/>
                      <w:lang w:val="en-US" w:eastAsia="zh-CN"/>
                    </w:rPr>
                    <w:t>L/次</w:t>
                  </w:r>
                  <w:r>
                    <w:rPr>
                      <w:rFonts w:hint="default" w:ascii="Times New Roman" w:hAnsi="Times New Roman" w:eastAsia="宋体" w:cs="Times New Roman"/>
                      <w:color w:val="auto"/>
                      <w:kern w:val="21"/>
                      <w:sz w:val="21"/>
                      <w:szCs w:val="21"/>
                      <w:highlight w:val="none"/>
                      <w:lang w:val="en-US"/>
                    </w:rPr>
                    <w:t>·</w:t>
                  </w:r>
                  <w:r>
                    <w:rPr>
                      <w:rFonts w:hint="default" w:ascii="Times New Roman" w:hAnsi="Times New Roman" w:eastAsia="宋体" w:cs="Times New Roman"/>
                      <w:color w:val="auto"/>
                      <w:kern w:val="21"/>
                      <w:sz w:val="21"/>
                      <w:szCs w:val="21"/>
                      <w:highlight w:val="none"/>
                      <w:lang w:val="en-US" w:eastAsia="zh-CN"/>
                    </w:rPr>
                    <w:t>m</w:t>
                  </w:r>
                  <w:r>
                    <w:rPr>
                      <w:rFonts w:hint="default" w:ascii="Times New Roman" w:hAnsi="Times New Roman" w:eastAsia="宋体" w:cs="Times New Roman"/>
                      <w:color w:val="auto"/>
                      <w:kern w:val="21"/>
                      <w:sz w:val="21"/>
                      <w:szCs w:val="21"/>
                      <w:highlight w:val="none"/>
                      <w:vertAlign w:val="superscript"/>
                      <w:lang w:val="en-US" w:eastAsia="zh-CN"/>
                    </w:rPr>
                    <w:t>2</w:t>
                  </w:r>
                  <w:r>
                    <w:rPr>
                      <w:rFonts w:hint="eastAsia" w:ascii="Times New Roman" w:hAnsi="Times New Roman" w:eastAsia="宋体" w:cs="Times New Roman"/>
                      <w:color w:val="auto"/>
                      <w:kern w:val="21"/>
                      <w:sz w:val="21"/>
                      <w:szCs w:val="21"/>
                      <w:highlight w:val="none"/>
                      <w:lang w:val="en-US" w:eastAsia="zh-CN"/>
                    </w:rPr>
                    <w:t>，1次/</w:t>
                  </w:r>
                  <w:r>
                    <w:rPr>
                      <w:rFonts w:hint="eastAsia" w:cs="Times New Roman"/>
                      <w:color w:val="auto"/>
                      <w:kern w:val="21"/>
                      <w:sz w:val="21"/>
                      <w:szCs w:val="21"/>
                      <w:highlight w:val="none"/>
                      <w:lang w:val="en-US" w:eastAsia="zh-CN"/>
                    </w:rPr>
                    <w:t>d</w:t>
                  </w:r>
                  <w:r>
                    <w:rPr>
                      <w:rFonts w:hint="eastAsia" w:ascii="Times New Roman" w:hAnsi="Times New Roman" w:eastAsia="宋体" w:cs="Times New Roman"/>
                      <w:color w:val="auto"/>
                      <w:kern w:val="21"/>
                      <w:sz w:val="21"/>
                      <w:szCs w:val="21"/>
                      <w:highlight w:val="none"/>
                      <w:lang w:val="en-US" w:eastAsia="zh-CN"/>
                    </w:rPr>
                    <w:t>，</w:t>
                  </w:r>
                  <w:r>
                    <w:rPr>
                      <w:rFonts w:hint="eastAsia" w:cs="Times New Roman"/>
                      <w:color w:val="auto"/>
                      <w:kern w:val="21"/>
                      <w:sz w:val="21"/>
                      <w:szCs w:val="21"/>
                      <w:highlight w:val="none"/>
                      <w:lang w:val="en-US" w:eastAsia="zh-CN"/>
                    </w:rPr>
                    <w:t>500</w:t>
                  </w:r>
                  <w:r>
                    <w:rPr>
                      <w:rFonts w:hint="default" w:ascii="Times New Roman" w:hAnsi="Times New Roman" w:eastAsia="宋体" w:cs="Times New Roman"/>
                      <w:color w:val="auto"/>
                      <w:kern w:val="21"/>
                      <w:sz w:val="21"/>
                      <w:szCs w:val="21"/>
                      <w:highlight w:val="none"/>
                      <w:lang w:val="en-US" w:eastAsia="zh-CN"/>
                    </w:rPr>
                    <w:t>m</w:t>
                  </w:r>
                  <w:r>
                    <w:rPr>
                      <w:rFonts w:hint="default" w:ascii="Times New Roman" w:hAnsi="Times New Roman" w:eastAsia="宋体" w:cs="Times New Roman"/>
                      <w:color w:val="auto"/>
                      <w:kern w:val="21"/>
                      <w:sz w:val="21"/>
                      <w:szCs w:val="21"/>
                      <w:highlight w:val="none"/>
                      <w:vertAlign w:val="superscript"/>
                      <w:lang w:val="en-US" w:eastAsia="zh-CN"/>
                    </w:rPr>
                    <w:t>2</w:t>
                  </w:r>
                </w:p>
              </w:tc>
              <w:tc>
                <w:tcPr>
                  <w:tcW w:w="1084" w:type="dxa"/>
                  <w:noWrap w:val="0"/>
                  <w:vAlign w:val="center"/>
                </w:tcPr>
                <w:p w14:paraId="351BCC9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0.75</w:t>
                  </w:r>
                </w:p>
              </w:tc>
              <w:tc>
                <w:tcPr>
                  <w:tcW w:w="1084" w:type="dxa"/>
                  <w:noWrap w:val="0"/>
                  <w:vAlign w:val="center"/>
                </w:tcPr>
                <w:p w14:paraId="1B95F48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247.5</w:t>
                  </w:r>
                </w:p>
              </w:tc>
              <w:tc>
                <w:tcPr>
                  <w:tcW w:w="1084" w:type="dxa"/>
                  <w:noWrap w:val="0"/>
                  <w:vAlign w:val="center"/>
                </w:tcPr>
                <w:p w14:paraId="4DC6EEC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0.675</w:t>
                  </w:r>
                </w:p>
              </w:tc>
              <w:tc>
                <w:tcPr>
                  <w:tcW w:w="1087" w:type="dxa"/>
                  <w:noWrap w:val="0"/>
                  <w:vAlign w:val="center"/>
                </w:tcPr>
                <w:p w14:paraId="42164C6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222.75</w:t>
                  </w:r>
                </w:p>
              </w:tc>
            </w:tr>
            <w:tr w14:paraId="6E82B3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1134859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洗车用水</w:t>
                  </w:r>
                </w:p>
              </w:tc>
              <w:tc>
                <w:tcPr>
                  <w:tcW w:w="2199" w:type="dxa"/>
                  <w:noWrap w:val="0"/>
                  <w:vAlign w:val="center"/>
                </w:tcPr>
                <w:p w14:paraId="29625ED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ascii="Times New Roman" w:hAnsi="Times New Roman" w:eastAsia="宋体" w:cs="Times New Roman"/>
                      <w:color w:val="auto"/>
                      <w:kern w:val="21"/>
                      <w:sz w:val="21"/>
                      <w:szCs w:val="21"/>
                      <w:highlight w:val="none"/>
                      <w:lang w:val="en-US" w:eastAsia="zh-CN"/>
                    </w:rPr>
                    <w:t>50L/（辆</w:t>
                  </w:r>
                  <w:r>
                    <w:rPr>
                      <w:rFonts w:hint="default" w:ascii="Times New Roman" w:hAnsi="Times New Roman" w:eastAsia="宋体" w:cs="Times New Roman"/>
                      <w:color w:val="auto"/>
                      <w:spacing w:val="0"/>
                      <w:szCs w:val="21"/>
                      <w:highlight w:val="none"/>
                    </w:rPr>
                    <w:t>·</w:t>
                  </w:r>
                  <w:r>
                    <w:rPr>
                      <w:rFonts w:hint="eastAsia" w:ascii="Times New Roman" w:hAnsi="Times New Roman" w:eastAsia="宋体" w:cs="Times New Roman"/>
                      <w:color w:val="auto"/>
                      <w:kern w:val="21"/>
                      <w:sz w:val="21"/>
                      <w:szCs w:val="21"/>
                      <w:highlight w:val="none"/>
                      <w:lang w:val="en-US" w:eastAsia="zh-CN"/>
                    </w:rPr>
                    <w:t>次）</w:t>
                  </w:r>
                  <w:r>
                    <w:rPr>
                      <w:rFonts w:hint="eastAsia" w:ascii="Times New Roman" w:hAnsi="Times New Roman" w:cs="Times New Roman"/>
                      <w:color w:val="auto"/>
                      <w:kern w:val="21"/>
                      <w:sz w:val="21"/>
                      <w:szCs w:val="21"/>
                      <w:highlight w:val="none"/>
                      <w:lang w:val="en-US" w:eastAsia="zh-CN" w:bidi="ar-SA"/>
                    </w:rPr>
                    <w:t>，</w:t>
                  </w:r>
                  <w:r>
                    <w:rPr>
                      <w:rFonts w:hint="eastAsia" w:cs="Times New Roman"/>
                      <w:color w:val="auto"/>
                      <w:kern w:val="21"/>
                      <w:sz w:val="21"/>
                      <w:szCs w:val="21"/>
                      <w:highlight w:val="none"/>
                      <w:lang w:val="en-US" w:eastAsia="zh-CN"/>
                    </w:rPr>
                    <w:t>66辆</w:t>
                  </w:r>
                </w:p>
              </w:tc>
              <w:tc>
                <w:tcPr>
                  <w:tcW w:w="1084" w:type="dxa"/>
                  <w:noWrap w:val="0"/>
                  <w:vAlign w:val="center"/>
                </w:tcPr>
                <w:p w14:paraId="52D0656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0.66</w:t>
                  </w:r>
                </w:p>
              </w:tc>
              <w:tc>
                <w:tcPr>
                  <w:tcW w:w="1084" w:type="dxa"/>
                  <w:noWrap w:val="0"/>
                  <w:vAlign w:val="center"/>
                </w:tcPr>
                <w:p w14:paraId="58F41E8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217.8</w:t>
                  </w:r>
                </w:p>
              </w:tc>
              <w:tc>
                <w:tcPr>
                  <w:tcW w:w="1084" w:type="dxa"/>
                  <w:noWrap w:val="0"/>
                  <w:vAlign w:val="center"/>
                </w:tcPr>
                <w:p w14:paraId="393006B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2.64</w:t>
                  </w:r>
                </w:p>
              </w:tc>
              <w:tc>
                <w:tcPr>
                  <w:tcW w:w="1087" w:type="dxa"/>
                  <w:noWrap w:val="0"/>
                  <w:vAlign w:val="center"/>
                </w:tcPr>
                <w:p w14:paraId="7F4DEFB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871.2</w:t>
                  </w:r>
                </w:p>
              </w:tc>
            </w:tr>
            <w:tr w14:paraId="421A78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4C0C588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储矸棚</w:t>
                  </w:r>
                  <w:r>
                    <w:rPr>
                      <w:rFonts w:hint="eastAsia" w:cs="Times New Roman"/>
                      <w:color w:val="auto"/>
                      <w:kern w:val="21"/>
                      <w:sz w:val="21"/>
                      <w:szCs w:val="21"/>
                      <w:highlight w:val="none"/>
                      <w:lang w:val="en-US" w:eastAsia="zh-CN"/>
                    </w:rPr>
                    <w:t>喷雾</w:t>
                  </w:r>
                  <w:r>
                    <w:rPr>
                      <w:rFonts w:hint="eastAsia" w:ascii="Times New Roman" w:hAnsi="Times New Roman" w:eastAsia="宋体" w:cs="Times New Roman"/>
                      <w:color w:val="auto"/>
                      <w:kern w:val="21"/>
                      <w:sz w:val="21"/>
                      <w:szCs w:val="21"/>
                      <w:highlight w:val="none"/>
                      <w:lang w:val="en-US" w:eastAsia="zh-CN"/>
                    </w:rPr>
                    <w:t>用水</w:t>
                  </w:r>
                </w:p>
              </w:tc>
              <w:tc>
                <w:tcPr>
                  <w:tcW w:w="2199" w:type="dxa"/>
                  <w:noWrap w:val="0"/>
                  <w:vAlign w:val="center"/>
                </w:tcPr>
                <w:p w14:paraId="1B76305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spacing w:val="0"/>
                      <w:szCs w:val="21"/>
                      <w:highlight w:val="none"/>
                    </w:rPr>
                    <w:t>1.</w:t>
                  </w:r>
                  <w:r>
                    <w:rPr>
                      <w:rFonts w:hint="eastAsia" w:cs="Times New Roman"/>
                      <w:color w:val="auto"/>
                      <w:spacing w:val="0"/>
                      <w:szCs w:val="21"/>
                      <w:highlight w:val="none"/>
                      <w:lang w:val="en-US" w:eastAsia="zh-CN"/>
                    </w:rPr>
                    <w:t>5</w:t>
                  </w:r>
                  <w:r>
                    <w:rPr>
                      <w:rFonts w:hint="default" w:ascii="Times New Roman" w:hAnsi="Times New Roman" w:eastAsia="宋体" w:cs="Times New Roman"/>
                      <w:color w:val="auto"/>
                      <w:spacing w:val="0"/>
                      <w:szCs w:val="21"/>
                      <w:highlight w:val="none"/>
                    </w:rPr>
                    <w:t>L/（m</w:t>
                  </w:r>
                  <w:r>
                    <w:rPr>
                      <w:rFonts w:hint="default" w:ascii="Times New Roman" w:hAnsi="Times New Roman" w:eastAsia="宋体" w:cs="Times New Roman"/>
                      <w:color w:val="auto"/>
                      <w:spacing w:val="0"/>
                      <w:szCs w:val="21"/>
                      <w:highlight w:val="none"/>
                      <w:vertAlign w:val="superscript"/>
                    </w:rPr>
                    <w:t>2</w:t>
                  </w:r>
                  <w:r>
                    <w:rPr>
                      <w:rFonts w:hint="default" w:ascii="Times New Roman" w:hAnsi="Times New Roman" w:eastAsia="宋体" w:cs="Times New Roman"/>
                      <w:color w:val="auto"/>
                      <w:spacing w:val="0"/>
                      <w:szCs w:val="21"/>
                      <w:highlight w:val="none"/>
                    </w:rPr>
                    <w:t>·次），</w:t>
                  </w:r>
                  <w:r>
                    <w:rPr>
                      <w:rFonts w:hint="default" w:ascii="Times New Roman" w:hAnsi="Times New Roman" w:eastAsia="宋体" w:cs="Times New Roman"/>
                      <w:color w:val="auto"/>
                      <w:spacing w:val="0"/>
                      <w:szCs w:val="21"/>
                      <w:highlight w:val="none"/>
                      <w:lang w:val="en-US" w:eastAsia="zh-CN"/>
                    </w:rPr>
                    <w:t>每2小时1次</w:t>
                  </w:r>
                  <w:r>
                    <w:rPr>
                      <w:rFonts w:hint="default" w:ascii="Times New Roman" w:hAnsi="Times New Roman" w:eastAsia="宋体" w:cs="Times New Roman"/>
                      <w:color w:val="auto"/>
                      <w:spacing w:val="0"/>
                      <w:szCs w:val="21"/>
                      <w:highlight w:val="none"/>
                    </w:rPr>
                    <w:t>，</w:t>
                  </w:r>
                  <w:r>
                    <w:rPr>
                      <w:rFonts w:hint="eastAsia" w:cs="Times New Roman"/>
                      <w:color w:val="auto"/>
                      <w:spacing w:val="0"/>
                      <w:szCs w:val="21"/>
                      <w:highlight w:val="none"/>
                      <w:lang w:val="en-US" w:eastAsia="zh-CN"/>
                    </w:rPr>
                    <w:t>1268</w:t>
                  </w:r>
                  <w:r>
                    <w:rPr>
                      <w:rFonts w:hint="default" w:ascii="Times New Roman" w:hAnsi="Times New Roman" w:eastAsia="宋体" w:cs="Times New Roman"/>
                      <w:color w:val="auto"/>
                      <w:spacing w:val="0"/>
                      <w:szCs w:val="21"/>
                      <w:highlight w:val="none"/>
                    </w:rPr>
                    <w:t>m</w:t>
                  </w:r>
                  <w:r>
                    <w:rPr>
                      <w:rFonts w:hint="default" w:ascii="Times New Roman" w:hAnsi="Times New Roman" w:eastAsia="宋体" w:cs="Times New Roman"/>
                      <w:color w:val="auto"/>
                      <w:spacing w:val="0"/>
                      <w:szCs w:val="21"/>
                      <w:highlight w:val="none"/>
                      <w:vertAlign w:val="superscript"/>
                    </w:rPr>
                    <w:t>2</w:t>
                  </w:r>
                </w:p>
              </w:tc>
              <w:tc>
                <w:tcPr>
                  <w:tcW w:w="1084" w:type="dxa"/>
                  <w:noWrap w:val="0"/>
                  <w:vAlign w:val="center"/>
                </w:tcPr>
                <w:p w14:paraId="5AE708E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22.824</w:t>
                  </w:r>
                </w:p>
              </w:tc>
              <w:tc>
                <w:tcPr>
                  <w:tcW w:w="1084" w:type="dxa"/>
                  <w:noWrap w:val="0"/>
                  <w:vAlign w:val="center"/>
                </w:tcPr>
                <w:p w14:paraId="09084F4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7531.92</w:t>
                  </w:r>
                </w:p>
              </w:tc>
              <w:tc>
                <w:tcPr>
                  <w:tcW w:w="1084" w:type="dxa"/>
                  <w:noWrap w:val="0"/>
                  <w:vAlign w:val="center"/>
                </w:tcPr>
                <w:p w14:paraId="257E6C8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w:t>
                  </w:r>
                </w:p>
              </w:tc>
              <w:tc>
                <w:tcPr>
                  <w:tcW w:w="1087" w:type="dxa"/>
                  <w:noWrap w:val="0"/>
                  <w:vAlign w:val="center"/>
                </w:tcPr>
                <w:p w14:paraId="7DE4784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w:t>
                  </w:r>
                </w:p>
              </w:tc>
            </w:tr>
            <w:tr w14:paraId="082A7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99" w:type="dxa"/>
                  <w:noWrap w:val="0"/>
                  <w:vAlign w:val="center"/>
                </w:tcPr>
                <w:p w14:paraId="4FBB4CB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浇洒、绿化</w:t>
                  </w:r>
                </w:p>
                <w:p w14:paraId="7CC1873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用水</w:t>
                  </w:r>
                </w:p>
              </w:tc>
              <w:tc>
                <w:tcPr>
                  <w:tcW w:w="2199" w:type="dxa"/>
                  <w:noWrap w:val="0"/>
                  <w:vAlign w:val="center"/>
                </w:tcPr>
                <w:p w14:paraId="7DB604B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1.5</w:t>
                  </w:r>
                  <w:r>
                    <w:rPr>
                      <w:rFonts w:hint="default" w:ascii="Times New Roman" w:hAnsi="Times New Roman" w:eastAsia="宋体" w:cs="Times New Roman"/>
                      <w:color w:val="auto"/>
                      <w:spacing w:val="0"/>
                      <w:szCs w:val="21"/>
                      <w:highlight w:val="none"/>
                    </w:rPr>
                    <w:t>L/m</w:t>
                  </w:r>
                  <w:r>
                    <w:rPr>
                      <w:rFonts w:hint="default" w:ascii="Times New Roman" w:hAnsi="Times New Roman" w:eastAsia="宋体" w:cs="Times New Roman"/>
                      <w:color w:val="auto"/>
                      <w:spacing w:val="0"/>
                      <w:szCs w:val="21"/>
                      <w:highlight w:val="none"/>
                      <w:vertAlign w:val="superscript"/>
                    </w:rPr>
                    <w:t>2</w:t>
                  </w:r>
                  <w:r>
                    <w:rPr>
                      <w:rFonts w:hint="default" w:ascii="Times New Roman" w:hAnsi="Times New Roman" w:eastAsia="宋体" w:cs="Times New Roman"/>
                      <w:color w:val="auto"/>
                      <w:spacing w:val="0"/>
                      <w:szCs w:val="21"/>
                      <w:highlight w:val="none"/>
                    </w:rPr>
                    <w:t>·</w:t>
                  </w:r>
                  <w:r>
                    <w:rPr>
                      <w:rFonts w:hint="eastAsia" w:cs="Times New Roman"/>
                      <w:color w:val="auto"/>
                      <w:spacing w:val="0"/>
                      <w:szCs w:val="21"/>
                      <w:highlight w:val="none"/>
                      <w:lang w:val="en-US" w:eastAsia="zh-CN"/>
                    </w:rPr>
                    <w:t>d，</w:t>
                  </w:r>
                  <w:r>
                    <w:rPr>
                      <w:rFonts w:hint="eastAsia" w:ascii="Times New Roman" w:hAnsi="Times New Roman" w:eastAsia="宋体" w:cs="Times New Roman"/>
                      <w:color w:val="auto"/>
                      <w:spacing w:val="0"/>
                      <w:szCs w:val="21"/>
                      <w:highlight w:val="none"/>
                      <w:lang w:val="en-US" w:eastAsia="zh-CN"/>
                    </w:rPr>
                    <w:t>1</w:t>
                  </w:r>
                  <w:r>
                    <w:rPr>
                      <w:rFonts w:hint="eastAsia" w:cs="Times New Roman"/>
                      <w:color w:val="auto"/>
                      <w:spacing w:val="0"/>
                      <w:szCs w:val="21"/>
                      <w:highlight w:val="none"/>
                      <w:lang w:val="en-US" w:eastAsia="zh-CN"/>
                    </w:rPr>
                    <w:t>2</w:t>
                  </w:r>
                  <w:r>
                    <w:rPr>
                      <w:rFonts w:hint="eastAsia" w:ascii="Times New Roman" w:hAnsi="Times New Roman" w:eastAsia="宋体" w:cs="Times New Roman"/>
                      <w:color w:val="auto"/>
                      <w:spacing w:val="0"/>
                      <w:szCs w:val="21"/>
                      <w:highlight w:val="none"/>
                      <w:lang w:val="en-US" w:eastAsia="zh-CN"/>
                    </w:rPr>
                    <w:t>00</w:t>
                  </w:r>
                  <w:r>
                    <w:rPr>
                      <w:rFonts w:hint="default" w:ascii="Times New Roman" w:hAnsi="Times New Roman" w:eastAsia="宋体" w:cs="Times New Roman"/>
                      <w:color w:val="auto"/>
                      <w:spacing w:val="0"/>
                      <w:szCs w:val="21"/>
                      <w:highlight w:val="none"/>
                    </w:rPr>
                    <w:t>m</w:t>
                  </w:r>
                  <w:r>
                    <w:rPr>
                      <w:rFonts w:hint="default" w:ascii="Times New Roman" w:hAnsi="Times New Roman" w:eastAsia="宋体" w:cs="Times New Roman"/>
                      <w:color w:val="auto"/>
                      <w:spacing w:val="0"/>
                      <w:szCs w:val="21"/>
                      <w:highlight w:val="none"/>
                      <w:vertAlign w:val="superscript"/>
                    </w:rPr>
                    <w:t>2</w:t>
                  </w:r>
                  <w:r>
                    <w:rPr>
                      <w:rFonts w:hint="default" w:ascii="Times New Roman" w:hAnsi="Times New Roman" w:eastAsia="宋体" w:cs="Times New Roman"/>
                      <w:color w:val="auto"/>
                      <w:spacing w:val="0"/>
                      <w:szCs w:val="21"/>
                      <w:highlight w:val="none"/>
                    </w:rPr>
                    <w:t>，</w:t>
                  </w:r>
                  <w:r>
                    <w:rPr>
                      <w:rFonts w:hint="eastAsia" w:cs="Times New Roman"/>
                      <w:color w:val="auto"/>
                      <w:spacing w:val="0"/>
                      <w:szCs w:val="21"/>
                      <w:highlight w:val="none"/>
                      <w:lang w:val="en-US" w:eastAsia="zh-CN"/>
                    </w:rPr>
                    <w:t>180d</w:t>
                  </w:r>
                </w:p>
              </w:tc>
              <w:tc>
                <w:tcPr>
                  <w:tcW w:w="1084" w:type="dxa"/>
                  <w:noWrap w:val="0"/>
                  <w:vAlign w:val="center"/>
                </w:tcPr>
                <w:p w14:paraId="60355AC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1.8</w:t>
                  </w:r>
                </w:p>
              </w:tc>
              <w:tc>
                <w:tcPr>
                  <w:tcW w:w="1084" w:type="dxa"/>
                  <w:noWrap w:val="0"/>
                  <w:vAlign w:val="center"/>
                </w:tcPr>
                <w:p w14:paraId="132393D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324</w:t>
                  </w:r>
                </w:p>
              </w:tc>
              <w:tc>
                <w:tcPr>
                  <w:tcW w:w="1084" w:type="dxa"/>
                  <w:noWrap w:val="0"/>
                  <w:vAlign w:val="center"/>
                </w:tcPr>
                <w:p w14:paraId="6C9801B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cs="Times New Roman"/>
                      <w:color w:val="auto"/>
                      <w:kern w:val="21"/>
                      <w:sz w:val="21"/>
                      <w:szCs w:val="21"/>
                      <w:highlight w:val="none"/>
                      <w:lang w:val="en-US" w:eastAsia="zh-CN"/>
                    </w:rPr>
                    <w:t>-</w:t>
                  </w:r>
                </w:p>
              </w:tc>
              <w:tc>
                <w:tcPr>
                  <w:tcW w:w="1087" w:type="dxa"/>
                  <w:noWrap w:val="0"/>
                  <w:vAlign w:val="center"/>
                </w:tcPr>
                <w:p w14:paraId="32B8104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val="en-US" w:eastAsia="zh-CN" w:bidi="ar-SA"/>
                    </w:rPr>
                  </w:pPr>
                  <w:r>
                    <w:rPr>
                      <w:rFonts w:hint="eastAsia" w:cs="Times New Roman"/>
                      <w:color w:val="auto"/>
                      <w:kern w:val="21"/>
                      <w:sz w:val="21"/>
                      <w:szCs w:val="21"/>
                      <w:highlight w:val="none"/>
                      <w:lang w:val="en-US" w:eastAsia="zh-CN"/>
                    </w:rPr>
                    <w:t>-</w:t>
                  </w:r>
                </w:p>
              </w:tc>
            </w:tr>
            <w:tr w14:paraId="2D2CC2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598" w:type="dxa"/>
                  <w:gridSpan w:val="2"/>
                  <w:noWrap w:val="0"/>
                  <w:vAlign w:val="center"/>
                </w:tcPr>
                <w:p w14:paraId="7B84DED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合计</w:t>
                  </w:r>
                </w:p>
              </w:tc>
              <w:tc>
                <w:tcPr>
                  <w:tcW w:w="1084" w:type="dxa"/>
                  <w:noWrap w:val="0"/>
                  <w:vAlign w:val="center"/>
                </w:tcPr>
                <w:p w14:paraId="77CE148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252.644</w:t>
                  </w:r>
                </w:p>
              </w:tc>
              <w:tc>
                <w:tcPr>
                  <w:tcW w:w="1084" w:type="dxa"/>
                  <w:noWrap w:val="0"/>
                  <w:vAlign w:val="center"/>
                </w:tcPr>
                <w:p w14:paraId="0F61F5B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83102.22</w:t>
                  </w:r>
                </w:p>
              </w:tc>
              <w:tc>
                <w:tcPr>
                  <w:tcW w:w="1084" w:type="dxa"/>
                  <w:noWrap w:val="0"/>
                  <w:vAlign w:val="center"/>
                </w:tcPr>
                <w:p w14:paraId="720C6CA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35.375</w:t>
                  </w:r>
                </w:p>
              </w:tc>
              <w:tc>
                <w:tcPr>
                  <w:tcW w:w="1087" w:type="dxa"/>
                  <w:noWrap w:val="0"/>
                  <w:vAlign w:val="center"/>
                </w:tcPr>
                <w:p w14:paraId="1EE2348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11673.75</w:t>
                  </w:r>
                </w:p>
              </w:tc>
            </w:tr>
          </w:tbl>
          <w:p w14:paraId="14DC38EB">
            <w:pPr>
              <w:pStyle w:val="3"/>
              <w:jc w:val="center"/>
              <w:rPr>
                <w:rFonts w:hint="eastAsia" w:ascii="Times New Roman" w:hAnsi="Times New Roman" w:eastAsia="宋体" w:cs="Times New Roman"/>
                <w:bCs/>
                <w:color w:val="auto"/>
                <w:sz w:val="24"/>
                <w:szCs w:val="24"/>
                <w:highlight w:val="none"/>
                <w:lang w:val="en-US" w:eastAsia="zh-CN"/>
              </w:rPr>
            </w:pPr>
            <w:r>
              <w:rPr>
                <w:color w:val="auto"/>
              </w:rPr>
              <w:drawing>
                <wp:inline distT="0" distB="0" distL="114300" distR="114300">
                  <wp:extent cx="5077460" cy="54324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rcRect l="1577" r="2155"/>
                          <a:stretch>
                            <a:fillRect/>
                          </a:stretch>
                        </pic:blipFill>
                        <pic:spPr>
                          <a:xfrm>
                            <a:off x="0" y="0"/>
                            <a:ext cx="5077460" cy="5432425"/>
                          </a:xfrm>
                          <a:prstGeom prst="rect">
                            <a:avLst/>
                          </a:prstGeom>
                          <a:noFill/>
                          <a:ln>
                            <a:noFill/>
                          </a:ln>
                        </pic:spPr>
                      </pic:pic>
                    </a:graphicData>
                  </a:graphic>
                </wp:inline>
              </w:drawing>
            </w:r>
          </w:p>
          <w:p w14:paraId="15AA1BE7">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图2.</w:t>
            </w:r>
            <w:r>
              <w:rPr>
                <w:rFonts w:hint="eastAsia" w:ascii="Times New Roman" w:hAnsi="Times New Roman" w:eastAsia="黑体" w:cs="Times New Roman"/>
                <w:iCs/>
                <w:snapToGrid w:val="0"/>
                <w:color w:val="auto"/>
                <w:kern w:val="0"/>
                <w:sz w:val="21"/>
                <w:szCs w:val="20"/>
                <w:highlight w:val="none"/>
                <w:lang w:val="en-US" w:eastAsia="zh-CN" w:bidi="ar-SA"/>
              </w:rPr>
              <w:t>7-</w:t>
            </w:r>
            <w:r>
              <w:rPr>
                <w:rFonts w:hint="eastAsia" w:eastAsia="黑体" w:cs="Times New Roman"/>
                <w:iCs/>
                <w:snapToGrid w:val="0"/>
                <w:color w:val="auto"/>
                <w:kern w:val="0"/>
                <w:sz w:val="21"/>
                <w:szCs w:val="20"/>
                <w:highlight w:val="none"/>
                <w:lang w:val="en-US" w:eastAsia="zh-CN" w:bidi="ar-SA"/>
              </w:rPr>
              <w:t>1</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非采暖季</w:t>
            </w:r>
            <w:r>
              <w:rPr>
                <w:rFonts w:hint="default" w:ascii="Times New Roman" w:hAnsi="Times New Roman" w:eastAsia="黑体" w:cs="Times New Roman"/>
                <w:iCs/>
                <w:snapToGrid w:val="0"/>
                <w:color w:val="auto"/>
                <w:kern w:val="0"/>
                <w:sz w:val="21"/>
                <w:szCs w:val="20"/>
                <w:highlight w:val="none"/>
                <w:lang w:val="en-US" w:eastAsia="zh-CN" w:bidi="ar-SA"/>
              </w:rPr>
              <w:t>水平衡图（单位：m</w:t>
            </w:r>
            <w:r>
              <w:rPr>
                <w:rFonts w:hint="default" w:ascii="Times New Roman" w:hAnsi="Times New Roman" w:eastAsia="黑体" w:cs="Times New Roman"/>
                <w:iCs/>
                <w:snapToGrid w:val="0"/>
                <w:color w:val="auto"/>
                <w:kern w:val="0"/>
                <w:sz w:val="21"/>
                <w:szCs w:val="20"/>
                <w:highlight w:val="none"/>
                <w:vertAlign w:val="superscript"/>
                <w:lang w:val="en-US" w:eastAsia="zh-CN" w:bidi="ar-SA"/>
              </w:rPr>
              <w:t>3</w:t>
            </w:r>
            <w:r>
              <w:rPr>
                <w:rFonts w:hint="default" w:ascii="Times New Roman" w:hAnsi="Times New Roman" w:eastAsia="黑体" w:cs="Times New Roman"/>
                <w:iCs/>
                <w:snapToGrid w:val="0"/>
                <w:color w:val="auto"/>
                <w:kern w:val="0"/>
                <w:sz w:val="21"/>
                <w:szCs w:val="20"/>
                <w:highlight w:val="none"/>
                <w:lang w:val="en-US" w:eastAsia="zh-CN" w:bidi="ar-SA"/>
              </w:rPr>
              <w:t>/d）</w:t>
            </w:r>
          </w:p>
          <w:p w14:paraId="4E8B6474">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063040B9">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45DFD688">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17699F2D">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210821BA">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14D3F9D3">
            <w:pPr>
              <w:pStyle w:val="3"/>
              <w:jc w:val="center"/>
              <w:rPr>
                <w:rFonts w:hint="default" w:ascii="Times New Roman" w:hAnsi="Times New Roman" w:eastAsia="宋体" w:cs="Times New Roman"/>
                <w:bCs/>
                <w:color w:val="auto"/>
                <w:sz w:val="24"/>
                <w:szCs w:val="24"/>
                <w:highlight w:val="none"/>
                <w:lang w:val="en-US" w:eastAsia="zh-CN"/>
              </w:rPr>
            </w:pPr>
            <w:r>
              <w:rPr>
                <w:color w:val="auto"/>
              </w:rPr>
              <w:drawing>
                <wp:inline distT="0" distB="0" distL="114300" distR="114300">
                  <wp:extent cx="5102860" cy="502285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rcRect l="1868" r="1289"/>
                          <a:stretch>
                            <a:fillRect/>
                          </a:stretch>
                        </pic:blipFill>
                        <pic:spPr>
                          <a:xfrm>
                            <a:off x="0" y="0"/>
                            <a:ext cx="5102860" cy="5022850"/>
                          </a:xfrm>
                          <a:prstGeom prst="rect">
                            <a:avLst/>
                          </a:prstGeom>
                          <a:noFill/>
                          <a:ln>
                            <a:noFill/>
                          </a:ln>
                        </pic:spPr>
                      </pic:pic>
                    </a:graphicData>
                  </a:graphic>
                </wp:inline>
              </w:drawing>
            </w:r>
          </w:p>
          <w:p w14:paraId="6583E58F">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r>
              <w:rPr>
                <w:rFonts w:hint="default" w:ascii="Times New Roman" w:hAnsi="Times New Roman" w:eastAsia="黑体" w:cs="Times New Roman"/>
                <w:iCs/>
                <w:snapToGrid w:val="0"/>
                <w:color w:val="auto"/>
                <w:kern w:val="0"/>
                <w:sz w:val="21"/>
                <w:szCs w:val="20"/>
                <w:highlight w:val="none"/>
                <w:lang w:val="en-US" w:eastAsia="zh-CN" w:bidi="ar-SA"/>
              </w:rPr>
              <w:t>图2.</w:t>
            </w:r>
            <w:r>
              <w:rPr>
                <w:rFonts w:hint="eastAsia" w:ascii="Times New Roman" w:hAnsi="Times New Roman" w:eastAsia="黑体" w:cs="Times New Roman"/>
                <w:iCs/>
                <w:snapToGrid w:val="0"/>
                <w:color w:val="auto"/>
                <w:kern w:val="0"/>
                <w:sz w:val="21"/>
                <w:szCs w:val="20"/>
                <w:highlight w:val="none"/>
                <w:lang w:val="en-US" w:eastAsia="zh-CN" w:bidi="ar-SA"/>
              </w:rPr>
              <w:t>7-</w:t>
            </w:r>
            <w:r>
              <w:rPr>
                <w:rFonts w:hint="eastAsia" w:eastAsia="黑体" w:cs="Times New Roman"/>
                <w:iCs/>
                <w:snapToGrid w:val="0"/>
                <w:color w:val="auto"/>
                <w:kern w:val="0"/>
                <w:sz w:val="21"/>
                <w:szCs w:val="20"/>
                <w:highlight w:val="none"/>
                <w:lang w:val="en-US" w:eastAsia="zh-CN" w:bidi="ar-SA"/>
              </w:rPr>
              <w:t>2</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采暖季</w:t>
            </w:r>
            <w:r>
              <w:rPr>
                <w:rFonts w:hint="default" w:ascii="Times New Roman" w:hAnsi="Times New Roman" w:eastAsia="黑体" w:cs="Times New Roman"/>
                <w:iCs/>
                <w:snapToGrid w:val="0"/>
                <w:color w:val="auto"/>
                <w:kern w:val="0"/>
                <w:sz w:val="21"/>
                <w:szCs w:val="20"/>
                <w:highlight w:val="none"/>
                <w:lang w:val="en-US" w:eastAsia="zh-CN" w:bidi="ar-SA"/>
              </w:rPr>
              <w:t>水平衡图（单位：m</w:t>
            </w:r>
            <w:r>
              <w:rPr>
                <w:rFonts w:hint="default" w:ascii="Times New Roman" w:hAnsi="Times New Roman" w:eastAsia="黑体" w:cs="Times New Roman"/>
                <w:iCs/>
                <w:snapToGrid w:val="0"/>
                <w:color w:val="auto"/>
                <w:kern w:val="0"/>
                <w:sz w:val="21"/>
                <w:szCs w:val="20"/>
                <w:highlight w:val="none"/>
                <w:vertAlign w:val="superscript"/>
                <w:lang w:val="en-US" w:eastAsia="zh-CN" w:bidi="ar-SA"/>
              </w:rPr>
              <w:t>3</w:t>
            </w:r>
            <w:r>
              <w:rPr>
                <w:rFonts w:hint="default" w:ascii="Times New Roman" w:hAnsi="Times New Roman" w:eastAsia="黑体" w:cs="Times New Roman"/>
                <w:iCs/>
                <w:snapToGrid w:val="0"/>
                <w:color w:val="auto"/>
                <w:kern w:val="0"/>
                <w:sz w:val="21"/>
                <w:szCs w:val="20"/>
                <w:highlight w:val="none"/>
                <w:lang w:val="en-US" w:eastAsia="zh-CN" w:bidi="ar-SA"/>
              </w:rPr>
              <w:t>/d）</w:t>
            </w:r>
          </w:p>
          <w:p w14:paraId="1D5D42AD">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2.供电</w:t>
            </w:r>
          </w:p>
          <w:p w14:paraId="72B700EA">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电源依托现有双回路高压进线电缆，配电室新增2台1000kVA变压器，满足项目用电需求。</w:t>
            </w:r>
          </w:p>
          <w:p w14:paraId="613A483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3.</w:t>
            </w:r>
            <w:r>
              <w:rPr>
                <w:rFonts w:hint="default" w:ascii="Times New Roman" w:hAnsi="宋体" w:eastAsia="宋体" w:cs="Times New Roman"/>
                <w:color w:val="auto"/>
                <w:sz w:val="24"/>
                <w:highlight w:val="none"/>
                <w:lang w:val="en-US" w:eastAsia="zh-CN"/>
              </w:rPr>
              <w:t>供热</w:t>
            </w:r>
          </w:p>
          <w:p w14:paraId="02B4A0C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冬季</w:t>
            </w:r>
            <w:r>
              <w:rPr>
                <w:rFonts w:hint="eastAsia" w:ascii="Times New Roman" w:hAnsi="宋体" w:eastAsia="宋体" w:cs="Times New Roman"/>
                <w:color w:val="auto"/>
                <w:sz w:val="24"/>
                <w:highlight w:val="none"/>
                <w:lang w:val="en-US" w:eastAsia="zh-CN"/>
              </w:rPr>
              <w:t>办公区</w:t>
            </w:r>
            <w:r>
              <w:rPr>
                <w:rFonts w:hint="default" w:ascii="Times New Roman" w:hAnsi="宋体" w:eastAsia="宋体" w:cs="Times New Roman"/>
                <w:color w:val="auto"/>
                <w:sz w:val="24"/>
                <w:highlight w:val="none"/>
                <w:lang w:val="en-US" w:eastAsia="zh-CN"/>
              </w:rPr>
              <w:t>采用电暖</w:t>
            </w:r>
            <w:r>
              <w:rPr>
                <w:rFonts w:hint="eastAsia" w:hAnsi="宋体" w:cs="Times New Roman"/>
                <w:color w:val="auto"/>
                <w:sz w:val="24"/>
                <w:highlight w:val="none"/>
                <w:lang w:val="en-US" w:eastAsia="zh-CN"/>
              </w:rPr>
              <w:t>器</w:t>
            </w:r>
            <w:r>
              <w:rPr>
                <w:rFonts w:hint="default" w:ascii="Times New Roman" w:hAnsi="宋体" w:eastAsia="宋体" w:cs="Times New Roman"/>
                <w:color w:val="auto"/>
                <w:sz w:val="24"/>
                <w:highlight w:val="none"/>
                <w:lang w:val="en-US" w:eastAsia="zh-CN"/>
              </w:rPr>
              <w:t>供热</w:t>
            </w:r>
            <w:r>
              <w:rPr>
                <w:rFonts w:hint="eastAsia" w:ascii="Times New Roman" w:hAnsi="宋体" w:eastAsia="宋体" w:cs="Times New Roman"/>
                <w:color w:val="auto"/>
                <w:sz w:val="24"/>
                <w:highlight w:val="none"/>
                <w:lang w:val="en-US" w:eastAsia="zh-CN"/>
              </w:rPr>
              <w:t>。</w:t>
            </w:r>
          </w:p>
          <w:p w14:paraId="30E04FAA">
            <w:pPr>
              <w:keepNext w:val="0"/>
              <w:keepLines w:val="0"/>
              <w:pageBreakBefore w:val="0"/>
              <w:widowControl w:val="0"/>
              <w:kinsoku/>
              <w:wordWrap/>
              <w:overflowPunct/>
              <w:topLinePunct w:val="0"/>
              <w:autoSpaceDE w:val="0"/>
              <w:autoSpaceDN w:val="0"/>
              <w:bidi w:val="0"/>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8 物料平衡</w:t>
            </w:r>
          </w:p>
          <w:p w14:paraId="056A427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本项目物料平衡见表2.8-1，物料平衡图见2.8-1。</w:t>
            </w:r>
          </w:p>
          <w:p w14:paraId="2F81FB47">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069FD2CD">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7A639F4C">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ascii="Times New Roman" w:hAnsi="Times New Roman" w:eastAsia="黑体" w:cs="Times New Roman"/>
                <w:iCs/>
                <w:snapToGrid w:val="0"/>
                <w:color w:val="auto"/>
                <w:kern w:val="0"/>
                <w:sz w:val="21"/>
                <w:szCs w:val="20"/>
                <w:highlight w:val="none"/>
                <w:lang w:val="en-US" w:eastAsia="zh-CN" w:bidi="ar-SA"/>
              </w:rPr>
            </w:pPr>
          </w:p>
          <w:p w14:paraId="2EB61D06">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color w:val="auto"/>
                <w:highlight w:val="none"/>
                <w:lang w:val="en-US" w:eastAsia="zh-CN"/>
              </w:rPr>
            </w:pPr>
            <w:r>
              <w:rPr>
                <w:rFonts w:hint="default" w:ascii="Times New Roman" w:hAnsi="Times New Roman" w:eastAsia="黑体" w:cs="Times New Roman"/>
                <w:iCs/>
                <w:snapToGrid w:val="0"/>
                <w:color w:val="auto"/>
                <w:kern w:val="0"/>
                <w:sz w:val="21"/>
                <w:szCs w:val="20"/>
                <w:highlight w:val="none"/>
                <w:lang w:val="en-US" w:eastAsia="zh-CN" w:bidi="ar-SA"/>
              </w:rPr>
              <w:t>表2</w:t>
            </w:r>
            <w:r>
              <w:rPr>
                <w:rFonts w:hint="eastAsia" w:ascii="Times New Roman" w:hAnsi="Times New Roman" w:eastAsia="黑体" w:cs="Times New Roman"/>
                <w:iCs/>
                <w:snapToGrid w:val="0"/>
                <w:color w:val="auto"/>
                <w:kern w:val="0"/>
                <w:sz w:val="21"/>
                <w:szCs w:val="20"/>
                <w:highlight w:val="none"/>
                <w:lang w:val="en-US" w:eastAsia="zh-CN" w:bidi="ar-SA"/>
              </w:rPr>
              <w:t>.</w:t>
            </w:r>
            <w:r>
              <w:rPr>
                <w:rFonts w:hint="eastAsia" w:eastAsia="黑体" w:cs="Times New Roman"/>
                <w:iCs/>
                <w:snapToGrid w:val="0"/>
                <w:color w:val="auto"/>
                <w:kern w:val="0"/>
                <w:sz w:val="21"/>
                <w:szCs w:val="20"/>
                <w:highlight w:val="none"/>
                <w:lang w:val="en-US" w:eastAsia="zh-CN" w:bidi="ar-SA"/>
              </w:rPr>
              <w:t>8</w:t>
            </w:r>
            <w:r>
              <w:rPr>
                <w:rFonts w:hint="eastAsia" w:ascii="Times New Roman" w:hAnsi="Times New Roman" w:eastAsia="黑体" w:cs="Times New Roman"/>
                <w:iCs/>
                <w:snapToGrid w:val="0"/>
                <w:color w:val="auto"/>
                <w:kern w:val="0"/>
                <w:sz w:val="21"/>
                <w:szCs w:val="20"/>
                <w:highlight w:val="none"/>
                <w:lang w:val="en-US" w:eastAsia="zh-CN" w:bidi="ar-SA"/>
              </w:rPr>
              <w:t>-1</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物料</w:t>
            </w:r>
            <w:r>
              <w:rPr>
                <w:rFonts w:hint="default" w:ascii="Times New Roman" w:hAnsi="Times New Roman" w:eastAsia="黑体" w:cs="Times New Roman"/>
                <w:iCs/>
                <w:snapToGrid w:val="0"/>
                <w:color w:val="auto"/>
                <w:kern w:val="0"/>
                <w:sz w:val="21"/>
                <w:szCs w:val="20"/>
                <w:highlight w:val="none"/>
                <w:lang w:val="en-US" w:eastAsia="zh-CN" w:bidi="ar-SA"/>
              </w:rPr>
              <w:t>平衡表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82"/>
              <w:gridCol w:w="1984"/>
              <w:gridCol w:w="1982"/>
              <w:gridCol w:w="1989"/>
            </w:tblGrid>
            <w:tr w14:paraId="28478A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66" w:type="dxa"/>
                  <w:gridSpan w:val="2"/>
                  <w:noWrap w:val="0"/>
                  <w:vAlign w:val="center"/>
                </w:tcPr>
                <w:p w14:paraId="2F882DB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投入</w:t>
                  </w:r>
                </w:p>
              </w:tc>
              <w:tc>
                <w:tcPr>
                  <w:tcW w:w="3971" w:type="dxa"/>
                  <w:gridSpan w:val="2"/>
                  <w:noWrap w:val="0"/>
                  <w:vAlign w:val="center"/>
                </w:tcPr>
                <w:p w14:paraId="48DA64D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产出</w:t>
                  </w:r>
                </w:p>
              </w:tc>
            </w:tr>
            <w:tr w14:paraId="61EB3D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82" w:type="dxa"/>
                  <w:noWrap w:val="0"/>
                  <w:vAlign w:val="center"/>
                </w:tcPr>
                <w:p w14:paraId="5CB9852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名称</w:t>
                  </w:r>
                </w:p>
              </w:tc>
              <w:tc>
                <w:tcPr>
                  <w:tcW w:w="1984" w:type="dxa"/>
                  <w:noWrap w:val="0"/>
                  <w:vAlign w:val="center"/>
                </w:tcPr>
                <w:p w14:paraId="57438CE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数量（</w:t>
                  </w:r>
                  <w:r>
                    <w:rPr>
                      <w:rFonts w:hint="eastAsia" w:cs="Times New Roman"/>
                      <w:color w:val="auto"/>
                      <w:kern w:val="21"/>
                      <w:sz w:val="21"/>
                      <w:szCs w:val="21"/>
                      <w:highlight w:val="none"/>
                      <w:lang w:val="en-US" w:eastAsia="zh-CN"/>
                    </w:rPr>
                    <w:t>t</w:t>
                  </w:r>
                  <w:r>
                    <w:rPr>
                      <w:rFonts w:hint="eastAsia" w:cs="Times New Roman"/>
                      <w:color w:val="auto"/>
                      <w:kern w:val="21"/>
                      <w:sz w:val="21"/>
                      <w:szCs w:val="21"/>
                      <w:highlight w:val="none"/>
                      <w:lang w:eastAsia="zh-CN"/>
                    </w:rPr>
                    <w:t>）</w:t>
                  </w:r>
                </w:p>
              </w:tc>
              <w:tc>
                <w:tcPr>
                  <w:tcW w:w="1982" w:type="dxa"/>
                  <w:shd w:val="clear" w:color="auto" w:fill="auto"/>
                  <w:noWrap w:val="0"/>
                  <w:vAlign w:val="center"/>
                </w:tcPr>
                <w:p w14:paraId="42ADA70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cs="Times New Roman"/>
                      <w:color w:val="auto"/>
                      <w:kern w:val="21"/>
                      <w:sz w:val="21"/>
                      <w:szCs w:val="21"/>
                      <w:highlight w:val="none"/>
                      <w:lang w:eastAsia="zh-CN"/>
                    </w:rPr>
                    <w:t>名称</w:t>
                  </w:r>
                </w:p>
              </w:tc>
              <w:tc>
                <w:tcPr>
                  <w:tcW w:w="1989" w:type="dxa"/>
                  <w:shd w:val="clear" w:color="auto" w:fill="auto"/>
                  <w:noWrap w:val="0"/>
                  <w:vAlign w:val="center"/>
                </w:tcPr>
                <w:p w14:paraId="3EC7B59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bidi="ar-SA"/>
                    </w:rPr>
                  </w:pPr>
                  <w:r>
                    <w:rPr>
                      <w:rFonts w:hint="eastAsia" w:cs="Times New Roman"/>
                      <w:color w:val="auto"/>
                      <w:kern w:val="21"/>
                      <w:sz w:val="21"/>
                      <w:szCs w:val="21"/>
                      <w:highlight w:val="none"/>
                      <w:lang w:eastAsia="zh-CN"/>
                    </w:rPr>
                    <w:t>数量（</w:t>
                  </w:r>
                  <w:r>
                    <w:rPr>
                      <w:rFonts w:hint="eastAsia" w:cs="Times New Roman"/>
                      <w:color w:val="auto"/>
                      <w:kern w:val="21"/>
                      <w:sz w:val="21"/>
                      <w:szCs w:val="21"/>
                      <w:highlight w:val="none"/>
                      <w:lang w:val="en-US" w:eastAsia="zh-CN"/>
                    </w:rPr>
                    <w:t>t</w:t>
                  </w:r>
                  <w:r>
                    <w:rPr>
                      <w:rFonts w:hint="eastAsia" w:cs="Times New Roman"/>
                      <w:color w:val="auto"/>
                      <w:kern w:val="21"/>
                      <w:sz w:val="21"/>
                      <w:szCs w:val="21"/>
                      <w:highlight w:val="none"/>
                      <w:lang w:eastAsia="zh-CN"/>
                    </w:rPr>
                    <w:t>）</w:t>
                  </w:r>
                </w:p>
              </w:tc>
            </w:tr>
            <w:tr w14:paraId="5A381C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82" w:type="dxa"/>
                  <w:shd w:val="clear" w:color="auto" w:fill="auto"/>
                  <w:noWrap w:val="0"/>
                  <w:vAlign w:val="center"/>
                </w:tcPr>
                <w:p w14:paraId="5DD035FA">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煤矸石</w:t>
                  </w:r>
                </w:p>
              </w:tc>
              <w:tc>
                <w:tcPr>
                  <w:tcW w:w="1984" w:type="dxa"/>
                  <w:shd w:val="clear" w:color="auto" w:fill="auto"/>
                  <w:noWrap w:val="0"/>
                  <w:vAlign w:val="center"/>
                </w:tcPr>
                <w:p w14:paraId="06CF52D3">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442000</w:t>
                  </w:r>
                </w:p>
              </w:tc>
              <w:tc>
                <w:tcPr>
                  <w:tcW w:w="1982" w:type="dxa"/>
                  <w:shd w:val="clear" w:color="auto" w:fill="auto"/>
                  <w:noWrap w:val="0"/>
                  <w:vAlign w:val="center"/>
                </w:tcPr>
                <w:p w14:paraId="7E237F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充填料</w:t>
                  </w:r>
                </w:p>
              </w:tc>
              <w:tc>
                <w:tcPr>
                  <w:tcW w:w="1989" w:type="dxa"/>
                  <w:shd w:val="clear" w:color="auto" w:fill="auto"/>
                  <w:noWrap w:val="0"/>
                  <w:vAlign w:val="center"/>
                </w:tcPr>
                <w:p w14:paraId="33A51A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r>
                    <w:rPr>
                      <w:rFonts w:hint="eastAsia" w:cs="Times New Roman"/>
                      <w:color w:val="auto"/>
                      <w:szCs w:val="21"/>
                      <w:highlight w:val="none"/>
                      <w:lang w:val="en-US" w:eastAsia="zh-CN"/>
                    </w:rPr>
                    <w:t>0000</w:t>
                  </w:r>
                </w:p>
              </w:tc>
            </w:tr>
            <w:tr w14:paraId="5DD1D4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82" w:type="dxa"/>
                  <w:shd w:val="clear" w:color="auto" w:fill="auto"/>
                  <w:noWrap w:val="0"/>
                  <w:vAlign w:val="center"/>
                </w:tcPr>
                <w:p w14:paraId="2F4E54B4">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水泥</w:t>
                  </w:r>
                </w:p>
              </w:tc>
              <w:tc>
                <w:tcPr>
                  <w:tcW w:w="1984" w:type="dxa"/>
                  <w:shd w:val="clear" w:color="auto" w:fill="auto"/>
                  <w:noWrap w:val="0"/>
                  <w:vAlign w:val="center"/>
                </w:tcPr>
                <w:p w14:paraId="568B27E3">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94800</w:t>
                  </w:r>
                </w:p>
              </w:tc>
              <w:tc>
                <w:tcPr>
                  <w:tcW w:w="1982" w:type="dxa"/>
                  <w:noWrap w:val="0"/>
                  <w:vAlign w:val="center"/>
                </w:tcPr>
                <w:p w14:paraId="447FB5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有组织粉尘</w:t>
                  </w:r>
                </w:p>
              </w:tc>
              <w:tc>
                <w:tcPr>
                  <w:tcW w:w="1989" w:type="dxa"/>
                  <w:shd w:val="clear" w:color="auto" w:fill="auto"/>
                  <w:noWrap w:val="0"/>
                  <w:vAlign w:val="center"/>
                </w:tcPr>
                <w:p w14:paraId="1FACAFD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1.79</w:t>
                  </w:r>
                </w:p>
              </w:tc>
            </w:tr>
            <w:tr w14:paraId="025FD2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982" w:type="dxa"/>
                  <w:shd w:val="clear" w:color="auto" w:fill="auto"/>
                  <w:noWrap w:val="0"/>
                  <w:vAlign w:val="center"/>
                </w:tcPr>
                <w:p w14:paraId="7592C8F7">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水</w:t>
                  </w:r>
                </w:p>
              </w:tc>
              <w:tc>
                <w:tcPr>
                  <w:tcW w:w="1984" w:type="dxa"/>
                  <w:shd w:val="clear" w:color="auto" w:fill="auto"/>
                  <w:noWrap w:val="0"/>
                  <w:vAlign w:val="center"/>
                </w:tcPr>
                <w:p w14:paraId="67EECEF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63000</w:t>
                  </w:r>
                </w:p>
              </w:tc>
              <w:tc>
                <w:tcPr>
                  <w:tcW w:w="1982" w:type="dxa"/>
                  <w:noWrap w:val="0"/>
                  <w:vAlign w:val="center"/>
                </w:tcPr>
                <w:p w14:paraId="3931069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无组织扬尘</w:t>
                  </w:r>
                </w:p>
              </w:tc>
              <w:tc>
                <w:tcPr>
                  <w:tcW w:w="1989" w:type="dxa"/>
                  <w:shd w:val="clear" w:color="auto" w:fill="auto"/>
                  <w:noWrap w:val="0"/>
                  <w:vAlign w:val="center"/>
                </w:tcPr>
                <w:p w14:paraId="7B3F3A1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7.677</w:t>
                  </w:r>
                </w:p>
              </w:tc>
            </w:tr>
            <w:tr w14:paraId="04208F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3FC5D320">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添加剂</w:t>
                  </w:r>
                </w:p>
              </w:tc>
              <w:tc>
                <w:tcPr>
                  <w:tcW w:w="0" w:type="auto"/>
                  <w:shd w:val="clear" w:color="auto" w:fill="auto"/>
                  <w:vAlign w:val="center"/>
                </w:tcPr>
                <w:p w14:paraId="584180B8">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260.729</w:t>
                  </w:r>
                </w:p>
              </w:tc>
              <w:tc>
                <w:tcPr>
                  <w:tcW w:w="0" w:type="auto"/>
                </w:tcPr>
                <w:p w14:paraId="651474D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除尘灰</w:t>
                  </w:r>
                </w:p>
              </w:tc>
              <w:tc>
                <w:tcPr>
                  <w:tcW w:w="0" w:type="auto"/>
                </w:tcPr>
                <w:p w14:paraId="1259711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51.262</w:t>
                  </w:r>
                </w:p>
              </w:tc>
            </w:tr>
            <w:tr w14:paraId="371A03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EF0E455">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0" w:type="auto"/>
                  <w:shd w:val="clear" w:color="auto" w:fill="auto"/>
                  <w:vAlign w:val="center"/>
                </w:tcPr>
                <w:p w14:paraId="594F0686">
                  <w:pPr>
                    <w:keepNext w:val="0"/>
                    <w:keepLines w:val="0"/>
                    <w:pageBreakBefore w:val="0"/>
                    <w:widowControl w:val="0"/>
                    <w:numPr>
                      <w:ilvl w:val="0"/>
                      <w:numId w:val="0"/>
                    </w:numPr>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kern w:val="21"/>
                      <w:sz w:val="21"/>
                      <w:szCs w:val="21"/>
                      <w:highlight w:val="none"/>
                      <w:lang w:val="en-US" w:eastAsia="zh-CN"/>
                    </w:rPr>
                    <w:t>600060.729</w:t>
                  </w:r>
                </w:p>
              </w:tc>
              <w:tc>
                <w:tcPr>
                  <w:tcW w:w="0" w:type="auto"/>
                </w:tcPr>
                <w:p w14:paraId="32145D0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1"/>
                      <w:sz w:val="21"/>
                      <w:szCs w:val="21"/>
                      <w:highlight w:val="none"/>
                      <w:lang w:eastAsia="zh-CN"/>
                    </w:rPr>
                  </w:pPr>
                  <w:r>
                    <w:rPr>
                      <w:rFonts w:hint="eastAsia" w:cs="Times New Roman"/>
                      <w:color w:val="auto"/>
                      <w:kern w:val="21"/>
                      <w:sz w:val="21"/>
                      <w:szCs w:val="21"/>
                      <w:highlight w:val="none"/>
                      <w:lang w:eastAsia="zh-CN"/>
                    </w:rPr>
                    <w:t>合计</w:t>
                  </w:r>
                </w:p>
              </w:tc>
              <w:tc>
                <w:tcPr>
                  <w:tcW w:w="0" w:type="auto"/>
                </w:tcPr>
                <w:p w14:paraId="49633DF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600060.729</w:t>
                  </w:r>
                </w:p>
              </w:tc>
            </w:tr>
          </w:tbl>
          <w:p w14:paraId="28433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drawing>
                <wp:inline distT="0" distB="0" distL="114300" distR="114300">
                  <wp:extent cx="5098415" cy="4582795"/>
                  <wp:effectExtent l="0" t="0" r="6985" b="8255"/>
                  <wp:docPr id="6" name="图片 6" descr="174494932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949327394"/>
                          <pic:cNvPicPr>
                            <a:picLocks noChangeAspect="1"/>
                          </pic:cNvPicPr>
                        </pic:nvPicPr>
                        <pic:blipFill>
                          <a:blip r:embed="rId26"/>
                          <a:stretch>
                            <a:fillRect/>
                          </a:stretch>
                        </pic:blipFill>
                        <pic:spPr>
                          <a:xfrm>
                            <a:off x="0" y="0"/>
                            <a:ext cx="5098415" cy="4582795"/>
                          </a:xfrm>
                          <a:prstGeom prst="rect">
                            <a:avLst/>
                          </a:prstGeom>
                        </pic:spPr>
                      </pic:pic>
                    </a:graphicData>
                  </a:graphic>
                </wp:inline>
              </w:drawing>
            </w:r>
          </w:p>
          <w:p w14:paraId="60BCBCDC">
            <w:pPr>
              <w:keepNext w:val="0"/>
              <w:keepLines w:val="0"/>
              <w:pageBreakBefore w:val="0"/>
              <w:widowControl w:val="0"/>
              <w:kinsoku/>
              <w:wordWrap/>
              <w:overflowPunct/>
              <w:topLinePunct w:val="0"/>
              <w:autoSpaceDE/>
              <w:autoSpaceDN/>
              <w:bidi w:val="0"/>
              <w:adjustRightInd/>
              <w:snapToGrid/>
              <w:spacing w:before="0" w:after="0" w:line="480" w:lineRule="exact"/>
              <w:ind w:firstLine="0" w:firstLineChars="0"/>
              <w:jc w:val="center"/>
              <w:textAlignment w:val="baseline"/>
              <w:rPr>
                <w:rFonts w:hint="default"/>
                <w:color w:val="auto"/>
                <w:highlight w:val="none"/>
                <w:lang w:val="en-US" w:eastAsia="zh-CN"/>
              </w:rPr>
            </w:pPr>
            <w:r>
              <w:rPr>
                <w:rFonts w:hint="eastAsia" w:ascii="Times New Roman" w:hAnsi="Times New Roman" w:eastAsia="黑体" w:cs="Times New Roman"/>
                <w:iCs/>
                <w:snapToGrid w:val="0"/>
                <w:color w:val="auto"/>
                <w:kern w:val="0"/>
                <w:sz w:val="21"/>
                <w:szCs w:val="20"/>
                <w:highlight w:val="none"/>
                <w:lang w:val="en-US" w:eastAsia="zh-CN" w:bidi="ar-SA"/>
              </w:rPr>
              <w:t>图</w:t>
            </w:r>
            <w:r>
              <w:rPr>
                <w:rFonts w:hint="default" w:ascii="Times New Roman" w:hAnsi="Times New Roman" w:eastAsia="黑体" w:cs="Times New Roman"/>
                <w:iCs/>
                <w:snapToGrid w:val="0"/>
                <w:color w:val="auto"/>
                <w:kern w:val="0"/>
                <w:sz w:val="21"/>
                <w:szCs w:val="20"/>
                <w:highlight w:val="none"/>
                <w:lang w:val="en-US" w:eastAsia="zh-CN" w:bidi="ar-SA"/>
              </w:rPr>
              <w:t>2</w:t>
            </w:r>
            <w:r>
              <w:rPr>
                <w:rFonts w:hint="eastAsia" w:ascii="Times New Roman" w:hAnsi="Times New Roman" w:eastAsia="黑体" w:cs="Times New Roman"/>
                <w:iCs/>
                <w:snapToGrid w:val="0"/>
                <w:color w:val="auto"/>
                <w:kern w:val="0"/>
                <w:sz w:val="21"/>
                <w:szCs w:val="20"/>
                <w:highlight w:val="none"/>
                <w:lang w:val="en-US" w:eastAsia="zh-CN" w:bidi="ar-SA"/>
              </w:rPr>
              <w:t>.</w:t>
            </w:r>
            <w:r>
              <w:rPr>
                <w:rFonts w:hint="eastAsia" w:eastAsia="黑体" w:cs="Times New Roman"/>
                <w:iCs/>
                <w:snapToGrid w:val="0"/>
                <w:color w:val="auto"/>
                <w:kern w:val="0"/>
                <w:sz w:val="21"/>
                <w:szCs w:val="20"/>
                <w:highlight w:val="none"/>
                <w:lang w:val="en-US" w:eastAsia="zh-CN" w:bidi="ar-SA"/>
              </w:rPr>
              <w:t>8</w:t>
            </w:r>
            <w:r>
              <w:rPr>
                <w:rFonts w:hint="eastAsia" w:ascii="Times New Roman" w:hAnsi="Times New Roman" w:eastAsia="黑体" w:cs="Times New Roman"/>
                <w:iCs/>
                <w:snapToGrid w:val="0"/>
                <w:color w:val="auto"/>
                <w:kern w:val="0"/>
                <w:sz w:val="21"/>
                <w:szCs w:val="20"/>
                <w:highlight w:val="none"/>
                <w:lang w:val="en-US" w:eastAsia="zh-CN" w:bidi="ar-SA"/>
              </w:rPr>
              <w:t>-1</w:t>
            </w:r>
            <w:r>
              <w:rPr>
                <w:rFonts w:hint="default" w:ascii="Times New Roman" w:hAnsi="Times New Roman" w:eastAsia="黑体" w:cs="Times New Roman"/>
                <w:iCs/>
                <w:snapToGrid w:val="0"/>
                <w:color w:val="auto"/>
                <w:kern w:val="0"/>
                <w:sz w:val="21"/>
                <w:szCs w:val="20"/>
                <w:highlight w:val="none"/>
                <w:lang w:val="en-US" w:eastAsia="zh-CN" w:bidi="ar-SA"/>
              </w:rPr>
              <w:t xml:space="preserve">  </w:t>
            </w:r>
            <w:r>
              <w:rPr>
                <w:rFonts w:hint="eastAsia" w:eastAsia="黑体" w:cs="Times New Roman"/>
                <w:iCs/>
                <w:snapToGrid w:val="0"/>
                <w:color w:val="auto"/>
                <w:kern w:val="0"/>
                <w:sz w:val="21"/>
                <w:szCs w:val="20"/>
                <w:highlight w:val="none"/>
                <w:lang w:val="en-US" w:eastAsia="zh-CN" w:bidi="ar-SA"/>
              </w:rPr>
              <w:t>物料</w:t>
            </w:r>
            <w:r>
              <w:rPr>
                <w:rFonts w:hint="default" w:ascii="Times New Roman" w:hAnsi="Times New Roman" w:eastAsia="黑体" w:cs="Times New Roman"/>
                <w:iCs/>
                <w:snapToGrid w:val="0"/>
                <w:color w:val="auto"/>
                <w:kern w:val="0"/>
                <w:sz w:val="21"/>
                <w:szCs w:val="20"/>
                <w:highlight w:val="none"/>
                <w:lang w:val="en-US" w:eastAsia="zh-CN" w:bidi="ar-SA"/>
              </w:rPr>
              <w:t>平衡</w:t>
            </w:r>
            <w:r>
              <w:rPr>
                <w:rFonts w:hint="eastAsia" w:ascii="Times New Roman" w:hAnsi="Times New Roman" w:eastAsia="黑体" w:cs="Times New Roman"/>
                <w:iCs/>
                <w:snapToGrid w:val="0"/>
                <w:color w:val="auto"/>
                <w:kern w:val="0"/>
                <w:sz w:val="21"/>
                <w:szCs w:val="20"/>
                <w:highlight w:val="none"/>
                <w:lang w:val="en-US" w:eastAsia="zh-CN" w:bidi="ar-SA"/>
              </w:rPr>
              <w:t>图（单位：t/a）</w:t>
            </w:r>
          </w:p>
          <w:p w14:paraId="09DF5016">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p>
          <w:p w14:paraId="566B8004">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p>
          <w:p w14:paraId="62CF8317">
            <w:pPr>
              <w:keepNext w:val="0"/>
              <w:keepLines w:val="0"/>
              <w:pageBreakBefore w:val="0"/>
              <w:widowControl w:val="0"/>
              <w:kinsoku/>
              <w:wordWrap/>
              <w:overflowPunct/>
              <w:topLinePunct w:val="0"/>
              <w:bidi w:val="0"/>
              <w:spacing w:line="480" w:lineRule="exact"/>
              <w:ind w:firstLine="480" w:firstLineChars="200"/>
              <w:textAlignment w:val="auto"/>
              <w:rPr>
                <w:rFonts w:hint="eastAsia" w:hAnsi="宋体" w:cs="Times New Roman"/>
                <w:color w:val="auto"/>
                <w:sz w:val="24"/>
                <w:highlight w:val="none"/>
                <w:lang w:val="en-US" w:eastAsia="zh-CN"/>
              </w:rPr>
            </w:pPr>
          </w:p>
          <w:p w14:paraId="4FF01BB7">
            <w:pPr>
              <w:keepNext w:val="0"/>
              <w:keepLines w:val="0"/>
              <w:pageBreakBefore w:val="0"/>
              <w:widowControl w:val="0"/>
              <w:kinsoku/>
              <w:wordWrap/>
              <w:overflowPunct/>
              <w:topLinePunct w:val="0"/>
              <w:bidi w:val="0"/>
              <w:spacing w:line="480" w:lineRule="exact"/>
              <w:ind w:firstLine="480" w:firstLineChars="200"/>
              <w:textAlignment w:val="auto"/>
              <w:rPr>
                <w:rFonts w:hint="eastAsia" w:hAnsi="宋体" w:cs="Times New Roman"/>
                <w:color w:val="auto"/>
                <w:sz w:val="24"/>
                <w:highlight w:val="none"/>
                <w:lang w:val="en-US" w:eastAsia="zh-CN"/>
              </w:rPr>
            </w:pPr>
          </w:p>
          <w:p w14:paraId="6FAD8DC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p>
        </w:tc>
      </w:tr>
      <w:tr w14:paraId="3E238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3" w:type="dxa"/>
            <w:noWrap w:val="0"/>
            <w:vAlign w:val="center"/>
          </w:tcPr>
          <w:p w14:paraId="2032640C">
            <w:pPr>
              <w:pStyle w:val="1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161" w:type="dxa"/>
            <w:noWrap w:val="0"/>
            <w:vAlign w:val="top"/>
          </w:tcPr>
          <w:p w14:paraId="317877CC">
            <w:pPr>
              <w:keepNext w:val="0"/>
              <w:keepLines w:val="0"/>
              <w:pageBreakBefore w:val="0"/>
              <w:widowControl w:val="0"/>
              <w:kinsoku/>
              <w:wordWrap/>
              <w:overflowPunct/>
              <w:topLinePunct w:val="0"/>
              <w:autoSpaceDE w:val="0"/>
              <w:autoSpaceDN w:val="0"/>
              <w:bidi w:val="0"/>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9</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工艺流程</w:t>
            </w:r>
            <w:r>
              <w:rPr>
                <w:rFonts w:hint="eastAsia" w:ascii="Times New Roman" w:hAnsi="Times New Roman" w:eastAsia="宋体" w:cs="Times New Roman"/>
                <w:b/>
                <w:bCs/>
                <w:color w:val="auto"/>
                <w:sz w:val="24"/>
                <w:szCs w:val="24"/>
                <w:highlight w:val="none"/>
                <w:lang w:val="en-US" w:eastAsia="zh-CN"/>
              </w:rPr>
              <w:t>和产排污环节</w:t>
            </w:r>
          </w:p>
          <w:p w14:paraId="22FB8614">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9</w:t>
            </w:r>
            <w:r>
              <w:rPr>
                <w:rFonts w:hint="eastAsia" w:ascii="Times New Roman" w:hAnsi="Times New Roman" w:eastAsia="宋体" w:cs="Times New Roman"/>
                <w:b/>
                <w:bCs w:val="0"/>
                <w:color w:val="auto"/>
                <w:sz w:val="24"/>
                <w:szCs w:val="24"/>
                <w:highlight w:val="none"/>
                <w:lang w:val="en-US" w:eastAsia="zh-CN"/>
              </w:rPr>
              <w:t>.1 生产工艺流程</w:t>
            </w:r>
          </w:p>
          <w:p w14:paraId="6543B79C">
            <w:pPr>
              <w:keepNext w:val="0"/>
              <w:keepLines w:val="0"/>
              <w:pageBreakBefore w:val="0"/>
              <w:widowControl w:val="0"/>
              <w:kinsoku/>
              <w:wordWrap/>
              <w:overflowPunct/>
              <w:topLinePunct w:val="0"/>
              <w:bidi w:val="0"/>
              <w:spacing w:line="480" w:lineRule="exact"/>
              <w:ind w:firstLine="480" w:firstLineChars="200"/>
              <w:textAlignment w:val="auto"/>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本项目主要由矸石系统和浆料系统两部分组成，其中浆料通过地面注浆站进行搅拌混合制成，然后矸石、浆料在井下混合。</w:t>
            </w:r>
            <w:r>
              <w:rPr>
                <w:rFonts w:hint="eastAsia" w:cs="Times New Roman"/>
                <w:b w:val="0"/>
                <w:bCs/>
                <w:color w:val="auto"/>
                <w:sz w:val="24"/>
                <w:szCs w:val="24"/>
                <w:highlight w:val="none"/>
                <w:lang w:val="en-US" w:eastAsia="zh-CN"/>
              </w:rPr>
              <w:t>本次环评仅针对注浆站地面的主体工程、储运工程、辅助及配套工程进行评价，其井下充填工程及配套设施需另行评价。</w:t>
            </w:r>
          </w:p>
          <w:p w14:paraId="453CFFE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1.矸石系统</w:t>
            </w:r>
          </w:p>
          <w:p w14:paraId="65CD5F62">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矸石</w:t>
            </w:r>
            <w:r>
              <w:rPr>
                <w:rFonts w:hint="eastAsia" w:hAnsi="宋体" w:cs="Times New Roman"/>
                <w:color w:val="auto"/>
                <w:sz w:val="24"/>
                <w:highlight w:val="none"/>
                <w:lang w:val="en-US" w:eastAsia="zh-CN"/>
              </w:rPr>
              <w:t>通过车辆</w:t>
            </w:r>
            <w:r>
              <w:rPr>
                <w:rFonts w:hint="eastAsia" w:ascii="Times New Roman" w:hAnsi="宋体" w:eastAsia="宋体" w:cs="Times New Roman"/>
                <w:color w:val="auto"/>
                <w:sz w:val="24"/>
                <w:highlight w:val="none"/>
                <w:lang w:val="en-US" w:eastAsia="zh-CN"/>
              </w:rPr>
              <w:t>运至</w:t>
            </w:r>
            <w:r>
              <w:rPr>
                <w:rFonts w:hint="eastAsia" w:hAnsi="宋体" w:cs="Times New Roman"/>
                <w:color w:val="auto"/>
                <w:sz w:val="24"/>
                <w:highlight w:val="none"/>
                <w:lang w:val="en-US" w:eastAsia="zh-CN"/>
              </w:rPr>
              <w:t>东风井场地</w:t>
            </w:r>
            <w:r>
              <w:rPr>
                <w:rFonts w:hint="eastAsia" w:ascii="Times New Roman" w:hAnsi="宋体" w:eastAsia="宋体" w:cs="Times New Roman"/>
                <w:color w:val="auto"/>
                <w:sz w:val="24"/>
                <w:highlight w:val="none"/>
                <w:lang w:val="en-US" w:eastAsia="zh-CN"/>
              </w:rPr>
              <w:t>储矸棚内</w:t>
            </w:r>
            <w:r>
              <w:rPr>
                <w:rFonts w:hint="eastAsia" w:hAnsi="宋体" w:cs="Times New Roman"/>
                <w:color w:val="auto"/>
                <w:sz w:val="24"/>
                <w:highlight w:val="none"/>
                <w:lang w:val="en-US" w:eastAsia="zh-CN"/>
              </w:rPr>
              <w:t>，</w:t>
            </w:r>
            <w:r>
              <w:rPr>
                <w:rFonts w:hint="eastAsia" w:ascii="Times New Roman" w:hAnsi="宋体" w:eastAsia="宋体" w:cs="Times New Roman"/>
                <w:color w:val="auto"/>
                <w:sz w:val="24"/>
                <w:highlight w:val="none"/>
                <w:lang w:val="en-US" w:eastAsia="zh-CN"/>
              </w:rPr>
              <w:t>储矸棚</w:t>
            </w:r>
            <w:r>
              <w:rPr>
                <w:rFonts w:hint="eastAsia" w:hAnsi="宋体" w:cs="Times New Roman"/>
                <w:color w:val="auto"/>
                <w:sz w:val="24"/>
                <w:highlight w:val="none"/>
                <w:lang w:val="en-US" w:eastAsia="zh-CN"/>
              </w:rPr>
              <w:t>内设置喷雾降尘装置，</w:t>
            </w:r>
            <w:r>
              <w:rPr>
                <w:rFonts w:hint="eastAsia" w:cs="Times New Roman"/>
                <w:bCs/>
                <w:color w:val="auto"/>
                <w:sz w:val="24"/>
                <w:szCs w:val="24"/>
                <w:highlight w:val="none"/>
                <w:lang w:val="en-US" w:eastAsia="zh-CN"/>
              </w:rPr>
              <w:t>通过装载机倒入矸石受料斗</w:t>
            </w:r>
            <w:r>
              <w:rPr>
                <w:rFonts w:hint="eastAsia" w:ascii="Times New Roman" w:hAnsi="宋体" w:eastAsia="宋体" w:cs="Times New Roman"/>
                <w:color w:val="auto"/>
                <w:sz w:val="24"/>
                <w:highlight w:val="none"/>
                <w:lang w:val="en-US" w:eastAsia="zh-CN"/>
              </w:rPr>
              <w:t>。</w:t>
            </w:r>
          </w:p>
          <w:p w14:paraId="530EDE1A">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该环节主要污染源：</w:t>
            </w:r>
            <w:r>
              <w:rPr>
                <w:rFonts w:hint="eastAsia" w:ascii="Times New Roman" w:hAnsi="Times New Roman" w:cs="Times New Roman"/>
                <w:color w:val="auto"/>
                <w:sz w:val="24"/>
                <w:highlight w:val="none"/>
                <w:lang w:val="en-US" w:eastAsia="zh-CN"/>
              </w:rPr>
              <w:t>矸石堆存扬尘</w:t>
            </w:r>
            <w:r>
              <w:rPr>
                <w:rFonts w:hint="eastAsia" w:ascii="Times New Roman" w:hAnsi="Times New Roman" w:eastAsia="宋体" w:cs="Times New Roman"/>
                <w:color w:val="auto"/>
                <w:sz w:val="24"/>
                <w:highlight w:val="none"/>
                <w:lang w:val="en-US" w:eastAsia="zh-CN"/>
              </w:rPr>
              <w:t>G</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矸石受料斗粉尘</w:t>
            </w:r>
            <w:r>
              <w:rPr>
                <w:rFonts w:hint="eastAsia" w:ascii="Times New Roman" w:hAnsi="Times New Roman" w:cs="Times New Roman"/>
                <w:color w:val="auto"/>
                <w:sz w:val="24"/>
                <w:highlight w:val="none"/>
                <w:lang w:val="en-US" w:eastAsia="zh-CN"/>
              </w:rPr>
              <w:t>G2、汽车道路运输扬尘G</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；除尘风机运行产生的噪声N；除尘器收集的除尘灰S</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w:t>
            </w:r>
          </w:p>
          <w:p w14:paraId="138713D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2.浆料系统</w:t>
            </w:r>
          </w:p>
          <w:p w14:paraId="79D841C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浆料系统由</w:t>
            </w:r>
            <w:r>
              <w:rPr>
                <w:rFonts w:hint="eastAsia" w:hAnsi="宋体" w:cs="Times New Roman"/>
                <w:color w:val="auto"/>
                <w:sz w:val="24"/>
                <w:highlight w:val="none"/>
                <w:lang w:val="en-US" w:eastAsia="zh-CN"/>
              </w:rPr>
              <w:t>水泥、水、添加剂供料系统</w:t>
            </w:r>
            <w:r>
              <w:rPr>
                <w:rFonts w:hint="eastAsia" w:ascii="Times New Roman" w:hAnsi="宋体" w:eastAsia="宋体" w:cs="Times New Roman"/>
                <w:color w:val="auto"/>
                <w:sz w:val="24"/>
                <w:highlight w:val="none"/>
                <w:lang w:val="en-US" w:eastAsia="zh-CN"/>
              </w:rPr>
              <w:t>组成。</w:t>
            </w:r>
            <w:r>
              <w:rPr>
                <w:rFonts w:hint="eastAsia" w:hAnsi="宋体" w:cs="Times New Roman"/>
                <w:color w:val="auto"/>
                <w:sz w:val="24"/>
                <w:highlight w:val="none"/>
                <w:lang w:val="en-US" w:eastAsia="zh-CN"/>
              </w:rPr>
              <w:t>将水泥和水按比例在高速制浆机内初步搅拌混合，混合料和添加剂再通过低速搅拌桶二次混合均匀，搅拌形成浆料</w:t>
            </w:r>
            <w:r>
              <w:rPr>
                <w:rFonts w:hint="eastAsia" w:ascii="Times New Roman" w:hAnsi="宋体" w:eastAsia="宋体" w:cs="Times New Roman"/>
                <w:color w:val="auto"/>
                <w:sz w:val="24"/>
                <w:highlight w:val="none"/>
                <w:lang w:val="en-US" w:eastAsia="zh-CN"/>
              </w:rPr>
              <w:t>。</w:t>
            </w:r>
          </w:p>
          <w:p w14:paraId="4C3C3F1E">
            <w:pPr>
              <w:keepNext w:val="0"/>
              <w:keepLines w:val="0"/>
              <w:pageBreakBefore w:val="0"/>
              <w:widowControl w:val="0"/>
              <w:kinsoku/>
              <w:wordWrap/>
              <w:overflowPunct/>
              <w:topLinePunct w:val="0"/>
              <w:bidi w:val="0"/>
              <w:spacing w:line="480" w:lineRule="exact"/>
              <w:ind w:firstLine="480" w:firstLineChars="200"/>
              <w:textAlignment w:val="auto"/>
              <w:rPr>
                <w:rFonts w:hint="eastAsia" w:hAnsi="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该环节主要污染源：</w:t>
            </w:r>
            <w:r>
              <w:rPr>
                <w:rFonts w:hint="eastAsia" w:cs="Times New Roman"/>
                <w:color w:val="auto"/>
                <w:sz w:val="24"/>
                <w:highlight w:val="none"/>
                <w:lang w:val="en-US" w:eastAsia="zh-CN"/>
              </w:rPr>
              <w:t>高速制浆机</w:t>
            </w:r>
            <w:r>
              <w:rPr>
                <w:rFonts w:hint="eastAsia" w:ascii="Times New Roman" w:hAnsi="Times New Roman" w:eastAsia="宋体" w:cs="Times New Roman"/>
                <w:color w:val="auto"/>
                <w:sz w:val="24"/>
                <w:highlight w:val="none"/>
                <w:lang w:val="en-US" w:eastAsia="zh-CN"/>
              </w:rPr>
              <w:t>粉尘G</w:t>
            </w:r>
            <w:r>
              <w:rPr>
                <w:rFonts w:hint="eastAsia" w:cs="Times New Roman"/>
                <w:color w:val="auto"/>
                <w:sz w:val="24"/>
                <w:highlight w:val="none"/>
                <w:lang w:val="en-US" w:eastAsia="zh-CN"/>
              </w:rPr>
              <w:t>5；高速</w:t>
            </w:r>
            <w:r>
              <w:rPr>
                <w:rFonts w:hint="eastAsia" w:ascii="Times New Roman" w:hAnsi="Times New Roman" w:cs="Times New Roman"/>
                <w:color w:val="auto"/>
                <w:sz w:val="24"/>
                <w:highlight w:val="none"/>
                <w:lang w:val="en-US" w:eastAsia="zh-CN"/>
              </w:rPr>
              <w:t>制浆机、低速</w:t>
            </w:r>
            <w:r>
              <w:rPr>
                <w:rFonts w:hint="eastAsia" w:cs="Times New Roman"/>
                <w:color w:val="auto"/>
                <w:sz w:val="24"/>
                <w:highlight w:val="none"/>
                <w:lang w:val="en-US" w:eastAsia="zh-CN"/>
              </w:rPr>
              <w:t>搅拌桶、充填管道</w:t>
            </w:r>
            <w:r>
              <w:rPr>
                <w:rFonts w:hint="eastAsia" w:ascii="Times New Roman" w:hAnsi="Times New Roman" w:cs="Times New Roman"/>
                <w:color w:val="auto"/>
                <w:sz w:val="24"/>
                <w:highlight w:val="none"/>
                <w:lang w:val="en-US" w:eastAsia="zh-CN"/>
              </w:rPr>
              <w:t>冲洗废水W1</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高速</w:t>
            </w:r>
            <w:r>
              <w:rPr>
                <w:rFonts w:hint="eastAsia" w:ascii="Times New Roman" w:hAnsi="Times New Roman" w:eastAsia="宋体" w:cs="Times New Roman"/>
                <w:color w:val="auto"/>
                <w:sz w:val="24"/>
                <w:highlight w:val="none"/>
                <w:lang w:val="en-US" w:eastAsia="zh-CN"/>
              </w:rPr>
              <w:t>制浆机、低速</w:t>
            </w:r>
            <w:r>
              <w:rPr>
                <w:rFonts w:hint="eastAsia" w:cs="Times New Roman"/>
                <w:color w:val="auto"/>
                <w:sz w:val="24"/>
                <w:highlight w:val="none"/>
                <w:lang w:val="en-US" w:eastAsia="zh-CN"/>
              </w:rPr>
              <w:t>搅拌桶</w:t>
            </w:r>
            <w:r>
              <w:rPr>
                <w:rFonts w:hint="eastAsia" w:ascii="Times New Roman" w:hAnsi="Times New Roman" w:eastAsia="宋体" w:cs="Times New Roman"/>
                <w:color w:val="auto"/>
                <w:sz w:val="24"/>
                <w:highlight w:val="none"/>
                <w:lang w:val="en-US" w:eastAsia="zh-CN"/>
              </w:rPr>
              <w:t>运行产生的噪声N；除尘器收集的除尘灰S</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w:t>
            </w:r>
          </w:p>
          <w:p w14:paraId="79C2C081">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（1）水泥</w:t>
            </w:r>
          </w:p>
          <w:p w14:paraId="7F7D77E9">
            <w:pPr>
              <w:keepNext w:val="0"/>
              <w:keepLines w:val="0"/>
              <w:pageBreakBefore w:val="0"/>
              <w:widowControl w:val="0"/>
              <w:kinsoku/>
              <w:wordWrap/>
              <w:overflowPunct/>
              <w:topLinePunct w:val="0"/>
              <w:bidi w:val="0"/>
              <w:spacing w:line="480" w:lineRule="exact"/>
              <w:ind w:firstLine="480" w:firstLineChars="200"/>
              <w:textAlignment w:val="auto"/>
              <w:rPr>
                <w:rFonts w:hint="eastAsia" w:hAnsi="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水泥由外部粉料罐车运输，经罐车自带的空压机压气吹入</w:t>
            </w:r>
            <w:r>
              <w:rPr>
                <w:rFonts w:hint="eastAsia" w:hAnsi="宋体" w:cs="Times New Roman"/>
                <w:color w:val="auto"/>
                <w:sz w:val="24"/>
                <w:highlight w:val="none"/>
                <w:lang w:val="en-US" w:eastAsia="zh-CN"/>
              </w:rPr>
              <w:t>水泥筒仓</w:t>
            </w:r>
            <w:r>
              <w:rPr>
                <w:rFonts w:hint="eastAsia" w:ascii="Times New Roman" w:hAnsi="宋体" w:eastAsia="宋体" w:cs="Times New Roman"/>
                <w:color w:val="auto"/>
                <w:sz w:val="24"/>
                <w:highlight w:val="none"/>
                <w:lang w:val="en-US" w:eastAsia="zh-CN"/>
              </w:rPr>
              <w:t>内存储。当制备</w:t>
            </w:r>
            <w:r>
              <w:rPr>
                <w:rFonts w:hint="eastAsia" w:hAnsi="宋体" w:cs="Times New Roman"/>
                <w:color w:val="auto"/>
                <w:sz w:val="24"/>
                <w:highlight w:val="none"/>
                <w:lang w:val="en-US" w:eastAsia="zh-CN"/>
              </w:rPr>
              <w:t>浆料</w:t>
            </w:r>
            <w:r>
              <w:rPr>
                <w:rFonts w:hint="eastAsia" w:ascii="Times New Roman" w:hAnsi="宋体" w:eastAsia="宋体" w:cs="Times New Roman"/>
                <w:color w:val="auto"/>
                <w:sz w:val="24"/>
                <w:highlight w:val="none"/>
                <w:lang w:val="en-US" w:eastAsia="zh-CN"/>
              </w:rPr>
              <w:t>需要水泥时，打开仓底部液压插板阀，通过螺旋输送机将水泥给料至高速制浆机。螺旋输送机自带计量装置，可实现水泥按充填规定物料的配比给料</w:t>
            </w:r>
            <w:r>
              <w:rPr>
                <w:rFonts w:hint="eastAsia" w:hAnsi="宋体" w:cs="Times New Roman"/>
                <w:color w:val="auto"/>
                <w:sz w:val="24"/>
                <w:highlight w:val="none"/>
                <w:lang w:val="en-US" w:eastAsia="zh-CN"/>
              </w:rPr>
              <w:t>。</w:t>
            </w:r>
          </w:p>
          <w:p w14:paraId="2AF00C5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该环节主要污染源：</w:t>
            </w:r>
            <w:r>
              <w:rPr>
                <w:rFonts w:hint="eastAsia" w:ascii="Times New Roman" w:hAnsi="Times New Roman" w:cs="Times New Roman"/>
                <w:color w:val="auto"/>
                <w:sz w:val="24"/>
                <w:highlight w:val="none"/>
                <w:lang w:val="en-US" w:eastAsia="zh-CN"/>
              </w:rPr>
              <w:t>入水泥筒仓</w:t>
            </w:r>
            <w:r>
              <w:rPr>
                <w:rFonts w:hint="eastAsia" w:ascii="Times New Roman" w:hAnsi="Times New Roman" w:eastAsia="宋体" w:cs="Times New Roman"/>
                <w:color w:val="auto"/>
                <w:sz w:val="24"/>
                <w:highlight w:val="none"/>
                <w:lang w:val="en-US" w:eastAsia="zh-CN"/>
              </w:rPr>
              <w:t>粉尘G</w:t>
            </w:r>
            <w:r>
              <w:rPr>
                <w:rFonts w:hint="eastAsia"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物料输送</w:t>
            </w:r>
            <w:r>
              <w:rPr>
                <w:rFonts w:hint="eastAsia" w:cs="Times New Roman"/>
                <w:color w:val="auto"/>
                <w:sz w:val="24"/>
                <w:highlight w:val="none"/>
                <w:lang w:val="en-US" w:eastAsia="zh-CN"/>
              </w:rPr>
              <w:t>粉尘G4</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罐车道路运输扬尘G</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；除尘器收集的除尘灰S</w:t>
            </w:r>
            <w:r>
              <w:rPr>
                <w:rFonts w:hint="eastAsia" w:ascii="Times New Roman" w:hAnsi="Times New Roman"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；除尘风机、</w:t>
            </w:r>
            <w:r>
              <w:rPr>
                <w:rFonts w:hint="eastAsia" w:ascii="Times New Roman" w:hAnsi="Times New Roman" w:cs="Times New Roman"/>
                <w:color w:val="auto"/>
                <w:sz w:val="24"/>
                <w:highlight w:val="none"/>
                <w:lang w:val="en-US" w:eastAsia="zh-CN"/>
              </w:rPr>
              <w:t>螺旋输送机</w:t>
            </w:r>
            <w:r>
              <w:rPr>
                <w:rFonts w:hint="eastAsia" w:ascii="Times New Roman" w:hAnsi="Times New Roman" w:eastAsia="宋体" w:cs="Times New Roman"/>
                <w:color w:val="auto"/>
                <w:sz w:val="24"/>
                <w:highlight w:val="none"/>
                <w:lang w:val="en-US" w:eastAsia="zh-CN"/>
              </w:rPr>
              <w:t>运行产生的噪声N。</w:t>
            </w:r>
          </w:p>
          <w:p w14:paraId="394DF017">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hAnsi="宋体" w:cs="Times New Roman"/>
                <w:color w:val="auto"/>
                <w:sz w:val="24"/>
                <w:highlight w:val="none"/>
                <w:lang w:val="en-US" w:eastAsia="zh-CN"/>
              </w:rPr>
            </w:pPr>
            <w:r>
              <w:rPr>
                <w:rFonts w:hint="eastAsia" w:hAnsi="宋体" w:cs="Times New Roman"/>
                <w:color w:val="auto"/>
                <w:sz w:val="24"/>
                <w:highlight w:val="none"/>
                <w:lang w:val="en-US" w:eastAsia="zh-CN"/>
              </w:rPr>
              <w:t>（2）水</w:t>
            </w:r>
          </w:p>
          <w:p w14:paraId="6F46CE34">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eastAsia" w:hAnsi="宋体" w:cs="Times New Roman"/>
                <w:color w:val="auto"/>
                <w:sz w:val="24"/>
                <w:highlight w:val="none"/>
                <w:lang w:val="en-US" w:eastAsia="zh-CN"/>
              </w:rPr>
            </w:pPr>
            <w:r>
              <w:rPr>
                <w:rFonts w:hint="eastAsia" w:hAnsi="宋体" w:cs="Times New Roman"/>
                <w:color w:val="auto"/>
                <w:sz w:val="24"/>
                <w:highlight w:val="none"/>
                <w:lang w:val="en-US" w:eastAsia="zh-CN"/>
              </w:rPr>
              <w:t>在东风井井筒内布置1条供水管，现有矿井水处理站处理后的矿井水经管道输送至现有井底水仓，通过井筒内供水管进入新建</w:t>
            </w:r>
            <w:r>
              <w:rPr>
                <w:rFonts w:hint="eastAsia" w:ascii="Times New Roman" w:hAnsi="宋体" w:eastAsia="宋体" w:cs="Times New Roman"/>
                <w:color w:val="auto"/>
                <w:sz w:val="24"/>
                <w:highlight w:val="none"/>
                <w:lang w:val="en-US" w:eastAsia="zh-CN"/>
              </w:rPr>
              <w:t>蓄水池，蓄水池内安装潜水泵，</w:t>
            </w:r>
            <w:r>
              <w:rPr>
                <w:rFonts w:hint="eastAsia" w:hAnsi="宋体" w:cs="Times New Roman"/>
                <w:color w:val="auto"/>
                <w:sz w:val="24"/>
                <w:highlight w:val="none"/>
                <w:lang w:val="en-US" w:eastAsia="zh-CN"/>
              </w:rPr>
              <w:t>制浆用水</w:t>
            </w:r>
            <w:r>
              <w:rPr>
                <w:rFonts w:hint="eastAsia" w:ascii="Times New Roman" w:hAnsi="宋体" w:eastAsia="宋体" w:cs="Times New Roman"/>
                <w:color w:val="auto"/>
                <w:sz w:val="24"/>
                <w:highlight w:val="none"/>
                <w:lang w:val="en-US" w:eastAsia="zh-CN"/>
              </w:rPr>
              <w:t>通过水泵进入高速制浆机，管道装有电磁流量计</w:t>
            </w:r>
            <w:r>
              <w:rPr>
                <w:rFonts w:hint="eastAsia" w:hAnsi="宋体" w:cs="Times New Roman"/>
                <w:color w:val="auto"/>
                <w:sz w:val="24"/>
                <w:highlight w:val="none"/>
                <w:lang w:val="en-US" w:eastAsia="zh-CN"/>
              </w:rPr>
              <w:t>来</w:t>
            </w:r>
            <w:r>
              <w:rPr>
                <w:rFonts w:hint="eastAsia" w:ascii="Times New Roman" w:hAnsi="宋体" w:eastAsia="宋体" w:cs="Times New Roman"/>
                <w:color w:val="auto"/>
                <w:sz w:val="24"/>
                <w:highlight w:val="none"/>
                <w:lang w:val="en-US" w:eastAsia="zh-CN"/>
              </w:rPr>
              <w:t>实现水量计量工作，从而实现按充填规定物料的配比制浆</w:t>
            </w:r>
            <w:r>
              <w:rPr>
                <w:rFonts w:hint="eastAsia" w:hAnsi="宋体" w:cs="Times New Roman"/>
                <w:color w:val="auto"/>
                <w:sz w:val="24"/>
                <w:highlight w:val="none"/>
                <w:lang w:val="en-US" w:eastAsia="zh-CN"/>
              </w:rPr>
              <w:t>。</w:t>
            </w:r>
          </w:p>
          <w:p w14:paraId="2F19AD6C">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该环节主要污染源：</w:t>
            </w:r>
            <w:r>
              <w:rPr>
                <w:rFonts w:hint="eastAsia" w:ascii="Times New Roman" w:hAnsi="Times New Roman" w:cs="Times New Roman"/>
                <w:color w:val="auto"/>
                <w:sz w:val="24"/>
                <w:highlight w:val="none"/>
                <w:lang w:val="en-US" w:eastAsia="zh-CN"/>
              </w:rPr>
              <w:t>潜水泵</w:t>
            </w:r>
            <w:r>
              <w:rPr>
                <w:rFonts w:hint="eastAsia" w:ascii="Times New Roman" w:hAnsi="Times New Roman" w:eastAsia="宋体" w:cs="Times New Roman"/>
                <w:color w:val="auto"/>
                <w:sz w:val="24"/>
                <w:highlight w:val="none"/>
                <w:lang w:val="en-US" w:eastAsia="zh-CN"/>
              </w:rPr>
              <w:t>运行产生的噪声N。</w:t>
            </w:r>
          </w:p>
          <w:p w14:paraId="4E245999">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（3）添加剂</w:t>
            </w:r>
          </w:p>
          <w:p w14:paraId="502D28E1">
            <w:pPr>
              <w:keepNext w:val="0"/>
              <w:keepLines w:val="0"/>
              <w:pageBreakBefore w:val="0"/>
              <w:widowControl w:val="0"/>
              <w:kinsoku/>
              <w:wordWrap/>
              <w:overflowPunct/>
              <w:topLinePunct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b w:val="0"/>
                <w:bCs/>
                <w:color w:val="auto"/>
                <w:sz w:val="24"/>
                <w:szCs w:val="24"/>
                <w:highlight w:val="none"/>
                <w:lang w:val="en-US" w:eastAsia="zh-CN"/>
              </w:rPr>
              <w:t>添加剂主要成分为工业盐，袋装储存于制浆车间1层，生产时将添加剂按比例加入添加剂搅拌桶中。</w:t>
            </w:r>
          </w:p>
          <w:p w14:paraId="760AE95B">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生产工艺流程及产污环节图见图2.</w:t>
            </w:r>
            <w:r>
              <w:rPr>
                <w:rFonts w:hint="eastAsia" w:hAnsi="宋体" w:cs="Times New Roman"/>
                <w:color w:val="auto"/>
                <w:sz w:val="24"/>
                <w:highlight w:val="none"/>
                <w:lang w:val="en-US" w:eastAsia="zh-CN"/>
              </w:rPr>
              <w:t>9</w:t>
            </w:r>
            <w:r>
              <w:rPr>
                <w:rFonts w:hint="eastAsia" w:ascii="Times New Roman" w:hAnsi="宋体" w:eastAsia="宋体" w:cs="Times New Roman"/>
                <w:color w:val="auto"/>
                <w:sz w:val="24"/>
                <w:highlight w:val="none"/>
                <w:lang w:val="en-US" w:eastAsia="zh-CN"/>
              </w:rPr>
              <w:t>-</w:t>
            </w:r>
            <w:r>
              <w:rPr>
                <w:rFonts w:hint="eastAsia" w:hAnsi="宋体" w:cs="Times New Roman"/>
                <w:color w:val="auto"/>
                <w:sz w:val="24"/>
                <w:highlight w:val="none"/>
                <w:lang w:val="en-US" w:eastAsia="zh-CN"/>
              </w:rPr>
              <w:t>1</w:t>
            </w:r>
            <w:r>
              <w:rPr>
                <w:rFonts w:hint="eastAsia" w:ascii="Times New Roman" w:hAnsi="宋体" w:eastAsia="宋体" w:cs="Times New Roman"/>
                <w:color w:val="auto"/>
                <w:sz w:val="24"/>
                <w:highlight w:val="none"/>
                <w:lang w:val="en-US" w:eastAsia="zh-CN"/>
              </w:rPr>
              <w:t>。</w:t>
            </w:r>
          </w:p>
          <w:p w14:paraId="545575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drawing>
                <wp:inline distT="0" distB="0" distL="114300" distR="114300">
                  <wp:extent cx="5036820" cy="5275580"/>
                  <wp:effectExtent l="0" t="0" r="11430" b="1270"/>
                  <wp:docPr id="3" name="图片 3" descr="174236903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2369033262"/>
                          <pic:cNvPicPr>
                            <a:picLocks noChangeAspect="1"/>
                          </pic:cNvPicPr>
                        </pic:nvPicPr>
                        <pic:blipFill>
                          <a:blip r:embed="rId27"/>
                          <a:stretch>
                            <a:fillRect/>
                          </a:stretch>
                        </pic:blipFill>
                        <pic:spPr>
                          <a:xfrm>
                            <a:off x="0" y="0"/>
                            <a:ext cx="5036820" cy="5275580"/>
                          </a:xfrm>
                          <a:prstGeom prst="rect">
                            <a:avLst/>
                          </a:prstGeom>
                        </pic:spPr>
                      </pic:pic>
                    </a:graphicData>
                  </a:graphic>
                </wp:inline>
              </w:drawing>
            </w:r>
          </w:p>
          <w:p w14:paraId="0D61F384">
            <w:pPr>
              <w:keepNext w:val="0"/>
              <w:keepLines w:val="0"/>
              <w:pageBreakBefore w:val="0"/>
              <w:widowControl w:val="0"/>
              <w:kinsoku/>
              <w:wordWrap/>
              <w:overflowPunct/>
              <w:topLinePunct w:val="0"/>
              <w:bidi w:val="0"/>
              <w:spacing w:line="480" w:lineRule="exact"/>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黑体" w:cs="Times New Roman"/>
                <w:b w:val="0"/>
                <w:bCs w:val="0"/>
                <w:color w:val="auto"/>
                <w:kern w:val="2"/>
                <w:sz w:val="21"/>
                <w:szCs w:val="21"/>
                <w:highlight w:val="none"/>
                <w:lang w:val="en-US" w:eastAsia="zh-CN" w:bidi="ar-SA"/>
              </w:rPr>
              <w:t>图2</w:t>
            </w:r>
            <w:r>
              <w:rPr>
                <w:rFonts w:hint="eastAsia" w:ascii="Times New Roman" w:hAnsi="Times New Roman" w:eastAsia="黑体" w:cs="Times New Roman"/>
                <w:b w:val="0"/>
                <w:bCs w:val="0"/>
                <w:color w:val="auto"/>
                <w:kern w:val="2"/>
                <w:sz w:val="21"/>
                <w:szCs w:val="21"/>
                <w:highlight w:val="none"/>
                <w:lang w:val="en-US" w:eastAsia="zh-CN" w:bidi="ar-SA"/>
              </w:rPr>
              <w:t>.</w:t>
            </w:r>
            <w:r>
              <w:rPr>
                <w:rFonts w:hint="eastAsia" w:eastAsia="黑体" w:cs="Times New Roman"/>
                <w:b w:val="0"/>
                <w:bCs w:val="0"/>
                <w:color w:val="auto"/>
                <w:kern w:val="2"/>
                <w:sz w:val="21"/>
                <w:szCs w:val="21"/>
                <w:highlight w:val="none"/>
                <w:lang w:val="en-US" w:eastAsia="zh-CN" w:bidi="ar-SA"/>
              </w:rPr>
              <w:t>9-1</w:t>
            </w:r>
            <w:r>
              <w:rPr>
                <w:rFonts w:hint="default" w:ascii="Times New Roman" w:hAnsi="Times New Roman" w:eastAsia="黑体" w:cs="Times New Roman"/>
                <w:b w:val="0"/>
                <w:bCs w:val="0"/>
                <w:color w:val="auto"/>
                <w:kern w:val="2"/>
                <w:sz w:val="21"/>
                <w:szCs w:val="21"/>
                <w:highlight w:val="none"/>
                <w:lang w:val="en-US" w:eastAsia="zh-CN" w:bidi="ar-SA"/>
              </w:rPr>
              <w:t xml:space="preserve">  生产工艺流程及污染节点图</w:t>
            </w:r>
          </w:p>
          <w:p w14:paraId="6A326096">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w:t>
            </w:r>
            <w:r>
              <w:rPr>
                <w:rFonts w:hint="eastAsia" w:cs="Times New Roman"/>
                <w:b/>
                <w:bCs w:val="0"/>
                <w:color w:val="auto"/>
                <w:sz w:val="24"/>
                <w:szCs w:val="24"/>
                <w:highlight w:val="none"/>
                <w:lang w:val="en-US" w:eastAsia="zh-CN"/>
              </w:rPr>
              <w:t>9</w:t>
            </w:r>
            <w:r>
              <w:rPr>
                <w:rFonts w:hint="eastAsia" w:ascii="Times New Roman" w:hAnsi="Times New Roman" w:eastAsia="宋体" w:cs="Times New Roman"/>
                <w:b/>
                <w:bCs w:val="0"/>
                <w:color w:val="auto"/>
                <w:sz w:val="24"/>
                <w:szCs w:val="24"/>
                <w:highlight w:val="none"/>
                <w:lang w:val="en-US" w:eastAsia="zh-CN"/>
              </w:rPr>
              <w:t>.2 产排污环节</w:t>
            </w:r>
          </w:p>
          <w:p w14:paraId="4F8824BA">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废气</w:t>
            </w:r>
          </w:p>
          <w:p w14:paraId="7990600B">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color w:val="auto"/>
                <w:sz w:val="24"/>
                <w:highlight w:val="none"/>
              </w:rPr>
              <w:t>G1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矸石堆存扬尘</w:t>
            </w:r>
            <w:r>
              <w:rPr>
                <w:rFonts w:hint="default" w:ascii="Times New Roman" w:hAnsi="Times New Roman" w:eastAsia="宋体" w:cs="Times New Roman"/>
                <w:bCs/>
                <w:color w:val="auto"/>
                <w:sz w:val="24"/>
                <w:szCs w:val="24"/>
                <w:highlight w:val="none"/>
                <w:lang w:val="en-US" w:eastAsia="zh-CN"/>
              </w:rPr>
              <w:t>；</w:t>
            </w:r>
          </w:p>
          <w:p w14:paraId="447FE74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G</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.矸石受料斗粉尘</w:t>
            </w:r>
            <w:r>
              <w:rPr>
                <w:rFonts w:hint="eastAsia" w:ascii="Times New Roman" w:hAnsi="Times New Roman" w:eastAsia="宋体" w:cs="Times New Roman"/>
                <w:color w:val="auto"/>
                <w:sz w:val="24"/>
                <w:highlight w:val="none"/>
                <w:lang w:val="en-US" w:eastAsia="zh-CN"/>
              </w:rPr>
              <w:t>；</w:t>
            </w:r>
          </w:p>
          <w:p w14:paraId="1054EBA8">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G</w:t>
            </w:r>
            <w:r>
              <w:rPr>
                <w:rFonts w:hint="default"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.入水泥筒仓</w:t>
            </w:r>
            <w:r>
              <w:rPr>
                <w:rFonts w:hint="eastAsia" w:ascii="Times New Roman" w:hAnsi="Times New Roman" w:eastAsia="宋体" w:cs="Times New Roman"/>
                <w:color w:val="auto"/>
                <w:sz w:val="24"/>
                <w:highlight w:val="none"/>
                <w:lang w:val="en-US" w:eastAsia="zh-CN"/>
              </w:rPr>
              <w:t>粉尘；</w:t>
            </w:r>
          </w:p>
          <w:p w14:paraId="5F64245A">
            <w:pPr>
              <w:keepNext w:val="0"/>
              <w:keepLines w:val="0"/>
              <w:pageBreakBefore w:val="0"/>
              <w:widowControl w:val="0"/>
              <w:kinsoku/>
              <w:wordWrap/>
              <w:overflowPunct/>
              <w:topLinePunct w:val="0"/>
              <w:bidi w:val="0"/>
              <w:spacing w:line="480" w:lineRule="exact"/>
              <w:ind w:firstLine="480" w:firstLineChars="200"/>
              <w:textAlignment w:val="auto"/>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G4</w:t>
            </w:r>
            <w:r>
              <w:rPr>
                <w:rFonts w:hint="eastAsia" w:cs="Times New Roman"/>
                <w:color w:val="auto"/>
                <w:sz w:val="24"/>
                <w:highlight w:val="none"/>
                <w:lang w:val="en-US" w:eastAsia="zh-CN"/>
              </w:rPr>
              <w:t>.制浆机粉尘；</w:t>
            </w:r>
          </w:p>
          <w:p w14:paraId="139C956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G5</w:t>
            </w:r>
            <w:r>
              <w:rPr>
                <w:rFonts w:hint="eastAsia" w:cs="Times New Roman"/>
                <w:color w:val="auto"/>
                <w:sz w:val="24"/>
                <w:highlight w:val="none"/>
                <w:lang w:val="en-US" w:eastAsia="zh-CN"/>
              </w:rPr>
              <w:t>.物料输送粉尘</w:t>
            </w:r>
            <w:r>
              <w:rPr>
                <w:rFonts w:hint="eastAsia" w:ascii="Times New Roman" w:hAnsi="Times New Roman" w:eastAsia="宋体" w:cs="Times New Roman"/>
                <w:color w:val="auto"/>
                <w:sz w:val="24"/>
                <w:highlight w:val="none"/>
                <w:lang w:val="en-US" w:eastAsia="zh-CN"/>
              </w:rPr>
              <w:t>；</w:t>
            </w:r>
          </w:p>
          <w:p w14:paraId="76E1178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highlight w:val="none"/>
                <w:lang w:val="en-US" w:eastAsia="zh-CN"/>
              </w:rPr>
              <w:t>G6.道路运输扬尘</w:t>
            </w:r>
            <w:r>
              <w:rPr>
                <w:rFonts w:hint="default" w:ascii="Times New Roman" w:hAnsi="Times New Roman" w:eastAsia="宋体" w:cs="Times New Roman"/>
                <w:color w:val="auto"/>
                <w:sz w:val="24"/>
                <w:szCs w:val="20"/>
                <w:highlight w:val="none"/>
                <w:lang w:eastAsia="zh-CN"/>
              </w:rPr>
              <w:t>。</w:t>
            </w:r>
          </w:p>
          <w:p w14:paraId="25AE6160">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2、废</w:t>
            </w:r>
            <w:r>
              <w:rPr>
                <w:rFonts w:hint="default" w:ascii="Times New Roman" w:hAnsi="Times New Roman" w:eastAsia="宋体" w:cs="Times New Roman"/>
                <w:bCs/>
                <w:color w:val="auto"/>
                <w:sz w:val="24"/>
                <w:szCs w:val="24"/>
                <w:highlight w:val="none"/>
                <w:lang w:val="en-US" w:eastAsia="zh-CN"/>
              </w:rPr>
              <w:t>水</w:t>
            </w:r>
          </w:p>
          <w:p w14:paraId="0EBEC0D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W1</w:t>
            </w:r>
            <w:r>
              <w:rPr>
                <w:rFonts w:hint="eastAsia" w:cs="Times New Roman"/>
                <w:bCs/>
                <w:color w:val="auto"/>
                <w:sz w:val="24"/>
                <w:szCs w:val="24"/>
                <w:highlight w:val="none"/>
                <w:lang w:val="en-US" w:eastAsia="zh-CN"/>
              </w:rPr>
              <w:t>.浆料系统清洗废水，</w:t>
            </w:r>
            <w:r>
              <w:rPr>
                <w:rFonts w:hint="eastAsia" w:ascii="Times New Roman" w:hAnsi="Times New Roman" w:eastAsia="宋体" w:cs="Times New Roman"/>
                <w:bCs/>
                <w:color w:val="auto"/>
                <w:sz w:val="24"/>
                <w:szCs w:val="24"/>
                <w:highlight w:val="none"/>
                <w:lang w:val="en-US" w:eastAsia="zh-CN"/>
              </w:rPr>
              <w:t>主要污染物为</w:t>
            </w:r>
            <w:r>
              <w:rPr>
                <w:rFonts w:hint="eastAsia" w:ascii="Times New Roman" w:hAnsi="Times New Roman" w:cs="Times New Roman"/>
                <w:bCs/>
                <w:color w:val="auto"/>
                <w:sz w:val="24"/>
                <w:szCs w:val="24"/>
                <w:highlight w:val="none"/>
                <w:lang w:val="en-US" w:eastAsia="zh-CN"/>
              </w:rPr>
              <w:t>COD、</w:t>
            </w:r>
            <w:r>
              <w:rPr>
                <w:rFonts w:hint="eastAsia" w:ascii="Times New Roman" w:hAnsi="Times New Roman" w:eastAsia="宋体" w:cs="Times New Roman"/>
                <w:bCs/>
                <w:color w:val="auto"/>
                <w:sz w:val="24"/>
                <w:szCs w:val="24"/>
                <w:highlight w:val="none"/>
                <w:lang w:val="en-US" w:eastAsia="zh-CN"/>
              </w:rPr>
              <w:t>SS</w:t>
            </w:r>
            <w:r>
              <w:rPr>
                <w:rFonts w:hint="eastAsia" w:ascii="Times New Roman" w:hAnsi="Times New Roman" w:cs="Times New Roman"/>
                <w:bCs/>
                <w:color w:val="auto"/>
                <w:sz w:val="24"/>
                <w:szCs w:val="24"/>
                <w:highlight w:val="none"/>
                <w:lang w:val="en-US" w:eastAsia="zh-CN"/>
              </w:rPr>
              <w:t>；</w:t>
            </w:r>
          </w:p>
          <w:p w14:paraId="710C393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W2.</w:t>
            </w:r>
            <w:r>
              <w:rPr>
                <w:rFonts w:hint="default" w:ascii="Times New Roman" w:hAnsi="Times New Roman" w:eastAsia="宋体" w:cs="Times New Roman"/>
                <w:bCs/>
                <w:color w:val="auto"/>
                <w:sz w:val="24"/>
                <w:szCs w:val="24"/>
                <w:highlight w:val="none"/>
                <w:lang w:val="en-US" w:eastAsia="zh-CN"/>
              </w:rPr>
              <w:t>地面冲洗废水</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主要污染物为</w:t>
            </w:r>
            <w:r>
              <w:rPr>
                <w:rFonts w:hint="eastAsia" w:ascii="Times New Roman" w:hAnsi="Times New Roman" w:cs="Times New Roman"/>
                <w:bCs/>
                <w:color w:val="auto"/>
                <w:sz w:val="24"/>
                <w:szCs w:val="24"/>
                <w:highlight w:val="none"/>
                <w:lang w:val="en-US" w:eastAsia="zh-CN"/>
              </w:rPr>
              <w:t>COD、</w:t>
            </w:r>
            <w:r>
              <w:rPr>
                <w:rFonts w:hint="eastAsia" w:ascii="Times New Roman" w:hAnsi="Times New Roman" w:eastAsia="宋体" w:cs="Times New Roman"/>
                <w:bCs/>
                <w:color w:val="auto"/>
                <w:sz w:val="24"/>
                <w:szCs w:val="24"/>
                <w:highlight w:val="none"/>
                <w:lang w:val="en-US" w:eastAsia="zh-CN"/>
              </w:rPr>
              <w:t>SS</w:t>
            </w:r>
            <w:r>
              <w:rPr>
                <w:rFonts w:hint="eastAsia" w:ascii="Times New Roman" w:hAnsi="Times New Roman" w:cs="Times New Roman"/>
                <w:bCs/>
                <w:color w:val="auto"/>
                <w:sz w:val="24"/>
                <w:szCs w:val="24"/>
                <w:highlight w:val="none"/>
                <w:lang w:val="en-US" w:eastAsia="zh-CN"/>
              </w:rPr>
              <w:t>；</w:t>
            </w:r>
          </w:p>
          <w:p w14:paraId="729CC92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W3.洗车废水，</w:t>
            </w:r>
            <w:r>
              <w:rPr>
                <w:rFonts w:hint="eastAsia" w:ascii="Times New Roman" w:hAnsi="Times New Roman" w:eastAsia="宋体" w:cs="Times New Roman"/>
                <w:bCs/>
                <w:color w:val="auto"/>
                <w:sz w:val="24"/>
                <w:szCs w:val="24"/>
                <w:highlight w:val="none"/>
                <w:lang w:val="en-US" w:eastAsia="zh-CN"/>
              </w:rPr>
              <w:t>主要污染物为SS</w:t>
            </w:r>
            <w:r>
              <w:rPr>
                <w:rFonts w:hint="eastAsia" w:ascii="Times New Roman" w:hAnsi="Times New Roman" w:cs="Times New Roman"/>
                <w:bCs/>
                <w:color w:val="auto"/>
                <w:sz w:val="24"/>
                <w:szCs w:val="24"/>
                <w:highlight w:val="none"/>
                <w:lang w:val="en-US" w:eastAsia="zh-CN"/>
              </w:rPr>
              <w:t>；</w:t>
            </w:r>
          </w:p>
          <w:p w14:paraId="0ACC5D5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W4.</w:t>
            </w:r>
            <w:r>
              <w:rPr>
                <w:rFonts w:hint="default" w:ascii="Times New Roman" w:hAnsi="Times New Roman" w:eastAsia="宋体" w:cs="Times New Roman"/>
                <w:bCs/>
                <w:color w:val="auto"/>
                <w:sz w:val="24"/>
                <w:szCs w:val="24"/>
                <w:highlight w:val="none"/>
                <w:lang w:val="en-US" w:eastAsia="zh-CN"/>
              </w:rPr>
              <w:t>生活污水，主要污染物为COD、BOD</w:t>
            </w:r>
            <w:r>
              <w:rPr>
                <w:rFonts w:hint="default" w:ascii="Times New Roman" w:hAnsi="Times New Roman" w:eastAsia="宋体" w:cs="Times New Roman"/>
                <w:bCs/>
                <w:color w:val="auto"/>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、NH</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-N、SS等</w:t>
            </w:r>
            <w:r>
              <w:rPr>
                <w:rFonts w:hint="eastAsia" w:cs="Times New Roman"/>
                <w:bCs/>
                <w:color w:val="auto"/>
                <w:sz w:val="24"/>
                <w:szCs w:val="24"/>
                <w:highlight w:val="none"/>
                <w:lang w:val="en-US" w:eastAsia="zh-CN"/>
              </w:rPr>
              <w:t>。</w:t>
            </w:r>
          </w:p>
          <w:p w14:paraId="4F99127E">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固体废物</w:t>
            </w:r>
          </w:p>
          <w:p w14:paraId="46402A32">
            <w:pPr>
              <w:spacing w:line="440" w:lineRule="atLeas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S1：</w:t>
            </w:r>
            <w:r>
              <w:rPr>
                <w:rFonts w:hint="eastAsia" w:ascii="Times New Roman" w:hAnsi="Times New Roman" w:cs="Times New Roman"/>
                <w:bCs/>
                <w:color w:val="auto"/>
                <w:sz w:val="24"/>
                <w:highlight w:val="none"/>
                <w:lang w:val="en-US" w:eastAsia="zh-CN"/>
              </w:rPr>
              <w:t>除尘器除尘灰</w:t>
            </w:r>
            <w:r>
              <w:rPr>
                <w:rFonts w:hint="default" w:ascii="Times New Roman" w:hAnsi="Times New Roman" w:cs="Times New Roman"/>
                <w:bCs/>
                <w:color w:val="auto"/>
                <w:sz w:val="24"/>
                <w:highlight w:val="none"/>
              </w:rPr>
              <w:t>；</w:t>
            </w:r>
          </w:p>
          <w:p w14:paraId="5DF6FF54">
            <w:pPr>
              <w:spacing w:line="440" w:lineRule="atLeas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S2：</w:t>
            </w:r>
            <w:r>
              <w:rPr>
                <w:rFonts w:hint="eastAsia" w:cs="Times New Roman"/>
                <w:bCs/>
                <w:color w:val="auto"/>
                <w:sz w:val="24"/>
                <w:highlight w:val="none"/>
                <w:lang w:val="en-US" w:eastAsia="zh-CN"/>
              </w:rPr>
              <w:t>沉淀池沉渣</w:t>
            </w:r>
            <w:r>
              <w:rPr>
                <w:rFonts w:hint="default" w:ascii="Times New Roman" w:hAnsi="Times New Roman" w:cs="Times New Roman"/>
                <w:bCs/>
                <w:color w:val="auto"/>
                <w:sz w:val="24"/>
                <w:highlight w:val="none"/>
              </w:rPr>
              <w:t>；</w:t>
            </w:r>
          </w:p>
          <w:p w14:paraId="453E5894">
            <w:pPr>
              <w:spacing w:line="440" w:lineRule="atLeas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S3：</w:t>
            </w:r>
            <w:r>
              <w:rPr>
                <w:rFonts w:hint="eastAsia" w:cs="Times New Roman"/>
                <w:bCs/>
                <w:color w:val="auto"/>
                <w:sz w:val="24"/>
                <w:highlight w:val="none"/>
                <w:lang w:val="en-US" w:eastAsia="zh-CN"/>
              </w:rPr>
              <w:t>废矿物油、废油桶；</w:t>
            </w:r>
          </w:p>
          <w:p w14:paraId="2A58515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highlight w:val="none"/>
                <w:lang w:val="en-US" w:eastAsia="zh-CN"/>
              </w:rPr>
              <w:t>S4：</w:t>
            </w:r>
            <w:r>
              <w:rPr>
                <w:rFonts w:hint="eastAsia" w:cs="Times New Roman"/>
                <w:bCs/>
                <w:color w:val="auto"/>
                <w:sz w:val="24"/>
                <w:highlight w:val="none"/>
                <w:lang w:val="en-US" w:eastAsia="zh-CN"/>
              </w:rPr>
              <w:t>生活垃圾</w:t>
            </w:r>
            <w:r>
              <w:rPr>
                <w:rFonts w:hint="default" w:ascii="Times New Roman" w:hAnsi="Times New Roman" w:eastAsia="宋体" w:cs="Times New Roman"/>
                <w:bCs/>
                <w:color w:val="auto"/>
                <w:sz w:val="24"/>
                <w:szCs w:val="24"/>
                <w:highlight w:val="none"/>
                <w:lang w:val="en-US" w:eastAsia="zh-CN"/>
              </w:rPr>
              <w:t>。</w:t>
            </w:r>
          </w:p>
          <w:p w14:paraId="7B5D4678">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噪声</w:t>
            </w:r>
          </w:p>
          <w:p w14:paraId="4DF8B6B0">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本项目噪声源主要为</w:t>
            </w:r>
            <w:r>
              <w:rPr>
                <w:rFonts w:hint="eastAsia" w:cs="Times New Roman"/>
                <w:bCs/>
                <w:color w:val="auto"/>
                <w:sz w:val="24"/>
                <w:szCs w:val="24"/>
                <w:highlight w:val="none"/>
                <w:lang w:val="en-US" w:eastAsia="zh-CN"/>
              </w:rPr>
              <w:t>高速制浆机、低速搅拌桶、添加剂搅拌桶、螺旋输送机、除尘风机</w:t>
            </w:r>
            <w:r>
              <w:rPr>
                <w:rFonts w:hint="eastAsia" w:ascii="Times New Roman" w:hAnsi="Times New Roman" w:eastAsia="宋体" w:cs="Times New Roman"/>
                <w:bCs/>
                <w:color w:val="auto"/>
                <w:sz w:val="24"/>
                <w:szCs w:val="24"/>
                <w:highlight w:val="none"/>
                <w:lang w:val="en-US" w:eastAsia="zh-CN"/>
              </w:rPr>
              <w:t>及泵类等设备</w:t>
            </w:r>
            <w:r>
              <w:rPr>
                <w:rFonts w:hint="default" w:ascii="Times New Roman" w:hAnsi="Times New Roman" w:eastAsia="宋体" w:cs="Times New Roman"/>
                <w:bCs/>
                <w:color w:val="auto"/>
                <w:sz w:val="24"/>
                <w:szCs w:val="24"/>
                <w:highlight w:val="none"/>
                <w:lang w:val="en-US" w:eastAsia="zh-CN"/>
              </w:rPr>
              <w:t>。</w:t>
            </w:r>
          </w:p>
          <w:p w14:paraId="750A22B8">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p>
          <w:p w14:paraId="375F582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p>
          <w:p w14:paraId="7828AFEE">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p>
          <w:p w14:paraId="698A642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p>
          <w:p w14:paraId="24FAA6FE">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p>
          <w:p w14:paraId="14F0916A">
            <w:pPr>
              <w:keepNext w:val="0"/>
              <w:keepLines w:val="0"/>
              <w:pageBreakBefore w:val="0"/>
              <w:widowControl w:val="0"/>
              <w:kinsoku/>
              <w:wordWrap/>
              <w:overflowPunct/>
              <w:topLinePunct w:val="0"/>
              <w:bidi w:val="0"/>
              <w:spacing w:line="480" w:lineRule="exact"/>
              <w:textAlignment w:val="auto"/>
              <w:rPr>
                <w:rFonts w:hint="eastAsia" w:ascii="Times New Roman" w:hAnsi="Times New Roman" w:eastAsia="宋体" w:cs="Times New Roman"/>
                <w:bCs/>
                <w:color w:val="auto"/>
                <w:szCs w:val="21"/>
                <w:highlight w:val="none"/>
                <w:lang w:val="en-US" w:eastAsia="zh-CN"/>
              </w:rPr>
            </w:pPr>
          </w:p>
        </w:tc>
      </w:tr>
      <w:tr w14:paraId="5CDB1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0" w:hRule="atLeast"/>
          <w:jc w:val="center"/>
        </w:trPr>
        <w:tc>
          <w:tcPr>
            <w:tcW w:w="823" w:type="dxa"/>
            <w:noWrap w:val="0"/>
            <w:vAlign w:val="center"/>
          </w:tcPr>
          <w:p w14:paraId="06D755A5">
            <w:pPr>
              <w:pStyle w:val="1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161" w:type="dxa"/>
            <w:noWrap w:val="0"/>
            <w:vAlign w:val="center"/>
          </w:tcPr>
          <w:p w14:paraId="2B2DFC62">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本项目为新建项目，利用赵庄二号井东风井厂区现有空地进行建设。根据建设单位提供资料，赵庄二号井东风井厂区位于</w:t>
            </w:r>
            <w:r>
              <w:rPr>
                <w:rFonts w:hint="default" w:ascii="Times New Roman" w:hAnsi="Times New Roman" w:eastAsia="宋体" w:cs="Times New Roman"/>
                <w:bCs/>
                <w:color w:val="auto"/>
                <w:sz w:val="24"/>
                <w:szCs w:val="24"/>
                <w:highlight w:val="none"/>
                <w:lang w:val="en-US" w:eastAsia="zh-CN"/>
              </w:rPr>
              <w:t>长治市</w:t>
            </w:r>
            <w:r>
              <w:rPr>
                <w:rFonts w:hint="eastAsia" w:ascii="Times New Roman" w:hAnsi="Times New Roman" w:eastAsia="宋体" w:cs="Times New Roman"/>
                <w:bCs/>
                <w:color w:val="auto"/>
                <w:sz w:val="24"/>
                <w:szCs w:val="24"/>
                <w:highlight w:val="none"/>
                <w:lang w:val="en-US" w:eastAsia="zh-CN"/>
              </w:rPr>
              <w:t>长子县慈林镇布村东北侧390m处，占地性质为工业用地，土体所有权单位为山西晋煤集团赵庄煤业有限责任公司。</w:t>
            </w:r>
          </w:p>
          <w:p w14:paraId="5CACB15C">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赵庄二号井东风井仅承担进风任务，根据现场勘察，厂内北侧现设有电控室、暖风机房，中部设有进风立井，厂内不存在其他遗留环境问题。本项目拟利用厂内现有空地新建储矸棚、洗车平台、蓄水池、消防水池、消防泵房、制浆车间、水泥筒仓、初期雨水收集池等设施，占地面积约4000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p>
          <w:p w14:paraId="09C74BB5">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次评价依托现有矿井水处理站处理后的矿井水为生产系统供水，同时浆料系统清洗废水沿井筒污水管道输送至现有矿井水处理站处理后回用。此外，项目产生的废矿物油、废油桶分类收集，分区贮存于现有危险废物贮存库，定期委托有资质单位处置。</w:t>
            </w:r>
          </w:p>
          <w:p w14:paraId="2D6FA168">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lang w:val="en-US" w:eastAsia="zh-CN"/>
              </w:rPr>
              <w:t>2024年2月，赵庄二号井委托山西蓝朗环境科技有限公司编制了《</w:t>
            </w:r>
            <w:r>
              <w:rPr>
                <w:rFonts w:hint="default" w:ascii="Times New Roman" w:hAnsi="Times New Roman" w:cs="Times New Roman"/>
                <w:color w:val="auto"/>
                <w:sz w:val="24"/>
                <w:szCs w:val="24"/>
                <w:highlight w:val="none"/>
                <w:lang w:val="en-US" w:eastAsia="zh-CN"/>
              </w:rPr>
              <w:t>山西晋煤集团赵庄煤业有限责任公司赵庄二号井“三下”近水平厚煤层安全高效充填开采关键技术与应用研究项目</w:t>
            </w:r>
            <w:r>
              <w:rPr>
                <w:rFonts w:hint="eastAsia" w:ascii="Times New Roman" w:hAnsi="Times New Roman" w:cs="Times New Roman"/>
                <w:color w:val="auto"/>
                <w:sz w:val="24"/>
                <w:szCs w:val="24"/>
                <w:highlight w:val="none"/>
                <w:lang w:val="en-US" w:eastAsia="zh-CN"/>
              </w:rPr>
              <w:t>环境影响报告书</w:t>
            </w:r>
            <w:r>
              <w:rPr>
                <w:rFonts w:hint="eastAsia" w:cs="Times New Roman"/>
                <w:color w:val="auto"/>
                <w:sz w:val="24"/>
                <w:szCs w:val="24"/>
                <w:highlight w:val="none"/>
                <w:lang w:val="en-US" w:eastAsia="zh-CN"/>
              </w:rPr>
              <w:t>》，报告中对</w:t>
            </w:r>
            <w:r>
              <w:rPr>
                <w:rFonts w:hint="eastAsia" w:ascii="Times New Roman" w:hAnsi="Times New Roman" w:eastAsia="宋体" w:cs="Times New Roman"/>
                <w:bCs/>
                <w:color w:val="auto"/>
                <w:sz w:val="24"/>
                <w:szCs w:val="24"/>
                <w:highlight w:val="none"/>
                <w:lang w:val="en-US" w:eastAsia="zh-CN"/>
              </w:rPr>
              <w:t>现有矿井水处理站、</w:t>
            </w:r>
            <w:r>
              <w:rPr>
                <w:rFonts w:hint="eastAsia" w:cs="Times New Roman"/>
                <w:bCs/>
                <w:color w:val="auto"/>
                <w:sz w:val="24"/>
                <w:szCs w:val="24"/>
                <w:highlight w:val="none"/>
                <w:lang w:val="en-US" w:eastAsia="zh-CN"/>
              </w:rPr>
              <w:t>危险废物贮存库进行了评价；</w:t>
            </w:r>
            <w:r>
              <w:rPr>
                <w:rFonts w:hint="default" w:ascii="Times New Roman" w:hAnsi="Times New Roman" w:cs="Times New Roman"/>
                <w:color w:val="auto"/>
                <w:sz w:val="24"/>
                <w:szCs w:val="24"/>
                <w:highlight w:val="none"/>
                <w:lang w:val="en-US" w:eastAsia="zh-CN"/>
              </w:rPr>
              <w:t>2024年3月19日长治市生态环境局长子分局</w:t>
            </w:r>
            <w:r>
              <w:rPr>
                <w:rFonts w:hint="eastAsia" w:cs="Times New Roman"/>
                <w:color w:val="auto"/>
                <w:sz w:val="24"/>
                <w:szCs w:val="24"/>
                <w:highlight w:val="none"/>
                <w:lang w:val="en-US" w:eastAsia="zh-CN"/>
              </w:rPr>
              <w:t>以</w:t>
            </w:r>
            <w:r>
              <w:rPr>
                <w:rFonts w:hint="default" w:ascii="Times New Roman" w:hAnsi="Times New Roman" w:cs="Times New Roman"/>
                <w:color w:val="auto"/>
                <w:sz w:val="24"/>
                <w:szCs w:val="24"/>
                <w:highlight w:val="none"/>
                <w:lang w:val="en-US" w:eastAsia="zh-CN"/>
              </w:rPr>
              <w:t>长子环函[2024]9号</w:t>
            </w:r>
            <w:r>
              <w:rPr>
                <w:rFonts w:hint="eastAsia" w:cs="Times New Roman"/>
                <w:color w:val="auto"/>
                <w:sz w:val="24"/>
                <w:szCs w:val="24"/>
                <w:highlight w:val="none"/>
                <w:lang w:val="en-US" w:eastAsia="zh-CN"/>
              </w:rPr>
              <w:t>文给予了批复。</w:t>
            </w:r>
            <w:r>
              <w:rPr>
                <w:rFonts w:hint="default" w:ascii="Times New Roman" w:hAnsi="Times New Roman" w:cs="Times New Roman"/>
                <w:color w:val="auto"/>
                <w:sz w:val="24"/>
                <w:szCs w:val="24"/>
                <w:highlight w:val="none"/>
                <w:lang w:val="en-US" w:eastAsia="zh-CN"/>
              </w:rPr>
              <w:t>2024年9月28日，赵庄二号井</w:t>
            </w:r>
            <w:r>
              <w:rPr>
                <w:rFonts w:hint="eastAsia" w:cs="Times New Roman"/>
                <w:color w:val="auto"/>
                <w:sz w:val="24"/>
                <w:szCs w:val="24"/>
                <w:highlight w:val="none"/>
                <w:lang w:val="en-US" w:eastAsia="zh-CN"/>
              </w:rPr>
              <w:t>通过了环保技术专家等相关人员对该项目的现场验收。</w:t>
            </w:r>
          </w:p>
          <w:p w14:paraId="552C295B">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赵庄二号井</w:t>
            </w:r>
            <w:r>
              <w:rPr>
                <w:rFonts w:hint="eastAsia" w:ascii="Times New Roman" w:hAnsi="Times New Roman" w:cs="Times New Roman"/>
                <w:color w:val="auto"/>
                <w:sz w:val="24"/>
                <w:szCs w:val="24"/>
                <w:highlight w:val="none"/>
                <w:lang w:val="en-US" w:eastAsia="zh-CN"/>
              </w:rPr>
              <w:t>于2024年12月2日变更了排污许可证</w:t>
            </w:r>
            <w:r>
              <w:rPr>
                <w:rFonts w:hint="eastAsia" w:cs="Times New Roman"/>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证书编号：91140000575960045A001W，有效期限：自2022年06月28日至2027年06月27日</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矿井水处理站、</w:t>
            </w:r>
            <w:r>
              <w:rPr>
                <w:rFonts w:hint="eastAsia" w:cs="Times New Roman"/>
                <w:bCs/>
                <w:color w:val="auto"/>
                <w:sz w:val="24"/>
                <w:szCs w:val="24"/>
                <w:highlight w:val="none"/>
                <w:lang w:val="en-US" w:eastAsia="zh-CN"/>
              </w:rPr>
              <w:t>危险废物贮存库</w:t>
            </w:r>
            <w:r>
              <w:rPr>
                <w:rFonts w:hint="eastAsia" w:ascii="Times New Roman" w:hAnsi="Times New Roman" w:cs="Times New Roman"/>
                <w:color w:val="auto"/>
                <w:sz w:val="24"/>
                <w:szCs w:val="24"/>
                <w:highlight w:val="none"/>
                <w:lang w:val="en-US" w:eastAsia="zh-CN"/>
              </w:rPr>
              <w:t>已在排污许可证中进行了填报。</w:t>
            </w:r>
          </w:p>
          <w:p w14:paraId="06A297A7">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Times New Roman" w:hAnsi="Times New Roman" w:eastAsia="宋体" w:cs="Times New Roman"/>
                <w:bCs/>
                <w:color w:val="auto"/>
                <w:szCs w:val="21"/>
                <w:highlight w:val="none"/>
                <w:lang w:eastAsia="zh-CN"/>
              </w:rPr>
            </w:pPr>
            <w:r>
              <w:rPr>
                <w:rFonts w:hint="eastAsia" w:ascii="Times New Roman" w:hAnsi="Times New Roman" w:eastAsia="宋体" w:cs="Times New Roman"/>
                <w:b w:val="0"/>
                <w:bCs/>
                <w:color w:val="auto"/>
                <w:spacing w:val="0"/>
                <w:sz w:val="24"/>
                <w:szCs w:val="24"/>
                <w:highlight w:val="none"/>
                <w:lang w:val="en-US" w:eastAsia="zh-CN"/>
              </w:rPr>
              <w:t>因此</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不存在与项目有关的原有污染情况及环境问题。</w:t>
            </w:r>
          </w:p>
        </w:tc>
      </w:tr>
    </w:tbl>
    <w:p w14:paraId="39B44322">
      <w:pPr>
        <w:pStyle w:val="19"/>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BD9A3B7">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FAE1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800" w:type="dxa"/>
            <w:noWrap w:val="0"/>
            <w:vAlign w:val="center"/>
          </w:tcPr>
          <w:p w14:paraId="587B10BD">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区域</w:t>
            </w:r>
          </w:p>
          <w:p w14:paraId="27EF1ED9">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环境</w:t>
            </w:r>
          </w:p>
          <w:p w14:paraId="7EFD1599">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质量</w:t>
            </w:r>
          </w:p>
          <w:p w14:paraId="4F1CF222">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现状</w:t>
            </w:r>
          </w:p>
        </w:tc>
        <w:tc>
          <w:tcPr>
            <w:tcW w:w="8190" w:type="dxa"/>
            <w:noWrap w:val="0"/>
            <w:vAlign w:val="center"/>
          </w:tcPr>
          <w:p w14:paraId="66806B59">
            <w:pPr>
              <w:pStyle w:val="4"/>
              <w:keepNext/>
              <w:keepLines/>
              <w:pageBreakBefore w:val="0"/>
              <w:widowControl w:val="0"/>
              <w:kinsoku/>
              <w:wordWrap/>
              <w:overflowPunct/>
              <w:topLinePunct w:val="0"/>
              <w:autoSpaceDE/>
              <w:autoSpaceDN/>
              <w:bidi w:val="0"/>
              <w:adjustRightInd w:val="0"/>
              <w:snapToGrid w:val="0"/>
              <w:spacing w:before="0" w:beforeLines="0" w:line="480" w:lineRule="exact"/>
              <w:ind w:firstLine="482"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eastAsia" w:ascii="Times New Roman" w:hAnsi="Times New Roman" w:eastAsia="宋体" w:cs="Times New Roman"/>
                <w:color w:val="auto"/>
                <w:spacing w:val="0"/>
                <w:kern w:val="21"/>
                <w:sz w:val="24"/>
                <w:szCs w:val="24"/>
                <w:highlight w:val="none"/>
                <w:lang w:val="en-US" w:eastAsia="zh-CN"/>
              </w:rPr>
              <w:t>3.1 大气环境</w:t>
            </w:r>
          </w:p>
          <w:p w14:paraId="6131AE7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eastAsia="宋体" w:cs="Times New Roman"/>
                <w:color w:val="auto"/>
                <w:spacing w:val="0"/>
                <w:kern w:val="21"/>
                <w:sz w:val="24"/>
                <w:szCs w:val="24"/>
                <w:highlight w:val="none"/>
                <w:lang w:val="en-US" w:eastAsia="zh-CN" w:bidi="ar-SA"/>
              </w:rPr>
            </w:pPr>
            <w:r>
              <w:rPr>
                <w:rFonts w:hint="eastAsia" w:ascii="Times New Roman" w:hAnsi="Times New Roman" w:eastAsia="宋体" w:cs="Times New Roman"/>
                <w:color w:val="auto"/>
                <w:spacing w:val="0"/>
                <w:kern w:val="21"/>
                <w:sz w:val="24"/>
                <w:szCs w:val="24"/>
                <w:highlight w:val="none"/>
                <w:lang w:val="en-US" w:eastAsia="zh-CN" w:bidi="ar-SA"/>
              </w:rPr>
              <w:t>1.常规污染物环境质量现状</w:t>
            </w:r>
          </w:p>
          <w:p w14:paraId="12900F8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eastAsia="宋体" w:cs="Times New Roman"/>
                <w:color w:val="auto"/>
                <w:spacing w:val="0"/>
                <w:kern w:val="21"/>
                <w:sz w:val="24"/>
                <w:highlight w:val="none"/>
                <w:lang w:val="en-US" w:eastAsia="zh-CN"/>
              </w:rPr>
            </w:pPr>
            <w:r>
              <w:rPr>
                <w:rFonts w:hint="eastAsia" w:ascii="Times New Roman" w:hAnsi="Times New Roman" w:eastAsia="宋体" w:cs="Times New Roman"/>
                <w:color w:val="auto"/>
                <w:spacing w:val="0"/>
                <w:kern w:val="21"/>
                <w:sz w:val="24"/>
                <w:highlight w:val="none"/>
                <w:lang w:val="en-US" w:eastAsia="zh-CN"/>
              </w:rPr>
              <w:t>本次评价引用长治市生态环境保护委员会办公室《关于2024年1-12月及12月各县区生态环境质量信息》文件，</w:t>
            </w:r>
            <w:r>
              <w:rPr>
                <w:rFonts w:hint="eastAsia" w:ascii="Times New Roman" w:hAnsi="Times New Roman" w:cs="Times New Roman"/>
                <w:color w:val="auto"/>
                <w:spacing w:val="0"/>
                <w:kern w:val="21"/>
                <w:sz w:val="24"/>
                <w:highlight w:val="none"/>
                <w:lang w:val="en-US" w:eastAsia="zh-CN"/>
              </w:rPr>
              <w:t>长治市</w:t>
            </w:r>
            <w:r>
              <w:rPr>
                <w:rFonts w:hint="eastAsia" w:ascii="Times New Roman" w:hAnsi="Times New Roman" w:eastAsia="宋体" w:cs="Times New Roman"/>
                <w:color w:val="auto"/>
                <w:spacing w:val="0"/>
                <w:kern w:val="21"/>
                <w:sz w:val="24"/>
                <w:highlight w:val="none"/>
                <w:lang w:val="en-US" w:eastAsia="zh-CN"/>
              </w:rPr>
              <w:t>长子县202</w:t>
            </w:r>
            <w:r>
              <w:rPr>
                <w:rFonts w:hint="eastAsia" w:cs="Times New Roman"/>
                <w:color w:val="auto"/>
                <w:spacing w:val="0"/>
                <w:kern w:val="21"/>
                <w:sz w:val="24"/>
                <w:highlight w:val="none"/>
                <w:lang w:val="en-US" w:eastAsia="zh-CN"/>
              </w:rPr>
              <w:t>4</w:t>
            </w:r>
            <w:r>
              <w:rPr>
                <w:rFonts w:hint="eastAsia" w:ascii="Times New Roman" w:hAnsi="Times New Roman" w:eastAsia="宋体" w:cs="Times New Roman"/>
                <w:color w:val="auto"/>
                <w:spacing w:val="0"/>
                <w:kern w:val="21"/>
                <w:sz w:val="24"/>
                <w:highlight w:val="none"/>
                <w:lang w:val="en-US" w:eastAsia="zh-CN"/>
              </w:rPr>
              <w:t>年环境空气质量监测结果</w:t>
            </w:r>
            <w:r>
              <w:rPr>
                <w:rFonts w:hint="default" w:ascii="Times New Roman" w:hAnsi="Times New Roman" w:eastAsia="宋体" w:cs="Times New Roman"/>
                <w:color w:val="auto"/>
                <w:spacing w:val="0"/>
                <w:kern w:val="21"/>
                <w:sz w:val="24"/>
                <w:highlight w:val="none"/>
                <w:lang w:val="en-US" w:eastAsia="zh-CN"/>
              </w:rPr>
              <w:t>见表3</w:t>
            </w:r>
            <w:r>
              <w:rPr>
                <w:rFonts w:hint="eastAsia" w:ascii="Times New Roman" w:hAnsi="Times New Roman" w:eastAsia="宋体" w:cs="Times New Roman"/>
                <w:color w:val="auto"/>
                <w:spacing w:val="0"/>
                <w:kern w:val="21"/>
                <w:sz w:val="24"/>
                <w:highlight w:val="none"/>
                <w:lang w:val="en-US" w:eastAsia="zh-CN"/>
              </w:rPr>
              <w:t>.1</w:t>
            </w:r>
            <w:r>
              <w:rPr>
                <w:rFonts w:hint="default" w:ascii="Times New Roman" w:hAnsi="Times New Roman" w:eastAsia="宋体" w:cs="Times New Roman"/>
                <w:color w:val="auto"/>
                <w:spacing w:val="0"/>
                <w:kern w:val="21"/>
                <w:sz w:val="24"/>
                <w:highlight w:val="none"/>
                <w:lang w:val="en-US" w:eastAsia="zh-CN"/>
              </w:rPr>
              <w:t>-1。</w:t>
            </w:r>
          </w:p>
          <w:p w14:paraId="25CC0F2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黑体" w:cs="Times New Roman"/>
                <w:b w:val="0"/>
                <w:bCs/>
                <w:color w:val="auto"/>
                <w:spacing w:val="0"/>
                <w:kern w:val="21"/>
                <w:sz w:val="21"/>
                <w:szCs w:val="16"/>
                <w:highlight w:val="none"/>
              </w:rPr>
            </w:pPr>
            <w:r>
              <w:rPr>
                <w:rFonts w:hint="default" w:ascii="Times New Roman" w:hAnsi="Times New Roman" w:eastAsia="黑体" w:cs="Times New Roman"/>
                <w:b w:val="0"/>
                <w:bCs/>
                <w:color w:val="auto"/>
                <w:spacing w:val="0"/>
                <w:kern w:val="21"/>
                <w:sz w:val="21"/>
                <w:szCs w:val="16"/>
                <w:highlight w:val="none"/>
              </w:rPr>
              <w:t>表3</w:t>
            </w:r>
            <w:r>
              <w:rPr>
                <w:rFonts w:hint="eastAsia" w:ascii="Times New Roman" w:hAnsi="Times New Roman" w:eastAsia="黑体" w:cs="Times New Roman"/>
                <w:b w:val="0"/>
                <w:bCs/>
                <w:color w:val="auto"/>
                <w:spacing w:val="0"/>
                <w:kern w:val="21"/>
                <w:sz w:val="21"/>
                <w:szCs w:val="16"/>
                <w:highlight w:val="none"/>
                <w:lang w:val="en-US" w:eastAsia="zh-CN"/>
              </w:rPr>
              <w:t>.1</w:t>
            </w:r>
            <w:r>
              <w:rPr>
                <w:rFonts w:hint="default" w:ascii="Times New Roman" w:hAnsi="Times New Roman" w:eastAsia="黑体" w:cs="Times New Roman"/>
                <w:b w:val="0"/>
                <w:bCs/>
                <w:color w:val="auto"/>
                <w:spacing w:val="0"/>
                <w:kern w:val="21"/>
                <w:sz w:val="21"/>
                <w:szCs w:val="16"/>
                <w:highlight w:val="none"/>
              </w:rPr>
              <w:t xml:space="preserve">-1  </w:t>
            </w:r>
            <w:r>
              <w:rPr>
                <w:rFonts w:hint="eastAsia" w:ascii="Times New Roman" w:hAnsi="Times New Roman" w:eastAsia="黑体" w:cs="Times New Roman"/>
                <w:b w:val="0"/>
                <w:bCs/>
                <w:color w:val="auto"/>
                <w:spacing w:val="0"/>
                <w:kern w:val="21"/>
                <w:sz w:val="21"/>
                <w:szCs w:val="16"/>
                <w:highlight w:val="none"/>
                <w:lang w:val="en-US" w:eastAsia="zh-CN"/>
              </w:rPr>
              <w:t>202</w:t>
            </w:r>
            <w:r>
              <w:rPr>
                <w:rFonts w:hint="eastAsia" w:eastAsia="黑体" w:cs="Times New Roman"/>
                <w:b w:val="0"/>
                <w:bCs/>
                <w:color w:val="auto"/>
                <w:spacing w:val="0"/>
                <w:kern w:val="21"/>
                <w:sz w:val="21"/>
                <w:szCs w:val="16"/>
                <w:highlight w:val="none"/>
                <w:lang w:val="en-US" w:eastAsia="zh-CN"/>
              </w:rPr>
              <w:t>4</w:t>
            </w:r>
            <w:r>
              <w:rPr>
                <w:rFonts w:hint="eastAsia" w:ascii="Times New Roman" w:hAnsi="Times New Roman" w:eastAsia="黑体" w:cs="Times New Roman"/>
                <w:b w:val="0"/>
                <w:bCs/>
                <w:color w:val="auto"/>
                <w:spacing w:val="0"/>
                <w:kern w:val="21"/>
                <w:sz w:val="21"/>
                <w:szCs w:val="16"/>
                <w:highlight w:val="none"/>
                <w:lang w:val="en-US" w:eastAsia="zh-CN"/>
              </w:rPr>
              <w:t>年长子县环境空气</w:t>
            </w:r>
            <w:r>
              <w:rPr>
                <w:rFonts w:hint="default" w:ascii="Times New Roman" w:hAnsi="Times New Roman" w:eastAsia="黑体" w:cs="Times New Roman"/>
                <w:b w:val="0"/>
                <w:bCs/>
                <w:color w:val="auto"/>
                <w:spacing w:val="0"/>
                <w:kern w:val="21"/>
                <w:sz w:val="21"/>
                <w:szCs w:val="16"/>
                <w:highlight w:val="none"/>
              </w:rPr>
              <w:t>质量现状</w:t>
            </w:r>
            <w:r>
              <w:rPr>
                <w:rFonts w:hint="eastAsia" w:ascii="Times New Roman" w:hAnsi="Times New Roman" w:eastAsia="黑体" w:cs="Times New Roman"/>
                <w:b w:val="0"/>
                <w:bCs/>
                <w:color w:val="auto"/>
                <w:spacing w:val="0"/>
                <w:kern w:val="21"/>
                <w:sz w:val="21"/>
                <w:szCs w:val="16"/>
                <w:highlight w:val="none"/>
                <w:lang w:val="en-US" w:eastAsia="zh-CN"/>
              </w:rPr>
              <w:t>评价</w:t>
            </w:r>
            <w:r>
              <w:rPr>
                <w:rFonts w:hint="default" w:ascii="Times New Roman" w:hAnsi="Times New Roman" w:eastAsia="黑体" w:cs="Times New Roman"/>
                <w:b w:val="0"/>
                <w:bCs/>
                <w:color w:val="auto"/>
                <w:spacing w:val="0"/>
                <w:kern w:val="21"/>
                <w:sz w:val="21"/>
                <w:szCs w:val="16"/>
                <w:highlight w:val="none"/>
              </w:rPr>
              <w:t>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79"/>
              <w:gridCol w:w="3240"/>
              <w:gridCol w:w="979"/>
              <w:gridCol w:w="979"/>
              <w:gridCol w:w="979"/>
              <w:gridCol w:w="981"/>
            </w:tblGrid>
            <w:tr w14:paraId="66E15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450527D4">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1"/>
                      <w:szCs w:val="21"/>
                      <w:highlight w:val="none"/>
                      <w:lang w:eastAsia="zh-CN"/>
                    </w:rPr>
                  </w:pPr>
                  <w:r>
                    <w:rPr>
                      <w:rFonts w:hint="eastAsia" w:ascii="Times New Roman" w:hAnsi="Times New Roman" w:eastAsia="宋体" w:cs="Times New Roman"/>
                      <w:color w:val="auto"/>
                      <w:spacing w:val="0"/>
                      <w:kern w:val="21"/>
                      <w:szCs w:val="21"/>
                      <w:highlight w:val="none"/>
                      <w:lang w:val="en-US" w:eastAsia="zh-CN"/>
                    </w:rPr>
                    <w:t>污染物</w:t>
                  </w:r>
                </w:p>
              </w:tc>
              <w:tc>
                <w:tcPr>
                  <w:tcW w:w="3240" w:type="dxa"/>
                  <w:tcBorders>
                    <w:tl2br w:val="nil"/>
                    <w:tr2bl w:val="nil"/>
                  </w:tcBorders>
                  <w:noWrap w:val="0"/>
                  <w:vAlign w:val="center"/>
                </w:tcPr>
                <w:p w14:paraId="3E09DEE5">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eastAsia" w:ascii="Times New Roman" w:hAnsi="Times New Roman" w:eastAsia="宋体" w:cs="Times New Roman"/>
                      <w:color w:val="auto"/>
                      <w:spacing w:val="0"/>
                      <w:kern w:val="21"/>
                      <w:szCs w:val="21"/>
                      <w:highlight w:val="none"/>
                      <w:lang w:val="en-US" w:eastAsia="zh-CN"/>
                    </w:rPr>
                    <w:t>年</w:t>
                  </w:r>
                  <w:r>
                    <w:rPr>
                      <w:rFonts w:hint="default" w:ascii="Times New Roman" w:hAnsi="Times New Roman" w:eastAsia="宋体" w:cs="Times New Roman"/>
                      <w:color w:val="auto"/>
                      <w:spacing w:val="0"/>
                      <w:kern w:val="21"/>
                      <w:szCs w:val="21"/>
                      <w:highlight w:val="none"/>
                    </w:rPr>
                    <w:t>评价指标</w:t>
                  </w:r>
                </w:p>
              </w:tc>
              <w:tc>
                <w:tcPr>
                  <w:tcW w:w="979" w:type="dxa"/>
                  <w:tcBorders>
                    <w:tl2br w:val="nil"/>
                    <w:tr2bl w:val="nil"/>
                  </w:tcBorders>
                  <w:noWrap w:val="0"/>
                  <w:vAlign w:val="center"/>
                </w:tcPr>
                <w:p w14:paraId="4D6BF5AE">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现状浓度</w:t>
                  </w:r>
                </w:p>
                <w:p w14:paraId="6860BB32">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（μg/m</w:t>
                  </w:r>
                  <w:r>
                    <w:rPr>
                      <w:rFonts w:hint="default" w:ascii="Times New Roman" w:hAnsi="Times New Roman" w:eastAsia="宋体" w:cs="Times New Roman"/>
                      <w:color w:val="auto"/>
                      <w:spacing w:val="0"/>
                      <w:kern w:val="21"/>
                      <w:szCs w:val="21"/>
                      <w:highlight w:val="none"/>
                      <w:vertAlign w:val="superscript"/>
                    </w:rPr>
                    <w:t>3</w:t>
                  </w:r>
                  <w:r>
                    <w:rPr>
                      <w:rFonts w:hint="default" w:ascii="Times New Roman" w:hAnsi="Times New Roman" w:eastAsia="宋体" w:cs="Times New Roman"/>
                      <w:color w:val="auto"/>
                      <w:spacing w:val="0"/>
                      <w:kern w:val="21"/>
                      <w:szCs w:val="21"/>
                      <w:highlight w:val="none"/>
                    </w:rPr>
                    <w:t>）</w:t>
                  </w:r>
                </w:p>
              </w:tc>
              <w:tc>
                <w:tcPr>
                  <w:tcW w:w="979" w:type="dxa"/>
                  <w:tcBorders>
                    <w:tl2br w:val="nil"/>
                    <w:tr2bl w:val="nil"/>
                  </w:tcBorders>
                  <w:noWrap w:val="0"/>
                  <w:vAlign w:val="center"/>
                </w:tcPr>
                <w:p w14:paraId="6F31FF2D">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标准值</w:t>
                  </w:r>
                </w:p>
                <w:p w14:paraId="135DE3CF">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（μg/m</w:t>
                  </w:r>
                  <w:r>
                    <w:rPr>
                      <w:rFonts w:hint="default" w:ascii="Times New Roman" w:hAnsi="Times New Roman" w:eastAsia="宋体" w:cs="Times New Roman"/>
                      <w:color w:val="auto"/>
                      <w:spacing w:val="0"/>
                      <w:kern w:val="21"/>
                      <w:szCs w:val="21"/>
                      <w:highlight w:val="none"/>
                      <w:vertAlign w:val="superscript"/>
                    </w:rPr>
                    <w:t>3</w:t>
                  </w:r>
                  <w:r>
                    <w:rPr>
                      <w:rFonts w:hint="default" w:ascii="Times New Roman" w:hAnsi="Times New Roman" w:eastAsia="宋体" w:cs="Times New Roman"/>
                      <w:color w:val="auto"/>
                      <w:spacing w:val="0"/>
                      <w:kern w:val="21"/>
                      <w:szCs w:val="21"/>
                      <w:highlight w:val="none"/>
                    </w:rPr>
                    <w:t>）</w:t>
                  </w:r>
                </w:p>
              </w:tc>
              <w:tc>
                <w:tcPr>
                  <w:tcW w:w="979" w:type="dxa"/>
                  <w:tcBorders>
                    <w:tl2br w:val="nil"/>
                    <w:tr2bl w:val="nil"/>
                  </w:tcBorders>
                  <w:noWrap w:val="0"/>
                  <w:vAlign w:val="center"/>
                </w:tcPr>
                <w:p w14:paraId="7FE78FED">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占标率（%）</w:t>
                  </w:r>
                </w:p>
              </w:tc>
              <w:tc>
                <w:tcPr>
                  <w:tcW w:w="981" w:type="dxa"/>
                  <w:tcBorders>
                    <w:tl2br w:val="nil"/>
                    <w:tr2bl w:val="nil"/>
                  </w:tcBorders>
                  <w:noWrap w:val="0"/>
                  <w:vAlign w:val="center"/>
                </w:tcPr>
                <w:p w14:paraId="2A602881">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达标</w:t>
                  </w:r>
                </w:p>
                <w:p w14:paraId="7A16E5B5">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情况</w:t>
                  </w:r>
                </w:p>
              </w:tc>
            </w:tr>
            <w:tr w14:paraId="63AFE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3355C10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SO</w:t>
                  </w:r>
                  <w:r>
                    <w:rPr>
                      <w:rFonts w:hint="default" w:ascii="Times New Roman" w:hAnsi="Times New Roman" w:eastAsia="宋体" w:cs="Times New Roman"/>
                      <w:color w:val="auto"/>
                      <w:spacing w:val="0"/>
                      <w:kern w:val="21"/>
                      <w:szCs w:val="21"/>
                      <w:highlight w:val="none"/>
                      <w:vertAlign w:val="subscript"/>
                    </w:rPr>
                    <w:t>2</w:t>
                  </w:r>
                </w:p>
              </w:tc>
              <w:tc>
                <w:tcPr>
                  <w:tcW w:w="3240" w:type="dxa"/>
                  <w:tcBorders>
                    <w:tl2br w:val="nil"/>
                    <w:tr2bl w:val="nil"/>
                  </w:tcBorders>
                  <w:noWrap w:val="0"/>
                  <w:vAlign w:val="center"/>
                </w:tcPr>
                <w:p w14:paraId="5E2B0B3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年平均浓度</w:t>
                  </w:r>
                </w:p>
              </w:tc>
              <w:tc>
                <w:tcPr>
                  <w:tcW w:w="979" w:type="dxa"/>
                  <w:tcBorders>
                    <w:tl2br w:val="nil"/>
                    <w:tr2bl w:val="nil"/>
                  </w:tcBorders>
                  <w:noWrap w:val="0"/>
                  <w:vAlign w:val="center"/>
                </w:tcPr>
                <w:p w14:paraId="5F8F041F">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9</w:t>
                  </w:r>
                </w:p>
              </w:tc>
              <w:tc>
                <w:tcPr>
                  <w:tcW w:w="979" w:type="dxa"/>
                  <w:tcBorders>
                    <w:tl2br w:val="nil"/>
                    <w:tr2bl w:val="nil"/>
                  </w:tcBorders>
                  <w:noWrap w:val="0"/>
                  <w:vAlign w:val="center"/>
                </w:tcPr>
                <w:p w14:paraId="776B58C6">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60</w:t>
                  </w:r>
                </w:p>
              </w:tc>
              <w:tc>
                <w:tcPr>
                  <w:tcW w:w="979" w:type="dxa"/>
                  <w:tcBorders>
                    <w:tl2br w:val="nil"/>
                    <w:tr2bl w:val="nil"/>
                  </w:tcBorders>
                  <w:noWrap w:val="0"/>
                  <w:vAlign w:val="center"/>
                </w:tcPr>
                <w:p w14:paraId="7C002BB1">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15</w:t>
                  </w:r>
                </w:p>
              </w:tc>
              <w:tc>
                <w:tcPr>
                  <w:tcW w:w="981" w:type="dxa"/>
                  <w:tcBorders>
                    <w:tl2br w:val="nil"/>
                    <w:tr2bl w:val="nil"/>
                  </w:tcBorders>
                  <w:noWrap w:val="0"/>
                  <w:vAlign w:val="center"/>
                </w:tcPr>
                <w:p w14:paraId="295906B7">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达标</w:t>
                  </w:r>
                </w:p>
              </w:tc>
            </w:tr>
            <w:tr w14:paraId="1ACD1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175D064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NO</w:t>
                  </w:r>
                  <w:r>
                    <w:rPr>
                      <w:rFonts w:hint="default" w:ascii="Times New Roman" w:hAnsi="Times New Roman" w:eastAsia="宋体" w:cs="Times New Roman"/>
                      <w:color w:val="auto"/>
                      <w:spacing w:val="0"/>
                      <w:kern w:val="21"/>
                      <w:szCs w:val="21"/>
                      <w:highlight w:val="none"/>
                      <w:vertAlign w:val="subscript"/>
                    </w:rPr>
                    <w:t>2</w:t>
                  </w:r>
                </w:p>
              </w:tc>
              <w:tc>
                <w:tcPr>
                  <w:tcW w:w="3240" w:type="dxa"/>
                  <w:tcBorders>
                    <w:tl2br w:val="nil"/>
                    <w:tr2bl w:val="nil"/>
                  </w:tcBorders>
                  <w:noWrap w:val="0"/>
                  <w:vAlign w:val="center"/>
                </w:tcPr>
                <w:p w14:paraId="098032C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年平均浓度</w:t>
                  </w:r>
                </w:p>
              </w:tc>
              <w:tc>
                <w:tcPr>
                  <w:tcW w:w="979" w:type="dxa"/>
                  <w:tcBorders>
                    <w:tl2br w:val="nil"/>
                    <w:tr2bl w:val="nil"/>
                  </w:tcBorders>
                  <w:noWrap w:val="0"/>
                  <w:vAlign w:val="center"/>
                </w:tcPr>
                <w:p w14:paraId="0E6BBC4F">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21</w:t>
                  </w:r>
                </w:p>
              </w:tc>
              <w:tc>
                <w:tcPr>
                  <w:tcW w:w="979" w:type="dxa"/>
                  <w:tcBorders>
                    <w:tl2br w:val="nil"/>
                    <w:tr2bl w:val="nil"/>
                  </w:tcBorders>
                  <w:noWrap w:val="0"/>
                  <w:vAlign w:val="center"/>
                </w:tcPr>
                <w:p w14:paraId="0D8B2292">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40</w:t>
                  </w:r>
                </w:p>
              </w:tc>
              <w:tc>
                <w:tcPr>
                  <w:tcW w:w="979" w:type="dxa"/>
                  <w:tcBorders>
                    <w:tl2br w:val="nil"/>
                    <w:tr2bl w:val="nil"/>
                  </w:tcBorders>
                  <w:noWrap w:val="0"/>
                  <w:vAlign w:val="center"/>
                </w:tcPr>
                <w:p w14:paraId="07ABE750">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52.5</w:t>
                  </w:r>
                </w:p>
              </w:tc>
              <w:tc>
                <w:tcPr>
                  <w:tcW w:w="981" w:type="dxa"/>
                  <w:tcBorders>
                    <w:tl2br w:val="nil"/>
                    <w:tr2bl w:val="nil"/>
                  </w:tcBorders>
                  <w:noWrap w:val="0"/>
                  <w:vAlign w:val="center"/>
                </w:tcPr>
                <w:p w14:paraId="060A20E3">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lang w:val="en-US" w:eastAsia="zh-CN"/>
                    </w:rPr>
                    <w:t>达标</w:t>
                  </w:r>
                </w:p>
              </w:tc>
            </w:tr>
            <w:tr w14:paraId="1314C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145E0FB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PM</w:t>
                  </w:r>
                  <w:r>
                    <w:rPr>
                      <w:rFonts w:hint="default" w:ascii="Times New Roman" w:hAnsi="Times New Roman" w:eastAsia="宋体" w:cs="Times New Roman"/>
                      <w:color w:val="auto"/>
                      <w:spacing w:val="0"/>
                      <w:kern w:val="21"/>
                      <w:szCs w:val="21"/>
                      <w:highlight w:val="none"/>
                      <w:vertAlign w:val="subscript"/>
                    </w:rPr>
                    <w:t>10</w:t>
                  </w:r>
                </w:p>
              </w:tc>
              <w:tc>
                <w:tcPr>
                  <w:tcW w:w="3240" w:type="dxa"/>
                  <w:tcBorders>
                    <w:tl2br w:val="nil"/>
                    <w:tr2bl w:val="nil"/>
                  </w:tcBorders>
                  <w:noWrap w:val="0"/>
                  <w:vAlign w:val="center"/>
                </w:tcPr>
                <w:p w14:paraId="27F10C7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年平均浓度</w:t>
                  </w:r>
                </w:p>
              </w:tc>
              <w:tc>
                <w:tcPr>
                  <w:tcW w:w="979" w:type="dxa"/>
                  <w:tcBorders>
                    <w:tl2br w:val="nil"/>
                    <w:tr2bl w:val="nil"/>
                  </w:tcBorders>
                  <w:noWrap w:val="0"/>
                  <w:vAlign w:val="center"/>
                </w:tcPr>
                <w:p w14:paraId="039A45AB">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58</w:t>
                  </w:r>
                </w:p>
              </w:tc>
              <w:tc>
                <w:tcPr>
                  <w:tcW w:w="979" w:type="dxa"/>
                  <w:tcBorders>
                    <w:tl2br w:val="nil"/>
                    <w:tr2bl w:val="nil"/>
                  </w:tcBorders>
                  <w:noWrap w:val="0"/>
                  <w:vAlign w:val="center"/>
                </w:tcPr>
                <w:p w14:paraId="24D39914">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70</w:t>
                  </w:r>
                </w:p>
              </w:tc>
              <w:tc>
                <w:tcPr>
                  <w:tcW w:w="979" w:type="dxa"/>
                  <w:tcBorders>
                    <w:tl2br w:val="nil"/>
                    <w:tr2bl w:val="nil"/>
                  </w:tcBorders>
                  <w:noWrap w:val="0"/>
                  <w:vAlign w:val="center"/>
                </w:tcPr>
                <w:p w14:paraId="0EE76453">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82.86</w:t>
                  </w:r>
                </w:p>
              </w:tc>
              <w:tc>
                <w:tcPr>
                  <w:tcW w:w="981" w:type="dxa"/>
                  <w:tcBorders>
                    <w:tl2br w:val="nil"/>
                    <w:tr2bl w:val="nil"/>
                  </w:tcBorders>
                  <w:noWrap w:val="0"/>
                  <w:vAlign w:val="center"/>
                </w:tcPr>
                <w:p w14:paraId="01D646DC">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eastAsia="zh-CN"/>
                    </w:rPr>
                  </w:pPr>
                  <w:r>
                    <w:rPr>
                      <w:rFonts w:hint="default" w:ascii="Times New Roman" w:hAnsi="Times New Roman" w:eastAsia="宋体" w:cs="Times New Roman"/>
                      <w:color w:val="auto"/>
                      <w:spacing w:val="0"/>
                      <w:kern w:val="21"/>
                      <w:szCs w:val="21"/>
                      <w:highlight w:val="none"/>
                      <w:lang w:val="en-US" w:eastAsia="zh-CN"/>
                    </w:rPr>
                    <w:t>达标</w:t>
                  </w:r>
                </w:p>
              </w:tc>
            </w:tr>
            <w:tr w14:paraId="211F2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0DC92417">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PM</w:t>
                  </w:r>
                  <w:r>
                    <w:rPr>
                      <w:rFonts w:hint="default" w:ascii="Times New Roman" w:hAnsi="Times New Roman" w:eastAsia="宋体" w:cs="Times New Roman"/>
                      <w:color w:val="auto"/>
                      <w:spacing w:val="0"/>
                      <w:kern w:val="21"/>
                      <w:szCs w:val="21"/>
                      <w:highlight w:val="none"/>
                      <w:vertAlign w:val="subscript"/>
                    </w:rPr>
                    <w:t>2.5</w:t>
                  </w:r>
                </w:p>
              </w:tc>
              <w:tc>
                <w:tcPr>
                  <w:tcW w:w="3240" w:type="dxa"/>
                  <w:tcBorders>
                    <w:tl2br w:val="nil"/>
                    <w:tr2bl w:val="nil"/>
                  </w:tcBorders>
                  <w:noWrap w:val="0"/>
                  <w:vAlign w:val="center"/>
                </w:tcPr>
                <w:p w14:paraId="1B6BF625">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年平均浓度</w:t>
                  </w:r>
                </w:p>
              </w:tc>
              <w:tc>
                <w:tcPr>
                  <w:tcW w:w="979" w:type="dxa"/>
                  <w:tcBorders>
                    <w:tl2br w:val="nil"/>
                    <w:tr2bl w:val="nil"/>
                  </w:tcBorders>
                  <w:noWrap w:val="0"/>
                  <w:vAlign w:val="center"/>
                </w:tcPr>
                <w:p w14:paraId="4EF0DFFD">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30</w:t>
                  </w:r>
                </w:p>
              </w:tc>
              <w:tc>
                <w:tcPr>
                  <w:tcW w:w="979" w:type="dxa"/>
                  <w:tcBorders>
                    <w:tl2br w:val="nil"/>
                    <w:tr2bl w:val="nil"/>
                  </w:tcBorders>
                  <w:noWrap w:val="0"/>
                  <w:vAlign w:val="center"/>
                </w:tcPr>
                <w:p w14:paraId="51CBEDC3">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35</w:t>
                  </w:r>
                </w:p>
              </w:tc>
              <w:tc>
                <w:tcPr>
                  <w:tcW w:w="979" w:type="dxa"/>
                  <w:tcBorders>
                    <w:tl2br w:val="nil"/>
                    <w:tr2bl w:val="nil"/>
                  </w:tcBorders>
                  <w:noWrap w:val="0"/>
                  <w:vAlign w:val="center"/>
                </w:tcPr>
                <w:p w14:paraId="71EE9BAA">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85.71</w:t>
                  </w:r>
                </w:p>
              </w:tc>
              <w:tc>
                <w:tcPr>
                  <w:tcW w:w="981" w:type="dxa"/>
                  <w:tcBorders>
                    <w:tl2br w:val="nil"/>
                    <w:tr2bl w:val="nil"/>
                  </w:tcBorders>
                  <w:noWrap w:val="0"/>
                  <w:vAlign w:val="center"/>
                </w:tcPr>
                <w:p w14:paraId="3687EA17">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lang w:val="en-US" w:eastAsia="zh-CN"/>
                    </w:rPr>
                    <w:t>达标</w:t>
                  </w:r>
                </w:p>
              </w:tc>
            </w:tr>
            <w:tr w14:paraId="43A35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168377D9">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Cs w:val="21"/>
                      <w:highlight w:val="none"/>
                    </w:rPr>
                    <w:t>CO</w:t>
                  </w:r>
                </w:p>
              </w:tc>
              <w:tc>
                <w:tcPr>
                  <w:tcW w:w="3240" w:type="dxa"/>
                  <w:tcBorders>
                    <w:tl2br w:val="nil"/>
                    <w:tr2bl w:val="nil"/>
                  </w:tcBorders>
                  <w:noWrap w:val="0"/>
                  <w:vAlign w:val="center"/>
                </w:tcPr>
                <w:p w14:paraId="13B3E750">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Cs w:val="21"/>
                      <w:highlight w:val="none"/>
                    </w:rPr>
                    <w:t>95百分位</w:t>
                  </w:r>
                  <w:r>
                    <w:rPr>
                      <w:rFonts w:hint="eastAsia" w:ascii="Times New Roman" w:hAnsi="Times New Roman" w:eastAsia="宋体" w:cs="Times New Roman"/>
                      <w:color w:val="auto"/>
                      <w:spacing w:val="0"/>
                      <w:kern w:val="21"/>
                      <w:szCs w:val="21"/>
                      <w:highlight w:val="none"/>
                      <w:lang w:val="en-US" w:eastAsia="zh-CN"/>
                    </w:rPr>
                    <w:t>日</w:t>
                  </w:r>
                  <w:r>
                    <w:rPr>
                      <w:rFonts w:hint="default" w:ascii="Times New Roman" w:hAnsi="Times New Roman" w:eastAsia="宋体" w:cs="Times New Roman"/>
                      <w:color w:val="auto"/>
                      <w:spacing w:val="0"/>
                      <w:kern w:val="21"/>
                      <w:szCs w:val="21"/>
                      <w:highlight w:val="none"/>
                    </w:rPr>
                    <w:t>平均</w:t>
                  </w:r>
                  <w:r>
                    <w:rPr>
                      <w:rFonts w:hint="eastAsia" w:ascii="Times New Roman" w:hAnsi="Times New Roman" w:eastAsia="宋体" w:cs="Times New Roman"/>
                      <w:color w:val="auto"/>
                      <w:spacing w:val="0"/>
                      <w:kern w:val="21"/>
                      <w:szCs w:val="21"/>
                      <w:highlight w:val="none"/>
                      <w:lang w:val="en-US" w:eastAsia="zh-CN"/>
                    </w:rPr>
                    <w:t>浓度</w:t>
                  </w:r>
                </w:p>
              </w:tc>
              <w:tc>
                <w:tcPr>
                  <w:tcW w:w="979" w:type="dxa"/>
                  <w:tcBorders>
                    <w:tl2br w:val="nil"/>
                    <w:tr2bl w:val="nil"/>
                  </w:tcBorders>
                  <w:noWrap w:val="0"/>
                  <w:vAlign w:val="center"/>
                </w:tcPr>
                <w:p w14:paraId="3D0D4932">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 w:val="21"/>
                      <w:szCs w:val="21"/>
                      <w:highlight w:val="none"/>
                      <w:lang w:val="en-US" w:eastAsia="zh-CN" w:bidi="ar-SA"/>
                    </w:rPr>
                    <w:t>1200</w:t>
                  </w:r>
                </w:p>
              </w:tc>
              <w:tc>
                <w:tcPr>
                  <w:tcW w:w="979" w:type="dxa"/>
                  <w:tcBorders>
                    <w:tl2br w:val="nil"/>
                    <w:tr2bl w:val="nil"/>
                  </w:tcBorders>
                  <w:noWrap w:val="0"/>
                  <w:vAlign w:val="center"/>
                </w:tcPr>
                <w:p w14:paraId="7FA9F848">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Cs w:val="21"/>
                      <w:highlight w:val="none"/>
                    </w:rPr>
                    <w:t>4000</w:t>
                  </w:r>
                </w:p>
              </w:tc>
              <w:tc>
                <w:tcPr>
                  <w:tcW w:w="979" w:type="dxa"/>
                  <w:tcBorders>
                    <w:tl2br w:val="nil"/>
                    <w:tr2bl w:val="nil"/>
                  </w:tcBorders>
                  <w:noWrap w:val="0"/>
                  <w:vAlign w:val="center"/>
                </w:tcPr>
                <w:p w14:paraId="3BDA33F1">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30</w:t>
                  </w:r>
                </w:p>
              </w:tc>
              <w:tc>
                <w:tcPr>
                  <w:tcW w:w="981" w:type="dxa"/>
                  <w:tcBorders>
                    <w:tl2br w:val="nil"/>
                    <w:tr2bl w:val="nil"/>
                  </w:tcBorders>
                  <w:noWrap w:val="0"/>
                  <w:vAlign w:val="center"/>
                </w:tcPr>
                <w:p w14:paraId="3A5A9BA2">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eastAsia="宋体" w:cs="Times New Roman"/>
                      <w:color w:val="auto"/>
                      <w:spacing w:val="0"/>
                      <w:kern w:val="21"/>
                      <w:szCs w:val="21"/>
                      <w:highlight w:val="none"/>
                      <w:lang w:val="en-US" w:eastAsia="zh-CN"/>
                    </w:rPr>
                    <w:t>达标</w:t>
                  </w:r>
                </w:p>
              </w:tc>
            </w:tr>
            <w:tr w14:paraId="3E2F6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9" w:type="dxa"/>
                  <w:tcBorders>
                    <w:tl2br w:val="nil"/>
                    <w:tr2bl w:val="nil"/>
                  </w:tcBorders>
                  <w:noWrap w:val="0"/>
                  <w:vAlign w:val="center"/>
                </w:tcPr>
                <w:p w14:paraId="45D1E95E">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O</w:t>
                  </w:r>
                  <w:r>
                    <w:rPr>
                      <w:rFonts w:hint="default" w:ascii="Times New Roman" w:hAnsi="Times New Roman" w:eastAsia="宋体" w:cs="Times New Roman"/>
                      <w:color w:val="auto"/>
                      <w:spacing w:val="0"/>
                      <w:kern w:val="21"/>
                      <w:szCs w:val="21"/>
                      <w:highlight w:val="none"/>
                      <w:vertAlign w:val="subscript"/>
                    </w:rPr>
                    <w:t>3</w:t>
                  </w:r>
                </w:p>
              </w:tc>
              <w:tc>
                <w:tcPr>
                  <w:tcW w:w="3240" w:type="dxa"/>
                  <w:tcBorders>
                    <w:tl2br w:val="nil"/>
                    <w:tr2bl w:val="nil"/>
                  </w:tcBorders>
                  <w:noWrap w:val="0"/>
                  <w:vAlign w:val="center"/>
                </w:tcPr>
                <w:p w14:paraId="1CDDA795">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0"/>
                      <w:kern w:val="21"/>
                      <w:szCs w:val="21"/>
                      <w:highlight w:val="none"/>
                      <w:lang w:eastAsia="zh-CN"/>
                    </w:rPr>
                  </w:pPr>
                  <w:r>
                    <w:rPr>
                      <w:rFonts w:hint="eastAsia" w:ascii="Times New Roman" w:hAnsi="Times New Roman" w:eastAsia="宋体" w:cs="Times New Roman"/>
                      <w:color w:val="auto"/>
                      <w:spacing w:val="0"/>
                      <w:kern w:val="21"/>
                      <w:szCs w:val="21"/>
                      <w:highlight w:val="none"/>
                      <w:lang w:val="en-US" w:eastAsia="zh-CN"/>
                    </w:rPr>
                    <w:t>90百分位日</w:t>
                  </w:r>
                  <w:r>
                    <w:rPr>
                      <w:rFonts w:hint="default" w:ascii="Times New Roman" w:hAnsi="Times New Roman" w:eastAsia="宋体" w:cs="Times New Roman"/>
                      <w:color w:val="auto"/>
                      <w:spacing w:val="0"/>
                      <w:kern w:val="21"/>
                      <w:szCs w:val="21"/>
                      <w:highlight w:val="none"/>
                      <w:lang w:val="en-US" w:eastAsia="zh-CN"/>
                    </w:rPr>
                    <w:t>最大8小时</w:t>
                  </w:r>
                  <w:r>
                    <w:rPr>
                      <w:rFonts w:hint="default" w:ascii="Times New Roman" w:hAnsi="Times New Roman" w:eastAsia="宋体" w:cs="Times New Roman"/>
                      <w:color w:val="auto"/>
                      <w:spacing w:val="0"/>
                      <w:kern w:val="21"/>
                      <w:szCs w:val="21"/>
                      <w:highlight w:val="none"/>
                    </w:rPr>
                    <w:t>平均</w:t>
                  </w:r>
                  <w:r>
                    <w:rPr>
                      <w:rFonts w:hint="eastAsia" w:ascii="Times New Roman" w:hAnsi="Times New Roman" w:eastAsia="宋体" w:cs="Times New Roman"/>
                      <w:color w:val="auto"/>
                      <w:spacing w:val="0"/>
                      <w:kern w:val="21"/>
                      <w:szCs w:val="21"/>
                      <w:highlight w:val="none"/>
                      <w:lang w:val="en-US" w:eastAsia="zh-CN"/>
                    </w:rPr>
                    <w:t>浓度</w:t>
                  </w:r>
                </w:p>
              </w:tc>
              <w:tc>
                <w:tcPr>
                  <w:tcW w:w="979" w:type="dxa"/>
                  <w:tcBorders>
                    <w:tl2br w:val="nil"/>
                    <w:tr2bl w:val="nil"/>
                  </w:tcBorders>
                  <w:noWrap w:val="0"/>
                  <w:vAlign w:val="center"/>
                </w:tcPr>
                <w:p w14:paraId="4656FE0E">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172</w:t>
                  </w:r>
                </w:p>
              </w:tc>
              <w:tc>
                <w:tcPr>
                  <w:tcW w:w="979" w:type="dxa"/>
                  <w:tcBorders>
                    <w:tl2br w:val="nil"/>
                    <w:tr2bl w:val="nil"/>
                  </w:tcBorders>
                  <w:noWrap w:val="0"/>
                  <w:vAlign w:val="center"/>
                </w:tcPr>
                <w:p w14:paraId="402C5BB4">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160</w:t>
                  </w:r>
                </w:p>
              </w:tc>
              <w:tc>
                <w:tcPr>
                  <w:tcW w:w="979" w:type="dxa"/>
                  <w:tcBorders>
                    <w:tl2br w:val="nil"/>
                    <w:tr2bl w:val="nil"/>
                  </w:tcBorders>
                  <w:noWrap w:val="0"/>
                  <w:vAlign w:val="center"/>
                </w:tcPr>
                <w:p w14:paraId="7D5447C4">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107.5</w:t>
                  </w:r>
                </w:p>
              </w:tc>
              <w:tc>
                <w:tcPr>
                  <w:tcW w:w="981" w:type="dxa"/>
                  <w:tcBorders>
                    <w:tl2br w:val="nil"/>
                    <w:tr2bl w:val="nil"/>
                  </w:tcBorders>
                  <w:noWrap w:val="0"/>
                  <w:vAlign w:val="center"/>
                </w:tcPr>
                <w:p w14:paraId="128F9AAC">
                  <w:pPr>
                    <w:keepNext w:val="0"/>
                    <w:keepLines w:val="0"/>
                    <w:pageBreakBefore w:val="0"/>
                    <w:widowControl/>
                    <w:tabs>
                      <w:tab w:val="left" w:pos="460"/>
                    </w:tabs>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Cs w:val="21"/>
                      <w:highlight w:val="none"/>
                      <w:lang w:val="en-US" w:eastAsia="zh-CN"/>
                    </w:rPr>
                    <w:t>超标</w:t>
                  </w:r>
                </w:p>
              </w:tc>
            </w:tr>
          </w:tbl>
          <w:p w14:paraId="68CE694F">
            <w:pPr>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eastAsia="宋体" w:cs="Times New Roman"/>
                <w:color w:val="auto"/>
                <w:spacing w:val="0"/>
                <w:kern w:val="21"/>
                <w:sz w:val="24"/>
                <w:szCs w:val="20"/>
                <w:highlight w:val="none"/>
              </w:rPr>
            </w:pPr>
            <w:r>
              <w:rPr>
                <w:rFonts w:hint="default" w:ascii="Times New Roman" w:hAnsi="Times New Roman" w:cs="Times New Roman"/>
                <w:color w:val="auto"/>
                <w:spacing w:val="0"/>
                <w:kern w:val="21"/>
                <w:sz w:val="24"/>
                <w:highlight w:val="none"/>
                <w:lang w:val="en-US" w:eastAsia="zh-CN"/>
              </w:rPr>
              <w:t>根据</w:t>
            </w:r>
            <w:r>
              <w:rPr>
                <w:rFonts w:hint="eastAsia" w:ascii="Times New Roman" w:hAnsi="Times New Roman" w:cs="Times New Roman"/>
                <w:color w:val="auto"/>
                <w:spacing w:val="0"/>
                <w:kern w:val="21"/>
                <w:sz w:val="24"/>
                <w:highlight w:val="none"/>
                <w:lang w:val="en-US" w:eastAsia="zh-CN"/>
              </w:rPr>
              <w:t>长子县</w:t>
            </w:r>
            <w:r>
              <w:rPr>
                <w:rFonts w:hint="default" w:ascii="Times New Roman" w:hAnsi="Times New Roman" w:cs="Times New Roman"/>
                <w:color w:val="auto"/>
                <w:spacing w:val="0"/>
                <w:kern w:val="21"/>
                <w:sz w:val="24"/>
                <w:highlight w:val="none"/>
                <w:lang w:val="en-US" w:eastAsia="zh-CN"/>
              </w:rPr>
              <w:t>202</w:t>
            </w:r>
            <w:r>
              <w:rPr>
                <w:rFonts w:hint="eastAsia" w:cs="Times New Roman"/>
                <w:color w:val="auto"/>
                <w:spacing w:val="0"/>
                <w:kern w:val="21"/>
                <w:sz w:val="24"/>
                <w:highlight w:val="none"/>
                <w:lang w:val="en-US" w:eastAsia="zh-CN"/>
              </w:rPr>
              <w:t>4</w:t>
            </w:r>
            <w:r>
              <w:rPr>
                <w:rFonts w:hint="default" w:ascii="Times New Roman" w:hAnsi="Times New Roman" w:cs="Times New Roman"/>
                <w:color w:val="auto"/>
                <w:spacing w:val="0"/>
                <w:kern w:val="21"/>
                <w:sz w:val="24"/>
                <w:highlight w:val="none"/>
                <w:lang w:val="en-US" w:eastAsia="zh-CN"/>
              </w:rPr>
              <w:t>年例行监测数据可知，</w:t>
            </w:r>
            <w:r>
              <w:rPr>
                <w:rFonts w:hint="eastAsia" w:cs="Times New Roman"/>
                <w:color w:val="auto"/>
                <w:spacing w:val="0"/>
                <w:kern w:val="21"/>
                <w:sz w:val="24"/>
                <w:highlight w:val="none"/>
                <w:lang w:val="en-US" w:eastAsia="zh-CN"/>
              </w:rPr>
              <w:t>长子县</w:t>
            </w:r>
            <w:r>
              <w:rPr>
                <w:rFonts w:hint="default" w:ascii="Times New Roman" w:hAnsi="Times New Roman" w:cs="Times New Roman"/>
                <w:color w:val="auto"/>
                <w:spacing w:val="0"/>
                <w:kern w:val="21"/>
                <w:sz w:val="24"/>
                <w:highlight w:val="none"/>
                <w:lang w:val="en-US" w:eastAsia="zh-CN"/>
              </w:rPr>
              <w:t>SO</w:t>
            </w:r>
            <w:r>
              <w:rPr>
                <w:rFonts w:hint="default" w:ascii="Times New Roman" w:hAnsi="Times New Roman" w:cs="Times New Roman"/>
                <w:color w:val="auto"/>
                <w:spacing w:val="0"/>
                <w:kern w:val="21"/>
                <w:sz w:val="24"/>
                <w:highlight w:val="none"/>
                <w:vertAlign w:val="subscript"/>
                <w:lang w:val="en-US" w:eastAsia="zh-CN"/>
              </w:rPr>
              <w:t>2</w:t>
            </w:r>
            <w:r>
              <w:rPr>
                <w:rFonts w:hint="eastAsia" w:ascii="Times New Roman" w:hAnsi="Times New Roman" w:cs="Times New Roman"/>
                <w:color w:val="auto"/>
                <w:spacing w:val="0"/>
                <w:kern w:val="21"/>
                <w:sz w:val="24"/>
                <w:highlight w:val="none"/>
                <w:lang w:val="en-US" w:eastAsia="zh-CN"/>
              </w:rPr>
              <w:t>、</w:t>
            </w:r>
            <w:r>
              <w:rPr>
                <w:rFonts w:hint="default" w:ascii="Times New Roman" w:hAnsi="Times New Roman" w:cs="Times New Roman"/>
                <w:color w:val="auto"/>
                <w:spacing w:val="0"/>
                <w:kern w:val="21"/>
                <w:sz w:val="24"/>
                <w:highlight w:val="none"/>
                <w:lang w:val="en-US" w:eastAsia="zh-CN"/>
              </w:rPr>
              <w:t>NO</w:t>
            </w:r>
            <w:r>
              <w:rPr>
                <w:rFonts w:hint="default" w:ascii="Times New Roman" w:hAnsi="Times New Roman" w:cs="Times New Roman"/>
                <w:color w:val="auto"/>
                <w:spacing w:val="0"/>
                <w:kern w:val="21"/>
                <w:sz w:val="24"/>
                <w:highlight w:val="none"/>
                <w:vertAlign w:val="subscript"/>
                <w:lang w:val="en-US" w:eastAsia="zh-CN"/>
              </w:rPr>
              <w:t>2</w:t>
            </w:r>
            <w:r>
              <w:rPr>
                <w:rFonts w:hint="eastAsia" w:ascii="Times New Roman" w:hAnsi="Times New Roman" w:cs="Times New Roman"/>
                <w:color w:val="auto"/>
                <w:spacing w:val="0"/>
                <w:kern w:val="21"/>
                <w:sz w:val="24"/>
                <w:highlight w:val="none"/>
                <w:lang w:val="en-US" w:eastAsia="zh-CN"/>
              </w:rPr>
              <w:t>、</w:t>
            </w:r>
            <w:r>
              <w:rPr>
                <w:rFonts w:hint="default" w:ascii="Times New Roman" w:hAnsi="Times New Roman" w:cs="Times New Roman"/>
                <w:color w:val="auto"/>
                <w:spacing w:val="0"/>
                <w:kern w:val="21"/>
                <w:sz w:val="24"/>
                <w:highlight w:val="none"/>
                <w:lang w:val="en-US" w:eastAsia="zh-CN"/>
              </w:rPr>
              <w:t>PM</w:t>
            </w:r>
            <w:r>
              <w:rPr>
                <w:rFonts w:hint="default" w:ascii="Times New Roman" w:hAnsi="Times New Roman" w:cs="Times New Roman"/>
                <w:color w:val="auto"/>
                <w:spacing w:val="0"/>
                <w:kern w:val="21"/>
                <w:sz w:val="24"/>
                <w:highlight w:val="none"/>
                <w:vertAlign w:val="subscript"/>
                <w:lang w:val="en-US" w:eastAsia="zh-CN"/>
              </w:rPr>
              <w:t>10</w:t>
            </w:r>
            <w:r>
              <w:rPr>
                <w:rFonts w:hint="default" w:ascii="Times New Roman" w:hAnsi="Times New Roman" w:cs="Times New Roman"/>
                <w:color w:val="auto"/>
                <w:spacing w:val="0"/>
                <w:kern w:val="21"/>
                <w:sz w:val="24"/>
                <w:highlight w:val="none"/>
                <w:lang w:val="en-US" w:eastAsia="zh-CN"/>
              </w:rPr>
              <w:t>、PM</w:t>
            </w:r>
            <w:r>
              <w:rPr>
                <w:rFonts w:hint="default" w:ascii="Times New Roman" w:hAnsi="Times New Roman" w:cs="Times New Roman"/>
                <w:color w:val="auto"/>
                <w:spacing w:val="0"/>
                <w:kern w:val="21"/>
                <w:sz w:val="24"/>
                <w:highlight w:val="none"/>
                <w:vertAlign w:val="subscript"/>
                <w:lang w:val="en-US" w:eastAsia="zh-CN"/>
              </w:rPr>
              <w:t>2.5</w:t>
            </w:r>
            <w:r>
              <w:rPr>
                <w:rFonts w:hint="eastAsia" w:ascii="Times New Roman" w:hAnsi="Times New Roman" w:cs="Times New Roman"/>
                <w:color w:val="auto"/>
                <w:spacing w:val="0"/>
                <w:kern w:val="21"/>
                <w:sz w:val="24"/>
                <w:highlight w:val="none"/>
                <w:lang w:val="en-US" w:eastAsia="zh-CN"/>
              </w:rPr>
              <w:t>、</w:t>
            </w:r>
            <w:r>
              <w:rPr>
                <w:rFonts w:hint="default" w:ascii="Times New Roman" w:hAnsi="Times New Roman" w:cs="Times New Roman"/>
                <w:color w:val="auto"/>
                <w:spacing w:val="0"/>
                <w:kern w:val="21"/>
                <w:sz w:val="24"/>
                <w:highlight w:val="none"/>
                <w:lang w:val="en-US" w:eastAsia="zh-CN"/>
              </w:rPr>
              <w:t>CO</w:t>
            </w:r>
            <w:r>
              <w:rPr>
                <w:rFonts w:hint="eastAsia" w:ascii="Times New Roman" w:hAnsi="Times New Roman" w:cs="Times New Roman"/>
                <w:color w:val="auto"/>
                <w:spacing w:val="0"/>
                <w:kern w:val="21"/>
                <w:sz w:val="24"/>
                <w:highlight w:val="none"/>
                <w:lang w:val="en-US" w:eastAsia="zh-CN"/>
              </w:rPr>
              <w:t>排放浓度均满足《环境空气质量标准》（GB3095-2012）中二级标准限值要求</w:t>
            </w:r>
            <w:r>
              <w:rPr>
                <w:rFonts w:hint="default" w:ascii="Times New Roman" w:hAnsi="Times New Roman" w:cs="Times New Roman"/>
                <w:color w:val="auto"/>
                <w:spacing w:val="0"/>
                <w:kern w:val="21"/>
                <w:sz w:val="24"/>
                <w:highlight w:val="none"/>
                <w:lang w:val="en-US" w:eastAsia="zh-CN"/>
              </w:rPr>
              <w:t>，</w:t>
            </w:r>
            <w:r>
              <w:rPr>
                <w:rFonts w:hint="eastAsia" w:ascii="Times New Roman" w:hAnsi="Times New Roman" w:cs="Times New Roman"/>
                <w:color w:val="auto"/>
                <w:spacing w:val="0"/>
                <w:kern w:val="21"/>
                <w:sz w:val="24"/>
                <w:highlight w:val="none"/>
                <w:lang w:val="en-US" w:eastAsia="zh-CN"/>
              </w:rPr>
              <w:t>其中：</w:t>
            </w:r>
            <w:r>
              <w:rPr>
                <w:rFonts w:hint="default" w:ascii="Times New Roman" w:hAnsi="Times New Roman" w:cs="Times New Roman"/>
                <w:color w:val="auto"/>
                <w:spacing w:val="0"/>
                <w:kern w:val="21"/>
                <w:sz w:val="24"/>
                <w:highlight w:val="none"/>
                <w:lang w:val="en-US" w:eastAsia="zh-CN"/>
              </w:rPr>
              <w:t>SO</w:t>
            </w:r>
            <w:r>
              <w:rPr>
                <w:rFonts w:hint="default" w:ascii="Times New Roman" w:hAnsi="Times New Roman" w:cs="Times New Roman"/>
                <w:color w:val="auto"/>
                <w:spacing w:val="0"/>
                <w:kern w:val="21"/>
                <w:sz w:val="24"/>
                <w:highlight w:val="none"/>
                <w:vertAlign w:val="subscript"/>
                <w:lang w:val="en-US" w:eastAsia="zh-CN"/>
              </w:rPr>
              <w:t>2</w:t>
            </w:r>
            <w:r>
              <w:rPr>
                <w:rFonts w:hint="default" w:ascii="Times New Roman" w:hAnsi="Times New Roman" w:cs="Times New Roman"/>
                <w:color w:val="auto"/>
                <w:spacing w:val="0"/>
                <w:kern w:val="21"/>
                <w:sz w:val="24"/>
                <w:highlight w:val="none"/>
                <w:lang w:val="en-US" w:eastAsia="zh-CN"/>
              </w:rPr>
              <w:t>占标率为</w:t>
            </w:r>
            <w:r>
              <w:rPr>
                <w:rFonts w:hint="eastAsia" w:ascii="Times New Roman" w:hAnsi="Times New Roman" w:cs="Times New Roman"/>
                <w:color w:val="auto"/>
                <w:spacing w:val="0"/>
                <w:kern w:val="21"/>
                <w:sz w:val="24"/>
                <w:highlight w:val="none"/>
                <w:lang w:val="en-US" w:eastAsia="zh-CN"/>
              </w:rPr>
              <w:t>15</w:t>
            </w:r>
            <w:r>
              <w:rPr>
                <w:rFonts w:hint="default" w:ascii="Times New Roman" w:hAnsi="Times New Roman" w:cs="Times New Roman"/>
                <w:color w:val="auto"/>
                <w:spacing w:val="0"/>
                <w:kern w:val="21"/>
                <w:sz w:val="24"/>
                <w:highlight w:val="none"/>
                <w:lang w:val="en-US" w:eastAsia="zh-CN"/>
              </w:rPr>
              <w:t>%，NO</w:t>
            </w:r>
            <w:r>
              <w:rPr>
                <w:rFonts w:hint="default" w:ascii="Times New Roman" w:hAnsi="Times New Roman" w:cs="Times New Roman"/>
                <w:color w:val="auto"/>
                <w:spacing w:val="0"/>
                <w:kern w:val="21"/>
                <w:sz w:val="24"/>
                <w:highlight w:val="none"/>
                <w:vertAlign w:val="subscript"/>
                <w:lang w:val="en-US" w:eastAsia="zh-CN"/>
              </w:rPr>
              <w:t>2</w:t>
            </w:r>
            <w:r>
              <w:rPr>
                <w:rFonts w:hint="default" w:ascii="Times New Roman" w:hAnsi="Times New Roman" w:cs="Times New Roman"/>
                <w:color w:val="auto"/>
                <w:spacing w:val="0"/>
                <w:kern w:val="21"/>
                <w:sz w:val="24"/>
                <w:highlight w:val="none"/>
                <w:lang w:val="en-US" w:eastAsia="zh-CN"/>
              </w:rPr>
              <w:t>占标率为</w:t>
            </w:r>
            <w:r>
              <w:rPr>
                <w:rFonts w:hint="eastAsia" w:ascii="Times New Roman" w:hAnsi="Times New Roman" w:cs="Times New Roman"/>
                <w:color w:val="auto"/>
                <w:spacing w:val="0"/>
                <w:kern w:val="21"/>
                <w:sz w:val="24"/>
                <w:highlight w:val="none"/>
                <w:lang w:val="en-US" w:eastAsia="zh-CN"/>
              </w:rPr>
              <w:t>52.5</w:t>
            </w:r>
            <w:r>
              <w:rPr>
                <w:rFonts w:hint="default" w:ascii="Times New Roman" w:hAnsi="Times New Roman" w:cs="Times New Roman"/>
                <w:color w:val="auto"/>
                <w:spacing w:val="0"/>
                <w:kern w:val="21"/>
                <w:sz w:val="24"/>
                <w:highlight w:val="none"/>
                <w:lang w:val="en-US" w:eastAsia="zh-CN"/>
              </w:rPr>
              <w:t>%，PM</w:t>
            </w:r>
            <w:r>
              <w:rPr>
                <w:rFonts w:hint="default" w:ascii="Times New Roman" w:hAnsi="Times New Roman" w:cs="Times New Roman"/>
                <w:color w:val="auto"/>
                <w:spacing w:val="0"/>
                <w:kern w:val="21"/>
                <w:sz w:val="24"/>
                <w:highlight w:val="none"/>
                <w:vertAlign w:val="subscript"/>
                <w:lang w:val="en-US" w:eastAsia="zh-CN"/>
              </w:rPr>
              <w:t>10</w:t>
            </w:r>
            <w:r>
              <w:rPr>
                <w:rFonts w:hint="default" w:ascii="Times New Roman" w:hAnsi="Times New Roman" w:cs="Times New Roman"/>
                <w:color w:val="auto"/>
                <w:spacing w:val="0"/>
                <w:kern w:val="21"/>
                <w:sz w:val="24"/>
                <w:highlight w:val="none"/>
                <w:lang w:val="en-US" w:eastAsia="zh-CN"/>
              </w:rPr>
              <w:t>占标率为</w:t>
            </w:r>
            <w:r>
              <w:rPr>
                <w:rFonts w:hint="eastAsia" w:ascii="Times New Roman" w:hAnsi="Times New Roman" w:cs="Times New Roman"/>
                <w:color w:val="auto"/>
                <w:spacing w:val="0"/>
                <w:kern w:val="21"/>
                <w:sz w:val="24"/>
                <w:highlight w:val="none"/>
                <w:lang w:val="en-US" w:eastAsia="zh-CN"/>
              </w:rPr>
              <w:t>82.86</w:t>
            </w:r>
            <w:r>
              <w:rPr>
                <w:rFonts w:hint="default" w:ascii="Times New Roman" w:hAnsi="Times New Roman" w:cs="Times New Roman"/>
                <w:color w:val="auto"/>
                <w:spacing w:val="0"/>
                <w:kern w:val="21"/>
                <w:sz w:val="24"/>
                <w:highlight w:val="none"/>
                <w:lang w:val="en-US" w:eastAsia="zh-CN"/>
              </w:rPr>
              <w:t>%，PM</w:t>
            </w:r>
            <w:r>
              <w:rPr>
                <w:rFonts w:hint="default" w:ascii="Times New Roman" w:hAnsi="Times New Roman" w:cs="Times New Roman"/>
                <w:color w:val="auto"/>
                <w:spacing w:val="0"/>
                <w:kern w:val="21"/>
                <w:sz w:val="24"/>
                <w:highlight w:val="none"/>
                <w:vertAlign w:val="subscript"/>
                <w:lang w:val="en-US" w:eastAsia="zh-CN"/>
              </w:rPr>
              <w:t>2.5</w:t>
            </w:r>
            <w:r>
              <w:rPr>
                <w:rFonts w:hint="default" w:ascii="Times New Roman" w:hAnsi="Times New Roman" w:cs="Times New Roman"/>
                <w:color w:val="auto"/>
                <w:spacing w:val="0"/>
                <w:kern w:val="21"/>
                <w:sz w:val="24"/>
                <w:highlight w:val="none"/>
                <w:lang w:val="en-US" w:eastAsia="zh-CN"/>
              </w:rPr>
              <w:t>占标率为</w:t>
            </w:r>
            <w:r>
              <w:rPr>
                <w:rFonts w:hint="eastAsia" w:ascii="Times New Roman" w:hAnsi="Times New Roman" w:cs="Times New Roman"/>
                <w:color w:val="auto"/>
                <w:spacing w:val="0"/>
                <w:kern w:val="21"/>
                <w:sz w:val="24"/>
                <w:highlight w:val="none"/>
                <w:lang w:val="en-US" w:eastAsia="zh-CN"/>
              </w:rPr>
              <w:t>85.71</w:t>
            </w:r>
            <w:r>
              <w:rPr>
                <w:rFonts w:hint="default" w:ascii="Times New Roman" w:hAnsi="Times New Roman" w:cs="Times New Roman"/>
                <w:color w:val="auto"/>
                <w:spacing w:val="0"/>
                <w:kern w:val="21"/>
                <w:sz w:val="24"/>
                <w:highlight w:val="none"/>
                <w:lang w:val="en-US" w:eastAsia="zh-CN"/>
              </w:rPr>
              <w:t>%，CO占标率为</w:t>
            </w:r>
            <w:r>
              <w:rPr>
                <w:rFonts w:hint="eastAsia" w:ascii="Times New Roman" w:hAnsi="Times New Roman" w:cs="Times New Roman"/>
                <w:color w:val="auto"/>
                <w:spacing w:val="0"/>
                <w:kern w:val="21"/>
                <w:sz w:val="24"/>
                <w:highlight w:val="none"/>
                <w:lang w:val="en-US" w:eastAsia="zh-CN"/>
              </w:rPr>
              <w:t>30</w:t>
            </w:r>
            <w:r>
              <w:rPr>
                <w:rFonts w:hint="default" w:ascii="Times New Roman" w:hAnsi="Times New Roman" w:cs="Times New Roman"/>
                <w:color w:val="auto"/>
                <w:spacing w:val="0"/>
                <w:kern w:val="21"/>
                <w:sz w:val="24"/>
                <w:highlight w:val="none"/>
                <w:lang w:val="en-US" w:eastAsia="zh-CN"/>
              </w:rPr>
              <w:t>%</w:t>
            </w:r>
            <w:r>
              <w:rPr>
                <w:rFonts w:hint="eastAsia" w:ascii="Times New Roman" w:hAnsi="Times New Roman" w:cs="Times New Roman"/>
                <w:color w:val="auto"/>
                <w:spacing w:val="0"/>
                <w:kern w:val="21"/>
                <w:sz w:val="24"/>
                <w:highlight w:val="none"/>
                <w:lang w:val="en-US" w:eastAsia="zh-CN"/>
              </w:rPr>
              <w:t>。</w:t>
            </w:r>
            <w:r>
              <w:rPr>
                <w:rFonts w:hint="eastAsia" w:cs="Times New Roman"/>
                <w:color w:val="auto"/>
                <w:spacing w:val="0"/>
                <w:kern w:val="21"/>
                <w:sz w:val="24"/>
                <w:highlight w:val="none"/>
                <w:lang w:val="en-US" w:eastAsia="zh-CN"/>
              </w:rPr>
              <w:t>长子县仅</w:t>
            </w:r>
            <w:r>
              <w:rPr>
                <w:rFonts w:hint="default" w:ascii="Times New Roman" w:hAnsi="Times New Roman" w:cs="Times New Roman"/>
                <w:color w:val="auto"/>
                <w:spacing w:val="0"/>
                <w:kern w:val="21"/>
                <w:sz w:val="24"/>
                <w:highlight w:val="none"/>
                <w:lang w:val="en-US" w:eastAsia="zh-CN"/>
              </w:rPr>
              <w:t>O</w:t>
            </w:r>
            <w:r>
              <w:rPr>
                <w:rFonts w:hint="default" w:ascii="Times New Roman" w:hAnsi="Times New Roman" w:cs="Times New Roman"/>
                <w:color w:val="auto"/>
                <w:spacing w:val="0"/>
                <w:kern w:val="21"/>
                <w:sz w:val="24"/>
                <w:highlight w:val="none"/>
                <w:vertAlign w:val="subscript"/>
                <w:lang w:val="en-US" w:eastAsia="zh-CN"/>
              </w:rPr>
              <w:t>3</w:t>
            </w:r>
            <w:r>
              <w:rPr>
                <w:rFonts w:hint="default" w:ascii="Times New Roman" w:hAnsi="Times New Roman" w:cs="Times New Roman"/>
                <w:color w:val="auto"/>
                <w:spacing w:val="0"/>
                <w:kern w:val="21"/>
                <w:sz w:val="24"/>
                <w:highlight w:val="none"/>
                <w:lang w:val="en-US" w:eastAsia="zh-CN"/>
              </w:rPr>
              <w:t>超标，</w:t>
            </w:r>
            <w:r>
              <w:rPr>
                <w:rFonts w:hint="eastAsia" w:ascii="Times New Roman" w:hAnsi="Times New Roman" w:cs="Times New Roman"/>
                <w:color w:val="auto"/>
                <w:spacing w:val="0"/>
                <w:kern w:val="21"/>
                <w:sz w:val="24"/>
                <w:highlight w:val="none"/>
                <w:lang w:val="en-US" w:eastAsia="zh-CN"/>
              </w:rPr>
              <w:t>由此判定长子县为环境空气质量</w:t>
            </w:r>
            <w:r>
              <w:rPr>
                <w:rFonts w:hint="default" w:ascii="Times New Roman" w:hAnsi="Times New Roman" w:cs="Times New Roman"/>
                <w:color w:val="auto"/>
                <w:spacing w:val="0"/>
                <w:kern w:val="21"/>
                <w:sz w:val="24"/>
                <w:highlight w:val="none"/>
                <w:lang w:val="en-US" w:eastAsia="zh-CN"/>
              </w:rPr>
              <w:t>不达标区。</w:t>
            </w:r>
          </w:p>
          <w:p w14:paraId="70805536">
            <w:pPr>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eastAsia="宋体" w:cs="Times New Roman"/>
                <w:color w:val="auto"/>
                <w:spacing w:val="0"/>
                <w:kern w:val="21"/>
                <w:sz w:val="24"/>
                <w:szCs w:val="20"/>
                <w:highlight w:val="none"/>
                <w:lang w:val="en-US" w:eastAsia="zh-CN"/>
              </w:rPr>
            </w:pPr>
            <w:r>
              <w:rPr>
                <w:rFonts w:hint="eastAsia" w:ascii="Times New Roman" w:hAnsi="Times New Roman" w:eastAsia="宋体" w:cs="Times New Roman"/>
                <w:color w:val="auto"/>
                <w:spacing w:val="0"/>
                <w:kern w:val="21"/>
                <w:sz w:val="24"/>
                <w:szCs w:val="20"/>
                <w:highlight w:val="none"/>
                <w:lang w:val="en-US" w:eastAsia="zh-CN"/>
              </w:rPr>
              <w:t>2.特征污染物环境质量现状</w:t>
            </w:r>
          </w:p>
          <w:p w14:paraId="42BE2CBB">
            <w:pPr>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eastAsia="宋体" w:cs="Times New Roman"/>
                <w:color w:val="auto"/>
                <w:spacing w:val="0"/>
                <w:kern w:val="21"/>
                <w:sz w:val="24"/>
                <w:szCs w:val="20"/>
                <w:highlight w:val="none"/>
              </w:rPr>
            </w:pPr>
            <w:r>
              <w:rPr>
                <w:rFonts w:hint="default" w:ascii="Times New Roman" w:hAnsi="Times New Roman" w:eastAsia="宋体" w:cs="Times New Roman"/>
                <w:color w:val="auto"/>
                <w:spacing w:val="0"/>
                <w:kern w:val="21"/>
                <w:sz w:val="24"/>
                <w:szCs w:val="24"/>
                <w:highlight w:val="none"/>
                <w:lang w:val="en-US" w:eastAsia="zh-CN"/>
              </w:rPr>
              <w:t>本次评价引用《山西晋煤集团赵庄煤业有限责任公司赵庄二号井“三下”近水平厚煤层安全高效充填开采关键技术与应用研究项目环境影响报告书》中环境质量监测数据，监测点位为</w:t>
            </w:r>
            <w:r>
              <w:rPr>
                <w:rFonts w:hint="eastAsia" w:ascii="Times New Roman" w:hAnsi="Times New Roman" w:eastAsia="宋体" w:cs="Times New Roman"/>
                <w:color w:val="auto"/>
                <w:spacing w:val="0"/>
                <w:kern w:val="21"/>
                <w:sz w:val="24"/>
                <w:szCs w:val="24"/>
                <w:highlight w:val="none"/>
                <w:lang w:val="en-US" w:eastAsia="zh-CN"/>
              </w:rPr>
              <w:t>秦家庄</w:t>
            </w:r>
            <w:r>
              <w:rPr>
                <w:rFonts w:hint="default" w:ascii="Times New Roman" w:hAnsi="Times New Roman" w:eastAsia="宋体" w:cs="Times New Roman"/>
                <w:color w:val="auto"/>
                <w:spacing w:val="0"/>
                <w:kern w:val="21"/>
                <w:sz w:val="24"/>
                <w:szCs w:val="24"/>
                <w:highlight w:val="none"/>
                <w:lang w:val="en-US" w:eastAsia="zh-CN"/>
              </w:rPr>
              <w:t>村</w:t>
            </w:r>
            <w:r>
              <w:rPr>
                <w:rFonts w:hint="eastAsia" w:cs="Times New Roman"/>
                <w:color w:val="auto"/>
                <w:spacing w:val="0"/>
                <w:sz w:val="24"/>
                <w:szCs w:val="24"/>
                <w:highlight w:val="none"/>
                <w:lang w:val="en-US" w:eastAsia="zh-CN"/>
              </w:rPr>
              <w:t>（位于厂区北侧950m处），</w:t>
            </w:r>
            <w:r>
              <w:rPr>
                <w:rFonts w:hint="default" w:ascii="Times New Roman" w:hAnsi="Times New Roman" w:eastAsia="宋体" w:cs="Times New Roman"/>
                <w:color w:val="auto"/>
                <w:spacing w:val="0"/>
                <w:kern w:val="21"/>
                <w:sz w:val="24"/>
                <w:szCs w:val="24"/>
                <w:highlight w:val="none"/>
                <w:lang w:val="en-US" w:eastAsia="zh-CN"/>
              </w:rPr>
              <w:t>监测项目为TSP，监测时间为202</w:t>
            </w:r>
            <w:r>
              <w:rPr>
                <w:rFonts w:hint="eastAsia" w:ascii="Times New Roman" w:hAnsi="Times New Roman" w:eastAsia="宋体" w:cs="Times New Roman"/>
                <w:color w:val="auto"/>
                <w:spacing w:val="0"/>
                <w:kern w:val="21"/>
                <w:sz w:val="24"/>
                <w:szCs w:val="24"/>
                <w:highlight w:val="none"/>
                <w:lang w:val="en-US" w:eastAsia="zh-CN"/>
              </w:rPr>
              <w:t>3</w:t>
            </w:r>
            <w:r>
              <w:rPr>
                <w:rFonts w:hint="default" w:ascii="Times New Roman" w:hAnsi="Times New Roman" w:eastAsia="宋体" w:cs="Times New Roman"/>
                <w:color w:val="auto"/>
                <w:spacing w:val="0"/>
                <w:kern w:val="21"/>
                <w:sz w:val="24"/>
                <w:szCs w:val="24"/>
                <w:highlight w:val="none"/>
                <w:lang w:val="en-US" w:eastAsia="zh-CN"/>
              </w:rPr>
              <w:t>年</w:t>
            </w:r>
            <w:r>
              <w:rPr>
                <w:rFonts w:hint="eastAsia" w:ascii="Times New Roman" w:hAnsi="Times New Roman" w:eastAsia="宋体" w:cs="Times New Roman"/>
                <w:color w:val="auto"/>
                <w:spacing w:val="0"/>
                <w:kern w:val="21"/>
                <w:sz w:val="24"/>
                <w:szCs w:val="24"/>
                <w:highlight w:val="none"/>
                <w:lang w:val="en-US" w:eastAsia="zh-CN"/>
              </w:rPr>
              <w:t>10</w:t>
            </w:r>
            <w:r>
              <w:rPr>
                <w:rFonts w:hint="default" w:ascii="Times New Roman" w:hAnsi="Times New Roman" w:eastAsia="宋体" w:cs="Times New Roman"/>
                <w:color w:val="auto"/>
                <w:spacing w:val="0"/>
                <w:kern w:val="21"/>
                <w:sz w:val="24"/>
                <w:szCs w:val="24"/>
                <w:highlight w:val="none"/>
                <w:lang w:val="en-US" w:eastAsia="zh-CN"/>
              </w:rPr>
              <w:t>月1</w:t>
            </w:r>
            <w:r>
              <w:rPr>
                <w:rFonts w:hint="eastAsia" w:ascii="Times New Roman" w:hAnsi="Times New Roman" w:eastAsia="宋体" w:cs="Times New Roman"/>
                <w:color w:val="auto"/>
                <w:spacing w:val="0"/>
                <w:kern w:val="21"/>
                <w:sz w:val="24"/>
                <w:szCs w:val="24"/>
                <w:highlight w:val="none"/>
                <w:lang w:val="en-US" w:eastAsia="zh-CN"/>
              </w:rPr>
              <w:t>3</w:t>
            </w:r>
            <w:r>
              <w:rPr>
                <w:rFonts w:hint="default" w:ascii="Times New Roman" w:hAnsi="Times New Roman" w:eastAsia="宋体" w:cs="Times New Roman"/>
                <w:color w:val="auto"/>
                <w:spacing w:val="0"/>
                <w:kern w:val="21"/>
                <w:sz w:val="24"/>
                <w:szCs w:val="24"/>
                <w:highlight w:val="none"/>
                <w:lang w:val="en-US" w:eastAsia="zh-CN"/>
              </w:rPr>
              <w:t>日-1</w:t>
            </w:r>
            <w:r>
              <w:rPr>
                <w:rFonts w:hint="eastAsia" w:ascii="Times New Roman" w:hAnsi="Times New Roman" w:eastAsia="宋体" w:cs="Times New Roman"/>
                <w:color w:val="auto"/>
                <w:spacing w:val="0"/>
                <w:kern w:val="21"/>
                <w:sz w:val="24"/>
                <w:szCs w:val="24"/>
                <w:highlight w:val="none"/>
                <w:lang w:val="en-US" w:eastAsia="zh-CN"/>
              </w:rPr>
              <w:t>9</w:t>
            </w:r>
            <w:r>
              <w:rPr>
                <w:rFonts w:hint="default" w:ascii="Times New Roman" w:hAnsi="Times New Roman" w:eastAsia="宋体" w:cs="Times New Roman"/>
                <w:color w:val="auto"/>
                <w:spacing w:val="0"/>
                <w:kern w:val="21"/>
                <w:sz w:val="24"/>
                <w:szCs w:val="24"/>
                <w:highlight w:val="none"/>
                <w:lang w:val="en-US" w:eastAsia="zh-CN"/>
              </w:rPr>
              <w:t>日，环境</w:t>
            </w:r>
            <w:r>
              <w:rPr>
                <w:rFonts w:hint="eastAsia" w:ascii="Times New Roman" w:hAnsi="Times New Roman" w:eastAsia="宋体" w:cs="Times New Roman"/>
                <w:color w:val="auto"/>
                <w:spacing w:val="0"/>
                <w:kern w:val="21"/>
                <w:sz w:val="24"/>
                <w:szCs w:val="24"/>
                <w:highlight w:val="none"/>
                <w:lang w:val="en-US" w:eastAsia="zh-CN"/>
              </w:rPr>
              <w:t>质量</w:t>
            </w:r>
            <w:r>
              <w:rPr>
                <w:rFonts w:hint="default" w:ascii="Times New Roman" w:hAnsi="Times New Roman" w:eastAsia="宋体" w:cs="Times New Roman"/>
                <w:color w:val="auto"/>
                <w:spacing w:val="0"/>
                <w:kern w:val="21"/>
                <w:sz w:val="24"/>
                <w:szCs w:val="24"/>
                <w:highlight w:val="none"/>
                <w:lang w:val="en-US" w:eastAsia="zh-CN"/>
              </w:rPr>
              <w:t>现状监测结果见表3.1-2</w:t>
            </w:r>
            <w:r>
              <w:rPr>
                <w:rFonts w:hint="default" w:ascii="Times New Roman" w:hAnsi="Times New Roman" w:eastAsia="宋体" w:cs="Times New Roman"/>
                <w:color w:val="auto"/>
                <w:spacing w:val="0"/>
                <w:kern w:val="21"/>
                <w:sz w:val="24"/>
                <w:szCs w:val="24"/>
                <w:highlight w:val="none"/>
              </w:rPr>
              <w:t>。</w:t>
            </w:r>
          </w:p>
          <w:p w14:paraId="4C60259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黑体" w:cs="Times New Roman"/>
                <w:b w:val="0"/>
                <w:bCs/>
                <w:color w:val="auto"/>
                <w:spacing w:val="0"/>
                <w:kern w:val="21"/>
                <w:sz w:val="21"/>
                <w:szCs w:val="16"/>
                <w:highlight w:val="none"/>
                <w:lang w:val="en-US"/>
              </w:rPr>
            </w:pPr>
            <w:r>
              <w:rPr>
                <w:rFonts w:hint="default" w:ascii="Times New Roman" w:hAnsi="Times New Roman" w:eastAsia="黑体" w:cs="Times New Roman"/>
                <w:b w:val="0"/>
                <w:bCs/>
                <w:color w:val="auto"/>
                <w:spacing w:val="0"/>
                <w:kern w:val="21"/>
                <w:sz w:val="21"/>
                <w:szCs w:val="16"/>
                <w:highlight w:val="none"/>
              </w:rPr>
              <w:t>表</w:t>
            </w:r>
            <w:r>
              <w:rPr>
                <w:rFonts w:hint="default" w:ascii="Times New Roman" w:hAnsi="Times New Roman" w:eastAsia="黑体" w:cs="Times New Roman"/>
                <w:b w:val="0"/>
                <w:bCs/>
                <w:color w:val="auto"/>
                <w:spacing w:val="0"/>
                <w:kern w:val="21"/>
                <w:sz w:val="21"/>
                <w:szCs w:val="16"/>
                <w:highlight w:val="none"/>
                <w:lang w:val="en-US" w:eastAsia="zh-CN"/>
              </w:rPr>
              <w:t>3</w:t>
            </w:r>
            <w:r>
              <w:rPr>
                <w:rFonts w:hint="eastAsia" w:ascii="Times New Roman" w:hAnsi="Times New Roman" w:eastAsia="黑体" w:cs="Times New Roman"/>
                <w:b w:val="0"/>
                <w:bCs/>
                <w:color w:val="auto"/>
                <w:spacing w:val="0"/>
                <w:kern w:val="21"/>
                <w:sz w:val="21"/>
                <w:szCs w:val="16"/>
                <w:highlight w:val="none"/>
                <w:lang w:val="en-US" w:eastAsia="zh-CN"/>
              </w:rPr>
              <w:t>.1</w:t>
            </w:r>
            <w:r>
              <w:rPr>
                <w:rFonts w:hint="default" w:ascii="Times New Roman" w:hAnsi="Times New Roman" w:eastAsia="黑体" w:cs="Times New Roman"/>
                <w:b w:val="0"/>
                <w:bCs/>
                <w:color w:val="auto"/>
                <w:spacing w:val="0"/>
                <w:kern w:val="21"/>
                <w:sz w:val="21"/>
                <w:szCs w:val="16"/>
                <w:highlight w:val="none"/>
                <w:lang w:val="en-US" w:eastAsia="zh-CN"/>
              </w:rPr>
              <w:t>-</w:t>
            </w:r>
            <w:r>
              <w:rPr>
                <w:rFonts w:hint="eastAsia" w:ascii="Times New Roman" w:hAnsi="Times New Roman" w:eastAsia="黑体" w:cs="Times New Roman"/>
                <w:b w:val="0"/>
                <w:bCs/>
                <w:color w:val="auto"/>
                <w:spacing w:val="0"/>
                <w:kern w:val="21"/>
                <w:sz w:val="21"/>
                <w:szCs w:val="16"/>
                <w:highlight w:val="none"/>
                <w:lang w:val="en-US" w:eastAsia="zh-CN"/>
              </w:rPr>
              <w:t>2</w:t>
            </w:r>
            <w:r>
              <w:rPr>
                <w:rFonts w:hint="default" w:ascii="Times New Roman" w:hAnsi="Times New Roman" w:eastAsia="黑体" w:cs="Times New Roman"/>
                <w:b w:val="0"/>
                <w:bCs/>
                <w:color w:val="auto"/>
                <w:spacing w:val="0"/>
                <w:kern w:val="21"/>
                <w:sz w:val="21"/>
                <w:szCs w:val="16"/>
                <w:highlight w:val="none"/>
              </w:rPr>
              <w:t xml:space="preserve">  </w:t>
            </w:r>
            <w:r>
              <w:rPr>
                <w:rFonts w:hint="default" w:ascii="Times New Roman" w:hAnsi="Times New Roman" w:eastAsia="黑体" w:cs="Times New Roman"/>
                <w:b w:val="0"/>
                <w:bCs/>
                <w:color w:val="auto"/>
                <w:spacing w:val="0"/>
                <w:kern w:val="21"/>
                <w:sz w:val="21"/>
                <w:szCs w:val="16"/>
                <w:highlight w:val="none"/>
                <w:lang w:val="en-US" w:eastAsia="zh-CN"/>
              </w:rPr>
              <w:t>环境质量现状监测结果</w:t>
            </w:r>
            <w:r>
              <w:rPr>
                <w:rFonts w:hint="eastAsia" w:ascii="Times New Roman" w:hAnsi="Times New Roman" w:eastAsia="黑体" w:cs="Times New Roman"/>
                <w:b w:val="0"/>
                <w:bCs/>
                <w:color w:val="auto"/>
                <w:spacing w:val="0"/>
                <w:kern w:val="21"/>
                <w:sz w:val="21"/>
                <w:szCs w:val="16"/>
                <w:highlight w:val="none"/>
                <w:lang w:val="en-US" w:eastAsia="zh-CN"/>
              </w:rPr>
              <w:t>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1441"/>
              <w:gridCol w:w="2053"/>
              <w:gridCol w:w="2055"/>
            </w:tblGrid>
            <w:tr w14:paraId="1FC65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tcBorders>
                    <w:tl2br w:val="nil"/>
                    <w:tr2bl w:val="nil"/>
                  </w:tcBorders>
                  <w:noWrap w:val="0"/>
                  <w:vAlign w:val="center"/>
                </w:tcPr>
                <w:p w14:paraId="09B084CB">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default" w:ascii="Times New Roman" w:hAnsi="Times New Roman" w:eastAsia="宋体" w:cs="Times New Roman"/>
                      <w:color w:val="auto"/>
                      <w:spacing w:val="0"/>
                      <w:kern w:val="21"/>
                      <w:highlight w:val="none"/>
                      <w:lang w:bidi="he-IL"/>
                    </w:rPr>
                    <w:t>监测点位</w:t>
                  </w:r>
                </w:p>
              </w:tc>
              <w:tc>
                <w:tcPr>
                  <w:tcW w:w="1441" w:type="dxa"/>
                  <w:tcBorders>
                    <w:tl2br w:val="nil"/>
                    <w:tr2bl w:val="nil"/>
                  </w:tcBorders>
                  <w:noWrap w:val="0"/>
                  <w:vAlign w:val="center"/>
                </w:tcPr>
                <w:p w14:paraId="47D2BEFF">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color w:val="auto"/>
                      <w:spacing w:val="0"/>
                      <w:kern w:val="21"/>
                      <w:highlight w:val="none"/>
                      <w:lang w:val="en-US" w:eastAsia="zh-CN" w:bidi="he-IL"/>
                    </w:rPr>
                  </w:pPr>
                  <w:r>
                    <w:rPr>
                      <w:rFonts w:hint="default" w:ascii="Times New Roman" w:hAnsi="Times New Roman" w:eastAsia="宋体" w:cs="Times New Roman"/>
                      <w:color w:val="auto"/>
                      <w:spacing w:val="0"/>
                      <w:kern w:val="21"/>
                      <w:highlight w:val="none"/>
                      <w:lang w:bidi="he-IL"/>
                    </w:rPr>
                    <w:t>监测日期</w:t>
                  </w:r>
                </w:p>
              </w:tc>
              <w:tc>
                <w:tcPr>
                  <w:tcW w:w="2053" w:type="dxa"/>
                  <w:tcBorders>
                    <w:tl2br w:val="nil"/>
                    <w:tr2bl w:val="nil"/>
                  </w:tcBorders>
                  <w:noWrap w:val="0"/>
                  <w:vAlign w:val="center"/>
                </w:tcPr>
                <w:p w14:paraId="3DBB813E">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bidi="he-IL"/>
                    </w:rPr>
                  </w:pPr>
                  <w:r>
                    <w:rPr>
                      <w:rFonts w:hint="default" w:ascii="Times New Roman" w:hAnsi="Times New Roman" w:eastAsia="宋体" w:cs="Times New Roman"/>
                      <w:color w:val="auto"/>
                      <w:spacing w:val="0"/>
                      <w:kern w:val="21"/>
                      <w:highlight w:val="none"/>
                      <w:lang w:bidi="he-IL"/>
                    </w:rPr>
                    <w:t>监测</w:t>
                  </w:r>
                  <w:r>
                    <w:rPr>
                      <w:rFonts w:hint="eastAsia" w:ascii="Times New Roman" w:hAnsi="Times New Roman" w:eastAsia="宋体" w:cs="Times New Roman"/>
                      <w:color w:val="auto"/>
                      <w:spacing w:val="0"/>
                      <w:kern w:val="21"/>
                      <w:highlight w:val="none"/>
                      <w:lang w:eastAsia="zh-CN" w:bidi="he-IL"/>
                    </w:rPr>
                    <w:t>项目</w:t>
                  </w:r>
                </w:p>
              </w:tc>
              <w:tc>
                <w:tcPr>
                  <w:tcW w:w="2055" w:type="dxa"/>
                  <w:tcBorders>
                    <w:tl2br w:val="nil"/>
                    <w:tr2bl w:val="nil"/>
                  </w:tcBorders>
                  <w:noWrap w:val="0"/>
                  <w:vAlign w:val="center"/>
                </w:tcPr>
                <w:p w14:paraId="011CFD11">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color w:val="auto"/>
                      <w:spacing w:val="0"/>
                      <w:kern w:val="21"/>
                      <w:highlight w:val="none"/>
                      <w:lang w:eastAsia="zh-CN" w:bidi="he-IL"/>
                    </w:rPr>
                  </w:pPr>
                  <w:r>
                    <w:rPr>
                      <w:rFonts w:hint="default" w:ascii="Times New Roman" w:hAnsi="Times New Roman" w:eastAsia="宋体" w:cs="Times New Roman"/>
                      <w:color w:val="auto"/>
                      <w:spacing w:val="0"/>
                      <w:kern w:val="21"/>
                      <w:highlight w:val="none"/>
                      <w:lang w:bidi="he-IL"/>
                    </w:rPr>
                    <w:t>监测结果</w:t>
                  </w:r>
                  <w:r>
                    <w:rPr>
                      <w:rFonts w:hint="eastAsia" w:ascii="Times New Roman" w:hAnsi="Times New Roman" w:eastAsia="宋体" w:cs="Times New Roman"/>
                      <w:color w:val="auto"/>
                      <w:spacing w:val="0"/>
                      <w:kern w:val="21"/>
                      <w:highlight w:val="none"/>
                      <w:lang w:eastAsia="zh-CN" w:bidi="he-IL"/>
                    </w:rPr>
                    <w:t>（</w:t>
                  </w:r>
                  <w:r>
                    <w:rPr>
                      <w:rFonts w:hint="default" w:ascii="Times New Roman" w:hAnsi="Times New Roman" w:eastAsia="宋体" w:cs="Times New Roman"/>
                      <w:color w:val="auto"/>
                      <w:spacing w:val="0"/>
                      <w:kern w:val="21"/>
                      <w:highlight w:val="none"/>
                      <w:lang w:bidi="he-IL"/>
                    </w:rPr>
                    <w:t>μg/m</w:t>
                  </w:r>
                  <w:r>
                    <w:rPr>
                      <w:rFonts w:hint="default" w:ascii="Times New Roman" w:hAnsi="Times New Roman" w:eastAsia="宋体" w:cs="Times New Roman"/>
                      <w:color w:val="auto"/>
                      <w:spacing w:val="0"/>
                      <w:kern w:val="21"/>
                      <w:highlight w:val="none"/>
                      <w:vertAlign w:val="superscript"/>
                      <w:lang w:bidi="he-IL"/>
                    </w:rPr>
                    <w:t>3</w:t>
                  </w:r>
                  <w:r>
                    <w:rPr>
                      <w:rFonts w:hint="eastAsia" w:ascii="Times New Roman" w:hAnsi="Times New Roman" w:eastAsia="宋体" w:cs="Times New Roman"/>
                      <w:color w:val="auto"/>
                      <w:spacing w:val="0"/>
                      <w:kern w:val="21"/>
                      <w:highlight w:val="none"/>
                      <w:lang w:eastAsia="zh-CN" w:bidi="he-IL"/>
                    </w:rPr>
                    <w:t>）</w:t>
                  </w:r>
                </w:p>
              </w:tc>
            </w:tr>
            <w:tr w14:paraId="2FAE7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restart"/>
                  <w:tcBorders>
                    <w:tl2br w:val="nil"/>
                    <w:tr2bl w:val="nil"/>
                  </w:tcBorders>
                  <w:noWrap w:val="0"/>
                  <w:vAlign w:val="center"/>
                </w:tcPr>
                <w:p w14:paraId="4748D1C6">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秦家庄村</w:t>
                  </w:r>
                </w:p>
              </w:tc>
              <w:tc>
                <w:tcPr>
                  <w:tcW w:w="1441" w:type="dxa"/>
                  <w:tcBorders>
                    <w:tl2br w:val="nil"/>
                    <w:tr2bl w:val="nil"/>
                  </w:tcBorders>
                  <w:noWrap w:val="0"/>
                  <w:vAlign w:val="center"/>
                </w:tcPr>
                <w:p w14:paraId="7A0A627B">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2023.10.13</w:t>
                  </w:r>
                </w:p>
              </w:tc>
              <w:tc>
                <w:tcPr>
                  <w:tcW w:w="2053" w:type="dxa"/>
                  <w:vMerge w:val="restart"/>
                  <w:tcBorders>
                    <w:tl2br w:val="nil"/>
                    <w:tr2bl w:val="nil"/>
                  </w:tcBorders>
                  <w:noWrap w:val="0"/>
                  <w:vAlign w:val="center"/>
                </w:tcPr>
                <w:p w14:paraId="043D8215">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TSP</w:t>
                  </w:r>
                </w:p>
              </w:tc>
              <w:tc>
                <w:tcPr>
                  <w:tcW w:w="2055" w:type="dxa"/>
                  <w:tcBorders>
                    <w:tl2br w:val="nil"/>
                    <w:tr2bl w:val="nil"/>
                  </w:tcBorders>
                  <w:noWrap w:val="0"/>
                  <w:vAlign w:val="center"/>
                </w:tcPr>
                <w:p w14:paraId="0FE98E1D">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156</w:t>
                  </w:r>
                </w:p>
              </w:tc>
            </w:tr>
            <w:tr w14:paraId="17BC1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0B0C0C36">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5782D73C">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2023.10.14</w:t>
                  </w:r>
                </w:p>
              </w:tc>
              <w:tc>
                <w:tcPr>
                  <w:tcW w:w="2053" w:type="dxa"/>
                  <w:vMerge w:val="continue"/>
                  <w:tcBorders>
                    <w:tl2br w:val="nil"/>
                    <w:tr2bl w:val="nil"/>
                  </w:tcBorders>
                  <w:noWrap w:val="0"/>
                  <w:vAlign w:val="center"/>
                </w:tcPr>
                <w:p w14:paraId="63533A2D">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4F333EDA">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148</w:t>
                  </w:r>
                </w:p>
              </w:tc>
            </w:tr>
            <w:tr w14:paraId="40F72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283E170D">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007384F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2023.10.15</w:t>
                  </w:r>
                </w:p>
              </w:tc>
              <w:tc>
                <w:tcPr>
                  <w:tcW w:w="2053" w:type="dxa"/>
                  <w:vMerge w:val="continue"/>
                  <w:tcBorders>
                    <w:tl2br w:val="nil"/>
                    <w:tr2bl w:val="nil"/>
                  </w:tcBorders>
                  <w:noWrap w:val="0"/>
                  <w:vAlign w:val="center"/>
                </w:tcPr>
                <w:p w14:paraId="4356DC66">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58E017F0">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142</w:t>
                  </w:r>
                </w:p>
              </w:tc>
            </w:tr>
            <w:tr w14:paraId="3DDDE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28B0B573">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47A823C8">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sz w:val="21"/>
                      <w:szCs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2023.10.16</w:t>
                  </w:r>
                </w:p>
              </w:tc>
              <w:tc>
                <w:tcPr>
                  <w:tcW w:w="2053" w:type="dxa"/>
                  <w:vMerge w:val="continue"/>
                  <w:tcBorders>
                    <w:tl2br w:val="nil"/>
                    <w:tr2bl w:val="nil"/>
                  </w:tcBorders>
                  <w:noWrap w:val="0"/>
                  <w:vAlign w:val="center"/>
                </w:tcPr>
                <w:p w14:paraId="2A2945E6">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3865D7EC">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149</w:t>
                  </w:r>
                </w:p>
              </w:tc>
            </w:tr>
            <w:tr w14:paraId="4B235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47B361B3">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540180C7">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sz w:val="21"/>
                      <w:szCs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2023.10.17</w:t>
                  </w:r>
                </w:p>
              </w:tc>
              <w:tc>
                <w:tcPr>
                  <w:tcW w:w="2053" w:type="dxa"/>
                  <w:vMerge w:val="continue"/>
                  <w:tcBorders>
                    <w:tl2br w:val="nil"/>
                    <w:tr2bl w:val="nil"/>
                  </w:tcBorders>
                  <w:noWrap w:val="0"/>
                  <w:vAlign w:val="center"/>
                </w:tcPr>
                <w:p w14:paraId="30A56DBE">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0EFEC795">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153</w:t>
                  </w:r>
                </w:p>
              </w:tc>
            </w:tr>
            <w:tr w14:paraId="51CD4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36D6D3F9">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187FD74D">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sz w:val="21"/>
                      <w:szCs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2023.10.18</w:t>
                  </w:r>
                </w:p>
              </w:tc>
              <w:tc>
                <w:tcPr>
                  <w:tcW w:w="2053" w:type="dxa"/>
                  <w:vMerge w:val="continue"/>
                  <w:tcBorders>
                    <w:tl2br w:val="nil"/>
                    <w:tr2bl w:val="nil"/>
                  </w:tcBorders>
                  <w:noWrap w:val="0"/>
                  <w:vAlign w:val="center"/>
                </w:tcPr>
                <w:p w14:paraId="330388E8">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2187489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144</w:t>
                  </w:r>
                </w:p>
              </w:tc>
            </w:tr>
            <w:tr w14:paraId="19E43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8" w:type="dxa"/>
                  <w:vMerge w:val="continue"/>
                  <w:tcBorders>
                    <w:tl2br w:val="nil"/>
                    <w:tr2bl w:val="nil"/>
                  </w:tcBorders>
                  <w:noWrap w:val="0"/>
                  <w:vAlign w:val="center"/>
                </w:tcPr>
                <w:p w14:paraId="57802A3E">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1441" w:type="dxa"/>
                  <w:tcBorders>
                    <w:tl2br w:val="nil"/>
                    <w:tr2bl w:val="nil"/>
                  </w:tcBorders>
                  <w:noWrap w:val="0"/>
                  <w:vAlign w:val="center"/>
                </w:tcPr>
                <w:p w14:paraId="52A87BB0">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2023.10.19</w:t>
                  </w:r>
                </w:p>
              </w:tc>
              <w:tc>
                <w:tcPr>
                  <w:tcW w:w="2053" w:type="dxa"/>
                  <w:vMerge w:val="continue"/>
                  <w:tcBorders>
                    <w:tl2br w:val="nil"/>
                    <w:tr2bl w:val="nil"/>
                  </w:tcBorders>
                  <w:noWrap w:val="0"/>
                  <w:vAlign w:val="center"/>
                </w:tcPr>
                <w:p w14:paraId="59A8C8AA">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p>
              </w:tc>
              <w:tc>
                <w:tcPr>
                  <w:tcW w:w="2055" w:type="dxa"/>
                  <w:tcBorders>
                    <w:tl2br w:val="nil"/>
                    <w:tr2bl w:val="nil"/>
                  </w:tcBorders>
                  <w:noWrap w:val="0"/>
                  <w:vAlign w:val="center"/>
                </w:tcPr>
                <w:p w14:paraId="43BD8446">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147</w:t>
                  </w:r>
                </w:p>
              </w:tc>
            </w:tr>
            <w:tr w14:paraId="12387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2" w:type="dxa"/>
                  <w:gridSpan w:val="3"/>
                  <w:tcBorders>
                    <w:tl2br w:val="nil"/>
                    <w:tr2bl w:val="nil"/>
                  </w:tcBorders>
                  <w:noWrap w:val="0"/>
                  <w:vAlign w:val="center"/>
                </w:tcPr>
                <w:p w14:paraId="75C481FA">
                  <w:pPr>
                    <w:pStyle w:val="61"/>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标准限值（</w:t>
                  </w:r>
                  <w:r>
                    <w:rPr>
                      <w:rFonts w:hint="default" w:ascii="Times New Roman" w:hAnsi="Times New Roman" w:eastAsia="宋体" w:cs="Times New Roman"/>
                      <w:color w:val="auto"/>
                      <w:spacing w:val="0"/>
                      <w:kern w:val="21"/>
                      <w:highlight w:val="none"/>
                      <w:lang w:bidi="he-IL"/>
                    </w:rPr>
                    <w:t>μg/m</w:t>
                  </w:r>
                  <w:r>
                    <w:rPr>
                      <w:rFonts w:hint="default" w:ascii="Times New Roman" w:hAnsi="Times New Roman" w:eastAsia="宋体" w:cs="Times New Roman"/>
                      <w:color w:val="auto"/>
                      <w:spacing w:val="0"/>
                      <w:kern w:val="21"/>
                      <w:highlight w:val="none"/>
                      <w:vertAlign w:val="superscript"/>
                      <w:lang w:bidi="he-IL"/>
                    </w:rPr>
                    <w:t>3</w:t>
                  </w:r>
                  <w:r>
                    <w:rPr>
                      <w:rFonts w:hint="eastAsia" w:ascii="Times New Roman" w:hAnsi="Times New Roman" w:eastAsia="宋体" w:cs="Times New Roman"/>
                      <w:color w:val="auto"/>
                      <w:spacing w:val="0"/>
                      <w:kern w:val="21"/>
                      <w:highlight w:val="none"/>
                      <w:lang w:val="en-US" w:eastAsia="zh-CN" w:bidi="he-IL"/>
                    </w:rPr>
                    <w:t>）</w:t>
                  </w:r>
                </w:p>
              </w:tc>
              <w:tc>
                <w:tcPr>
                  <w:tcW w:w="2055" w:type="dxa"/>
                  <w:tcBorders>
                    <w:tl2br w:val="nil"/>
                    <w:tr2bl w:val="nil"/>
                  </w:tcBorders>
                  <w:noWrap w:val="0"/>
                  <w:vAlign w:val="center"/>
                </w:tcPr>
                <w:p w14:paraId="158C3EC5">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default" w:ascii="Times New Roman" w:hAnsi="Times New Roman" w:eastAsia="宋体" w:cs="Times New Roman"/>
                      <w:color w:val="auto"/>
                      <w:spacing w:val="0"/>
                      <w:kern w:val="21"/>
                      <w:highlight w:val="none"/>
                      <w:lang w:val="en-US" w:eastAsia="zh-CN" w:bidi="he-IL"/>
                    </w:rPr>
                  </w:pPr>
                  <w:r>
                    <w:rPr>
                      <w:rFonts w:hint="eastAsia" w:ascii="Times New Roman" w:hAnsi="Times New Roman" w:eastAsia="宋体" w:cs="Times New Roman"/>
                      <w:color w:val="auto"/>
                      <w:spacing w:val="0"/>
                      <w:kern w:val="21"/>
                      <w:highlight w:val="none"/>
                      <w:lang w:val="en-US" w:eastAsia="zh-CN" w:bidi="he-IL"/>
                    </w:rPr>
                    <w:t>300</w:t>
                  </w:r>
                </w:p>
              </w:tc>
            </w:tr>
          </w:tbl>
          <w:p w14:paraId="48C9CD9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default" w:ascii="Times New Roman" w:hAnsi="Times New Roman" w:cs="Times New Roman"/>
                <w:color w:val="auto"/>
                <w:spacing w:val="0"/>
                <w:kern w:val="21"/>
                <w:sz w:val="24"/>
                <w:highlight w:val="none"/>
                <w:lang w:val="en-US" w:eastAsia="zh-CN"/>
              </w:rPr>
            </w:pPr>
            <w:r>
              <w:rPr>
                <w:rFonts w:hint="eastAsia" w:ascii="Times New Roman" w:hAnsi="Times New Roman" w:eastAsia="宋体" w:cs="Times New Roman"/>
                <w:b w:val="0"/>
                <w:bCs/>
                <w:color w:val="auto"/>
                <w:spacing w:val="0"/>
                <w:kern w:val="21"/>
                <w:sz w:val="24"/>
                <w:szCs w:val="24"/>
                <w:highlight w:val="none"/>
                <w:lang w:val="en-US" w:eastAsia="zh-CN"/>
              </w:rPr>
              <w:t>监测结果表明：秦家庄村环境空气质量现状TSP日均浓度均能满足《环境空气质量标准》（GB3095-2012）二级标准限值要求</w:t>
            </w:r>
            <w:r>
              <w:rPr>
                <w:rFonts w:hint="default" w:ascii="Times New Roman" w:hAnsi="Times New Roman" w:eastAsia="宋体" w:cs="Times New Roman"/>
                <w:color w:val="auto"/>
                <w:spacing w:val="0"/>
                <w:kern w:val="21"/>
                <w:sz w:val="24"/>
                <w:szCs w:val="24"/>
                <w:highlight w:val="none"/>
              </w:rPr>
              <w:t>。</w:t>
            </w:r>
          </w:p>
          <w:p w14:paraId="20A58519">
            <w:pPr>
              <w:pStyle w:val="4"/>
              <w:keepNext/>
              <w:keepLines/>
              <w:pageBreakBefore w:val="0"/>
              <w:widowControl w:val="0"/>
              <w:kinsoku/>
              <w:wordWrap/>
              <w:overflowPunct/>
              <w:topLinePunct w:val="0"/>
              <w:autoSpaceDE/>
              <w:autoSpaceDN/>
              <w:bidi w:val="0"/>
              <w:adjustRightInd w:val="0"/>
              <w:snapToGrid w:val="0"/>
              <w:spacing w:before="0" w:beforeLines="0" w:line="480" w:lineRule="exact"/>
              <w:ind w:firstLine="482"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eastAsia" w:ascii="Times New Roman" w:hAnsi="Times New Roman" w:eastAsia="宋体" w:cs="Times New Roman"/>
                <w:color w:val="auto"/>
                <w:spacing w:val="0"/>
                <w:kern w:val="21"/>
                <w:sz w:val="24"/>
                <w:szCs w:val="24"/>
                <w:highlight w:val="none"/>
                <w:lang w:val="en-US" w:eastAsia="zh-CN"/>
              </w:rPr>
              <w:t xml:space="preserve">3.2 </w:t>
            </w:r>
            <w:r>
              <w:rPr>
                <w:rFonts w:hint="default" w:ascii="Times New Roman" w:hAnsi="Times New Roman" w:eastAsia="宋体" w:cs="Times New Roman"/>
                <w:color w:val="auto"/>
                <w:spacing w:val="0"/>
                <w:kern w:val="21"/>
                <w:sz w:val="24"/>
                <w:szCs w:val="24"/>
                <w:highlight w:val="none"/>
                <w:lang w:val="en-US" w:eastAsia="zh-CN"/>
              </w:rPr>
              <w:t>地表水</w:t>
            </w:r>
            <w:r>
              <w:rPr>
                <w:rFonts w:hint="eastAsia" w:ascii="Times New Roman" w:hAnsi="Times New Roman" w:eastAsia="宋体" w:cs="Times New Roman"/>
                <w:color w:val="auto"/>
                <w:spacing w:val="0"/>
                <w:kern w:val="21"/>
                <w:sz w:val="24"/>
                <w:szCs w:val="24"/>
                <w:highlight w:val="none"/>
                <w:lang w:val="en-US" w:eastAsia="zh-CN"/>
              </w:rPr>
              <w:t>环境</w:t>
            </w:r>
          </w:p>
          <w:p w14:paraId="69BD329C">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kern w:val="21"/>
                <w:sz w:val="24"/>
                <w:szCs w:val="20"/>
                <w:highlight w:val="none"/>
                <w:lang w:val="en-US" w:eastAsia="zh-CN"/>
              </w:rPr>
            </w:pPr>
            <w:r>
              <w:rPr>
                <w:rFonts w:hint="default" w:ascii="Times New Roman" w:hAnsi="Times New Roman" w:eastAsia="宋体" w:cs="Times New Roman"/>
                <w:color w:val="auto"/>
                <w:spacing w:val="0"/>
                <w:kern w:val="21"/>
                <w:sz w:val="24"/>
                <w:szCs w:val="20"/>
                <w:highlight w:val="none"/>
                <w:lang w:val="en-US" w:eastAsia="zh-CN"/>
              </w:rPr>
              <w:t>距离本项目最近地表水为</w:t>
            </w:r>
            <w:r>
              <w:rPr>
                <w:rFonts w:hint="eastAsia" w:ascii="Times New Roman" w:hAnsi="Times New Roman" w:eastAsia="宋体" w:cs="Times New Roman"/>
                <w:color w:val="auto"/>
                <w:spacing w:val="0"/>
                <w:kern w:val="21"/>
                <w:sz w:val="24"/>
                <w:szCs w:val="20"/>
                <w:highlight w:val="none"/>
                <w:lang w:val="en-US" w:eastAsia="zh-CN"/>
              </w:rPr>
              <w:t>小丹河</w:t>
            </w:r>
            <w:r>
              <w:rPr>
                <w:rFonts w:hint="default" w:ascii="Times New Roman" w:hAnsi="Times New Roman" w:eastAsia="宋体" w:cs="Times New Roman"/>
                <w:color w:val="auto"/>
                <w:spacing w:val="0"/>
                <w:kern w:val="21"/>
                <w:sz w:val="24"/>
                <w:szCs w:val="20"/>
                <w:highlight w:val="none"/>
                <w:lang w:val="en-US" w:eastAsia="zh-CN"/>
              </w:rPr>
              <w:t>，位于厂区</w:t>
            </w:r>
            <w:r>
              <w:rPr>
                <w:rFonts w:hint="eastAsia" w:cs="Times New Roman"/>
                <w:color w:val="auto"/>
                <w:spacing w:val="0"/>
                <w:kern w:val="21"/>
                <w:sz w:val="24"/>
                <w:szCs w:val="20"/>
                <w:highlight w:val="none"/>
                <w:lang w:val="en-US" w:eastAsia="zh-CN"/>
              </w:rPr>
              <w:t>西侧1.38km处</w:t>
            </w:r>
            <w:r>
              <w:rPr>
                <w:rFonts w:hint="default" w:ascii="Times New Roman" w:hAnsi="Times New Roman" w:eastAsia="宋体" w:cs="Times New Roman"/>
                <w:color w:val="auto"/>
                <w:spacing w:val="0"/>
                <w:kern w:val="21"/>
                <w:sz w:val="24"/>
                <w:szCs w:val="20"/>
                <w:highlight w:val="none"/>
                <w:lang w:val="en-US" w:eastAsia="zh-CN"/>
              </w:rPr>
              <w:t>。根据《山西省地表水环境功能区划》（DB1467-2019），该区段地表水属于海河流域漳河山区浊漳河水系“</w:t>
            </w:r>
            <w:r>
              <w:rPr>
                <w:rFonts w:hint="eastAsia" w:ascii="Times New Roman" w:hAnsi="Times New Roman" w:eastAsia="宋体" w:cs="Times New Roman"/>
                <w:color w:val="auto"/>
                <w:spacing w:val="0"/>
                <w:kern w:val="21"/>
                <w:sz w:val="24"/>
                <w:szCs w:val="20"/>
                <w:highlight w:val="none"/>
                <w:lang w:val="en-US" w:eastAsia="zh-CN"/>
              </w:rPr>
              <w:t>申村水库出口-漳泽水库入口</w:t>
            </w:r>
            <w:r>
              <w:rPr>
                <w:rFonts w:hint="default" w:ascii="Times New Roman" w:hAnsi="Times New Roman" w:eastAsia="宋体" w:cs="Times New Roman"/>
                <w:color w:val="auto"/>
                <w:spacing w:val="0"/>
                <w:kern w:val="21"/>
                <w:sz w:val="24"/>
                <w:szCs w:val="20"/>
                <w:highlight w:val="none"/>
                <w:lang w:val="en-US" w:eastAsia="zh-CN"/>
              </w:rPr>
              <w:t>”段，水环境功能为“工业与景观娱乐用水保护”，执行《地表水环境质量标准》（GB3838-2002）中的Ⅳ类水质要求。</w:t>
            </w:r>
          </w:p>
          <w:p w14:paraId="0FB1A49A">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21"/>
                <w:sz w:val="24"/>
                <w:highlight w:val="none"/>
                <w:lang w:val="en-US" w:eastAsia="zh-CN"/>
              </w:rPr>
              <w:t>根据</w:t>
            </w:r>
            <w:r>
              <w:rPr>
                <w:rFonts w:hint="eastAsia" w:ascii="Times New Roman" w:hAnsi="Times New Roman" w:eastAsia="宋体" w:cs="Times New Roman"/>
                <w:color w:val="auto"/>
                <w:spacing w:val="0"/>
                <w:kern w:val="21"/>
                <w:sz w:val="24"/>
                <w:highlight w:val="none"/>
                <w:lang w:val="en-US" w:eastAsia="zh-CN"/>
              </w:rPr>
              <w:t>长治市生态环境保护委员会办公室</w:t>
            </w:r>
            <w:r>
              <w:rPr>
                <w:rFonts w:hint="default" w:ascii="Times New Roman" w:hAnsi="Times New Roman" w:eastAsia="宋体" w:cs="Times New Roman"/>
                <w:color w:val="auto"/>
                <w:spacing w:val="0"/>
                <w:kern w:val="21"/>
                <w:sz w:val="24"/>
                <w:highlight w:val="none"/>
                <w:lang w:val="en-US" w:eastAsia="zh-CN"/>
              </w:rPr>
              <w:t>《关于2024年1-12月及12月各县区生态环境质量信息》文件，</w:t>
            </w:r>
            <w:r>
              <w:rPr>
                <w:rFonts w:hint="eastAsia" w:cs="Times New Roman"/>
                <w:color w:val="auto"/>
                <w:spacing w:val="0"/>
                <w:kern w:val="0"/>
                <w:sz w:val="24"/>
                <w:szCs w:val="24"/>
                <w:highlight w:val="none"/>
                <w:lang w:val="en-US" w:eastAsia="zh-CN"/>
              </w:rPr>
              <w:t>距离项目最近的地表水断面为南李末断面，其水质符合《地表水环境质量标准》（GB3838-2002）中Ⅲ类水质标准要求</w:t>
            </w:r>
            <w:r>
              <w:rPr>
                <w:rFonts w:hint="default" w:ascii="Times New Roman" w:hAnsi="Times New Roman" w:eastAsia="宋体" w:cs="Times New Roman"/>
                <w:color w:val="auto"/>
                <w:spacing w:val="0"/>
                <w:kern w:val="0"/>
                <w:sz w:val="24"/>
                <w:szCs w:val="24"/>
                <w:highlight w:val="none"/>
                <w:lang w:val="en-US" w:eastAsia="zh-CN"/>
              </w:rPr>
              <w:t>。</w:t>
            </w:r>
          </w:p>
          <w:p w14:paraId="1410463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黑体" w:cs="Times New Roman"/>
                <w:b w:val="0"/>
                <w:bCs/>
                <w:color w:val="auto"/>
                <w:spacing w:val="0"/>
                <w:kern w:val="21"/>
                <w:sz w:val="21"/>
                <w:szCs w:val="16"/>
                <w:highlight w:val="none"/>
              </w:rPr>
            </w:pPr>
            <w:r>
              <w:rPr>
                <w:rFonts w:hint="default" w:ascii="Times New Roman" w:hAnsi="Times New Roman" w:eastAsia="黑体" w:cs="Times New Roman"/>
                <w:b w:val="0"/>
                <w:bCs/>
                <w:color w:val="auto"/>
                <w:spacing w:val="0"/>
                <w:kern w:val="21"/>
                <w:sz w:val="21"/>
                <w:szCs w:val="16"/>
                <w:highlight w:val="none"/>
              </w:rPr>
              <w:t>表</w:t>
            </w:r>
            <w:r>
              <w:rPr>
                <w:rFonts w:hint="eastAsia" w:ascii="Times New Roman" w:hAnsi="Times New Roman" w:eastAsia="黑体" w:cs="Times New Roman"/>
                <w:b w:val="0"/>
                <w:bCs/>
                <w:color w:val="auto"/>
                <w:spacing w:val="0"/>
                <w:kern w:val="21"/>
                <w:sz w:val="21"/>
                <w:szCs w:val="16"/>
                <w:highlight w:val="none"/>
                <w:lang w:val="en-US" w:eastAsia="zh-CN"/>
              </w:rPr>
              <w:t>3.2-1</w:t>
            </w:r>
            <w:r>
              <w:rPr>
                <w:rFonts w:hint="default" w:ascii="Times New Roman" w:hAnsi="Times New Roman" w:eastAsia="黑体" w:cs="Times New Roman"/>
                <w:b w:val="0"/>
                <w:bCs/>
                <w:color w:val="auto"/>
                <w:spacing w:val="0"/>
                <w:kern w:val="21"/>
                <w:sz w:val="21"/>
                <w:szCs w:val="16"/>
                <w:highlight w:val="none"/>
              </w:rPr>
              <w:t xml:space="preserve">  </w:t>
            </w:r>
            <w:r>
              <w:rPr>
                <w:rFonts w:hint="default" w:ascii="Times New Roman" w:hAnsi="Times New Roman" w:eastAsia="黑体" w:cs="Times New Roman"/>
                <w:b w:val="0"/>
                <w:bCs/>
                <w:color w:val="auto"/>
                <w:spacing w:val="0"/>
                <w:kern w:val="21"/>
                <w:sz w:val="21"/>
                <w:szCs w:val="16"/>
                <w:highlight w:val="none"/>
                <w:lang w:val="en-US" w:eastAsia="zh-CN"/>
              </w:rPr>
              <w:t>南李末</w:t>
            </w:r>
            <w:r>
              <w:rPr>
                <w:rFonts w:hint="eastAsia" w:ascii="Times New Roman" w:hAnsi="Times New Roman" w:eastAsia="黑体" w:cs="Times New Roman"/>
                <w:b w:val="0"/>
                <w:bCs/>
                <w:color w:val="auto"/>
                <w:spacing w:val="0"/>
                <w:kern w:val="21"/>
                <w:sz w:val="21"/>
                <w:szCs w:val="16"/>
                <w:highlight w:val="none"/>
                <w:lang w:val="en-US" w:eastAsia="zh-CN"/>
              </w:rPr>
              <w:t>断面水质状况</w:t>
            </w:r>
            <w:r>
              <w:rPr>
                <w:rFonts w:hint="default" w:ascii="Times New Roman" w:hAnsi="Times New Roman" w:eastAsia="黑体" w:cs="Times New Roman"/>
                <w:b w:val="0"/>
                <w:bCs/>
                <w:color w:val="auto"/>
                <w:spacing w:val="0"/>
                <w:kern w:val="21"/>
                <w:sz w:val="21"/>
                <w:szCs w:val="16"/>
                <w:highlight w:val="none"/>
              </w:rPr>
              <w:t>表</w:t>
            </w:r>
          </w:p>
          <w:tbl>
            <w:tblPr>
              <w:tblStyle w:val="24"/>
              <w:tblW w:w="793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22"/>
              <w:gridCol w:w="1322"/>
              <w:gridCol w:w="1322"/>
              <w:gridCol w:w="1322"/>
              <w:gridCol w:w="1322"/>
              <w:gridCol w:w="3"/>
              <w:gridCol w:w="1324"/>
            </w:tblGrid>
            <w:tr w14:paraId="197983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322" w:type="dxa"/>
                  <w:vMerge w:val="restart"/>
                  <w:tcBorders>
                    <w:tl2br w:val="nil"/>
                    <w:tr2bl w:val="nil"/>
                  </w:tcBorders>
                  <w:noWrap w:val="0"/>
                  <w:vAlign w:val="center"/>
                </w:tcPr>
                <w:p w14:paraId="0E4BA7C6">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eastAsia" w:ascii="Times New Roman" w:hAnsi="Times New Roman" w:eastAsia="宋体" w:cs="Times New Roman"/>
                      <w:color w:val="auto"/>
                      <w:spacing w:val="0"/>
                      <w:kern w:val="21"/>
                      <w:sz w:val="21"/>
                      <w:szCs w:val="21"/>
                      <w:highlight w:val="none"/>
                      <w:lang w:val="en-US" w:eastAsia="zh-CN" w:bidi="zh-CN"/>
                    </w:rPr>
                    <w:t>考核</w:t>
                  </w:r>
                  <w:r>
                    <w:rPr>
                      <w:rFonts w:hint="default" w:ascii="Times New Roman" w:hAnsi="Times New Roman" w:eastAsia="宋体" w:cs="Times New Roman"/>
                      <w:color w:val="auto"/>
                      <w:spacing w:val="0"/>
                      <w:kern w:val="21"/>
                      <w:sz w:val="21"/>
                      <w:szCs w:val="21"/>
                      <w:highlight w:val="none"/>
                      <w:lang w:val="en-US" w:eastAsia="zh-CN" w:bidi="zh-CN"/>
                    </w:rPr>
                    <w:t>县区</w:t>
                  </w:r>
                </w:p>
              </w:tc>
              <w:tc>
                <w:tcPr>
                  <w:tcW w:w="1322" w:type="dxa"/>
                  <w:vMerge w:val="restart"/>
                  <w:tcBorders>
                    <w:tl2br w:val="nil"/>
                    <w:tr2bl w:val="nil"/>
                  </w:tcBorders>
                  <w:noWrap w:val="0"/>
                  <w:vAlign w:val="center"/>
                </w:tcPr>
                <w:p w14:paraId="5C858F1F">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eastAsia" w:ascii="Times New Roman" w:hAnsi="Times New Roman" w:eastAsia="宋体" w:cs="Times New Roman"/>
                      <w:color w:val="auto"/>
                      <w:spacing w:val="0"/>
                      <w:kern w:val="21"/>
                      <w:sz w:val="21"/>
                      <w:szCs w:val="21"/>
                      <w:highlight w:val="none"/>
                      <w:lang w:val="en-US" w:eastAsia="zh-CN" w:bidi="zh-CN"/>
                    </w:rPr>
                    <w:t>断面名称</w:t>
                  </w:r>
                </w:p>
              </w:tc>
              <w:tc>
                <w:tcPr>
                  <w:tcW w:w="1322" w:type="dxa"/>
                  <w:vMerge w:val="restart"/>
                  <w:tcBorders>
                    <w:tl2br w:val="nil"/>
                    <w:tr2bl w:val="nil"/>
                  </w:tcBorders>
                  <w:noWrap w:val="0"/>
                  <w:vAlign w:val="center"/>
                </w:tcPr>
                <w:p w14:paraId="48AD86A9">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eastAsia" w:ascii="Times New Roman" w:hAnsi="Times New Roman" w:eastAsia="宋体" w:cs="Times New Roman"/>
                      <w:color w:val="auto"/>
                      <w:spacing w:val="0"/>
                      <w:kern w:val="21"/>
                      <w:sz w:val="21"/>
                      <w:szCs w:val="21"/>
                      <w:highlight w:val="none"/>
                      <w:lang w:val="en-US" w:eastAsia="zh-CN" w:bidi="zh-CN"/>
                    </w:rPr>
                    <w:t>级别</w:t>
                  </w:r>
                </w:p>
              </w:tc>
              <w:tc>
                <w:tcPr>
                  <w:tcW w:w="2647" w:type="dxa"/>
                  <w:gridSpan w:val="3"/>
                  <w:tcBorders>
                    <w:tl2br w:val="nil"/>
                    <w:tr2bl w:val="nil"/>
                  </w:tcBorders>
                  <w:noWrap w:val="0"/>
                  <w:vAlign w:val="center"/>
                </w:tcPr>
                <w:p w14:paraId="03AE834D">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水质类别</w:t>
                  </w:r>
                </w:p>
              </w:tc>
              <w:tc>
                <w:tcPr>
                  <w:tcW w:w="1324" w:type="dxa"/>
                  <w:vMerge w:val="restart"/>
                  <w:tcBorders>
                    <w:tl2br w:val="nil"/>
                    <w:tr2bl w:val="nil"/>
                  </w:tcBorders>
                  <w:noWrap w:val="0"/>
                  <w:vAlign w:val="center"/>
                </w:tcPr>
                <w:p w14:paraId="201250C5">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水质目标</w:t>
                  </w:r>
                </w:p>
              </w:tc>
            </w:tr>
            <w:tr w14:paraId="43B4FB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322" w:type="dxa"/>
                  <w:vMerge w:val="continue"/>
                  <w:tcBorders>
                    <w:tl2br w:val="nil"/>
                    <w:tr2bl w:val="nil"/>
                  </w:tcBorders>
                  <w:noWrap w:val="0"/>
                  <w:vAlign w:val="center"/>
                </w:tcPr>
                <w:p w14:paraId="03FCD079">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color w:val="auto"/>
                      <w:spacing w:val="0"/>
                      <w:kern w:val="21"/>
                      <w:highlight w:val="none"/>
                    </w:rPr>
                  </w:pPr>
                </w:p>
              </w:tc>
              <w:tc>
                <w:tcPr>
                  <w:tcW w:w="1322" w:type="dxa"/>
                  <w:vMerge w:val="continue"/>
                  <w:tcBorders>
                    <w:tl2br w:val="nil"/>
                    <w:tr2bl w:val="nil"/>
                  </w:tcBorders>
                  <w:noWrap w:val="0"/>
                  <w:vAlign w:val="center"/>
                </w:tcPr>
                <w:p w14:paraId="4A1BF550">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color w:val="auto"/>
                      <w:spacing w:val="0"/>
                      <w:kern w:val="21"/>
                      <w:highlight w:val="none"/>
                    </w:rPr>
                  </w:pPr>
                </w:p>
              </w:tc>
              <w:tc>
                <w:tcPr>
                  <w:tcW w:w="1322" w:type="dxa"/>
                  <w:vMerge w:val="continue"/>
                  <w:tcBorders>
                    <w:tl2br w:val="nil"/>
                    <w:tr2bl w:val="nil"/>
                  </w:tcBorders>
                  <w:noWrap w:val="0"/>
                  <w:vAlign w:val="center"/>
                </w:tcPr>
                <w:p w14:paraId="69283A7B">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color w:val="auto"/>
                      <w:spacing w:val="0"/>
                      <w:kern w:val="21"/>
                      <w:highlight w:val="none"/>
                    </w:rPr>
                  </w:pPr>
                </w:p>
              </w:tc>
              <w:tc>
                <w:tcPr>
                  <w:tcW w:w="1322" w:type="dxa"/>
                  <w:tcBorders>
                    <w:tl2br w:val="nil"/>
                    <w:tr2bl w:val="nil"/>
                  </w:tcBorders>
                  <w:noWrap w:val="0"/>
                  <w:vAlign w:val="center"/>
                </w:tcPr>
                <w:p w14:paraId="2C2C1E5A">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eastAsia" w:ascii="Times New Roman" w:hAnsi="Times New Roman" w:eastAsia="宋体" w:cs="Times New Roman"/>
                      <w:color w:val="auto"/>
                      <w:spacing w:val="0"/>
                      <w:kern w:val="21"/>
                      <w:sz w:val="21"/>
                      <w:szCs w:val="21"/>
                      <w:highlight w:val="none"/>
                      <w:lang w:val="en-US" w:eastAsia="zh-CN" w:bidi="zh-CN"/>
                    </w:rPr>
                    <w:t>12月</w:t>
                  </w:r>
                </w:p>
              </w:tc>
              <w:tc>
                <w:tcPr>
                  <w:tcW w:w="1325" w:type="dxa"/>
                  <w:gridSpan w:val="2"/>
                  <w:tcBorders>
                    <w:tl2br w:val="nil"/>
                    <w:tr2bl w:val="nil"/>
                  </w:tcBorders>
                  <w:noWrap w:val="0"/>
                  <w:vAlign w:val="center"/>
                </w:tcPr>
                <w:p w14:paraId="3D27B6CF">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eastAsia" w:ascii="Times New Roman" w:hAnsi="Times New Roman" w:eastAsia="宋体" w:cs="Times New Roman"/>
                      <w:color w:val="auto"/>
                      <w:spacing w:val="0"/>
                      <w:kern w:val="21"/>
                      <w:sz w:val="21"/>
                      <w:szCs w:val="21"/>
                      <w:highlight w:val="none"/>
                      <w:lang w:val="en-US" w:eastAsia="zh-CN" w:bidi="zh-CN"/>
                    </w:rPr>
                    <w:t>1-12月</w:t>
                  </w:r>
                </w:p>
              </w:tc>
              <w:tc>
                <w:tcPr>
                  <w:tcW w:w="1324" w:type="dxa"/>
                  <w:vMerge w:val="continue"/>
                  <w:tcBorders>
                    <w:tl2br w:val="nil"/>
                    <w:tr2bl w:val="nil"/>
                  </w:tcBorders>
                  <w:noWrap w:val="0"/>
                  <w:vAlign w:val="center"/>
                </w:tcPr>
                <w:p w14:paraId="3A92EAC1">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p>
              </w:tc>
            </w:tr>
            <w:tr w14:paraId="29F267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22" w:type="dxa"/>
                  <w:tcBorders>
                    <w:tl2br w:val="nil"/>
                    <w:tr2bl w:val="nil"/>
                  </w:tcBorders>
                  <w:noWrap w:val="0"/>
                  <w:vAlign w:val="center"/>
                </w:tcPr>
                <w:p w14:paraId="46D9DEE3">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长子县</w:t>
                  </w:r>
                </w:p>
              </w:tc>
              <w:tc>
                <w:tcPr>
                  <w:tcW w:w="1322" w:type="dxa"/>
                  <w:tcBorders>
                    <w:tl2br w:val="nil"/>
                    <w:tr2bl w:val="nil"/>
                  </w:tcBorders>
                  <w:noWrap w:val="0"/>
                  <w:vAlign w:val="center"/>
                </w:tcPr>
                <w:p w14:paraId="736FEA3F">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南李末</w:t>
                  </w:r>
                </w:p>
              </w:tc>
              <w:tc>
                <w:tcPr>
                  <w:tcW w:w="1322" w:type="dxa"/>
                  <w:tcBorders>
                    <w:tl2br w:val="nil"/>
                    <w:tr2bl w:val="nil"/>
                  </w:tcBorders>
                  <w:noWrap w:val="0"/>
                  <w:vAlign w:val="center"/>
                </w:tcPr>
                <w:p w14:paraId="4BC35209">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省</w:t>
                  </w:r>
                </w:p>
              </w:tc>
              <w:tc>
                <w:tcPr>
                  <w:tcW w:w="1322" w:type="dxa"/>
                  <w:tcBorders>
                    <w:tl2br w:val="nil"/>
                    <w:tr2bl w:val="nil"/>
                  </w:tcBorders>
                  <w:noWrap w:val="0"/>
                  <w:vAlign w:val="center"/>
                </w:tcPr>
                <w:p w14:paraId="34F77D04">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Ⅲ</w:t>
                  </w:r>
                </w:p>
              </w:tc>
              <w:tc>
                <w:tcPr>
                  <w:tcW w:w="1322" w:type="dxa"/>
                  <w:tcBorders>
                    <w:tl2br w:val="nil"/>
                    <w:tr2bl w:val="nil"/>
                  </w:tcBorders>
                  <w:noWrap w:val="0"/>
                  <w:vAlign w:val="center"/>
                </w:tcPr>
                <w:p w14:paraId="62ADD0CC">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en-US" w:eastAsia="zh-CN" w:bidi="zh-CN"/>
                    </w:rPr>
                  </w:pPr>
                  <w:r>
                    <w:rPr>
                      <w:rFonts w:hint="default" w:ascii="Times New Roman" w:hAnsi="Times New Roman" w:eastAsia="宋体" w:cs="Times New Roman"/>
                      <w:color w:val="auto"/>
                      <w:spacing w:val="0"/>
                      <w:kern w:val="21"/>
                      <w:sz w:val="21"/>
                      <w:szCs w:val="21"/>
                      <w:highlight w:val="none"/>
                      <w:lang w:val="en-US" w:eastAsia="zh-CN" w:bidi="zh-CN"/>
                    </w:rPr>
                    <w:t>Ⅲ</w:t>
                  </w:r>
                </w:p>
              </w:tc>
              <w:tc>
                <w:tcPr>
                  <w:tcW w:w="1327" w:type="dxa"/>
                  <w:gridSpan w:val="2"/>
                  <w:tcBorders>
                    <w:tl2br w:val="nil"/>
                    <w:tr2bl w:val="nil"/>
                  </w:tcBorders>
                  <w:noWrap w:val="0"/>
                  <w:vAlign w:val="center"/>
                </w:tcPr>
                <w:p w14:paraId="791C6A7F">
                  <w:pPr>
                    <w:keepNext w:val="0"/>
                    <w:keepLines w:val="0"/>
                    <w:pageBreakBefore w:val="0"/>
                    <w:widowControl w:val="0"/>
                    <w:kinsoku/>
                    <w:wordWrap/>
                    <w:overflowPunct/>
                    <w:topLinePunct w:val="0"/>
                    <w:autoSpaceDE/>
                    <w:autoSpaceDN/>
                    <w:bidi w:val="0"/>
                    <w:adjustRightInd w:val="0"/>
                    <w:snapToGrid w:val="0"/>
                    <w:spacing w:before="0" w:line="320" w:lineRule="exact"/>
                    <w:ind w:left="0" w:right="0"/>
                    <w:jc w:val="center"/>
                    <w:textAlignment w:val="auto"/>
                    <w:rPr>
                      <w:rFonts w:hint="default" w:ascii="Times New Roman" w:hAnsi="Times New Roman" w:eastAsia="宋体" w:cs="Times New Roman"/>
                      <w:color w:val="auto"/>
                      <w:spacing w:val="0"/>
                      <w:kern w:val="21"/>
                      <w:sz w:val="21"/>
                      <w:szCs w:val="21"/>
                      <w:highlight w:val="none"/>
                      <w:lang w:val="zh-CN" w:eastAsia="zh-CN" w:bidi="zh-CN"/>
                    </w:rPr>
                  </w:pPr>
                  <w:r>
                    <w:rPr>
                      <w:rFonts w:hint="default" w:ascii="Times New Roman" w:hAnsi="Times New Roman" w:eastAsia="宋体" w:cs="Times New Roman"/>
                      <w:color w:val="auto"/>
                      <w:spacing w:val="0"/>
                      <w:kern w:val="21"/>
                      <w:sz w:val="21"/>
                      <w:szCs w:val="21"/>
                      <w:highlight w:val="none"/>
                      <w:lang w:val="en-US" w:eastAsia="zh-CN" w:bidi="zh-CN"/>
                    </w:rPr>
                    <w:t>Ⅳ</w:t>
                  </w:r>
                </w:p>
              </w:tc>
            </w:tr>
          </w:tbl>
          <w:p w14:paraId="2BA2F96B">
            <w:pPr>
              <w:pStyle w:val="4"/>
              <w:keepNext/>
              <w:keepLines/>
              <w:pageBreakBefore w:val="0"/>
              <w:widowControl w:val="0"/>
              <w:kinsoku/>
              <w:wordWrap/>
              <w:overflowPunct/>
              <w:topLinePunct w:val="0"/>
              <w:autoSpaceDE/>
              <w:autoSpaceDN/>
              <w:bidi w:val="0"/>
              <w:adjustRightInd w:val="0"/>
              <w:snapToGrid w:val="0"/>
              <w:spacing w:before="0" w:beforeLines="0" w:line="480" w:lineRule="exact"/>
              <w:ind w:firstLine="482"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eastAsia" w:ascii="Times New Roman" w:hAnsi="Times New Roman" w:eastAsia="宋体" w:cs="Times New Roman"/>
                <w:color w:val="auto"/>
                <w:spacing w:val="0"/>
                <w:kern w:val="21"/>
                <w:sz w:val="24"/>
                <w:szCs w:val="24"/>
                <w:highlight w:val="none"/>
                <w:lang w:val="en-US" w:eastAsia="zh-CN"/>
              </w:rPr>
              <w:t xml:space="preserve">3.3 </w:t>
            </w:r>
            <w:r>
              <w:rPr>
                <w:rFonts w:hint="default" w:ascii="Times New Roman" w:hAnsi="Times New Roman" w:eastAsia="宋体" w:cs="Times New Roman"/>
                <w:color w:val="auto"/>
                <w:spacing w:val="0"/>
                <w:kern w:val="21"/>
                <w:sz w:val="24"/>
                <w:szCs w:val="24"/>
                <w:highlight w:val="none"/>
                <w:lang w:val="en-US" w:eastAsia="zh-CN"/>
              </w:rPr>
              <w:t>声环境</w:t>
            </w:r>
          </w:p>
          <w:p w14:paraId="7324B6A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eastAsia" w:ascii="Times New Roman" w:hAnsi="Times New Roman" w:eastAsia="宋体" w:cs="Times New Roman"/>
                <w:bCs/>
                <w:color w:val="auto"/>
                <w:spacing w:val="0"/>
                <w:kern w:val="21"/>
                <w:sz w:val="24"/>
                <w:highlight w:val="none"/>
                <w:lang w:val="en-US" w:eastAsia="zh-CN"/>
              </w:rPr>
            </w:pPr>
            <w:r>
              <w:rPr>
                <w:rFonts w:hint="eastAsia" w:ascii="Times New Roman" w:hAnsi="Times New Roman" w:eastAsia="宋体" w:cs="Times New Roman"/>
                <w:bCs/>
                <w:color w:val="auto"/>
                <w:spacing w:val="0"/>
                <w:kern w:val="21"/>
                <w:sz w:val="24"/>
                <w:highlight w:val="none"/>
                <w:lang w:val="en-US" w:eastAsia="zh-CN"/>
              </w:rPr>
              <w:t>本项目厂界外周边50米范围内不存在声环境保护目标，因此未对声环境质量现状开展监测。</w:t>
            </w:r>
          </w:p>
          <w:p w14:paraId="4F64D4D7">
            <w:pPr>
              <w:pStyle w:val="4"/>
              <w:keepNext/>
              <w:keepLines/>
              <w:pageBreakBefore w:val="0"/>
              <w:widowControl w:val="0"/>
              <w:kinsoku/>
              <w:wordWrap/>
              <w:overflowPunct/>
              <w:topLinePunct w:val="0"/>
              <w:autoSpaceDE/>
              <w:autoSpaceDN/>
              <w:bidi w:val="0"/>
              <w:adjustRightInd w:val="0"/>
              <w:snapToGrid w:val="0"/>
              <w:spacing w:before="0" w:beforeLines="0" w:line="480" w:lineRule="exact"/>
              <w:ind w:firstLine="482" w:firstLineChars="200"/>
              <w:jc w:val="both"/>
              <w:textAlignment w:val="auto"/>
              <w:rPr>
                <w:rFonts w:hint="eastAsia" w:ascii="Times New Roman" w:hAnsi="Times New Roman" w:eastAsia="宋体" w:cs="Times New Roman"/>
                <w:color w:val="auto"/>
                <w:spacing w:val="0"/>
                <w:kern w:val="21"/>
                <w:sz w:val="24"/>
                <w:szCs w:val="24"/>
                <w:highlight w:val="none"/>
                <w:lang w:val="en-US" w:eastAsia="zh-CN"/>
              </w:rPr>
            </w:pPr>
            <w:r>
              <w:rPr>
                <w:rFonts w:hint="eastAsia" w:ascii="Times New Roman" w:hAnsi="Times New Roman" w:eastAsia="宋体" w:cs="Times New Roman"/>
                <w:color w:val="auto"/>
                <w:spacing w:val="0"/>
                <w:kern w:val="21"/>
                <w:sz w:val="24"/>
                <w:szCs w:val="24"/>
                <w:highlight w:val="none"/>
                <w:lang w:val="en-US" w:eastAsia="zh-CN"/>
              </w:rPr>
              <w:t>3.4 生态环境</w:t>
            </w:r>
          </w:p>
          <w:p w14:paraId="7983F85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baseline"/>
              <w:rPr>
                <w:rFonts w:hint="eastAsia" w:ascii="Times New Roman" w:hAnsi="Times New Roman" w:eastAsia="宋体" w:cs="Times New Roman"/>
                <w:bCs/>
                <w:color w:val="auto"/>
                <w:spacing w:val="0"/>
                <w:kern w:val="21"/>
                <w:sz w:val="24"/>
                <w:highlight w:val="none"/>
                <w:lang w:val="en-US" w:eastAsia="zh-CN"/>
              </w:rPr>
            </w:pPr>
            <w:r>
              <w:rPr>
                <w:rFonts w:hint="eastAsia" w:ascii="Times New Roman" w:hAnsi="Times New Roman" w:eastAsia="宋体" w:cs="Times New Roman"/>
                <w:bCs/>
                <w:color w:val="auto"/>
                <w:spacing w:val="0"/>
                <w:kern w:val="21"/>
                <w:sz w:val="24"/>
                <w:highlight w:val="none"/>
                <w:lang w:val="en-US" w:eastAsia="zh-CN"/>
              </w:rPr>
              <w:t>本项目在现有厂区内建设，不新增用地。项目不涉及自然保护区、风景名胜区、水源地、特殊地下水资源保护区、森林公园等环境保护敏感目标。</w:t>
            </w:r>
          </w:p>
          <w:p w14:paraId="188A40D0">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baseline"/>
              <w:rPr>
                <w:rFonts w:hint="default" w:ascii="Times New Roman" w:hAnsi="Times New Roman" w:eastAsia="宋体" w:cs="Times New Roman"/>
                <w:color w:val="auto"/>
                <w:spacing w:val="0"/>
                <w:kern w:val="21"/>
                <w:szCs w:val="21"/>
                <w:highlight w:val="none"/>
                <w:lang w:val="en-US" w:eastAsia="zh-CN"/>
              </w:rPr>
            </w:pPr>
          </w:p>
        </w:tc>
      </w:tr>
      <w:tr w14:paraId="0D897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0" w:hRule="atLeast"/>
          <w:jc w:val="center"/>
        </w:trPr>
        <w:tc>
          <w:tcPr>
            <w:tcW w:w="800" w:type="dxa"/>
            <w:noWrap w:val="0"/>
            <w:vAlign w:val="center"/>
          </w:tcPr>
          <w:p w14:paraId="3701AF1D">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环境</w:t>
            </w:r>
          </w:p>
          <w:p w14:paraId="5B00C199">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保护</w:t>
            </w:r>
          </w:p>
          <w:p w14:paraId="13992399">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目标</w:t>
            </w:r>
          </w:p>
        </w:tc>
        <w:tc>
          <w:tcPr>
            <w:tcW w:w="8190" w:type="dxa"/>
            <w:noWrap w:val="0"/>
            <w:vAlign w:val="center"/>
          </w:tcPr>
          <w:p w14:paraId="7F962063">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3.5 大气环境</w:t>
            </w:r>
          </w:p>
          <w:p w14:paraId="2F75DBD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default" w:ascii="Times New Roman" w:hAnsi="Times New Roman" w:eastAsia="宋体" w:cs="Times New Roman"/>
                <w:color w:val="auto"/>
                <w:spacing w:val="0"/>
                <w:kern w:val="21"/>
                <w:sz w:val="24"/>
                <w:szCs w:val="24"/>
                <w:highlight w:val="none"/>
                <w:lang w:val="en-US" w:eastAsia="zh-CN"/>
              </w:rPr>
              <w:t>根据调查，厂界外500m范围内有</w:t>
            </w:r>
            <w:r>
              <w:rPr>
                <w:rFonts w:hint="eastAsia" w:ascii="Times New Roman" w:hAnsi="Times New Roman" w:eastAsia="宋体" w:cs="Times New Roman"/>
                <w:color w:val="auto"/>
                <w:spacing w:val="0"/>
                <w:kern w:val="21"/>
                <w:sz w:val="24"/>
                <w:szCs w:val="24"/>
                <w:highlight w:val="none"/>
                <w:lang w:val="en-US" w:eastAsia="zh-CN"/>
              </w:rPr>
              <w:t>应城村、布村</w:t>
            </w:r>
            <w:r>
              <w:rPr>
                <w:rFonts w:hint="default" w:ascii="Times New Roman" w:hAnsi="Times New Roman" w:eastAsia="宋体" w:cs="Times New Roman"/>
                <w:color w:val="auto"/>
                <w:spacing w:val="0"/>
                <w:kern w:val="21"/>
                <w:sz w:val="24"/>
                <w:szCs w:val="24"/>
                <w:highlight w:val="none"/>
                <w:lang w:val="en-US" w:eastAsia="zh-CN"/>
              </w:rPr>
              <w:t>。</w:t>
            </w:r>
          </w:p>
          <w:p w14:paraId="205CD50D">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3.6 声环境</w:t>
            </w:r>
          </w:p>
          <w:p w14:paraId="63BA331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default" w:ascii="Times New Roman" w:hAnsi="Times New Roman" w:eastAsia="宋体" w:cs="Times New Roman"/>
                <w:color w:val="auto"/>
                <w:spacing w:val="0"/>
                <w:kern w:val="21"/>
                <w:sz w:val="24"/>
                <w:szCs w:val="24"/>
                <w:highlight w:val="none"/>
                <w:lang w:val="en-US" w:eastAsia="zh-CN"/>
              </w:rPr>
              <w:t>厂界外50m范围内无声环境保护目标。</w:t>
            </w:r>
          </w:p>
          <w:p w14:paraId="61C6E4DF">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 xml:space="preserve">3.7 </w:t>
            </w:r>
            <w:r>
              <w:rPr>
                <w:rFonts w:hint="default" w:ascii="Times New Roman" w:hAnsi="Times New Roman" w:eastAsia="宋体" w:cs="Times New Roman"/>
                <w:b/>
                <w:bCs/>
                <w:color w:val="auto"/>
                <w:spacing w:val="0"/>
                <w:kern w:val="21"/>
                <w:sz w:val="24"/>
                <w:szCs w:val="24"/>
                <w:highlight w:val="none"/>
                <w:lang w:val="en-US" w:eastAsia="zh-CN"/>
              </w:rPr>
              <w:t>地下水环境</w:t>
            </w:r>
          </w:p>
          <w:p w14:paraId="2A65C03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default" w:ascii="Times New Roman" w:hAnsi="Times New Roman" w:eastAsia="宋体" w:cs="Times New Roman"/>
                <w:color w:val="auto"/>
                <w:spacing w:val="0"/>
                <w:kern w:val="21"/>
                <w:sz w:val="24"/>
                <w:szCs w:val="24"/>
                <w:highlight w:val="none"/>
                <w:lang w:val="en-US" w:eastAsia="zh-CN"/>
              </w:rPr>
              <w:t>厂界外500m范围内无地下水集中式饮用水水源和热水、矿泉水、温泉等特殊地下水资源。</w:t>
            </w:r>
          </w:p>
          <w:p w14:paraId="300206CB">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 xml:space="preserve">3.8 </w:t>
            </w:r>
            <w:r>
              <w:rPr>
                <w:rFonts w:hint="default" w:ascii="Times New Roman" w:hAnsi="Times New Roman" w:eastAsia="宋体" w:cs="Times New Roman"/>
                <w:b/>
                <w:bCs/>
                <w:color w:val="auto"/>
                <w:spacing w:val="0"/>
                <w:kern w:val="21"/>
                <w:sz w:val="24"/>
                <w:szCs w:val="24"/>
                <w:highlight w:val="none"/>
                <w:lang w:val="en-US" w:eastAsia="zh-CN"/>
              </w:rPr>
              <w:t>生态环境</w:t>
            </w:r>
          </w:p>
          <w:p w14:paraId="1C5AF49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21"/>
                <w:sz w:val="24"/>
                <w:szCs w:val="24"/>
                <w:highlight w:val="none"/>
                <w:lang w:val="en-US" w:eastAsia="zh-CN"/>
              </w:rPr>
            </w:pPr>
            <w:r>
              <w:rPr>
                <w:rFonts w:hint="default" w:ascii="Times New Roman" w:hAnsi="Times New Roman" w:eastAsia="宋体" w:cs="Times New Roman"/>
                <w:color w:val="auto"/>
                <w:spacing w:val="0"/>
                <w:kern w:val="21"/>
                <w:sz w:val="24"/>
                <w:szCs w:val="24"/>
                <w:highlight w:val="none"/>
                <w:lang w:val="en-US" w:eastAsia="zh-CN"/>
              </w:rPr>
              <w:t>本项目</w:t>
            </w:r>
            <w:r>
              <w:rPr>
                <w:rFonts w:hint="eastAsia" w:ascii="Times New Roman" w:hAnsi="Times New Roman" w:eastAsia="宋体" w:cs="Times New Roman"/>
                <w:color w:val="auto"/>
                <w:spacing w:val="0"/>
                <w:kern w:val="21"/>
                <w:sz w:val="24"/>
                <w:szCs w:val="24"/>
                <w:highlight w:val="none"/>
                <w:lang w:val="en-US" w:eastAsia="zh-CN"/>
              </w:rPr>
              <w:t>在现有厂区内建设，</w:t>
            </w:r>
            <w:r>
              <w:rPr>
                <w:rFonts w:hint="default" w:ascii="Times New Roman" w:hAnsi="Times New Roman" w:eastAsia="宋体" w:cs="Times New Roman"/>
                <w:color w:val="auto"/>
                <w:spacing w:val="0"/>
                <w:kern w:val="21"/>
                <w:sz w:val="24"/>
                <w:szCs w:val="24"/>
                <w:highlight w:val="none"/>
              </w:rPr>
              <w:t>不新增用地</w:t>
            </w:r>
            <w:r>
              <w:rPr>
                <w:rFonts w:hint="default" w:ascii="Times New Roman" w:hAnsi="Times New Roman" w:eastAsia="宋体" w:cs="Times New Roman"/>
                <w:color w:val="auto"/>
                <w:spacing w:val="0"/>
                <w:kern w:val="21"/>
                <w:sz w:val="24"/>
                <w:szCs w:val="24"/>
                <w:highlight w:val="none"/>
                <w:lang w:val="en-US" w:eastAsia="zh-CN"/>
              </w:rPr>
              <w:t>。</w:t>
            </w:r>
          </w:p>
          <w:p w14:paraId="26A6BD05">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r>
              <w:rPr>
                <w:rFonts w:hint="default" w:ascii="Times New Roman" w:hAnsi="Times New Roman" w:eastAsia="黑体" w:cs="Times New Roman"/>
                <w:bCs/>
                <w:color w:val="auto"/>
                <w:spacing w:val="0"/>
                <w:kern w:val="21"/>
                <w:sz w:val="21"/>
                <w:szCs w:val="21"/>
                <w:highlight w:val="none"/>
                <w:lang w:val="en-US" w:eastAsia="zh-CN"/>
              </w:rPr>
              <w:t>表3</w:t>
            </w:r>
            <w:r>
              <w:rPr>
                <w:rFonts w:hint="eastAsia" w:ascii="Times New Roman" w:hAnsi="Times New Roman" w:eastAsia="黑体" w:cs="Times New Roman"/>
                <w:bCs/>
                <w:color w:val="auto"/>
                <w:spacing w:val="0"/>
                <w:kern w:val="21"/>
                <w:sz w:val="21"/>
                <w:szCs w:val="21"/>
                <w:highlight w:val="none"/>
                <w:lang w:val="en-US" w:eastAsia="zh-CN"/>
              </w:rPr>
              <w:t>.8-1</w:t>
            </w:r>
            <w:r>
              <w:rPr>
                <w:rFonts w:hint="default" w:ascii="Times New Roman" w:hAnsi="Times New Roman" w:eastAsia="黑体" w:cs="Times New Roman"/>
                <w:bCs/>
                <w:color w:val="auto"/>
                <w:spacing w:val="0"/>
                <w:kern w:val="21"/>
                <w:sz w:val="21"/>
                <w:szCs w:val="21"/>
                <w:highlight w:val="none"/>
                <w:lang w:val="en-US" w:eastAsia="zh-CN"/>
              </w:rPr>
              <w:t xml:space="preserve">  </w:t>
            </w:r>
            <w:r>
              <w:rPr>
                <w:rFonts w:hint="eastAsia" w:ascii="Times New Roman" w:hAnsi="Times New Roman" w:eastAsia="黑体" w:cs="Times New Roman"/>
                <w:bCs/>
                <w:color w:val="auto"/>
                <w:spacing w:val="0"/>
                <w:kern w:val="21"/>
                <w:sz w:val="21"/>
                <w:szCs w:val="21"/>
                <w:highlight w:val="none"/>
                <w:lang w:val="en-US" w:eastAsia="zh-CN"/>
              </w:rPr>
              <w:t>环境保护目标表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870"/>
              <w:gridCol w:w="1238"/>
              <w:gridCol w:w="1020"/>
              <w:gridCol w:w="885"/>
              <w:gridCol w:w="645"/>
              <w:gridCol w:w="2222"/>
            </w:tblGrid>
            <w:tr w14:paraId="5A562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tcBorders>
                    <w:tl2br w:val="nil"/>
                    <w:tr2bl w:val="nil"/>
                  </w:tcBorders>
                  <w:noWrap w:val="0"/>
                  <w:vAlign w:val="center"/>
                </w:tcPr>
                <w:p w14:paraId="7DA6435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类别</w:t>
                  </w:r>
                </w:p>
              </w:tc>
              <w:tc>
                <w:tcPr>
                  <w:tcW w:w="2108" w:type="dxa"/>
                  <w:gridSpan w:val="2"/>
                  <w:tcBorders>
                    <w:tl2br w:val="nil"/>
                    <w:tr2bl w:val="nil"/>
                  </w:tcBorders>
                  <w:noWrap w:val="0"/>
                  <w:vAlign w:val="center"/>
                </w:tcPr>
                <w:p w14:paraId="3EF418C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保护目标</w:t>
                  </w:r>
                </w:p>
              </w:tc>
              <w:tc>
                <w:tcPr>
                  <w:tcW w:w="1020" w:type="dxa"/>
                  <w:tcBorders>
                    <w:tl2br w:val="nil"/>
                    <w:tr2bl w:val="nil"/>
                  </w:tcBorders>
                  <w:noWrap w:val="0"/>
                  <w:vAlign w:val="center"/>
                </w:tcPr>
                <w:p w14:paraId="5A38BCB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方位（相对厂区）</w:t>
                  </w:r>
                </w:p>
              </w:tc>
              <w:tc>
                <w:tcPr>
                  <w:tcW w:w="885" w:type="dxa"/>
                  <w:tcBorders>
                    <w:tl2br w:val="nil"/>
                    <w:tr2bl w:val="nil"/>
                  </w:tcBorders>
                  <w:noWrap w:val="0"/>
                  <w:vAlign w:val="center"/>
                </w:tcPr>
                <w:p w14:paraId="7889DD8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距离（km）</w:t>
                  </w:r>
                </w:p>
              </w:tc>
              <w:tc>
                <w:tcPr>
                  <w:tcW w:w="645" w:type="dxa"/>
                  <w:tcBorders>
                    <w:tl2br w:val="nil"/>
                    <w:tr2bl w:val="nil"/>
                  </w:tcBorders>
                  <w:noWrap w:val="0"/>
                  <w:vAlign w:val="center"/>
                </w:tcPr>
                <w:p w14:paraId="0FF6147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保护</w:t>
                  </w:r>
                  <w:r>
                    <w:rPr>
                      <w:rFonts w:hint="eastAsia" w:ascii="Times New Roman" w:hAnsi="Times New Roman" w:eastAsia="宋体" w:cs="Times New Roman"/>
                      <w:color w:val="auto"/>
                      <w:spacing w:val="0"/>
                      <w:kern w:val="21"/>
                      <w:sz w:val="21"/>
                      <w:szCs w:val="21"/>
                      <w:highlight w:val="none"/>
                      <w:lang w:val="en-US" w:eastAsia="zh-CN"/>
                    </w:rPr>
                    <w:t>内容</w:t>
                  </w:r>
                </w:p>
              </w:tc>
              <w:tc>
                <w:tcPr>
                  <w:tcW w:w="2222" w:type="dxa"/>
                  <w:tcBorders>
                    <w:tl2br w:val="nil"/>
                    <w:tr2bl w:val="nil"/>
                  </w:tcBorders>
                  <w:noWrap w:val="0"/>
                  <w:vAlign w:val="center"/>
                </w:tcPr>
                <w:p w14:paraId="2AFB952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保护级别</w:t>
                  </w:r>
                </w:p>
              </w:tc>
            </w:tr>
            <w:tr w14:paraId="3DC9E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vMerge w:val="restart"/>
                  <w:tcBorders>
                    <w:tl2br w:val="nil"/>
                    <w:tr2bl w:val="nil"/>
                  </w:tcBorders>
                  <w:noWrap w:val="0"/>
                  <w:vAlign w:val="center"/>
                </w:tcPr>
                <w:p w14:paraId="2141DFD4">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环境空气</w:t>
                  </w:r>
                </w:p>
              </w:tc>
              <w:tc>
                <w:tcPr>
                  <w:tcW w:w="2108" w:type="dxa"/>
                  <w:gridSpan w:val="2"/>
                  <w:tcBorders>
                    <w:tl2br w:val="nil"/>
                    <w:tr2bl w:val="nil"/>
                  </w:tcBorders>
                  <w:noWrap w:val="0"/>
                  <w:vAlign w:val="center"/>
                </w:tcPr>
                <w:p w14:paraId="483BF81A">
                  <w:pPr>
                    <w:adjustRightInd w:val="0"/>
                    <w:snapToGrid w:val="0"/>
                    <w:jc w:val="center"/>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Cs w:val="21"/>
                      <w:highlight w:val="none"/>
                      <w:lang w:val="en-US" w:eastAsia="zh-CN"/>
                    </w:rPr>
                    <w:t>应城村</w:t>
                  </w:r>
                </w:p>
              </w:tc>
              <w:tc>
                <w:tcPr>
                  <w:tcW w:w="1020" w:type="dxa"/>
                  <w:tcBorders>
                    <w:tl2br w:val="nil"/>
                    <w:tr2bl w:val="nil"/>
                  </w:tcBorders>
                  <w:noWrap w:val="0"/>
                  <w:vAlign w:val="center"/>
                </w:tcPr>
                <w:p w14:paraId="0A40ADF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bidi="ar-SA"/>
                    </w:rPr>
                    <w:t>E</w:t>
                  </w:r>
                </w:p>
              </w:tc>
              <w:tc>
                <w:tcPr>
                  <w:tcW w:w="885" w:type="dxa"/>
                  <w:tcBorders>
                    <w:tl2br w:val="nil"/>
                    <w:tr2bl w:val="nil"/>
                  </w:tcBorders>
                  <w:noWrap w:val="0"/>
                  <w:vAlign w:val="center"/>
                </w:tcPr>
                <w:p w14:paraId="17FC8B3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0.23</w:t>
                  </w:r>
                </w:p>
              </w:tc>
              <w:tc>
                <w:tcPr>
                  <w:tcW w:w="645" w:type="dxa"/>
                  <w:tcBorders>
                    <w:tl2br w:val="nil"/>
                    <w:tr2bl w:val="nil"/>
                  </w:tcBorders>
                  <w:noWrap w:val="0"/>
                  <w:vAlign w:val="center"/>
                </w:tcPr>
                <w:p w14:paraId="3AD07EE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居民</w:t>
                  </w:r>
                </w:p>
              </w:tc>
              <w:tc>
                <w:tcPr>
                  <w:tcW w:w="2222" w:type="dxa"/>
                  <w:vMerge w:val="restart"/>
                  <w:tcBorders>
                    <w:tl2br w:val="nil"/>
                    <w:tr2bl w:val="nil"/>
                  </w:tcBorders>
                  <w:noWrap w:val="0"/>
                  <w:vAlign w:val="center"/>
                </w:tcPr>
                <w:p w14:paraId="2360458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《环境空气质量标准》（GB3095-2012）中二级标准</w:t>
                  </w:r>
                </w:p>
              </w:tc>
            </w:tr>
            <w:tr w14:paraId="3E4B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vMerge w:val="continue"/>
                  <w:tcBorders>
                    <w:tl2br w:val="nil"/>
                    <w:tr2bl w:val="nil"/>
                  </w:tcBorders>
                  <w:noWrap w:val="0"/>
                  <w:vAlign w:val="center"/>
                </w:tcPr>
                <w:p w14:paraId="6753B98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p>
              </w:tc>
              <w:tc>
                <w:tcPr>
                  <w:tcW w:w="2108" w:type="dxa"/>
                  <w:gridSpan w:val="2"/>
                  <w:tcBorders>
                    <w:tl2br w:val="nil"/>
                    <w:tr2bl w:val="nil"/>
                  </w:tcBorders>
                  <w:noWrap w:val="0"/>
                  <w:vAlign w:val="center"/>
                </w:tcPr>
                <w:p w14:paraId="3AC5E0DE">
                  <w:pPr>
                    <w:adjustRightInd w:val="0"/>
                    <w:snapToGrid w:val="0"/>
                    <w:jc w:val="center"/>
                    <w:rPr>
                      <w:rFonts w:hint="eastAsia"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Cs w:val="21"/>
                      <w:highlight w:val="none"/>
                      <w:lang w:val="en-US" w:eastAsia="zh-CN"/>
                    </w:rPr>
                    <w:t>布村</w:t>
                  </w:r>
                </w:p>
              </w:tc>
              <w:tc>
                <w:tcPr>
                  <w:tcW w:w="1020" w:type="dxa"/>
                  <w:tcBorders>
                    <w:tl2br w:val="nil"/>
                    <w:tr2bl w:val="nil"/>
                  </w:tcBorders>
                  <w:noWrap w:val="0"/>
                  <w:vAlign w:val="center"/>
                </w:tcPr>
                <w:p w14:paraId="55EB209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SW</w:t>
                  </w:r>
                </w:p>
              </w:tc>
              <w:tc>
                <w:tcPr>
                  <w:tcW w:w="885" w:type="dxa"/>
                  <w:tcBorders>
                    <w:tl2br w:val="nil"/>
                    <w:tr2bl w:val="nil"/>
                  </w:tcBorders>
                  <w:noWrap w:val="0"/>
                  <w:vAlign w:val="center"/>
                </w:tcPr>
                <w:p w14:paraId="21E74C0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0.39</w:t>
                  </w:r>
                </w:p>
              </w:tc>
              <w:tc>
                <w:tcPr>
                  <w:tcW w:w="645" w:type="dxa"/>
                  <w:tcBorders>
                    <w:tl2br w:val="nil"/>
                    <w:tr2bl w:val="nil"/>
                  </w:tcBorders>
                  <w:noWrap w:val="0"/>
                  <w:vAlign w:val="center"/>
                </w:tcPr>
                <w:p w14:paraId="29C822E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居民</w:t>
                  </w:r>
                </w:p>
              </w:tc>
              <w:tc>
                <w:tcPr>
                  <w:tcW w:w="2222" w:type="dxa"/>
                  <w:vMerge w:val="continue"/>
                  <w:tcBorders>
                    <w:tl2br w:val="nil"/>
                    <w:tr2bl w:val="nil"/>
                  </w:tcBorders>
                  <w:noWrap w:val="0"/>
                  <w:vAlign w:val="center"/>
                </w:tcPr>
                <w:p w14:paraId="6973C0F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p>
              </w:tc>
            </w:tr>
            <w:tr w14:paraId="2F82F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tcBorders>
                    <w:tl2br w:val="nil"/>
                    <w:tr2bl w:val="nil"/>
                  </w:tcBorders>
                  <w:noWrap w:val="0"/>
                  <w:vAlign w:val="center"/>
                </w:tcPr>
                <w:p w14:paraId="0B5DD5E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地表水</w:t>
                  </w:r>
                </w:p>
              </w:tc>
              <w:tc>
                <w:tcPr>
                  <w:tcW w:w="2108" w:type="dxa"/>
                  <w:gridSpan w:val="2"/>
                  <w:tcBorders>
                    <w:tl2br w:val="nil"/>
                    <w:tr2bl w:val="nil"/>
                  </w:tcBorders>
                  <w:noWrap w:val="0"/>
                  <w:vAlign w:val="center"/>
                </w:tcPr>
                <w:p w14:paraId="3A33208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ascii="Times New Roman" w:hAnsi="Times New Roman" w:eastAsia="宋体" w:cs="Times New Roman"/>
                      <w:color w:val="auto"/>
                      <w:spacing w:val="0"/>
                      <w:kern w:val="21"/>
                      <w:sz w:val="21"/>
                      <w:szCs w:val="21"/>
                      <w:highlight w:val="none"/>
                      <w:lang w:val="en-US" w:eastAsia="zh-CN"/>
                    </w:rPr>
                    <w:t>小丹河</w:t>
                  </w:r>
                </w:p>
              </w:tc>
              <w:tc>
                <w:tcPr>
                  <w:tcW w:w="1020" w:type="dxa"/>
                  <w:tcBorders>
                    <w:tl2br w:val="nil"/>
                    <w:tr2bl w:val="nil"/>
                  </w:tcBorders>
                  <w:noWrap w:val="0"/>
                  <w:vAlign w:val="center"/>
                </w:tcPr>
                <w:p w14:paraId="4C8E270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W</w:t>
                  </w:r>
                </w:p>
              </w:tc>
              <w:tc>
                <w:tcPr>
                  <w:tcW w:w="885" w:type="dxa"/>
                  <w:tcBorders>
                    <w:tl2br w:val="nil"/>
                    <w:tr2bl w:val="nil"/>
                  </w:tcBorders>
                  <w:noWrap w:val="0"/>
                  <w:vAlign w:val="center"/>
                </w:tcPr>
                <w:p w14:paraId="7F0819D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1.38</w:t>
                  </w:r>
                </w:p>
              </w:tc>
              <w:tc>
                <w:tcPr>
                  <w:tcW w:w="645" w:type="dxa"/>
                  <w:tcBorders>
                    <w:tl2br w:val="nil"/>
                    <w:tr2bl w:val="nil"/>
                  </w:tcBorders>
                  <w:noWrap w:val="0"/>
                  <w:vAlign w:val="center"/>
                </w:tcPr>
                <w:p w14:paraId="5ED1B8C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ascii="Times New Roman" w:hAnsi="Times New Roman" w:cs="Times New Roman"/>
                      <w:color w:val="auto"/>
                      <w:spacing w:val="0"/>
                      <w:kern w:val="21"/>
                      <w:sz w:val="21"/>
                      <w:szCs w:val="21"/>
                      <w:highlight w:val="none"/>
                      <w:lang w:val="en-US" w:eastAsia="zh-CN"/>
                    </w:rPr>
                    <w:t>水质</w:t>
                  </w:r>
                </w:p>
              </w:tc>
              <w:tc>
                <w:tcPr>
                  <w:tcW w:w="2222" w:type="dxa"/>
                  <w:tcBorders>
                    <w:tl2br w:val="nil"/>
                    <w:tr2bl w:val="nil"/>
                  </w:tcBorders>
                  <w:noWrap w:val="0"/>
                  <w:vAlign w:val="center"/>
                </w:tcPr>
                <w:p w14:paraId="5EC57EC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《地表水环境质量标准》（GB3838-2002）中Ⅳ类标准</w:t>
                  </w:r>
                </w:p>
              </w:tc>
            </w:tr>
            <w:tr w14:paraId="47D83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vMerge w:val="restart"/>
                  <w:tcBorders>
                    <w:tl2br w:val="nil"/>
                    <w:tr2bl w:val="nil"/>
                  </w:tcBorders>
                  <w:noWrap w:val="0"/>
                  <w:vAlign w:val="center"/>
                </w:tcPr>
                <w:p w14:paraId="115A32E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地下水</w:t>
                  </w:r>
                </w:p>
              </w:tc>
              <w:tc>
                <w:tcPr>
                  <w:tcW w:w="6880" w:type="dxa"/>
                  <w:gridSpan w:val="6"/>
                  <w:tcBorders>
                    <w:tl2br w:val="nil"/>
                    <w:tr2bl w:val="nil"/>
                  </w:tcBorders>
                  <w:noWrap w:val="0"/>
                  <w:vAlign w:val="center"/>
                </w:tcPr>
                <w:p w14:paraId="65D7B0A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厂界外500m范围内无地下水集中式饮用水水源和热水、矿泉水、温泉等特殊地下水资源</w:t>
                  </w:r>
                </w:p>
              </w:tc>
            </w:tr>
            <w:tr w14:paraId="2D53D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vMerge w:val="continue"/>
                  <w:tcBorders>
                    <w:tl2br w:val="nil"/>
                    <w:tr2bl w:val="nil"/>
                  </w:tcBorders>
                  <w:noWrap w:val="0"/>
                  <w:vAlign w:val="center"/>
                </w:tcPr>
                <w:p w14:paraId="44B0FF7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1"/>
                      <w:sz w:val="21"/>
                      <w:szCs w:val="21"/>
                      <w:highlight w:val="none"/>
                      <w:lang w:val="en-US" w:eastAsia="zh-CN" w:bidi="ar-SA"/>
                    </w:rPr>
                  </w:pPr>
                </w:p>
              </w:tc>
              <w:tc>
                <w:tcPr>
                  <w:tcW w:w="870" w:type="dxa"/>
                  <w:vMerge w:val="restart"/>
                  <w:tcBorders>
                    <w:tl2br w:val="nil"/>
                    <w:tr2bl w:val="nil"/>
                  </w:tcBorders>
                  <w:noWrap w:val="0"/>
                  <w:vAlign w:val="center"/>
                </w:tcPr>
                <w:p w14:paraId="75CF7BA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分散式居民饮用水井</w:t>
                  </w:r>
                </w:p>
              </w:tc>
              <w:tc>
                <w:tcPr>
                  <w:tcW w:w="1238" w:type="dxa"/>
                  <w:tcBorders>
                    <w:tl2br w:val="nil"/>
                    <w:tr2bl w:val="nil"/>
                  </w:tcBorders>
                  <w:shd w:val="clear" w:color="auto" w:fill="auto"/>
                  <w:noWrap w:val="0"/>
                  <w:vAlign w:val="center"/>
                </w:tcPr>
                <w:p w14:paraId="40168D4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应城村</w:t>
                  </w:r>
                </w:p>
                <w:p w14:paraId="4BE7B30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水井</w:t>
                  </w:r>
                </w:p>
              </w:tc>
              <w:tc>
                <w:tcPr>
                  <w:tcW w:w="1020" w:type="dxa"/>
                  <w:tcBorders>
                    <w:tl2br w:val="nil"/>
                    <w:tr2bl w:val="nil"/>
                  </w:tcBorders>
                  <w:shd w:val="clear" w:color="auto" w:fill="auto"/>
                  <w:noWrap w:val="0"/>
                  <w:vAlign w:val="center"/>
                </w:tcPr>
                <w:p w14:paraId="114EB93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E</w:t>
                  </w:r>
                </w:p>
              </w:tc>
              <w:tc>
                <w:tcPr>
                  <w:tcW w:w="885" w:type="dxa"/>
                  <w:tcBorders>
                    <w:tl2br w:val="nil"/>
                    <w:tr2bl w:val="nil"/>
                  </w:tcBorders>
                  <w:shd w:val="clear" w:color="auto" w:fill="auto"/>
                  <w:noWrap w:val="0"/>
                  <w:vAlign w:val="center"/>
                </w:tcPr>
                <w:p w14:paraId="7FE95DC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0.42</w:t>
                  </w:r>
                </w:p>
              </w:tc>
              <w:tc>
                <w:tcPr>
                  <w:tcW w:w="645" w:type="dxa"/>
                  <w:tcBorders>
                    <w:tl2br w:val="nil"/>
                    <w:tr2bl w:val="nil"/>
                  </w:tcBorders>
                  <w:noWrap w:val="0"/>
                  <w:vAlign w:val="center"/>
                </w:tcPr>
                <w:p w14:paraId="6177AC2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水质</w:t>
                  </w:r>
                </w:p>
              </w:tc>
              <w:tc>
                <w:tcPr>
                  <w:tcW w:w="2222" w:type="dxa"/>
                  <w:vMerge w:val="restart"/>
                  <w:tcBorders>
                    <w:tl2br w:val="nil"/>
                    <w:tr2bl w:val="nil"/>
                  </w:tcBorders>
                  <w:noWrap w:val="0"/>
                  <w:vAlign w:val="center"/>
                </w:tcPr>
                <w:p w14:paraId="627B6AB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《地下水质量标准》（GB/T14848-2017）中Ⅲ类标准</w:t>
                  </w:r>
                </w:p>
              </w:tc>
            </w:tr>
            <w:tr w14:paraId="4D6D8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vMerge w:val="continue"/>
                  <w:tcBorders>
                    <w:tl2br w:val="nil"/>
                    <w:tr2bl w:val="nil"/>
                  </w:tcBorders>
                  <w:noWrap w:val="0"/>
                  <w:vAlign w:val="center"/>
                </w:tcPr>
                <w:p w14:paraId="4944E77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cs="Times New Roman"/>
                      <w:color w:val="auto"/>
                      <w:spacing w:val="0"/>
                      <w:kern w:val="21"/>
                      <w:sz w:val="21"/>
                      <w:szCs w:val="21"/>
                      <w:highlight w:val="none"/>
                      <w:lang w:val="en-US" w:eastAsia="zh-CN"/>
                    </w:rPr>
                  </w:pPr>
                </w:p>
              </w:tc>
              <w:tc>
                <w:tcPr>
                  <w:tcW w:w="870" w:type="dxa"/>
                  <w:vMerge w:val="continue"/>
                  <w:tcBorders>
                    <w:tl2br w:val="nil"/>
                    <w:tr2bl w:val="nil"/>
                  </w:tcBorders>
                  <w:noWrap w:val="0"/>
                  <w:vAlign w:val="center"/>
                </w:tcPr>
                <w:p w14:paraId="5345DE9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p>
              </w:tc>
              <w:tc>
                <w:tcPr>
                  <w:tcW w:w="1238" w:type="dxa"/>
                  <w:tcBorders>
                    <w:tl2br w:val="nil"/>
                    <w:tr2bl w:val="nil"/>
                  </w:tcBorders>
                  <w:shd w:val="clear" w:color="auto" w:fill="auto"/>
                  <w:noWrap w:val="0"/>
                  <w:vAlign w:val="center"/>
                </w:tcPr>
                <w:p w14:paraId="03B93A4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布村水井</w:t>
                  </w:r>
                </w:p>
              </w:tc>
              <w:tc>
                <w:tcPr>
                  <w:tcW w:w="1020" w:type="dxa"/>
                  <w:tcBorders>
                    <w:tl2br w:val="nil"/>
                    <w:tr2bl w:val="nil"/>
                  </w:tcBorders>
                  <w:shd w:val="clear" w:color="auto" w:fill="auto"/>
                  <w:noWrap w:val="0"/>
                  <w:vAlign w:val="center"/>
                </w:tcPr>
                <w:p w14:paraId="6672195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SW</w:t>
                  </w:r>
                </w:p>
              </w:tc>
              <w:tc>
                <w:tcPr>
                  <w:tcW w:w="885" w:type="dxa"/>
                  <w:tcBorders>
                    <w:tl2br w:val="nil"/>
                    <w:tr2bl w:val="nil"/>
                  </w:tcBorders>
                  <w:shd w:val="clear" w:color="auto" w:fill="auto"/>
                  <w:noWrap w:val="0"/>
                  <w:vAlign w:val="center"/>
                </w:tcPr>
                <w:p w14:paraId="6D8E412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0.61</w:t>
                  </w:r>
                </w:p>
              </w:tc>
              <w:tc>
                <w:tcPr>
                  <w:tcW w:w="645" w:type="dxa"/>
                  <w:tcBorders>
                    <w:tl2br w:val="nil"/>
                    <w:tr2bl w:val="nil"/>
                  </w:tcBorders>
                  <w:noWrap w:val="0"/>
                  <w:vAlign w:val="center"/>
                </w:tcPr>
                <w:p w14:paraId="56D0E60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水质</w:t>
                  </w:r>
                </w:p>
              </w:tc>
              <w:tc>
                <w:tcPr>
                  <w:tcW w:w="2222" w:type="dxa"/>
                  <w:vMerge w:val="continue"/>
                  <w:tcBorders>
                    <w:tl2br w:val="nil"/>
                    <w:tr2bl w:val="nil"/>
                  </w:tcBorders>
                  <w:noWrap w:val="0"/>
                  <w:vAlign w:val="center"/>
                </w:tcPr>
                <w:p w14:paraId="5FF47E0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p>
              </w:tc>
            </w:tr>
            <w:tr w14:paraId="34CE3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57" w:type="dxa"/>
                  <w:tcBorders>
                    <w:tl2br w:val="nil"/>
                    <w:tr2bl w:val="nil"/>
                  </w:tcBorders>
                  <w:noWrap w:val="0"/>
                  <w:vAlign w:val="center"/>
                </w:tcPr>
                <w:p w14:paraId="50581EC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生态环境</w:t>
                  </w:r>
                </w:p>
              </w:tc>
              <w:tc>
                <w:tcPr>
                  <w:tcW w:w="6880" w:type="dxa"/>
                  <w:gridSpan w:val="6"/>
                  <w:tcBorders>
                    <w:tl2br w:val="nil"/>
                    <w:tr2bl w:val="nil"/>
                  </w:tcBorders>
                  <w:noWrap w:val="0"/>
                  <w:vAlign w:val="center"/>
                </w:tcPr>
                <w:p w14:paraId="2D24AF1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w:t>
                  </w:r>
                </w:p>
              </w:tc>
            </w:tr>
          </w:tbl>
          <w:p w14:paraId="555A0B09">
            <w:pPr>
              <w:pStyle w:val="31"/>
              <w:ind w:left="0" w:leftChars="0" w:firstLine="0" w:firstLineChars="0"/>
              <w:rPr>
                <w:rFonts w:hint="default"/>
                <w:color w:val="auto"/>
                <w:lang w:eastAsia="zh-CN"/>
              </w:rPr>
            </w:pPr>
          </w:p>
        </w:tc>
      </w:tr>
      <w:tr w14:paraId="7C459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00" w:type="dxa"/>
            <w:noWrap w:val="0"/>
            <w:tcMar>
              <w:left w:w="28" w:type="dxa"/>
              <w:right w:w="28" w:type="dxa"/>
            </w:tcMar>
            <w:vAlign w:val="center"/>
          </w:tcPr>
          <w:p w14:paraId="0EEED31D">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污染</w:t>
            </w:r>
          </w:p>
          <w:p w14:paraId="45311941">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物排</w:t>
            </w:r>
          </w:p>
          <w:p w14:paraId="280DF163">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放控</w:t>
            </w:r>
          </w:p>
          <w:p w14:paraId="29E9D6B3">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制标</w:t>
            </w:r>
          </w:p>
          <w:p w14:paraId="38EB8FBF">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准</w:t>
            </w:r>
          </w:p>
        </w:tc>
        <w:tc>
          <w:tcPr>
            <w:tcW w:w="8190" w:type="dxa"/>
            <w:noWrap w:val="0"/>
            <w:vAlign w:val="center"/>
          </w:tcPr>
          <w:p w14:paraId="7058B99D">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3.</w:t>
            </w:r>
            <w:r>
              <w:rPr>
                <w:rFonts w:hint="eastAsia" w:cs="Times New Roman"/>
                <w:b/>
                <w:bCs/>
                <w:color w:val="auto"/>
                <w:spacing w:val="0"/>
                <w:kern w:val="21"/>
                <w:sz w:val="24"/>
                <w:szCs w:val="24"/>
                <w:highlight w:val="none"/>
                <w:lang w:val="en-US" w:eastAsia="zh-CN"/>
              </w:rPr>
              <w:t>9</w:t>
            </w:r>
            <w:r>
              <w:rPr>
                <w:rFonts w:hint="eastAsia" w:ascii="Times New Roman" w:hAnsi="Times New Roman" w:eastAsia="宋体" w:cs="Times New Roman"/>
                <w:b/>
                <w:bCs/>
                <w:color w:val="auto"/>
                <w:spacing w:val="0"/>
                <w:kern w:val="21"/>
                <w:sz w:val="24"/>
                <w:szCs w:val="24"/>
                <w:highlight w:val="none"/>
                <w:lang w:val="en-US" w:eastAsia="zh-CN"/>
              </w:rPr>
              <w:t xml:space="preserve"> </w:t>
            </w:r>
            <w:r>
              <w:rPr>
                <w:rFonts w:hint="default" w:ascii="Times New Roman" w:hAnsi="Times New Roman" w:eastAsia="宋体" w:cs="Times New Roman"/>
                <w:b/>
                <w:bCs/>
                <w:color w:val="auto"/>
                <w:spacing w:val="0"/>
                <w:kern w:val="21"/>
                <w:sz w:val="24"/>
                <w:szCs w:val="24"/>
                <w:highlight w:val="none"/>
                <w:lang w:val="en-US" w:eastAsia="zh-CN"/>
              </w:rPr>
              <w:t>废气</w:t>
            </w:r>
          </w:p>
          <w:p w14:paraId="3BC77A6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kern w:val="21"/>
                <w:sz w:val="24"/>
                <w:highlight w:val="none"/>
              </w:rPr>
            </w:pPr>
            <w:r>
              <w:rPr>
                <w:rFonts w:hint="eastAsia" w:ascii="Times New Roman" w:hAnsi="Times New Roman" w:cs="Times New Roman"/>
                <w:color w:val="auto"/>
                <w:spacing w:val="0"/>
                <w:kern w:val="21"/>
                <w:sz w:val="24"/>
                <w:highlight w:val="none"/>
                <w:lang w:val="en-US" w:eastAsia="zh-CN"/>
              </w:rPr>
              <w:t>有组织</w:t>
            </w:r>
            <w:r>
              <w:rPr>
                <w:rFonts w:hint="eastAsia" w:cs="Times New Roman"/>
                <w:color w:val="auto"/>
                <w:spacing w:val="0"/>
                <w:kern w:val="21"/>
                <w:sz w:val="24"/>
                <w:highlight w:val="none"/>
                <w:lang w:val="en-US" w:eastAsia="zh-CN"/>
              </w:rPr>
              <w:t>颗粒物</w:t>
            </w:r>
            <w:r>
              <w:rPr>
                <w:rFonts w:hint="eastAsia" w:ascii="Times New Roman" w:hAnsi="Times New Roman" w:cs="Times New Roman"/>
                <w:color w:val="auto"/>
                <w:spacing w:val="0"/>
                <w:kern w:val="21"/>
                <w:sz w:val="24"/>
                <w:highlight w:val="none"/>
                <w:lang w:val="en-US" w:eastAsia="zh-CN"/>
              </w:rPr>
              <w:t>排放浓度执行《大气污染物综合排放标准》（GB16297-1996）表2新污染源大气污染物排放限值</w:t>
            </w:r>
            <w:r>
              <w:rPr>
                <w:rFonts w:hint="eastAsia" w:ascii="Times New Roman" w:hAnsi="Times New Roman" w:cs="Times New Roman"/>
                <w:snapToGrid w:val="0"/>
                <w:color w:val="auto"/>
                <w:spacing w:val="0"/>
                <w:kern w:val="21"/>
                <w:sz w:val="24"/>
                <w:szCs w:val="20"/>
                <w:highlight w:val="none"/>
                <w:lang w:val="en-US" w:eastAsia="zh-CN"/>
              </w:rPr>
              <w:t>；</w:t>
            </w:r>
            <w:r>
              <w:rPr>
                <w:rFonts w:hint="eastAsia" w:cs="Times New Roman"/>
                <w:color w:val="auto"/>
                <w:spacing w:val="0"/>
                <w:kern w:val="21"/>
                <w:sz w:val="24"/>
                <w:highlight w:val="none"/>
                <w:lang w:val="en-US" w:eastAsia="zh-CN"/>
              </w:rPr>
              <w:t>厂界无组织</w:t>
            </w:r>
            <w:r>
              <w:rPr>
                <w:rFonts w:hint="default" w:ascii="Times New Roman" w:hAnsi="Times New Roman" w:eastAsia="宋体" w:cs="Times New Roman"/>
                <w:color w:val="auto"/>
                <w:spacing w:val="0"/>
                <w:kern w:val="21"/>
                <w:sz w:val="24"/>
                <w:highlight w:val="none"/>
                <w:lang w:val="en-US" w:eastAsia="zh-CN"/>
              </w:rPr>
              <w:t>颗粒物排放</w:t>
            </w:r>
            <w:r>
              <w:rPr>
                <w:rFonts w:hint="eastAsia" w:cs="Times New Roman"/>
                <w:color w:val="auto"/>
                <w:spacing w:val="0"/>
                <w:kern w:val="21"/>
                <w:sz w:val="24"/>
                <w:highlight w:val="none"/>
                <w:lang w:val="en-US" w:eastAsia="zh-CN"/>
              </w:rPr>
              <w:t>浓度</w:t>
            </w:r>
            <w:r>
              <w:rPr>
                <w:rFonts w:hint="default" w:ascii="Times New Roman" w:hAnsi="Times New Roman" w:eastAsia="宋体" w:cs="Times New Roman"/>
                <w:color w:val="auto"/>
                <w:spacing w:val="0"/>
                <w:kern w:val="21"/>
                <w:sz w:val="24"/>
                <w:highlight w:val="none"/>
                <w:lang w:val="en-US" w:eastAsia="zh-CN"/>
              </w:rPr>
              <w:t>执行《大气污染物综合排放标准》（GB16297-1996）表2新污染源大气污染物排放限值</w:t>
            </w:r>
            <w:r>
              <w:rPr>
                <w:rFonts w:hint="eastAsia" w:ascii="Times New Roman" w:hAnsi="Times New Roman" w:eastAsia="宋体" w:cs="Times New Roman"/>
                <w:color w:val="auto"/>
                <w:spacing w:val="0"/>
                <w:kern w:val="21"/>
                <w:sz w:val="24"/>
                <w:highlight w:val="none"/>
                <w:lang w:val="en-US" w:eastAsia="zh-CN"/>
              </w:rPr>
              <w:t>。</w:t>
            </w:r>
          </w:p>
          <w:p w14:paraId="6B908D6D">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p>
          <w:p w14:paraId="17C2E8DB">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p>
          <w:p w14:paraId="10446195">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p>
          <w:p w14:paraId="6FD7EB2E">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r>
              <w:rPr>
                <w:rFonts w:hint="default" w:ascii="Times New Roman" w:hAnsi="Times New Roman" w:eastAsia="黑体" w:cs="Times New Roman"/>
                <w:bCs/>
                <w:color w:val="auto"/>
                <w:spacing w:val="0"/>
                <w:kern w:val="21"/>
                <w:sz w:val="21"/>
                <w:szCs w:val="21"/>
                <w:highlight w:val="none"/>
                <w:lang w:val="en-US" w:eastAsia="zh-CN"/>
              </w:rPr>
              <w:t>表3</w:t>
            </w:r>
            <w:r>
              <w:rPr>
                <w:rFonts w:hint="eastAsia" w:ascii="Times New Roman" w:hAnsi="Times New Roman" w:eastAsia="黑体" w:cs="Times New Roman"/>
                <w:bCs/>
                <w:color w:val="auto"/>
                <w:spacing w:val="0"/>
                <w:kern w:val="21"/>
                <w:sz w:val="21"/>
                <w:szCs w:val="21"/>
                <w:highlight w:val="none"/>
                <w:lang w:val="en-US" w:eastAsia="zh-CN"/>
              </w:rPr>
              <w:t>.9-1</w:t>
            </w:r>
            <w:r>
              <w:rPr>
                <w:rFonts w:hint="default" w:ascii="Times New Roman" w:hAnsi="Times New Roman" w:eastAsia="黑体" w:cs="Times New Roman"/>
                <w:bCs/>
                <w:color w:val="auto"/>
                <w:spacing w:val="0"/>
                <w:kern w:val="21"/>
                <w:sz w:val="21"/>
                <w:szCs w:val="21"/>
                <w:highlight w:val="none"/>
                <w:lang w:val="en-US" w:eastAsia="zh-CN"/>
              </w:rPr>
              <w:t xml:space="preserve">  大气污染物排放限值标准</w:t>
            </w:r>
            <w:r>
              <w:rPr>
                <w:rFonts w:hint="eastAsia" w:eastAsia="黑体" w:cs="Times New Roman"/>
                <w:bCs/>
                <w:color w:val="auto"/>
                <w:spacing w:val="0"/>
                <w:kern w:val="21"/>
                <w:sz w:val="21"/>
                <w:szCs w:val="21"/>
                <w:highlight w:val="none"/>
                <w:lang w:val="en-US" w:eastAsia="zh-CN"/>
              </w:rPr>
              <w:t>（国家标准）</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905"/>
              <w:gridCol w:w="2010"/>
              <w:gridCol w:w="1195"/>
              <w:gridCol w:w="1195"/>
              <w:gridCol w:w="1920"/>
              <w:gridCol w:w="712"/>
            </w:tblGrid>
            <w:tr w14:paraId="3AB49F3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7937" w:type="dxa"/>
                  <w:gridSpan w:val="6"/>
                  <w:tcBorders>
                    <w:tl2br w:val="nil"/>
                    <w:tr2bl w:val="nil"/>
                  </w:tcBorders>
                  <w:noWrap w:val="0"/>
                  <w:vAlign w:val="center"/>
                </w:tcPr>
                <w:p w14:paraId="3F79ACA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《大气污染物综合排放标准》（GB16297-1996）</w:t>
                  </w:r>
                </w:p>
              </w:tc>
            </w:tr>
            <w:tr w14:paraId="7940562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905" w:type="dxa"/>
                  <w:tcBorders>
                    <w:tl2br w:val="nil"/>
                    <w:tr2bl w:val="nil"/>
                  </w:tcBorders>
                  <w:noWrap w:val="0"/>
                  <w:vAlign w:val="center"/>
                </w:tcPr>
                <w:p w14:paraId="08AA6B6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rPr>
                    <w:t>污染物</w:t>
                  </w:r>
                </w:p>
              </w:tc>
              <w:tc>
                <w:tcPr>
                  <w:tcW w:w="2010" w:type="dxa"/>
                  <w:tcBorders>
                    <w:tl2br w:val="nil"/>
                    <w:tr2bl w:val="nil"/>
                  </w:tcBorders>
                  <w:noWrap w:val="0"/>
                  <w:vAlign w:val="center"/>
                </w:tcPr>
                <w:p w14:paraId="033E390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rPr>
                    <w:t>最高允许</w:t>
                  </w:r>
                  <w:r>
                    <w:rPr>
                      <w:rFonts w:hint="default" w:ascii="Times New Roman" w:hAnsi="Times New Roman" w:cs="Times New Roman"/>
                      <w:color w:val="auto"/>
                      <w:spacing w:val="0"/>
                      <w:kern w:val="21"/>
                      <w:sz w:val="21"/>
                      <w:szCs w:val="21"/>
                      <w:highlight w:val="none"/>
                      <w:lang w:val="en-US" w:eastAsia="zh-CN"/>
                    </w:rPr>
                    <w:t>排放浓度（mg/m</w:t>
                  </w:r>
                  <w:r>
                    <w:rPr>
                      <w:rFonts w:hint="default" w:ascii="Times New Roman" w:hAnsi="Times New Roman" w:cs="Times New Roman"/>
                      <w:color w:val="auto"/>
                      <w:spacing w:val="0"/>
                      <w:kern w:val="21"/>
                      <w:sz w:val="21"/>
                      <w:szCs w:val="21"/>
                      <w:highlight w:val="none"/>
                      <w:vertAlign w:val="superscript"/>
                      <w:lang w:val="en-US" w:eastAsia="zh-CN"/>
                    </w:rPr>
                    <w:t>3</w:t>
                  </w:r>
                  <w:r>
                    <w:rPr>
                      <w:rFonts w:hint="default" w:ascii="Times New Roman" w:hAnsi="Times New Roman" w:cs="Times New Roman"/>
                      <w:color w:val="auto"/>
                      <w:spacing w:val="0"/>
                      <w:kern w:val="21"/>
                      <w:sz w:val="21"/>
                      <w:szCs w:val="21"/>
                      <w:highlight w:val="none"/>
                      <w:lang w:val="en-US" w:eastAsia="zh-CN"/>
                    </w:rPr>
                    <w:t>）</w:t>
                  </w:r>
                </w:p>
              </w:tc>
              <w:tc>
                <w:tcPr>
                  <w:tcW w:w="2390" w:type="dxa"/>
                  <w:gridSpan w:val="2"/>
                  <w:tcBorders>
                    <w:tl2br w:val="nil"/>
                    <w:tr2bl w:val="nil"/>
                  </w:tcBorders>
                  <w:noWrap w:val="0"/>
                  <w:vAlign w:val="center"/>
                </w:tcPr>
                <w:p w14:paraId="70B10A8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最高允许排放速率（kg/h）</w:t>
                  </w:r>
                </w:p>
              </w:tc>
              <w:tc>
                <w:tcPr>
                  <w:tcW w:w="2632" w:type="dxa"/>
                  <w:gridSpan w:val="2"/>
                  <w:tcBorders>
                    <w:tl2br w:val="nil"/>
                    <w:tr2bl w:val="nil"/>
                  </w:tcBorders>
                  <w:noWrap w:val="0"/>
                  <w:vAlign w:val="center"/>
                </w:tcPr>
                <w:p w14:paraId="330C1B4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ascii="Times New Roman" w:hAnsi="Times New Roman" w:cs="Times New Roman"/>
                      <w:color w:val="auto"/>
                      <w:spacing w:val="0"/>
                      <w:kern w:val="21"/>
                      <w:sz w:val="21"/>
                      <w:szCs w:val="21"/>
                      <w:highlight w:val="none"/>
                      <w:lang w:val="en-US" w:eastAsia="zh-CN"/>
                    </w:rPr>
                    <w:t>无组织排放监控浓度限值</w:t>
                  </w:r>
                  <w:r>
                    <w:rPr>
                      <w:rFonts w:hint="default" w:ascii="Times New Roman" w:hAnsi="Times New Roman" w:cs="Times New Roman"/>
                      <w:color w:val="auto"/>
                      <w:spacing w:val="0"/>
                      <w:kern w:val="21"/>
                      <w:sz w:val="21"/>
                      <w:szCs w:val="21"/>
                      <w:highlight w:val="none"/>
                      <w:lang w:val="en-US" w:eastAsia="zh-CN"/>
                    </w:rPr>
                    <w:t>（mg/m</w:t>
                  </w:r>
                  <w:r>
                    <w:rPr>
                      <w:rFonts w:hint="default" w:ascii="Times New Roman" w:hAnsi="Times New Roman" w:cs="Times New Roman"/>
                      <w:color w:val="auto"/>
                      <w:spacing w:val="0"/>
                      <w:kern w:val="21"/>
                      <w:sz w:val="21"/>
                      <w:szCs w:val="21"/>
                      <w:highlight w:val="none"/>
                      <w:vertAlign w:val="superscript"/>
                      <w:lang w:val="en-US" w:eastAsia="zh-CN"/>
                    </w:rPr>
                    <w:t>3</w:t>
                  </w:r>
                  <w:r>
                    <w:rPr>
                      <w:rFonts w:hint="default" w:ascii="Times New Roman" w:hAnsi="Times New Roman" w:cs="Times New Roman"/>
                      <w:color w:val="auto"/>
                      <w:spacing w:val="0"/>
                      <w:kern w:val="21"/>
                      <w:sz w:val="21"/>
                      <w:szCs w:val="21"/>
                      <w:highlight w:val="none"/>
                      <w:lang w:val="en-US" w:eastAsia="zh-CN"/>
                    </w:rPr>
                    <w:t>）</w:t>
                  </w:r>
                </w:p>
              </w:tc>
            </w:tr>
            <w:tr w14:paraId="4A9FF82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05" w:type="dxa"/>
                  <w:vMerge w:val="restart"/>
                  <w:tcBorders>
                    <w:tl2br w:val="nil"/>
                    <w:tr2bl w:val="nil"/>
                  </w:tcBorders>
                  <w:noWrap w:val="0"/>
                  <w:vAlign w:val="center"/>
                </w:tcPr>
                <w:p w14:paraId="09D8CC4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rPr>
                    <w:t>颗粒物</w:t>
                  </w:r>
                </w:p>
              </w:tc>
              <w:tc>
                <w:tcPr>
                  <w:tcW w:w="2010" w:type="dxa"/>
                  <w:vMerge w:val="restart"/>
                  <w:tcBorders>
                    <w:tl2br w:val="nil"/>
                    <w:tr2bl w:val="nil"/>
                  </w:tcBorders>
                  <w:noWrap w:val="0"/>
                  <w:vAlign w:val="center"/>
                </w:tcPr>
                <w:p w14:paraId="20BA06F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120</w:t>
                  </w:r>
                </w:p>
              </w:tc>
              <w:tc>
                <w:tcPr>
                  <w:tcW w:w="1195" w:type="dxa"/>
                  <w:tcBorders>
                    <w:tl2br w:val="nil"/>
                    <w:tr2bl w:val="nil"/>
                  </w:tcBorders>
                  <w:noWrap w:val="0"/>
                  <w:vAlign w:val="center"/>
                </w:tcPr>
                <w:p w14:paraId="4815496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15m</w:t>
                  </w:r>
                </w:p>
              </w:tc>
              <w:tc>
                <w:tcPr>
                  <w:tcW w:w="1195" w:type="dxa"/>
                  <w:tcBorders>
                    <w:tl2br w:val="nil"/>
                    <w:tr2bl w:val="nil"/>
                  </w:tcBorders>
                  <w:noWrap w:val="0"/>
                  <w:vAlign w:val="center"/>
                </w:tcPr>
                <w:p w14:paraId="72D3BFA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3.5</w:t>
                  </w:r>
                </w:p>
              </w:tc>
              <w:tc>
                <w:tcPr>
                  <w:tcW w:w="1920" w:type="dxa"/>
                  <w:vMerge w:val="restart"/>
                  <w:tcBorders>
                    <w:tl2br w:val="nil"/>
                    <w:tr2bl w:val="nil"/>
                  </w:tcBorders>
                  <w:noWrap w:val="0"/>
                  <w:vAlign w:val="center"/>
                </w:tcPr>
                <w:p w14:paraId="1A0EB60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bidi="ar-SA"/>
                    </w:rPr>
                    <w:t>周界外浓度最高点</w:t>
                  </w:r>
                </w:p>
              </w:tc>
              <w:tc>
                <w:tcPr>
                  <w:tcW w:w="712" w:type="dxa"/>
                  <w:vMerge w:val="restart"/>
                  <w:tcBorders>
                    <w:tl2br w:val="nil"/>
                    <w:tr2bl w:val="nil"/>
                  </w:tcBorders>
                  <w:noWrap w:val="0"/>
                  <w:vAlign w:val="center"/>
                </w:tcPr>
                <w:p w14:paraId="78D5F77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1.0</w:t>
                  </w:r>
                </w:p>
              </w:tc>
            </w:tr>
            <w:tr w14:paraId="7BDC521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905" w:type="dxa"/>
                  <w:vMerge w:val="continue"/>
                  <w:tcBorders>
                    <w:tl2br w:val="nil"/>
                    <w:tr2bl w:val="nil"/>
                  </w:tcBorders>
                  <w:noWrap w:val="0"/>
                  <w:vAlign w:val="center"/>
                </w:tcPr>
                <w:p w14:paraId="5CC8C13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rPr>
                  </w:pPr>
                </w:p>
              </w:tc>
              <w:tc>
                <w:tcPr>
                  <w:tcW w:w="2010" w:type="dxa"/>
                  <w:vMerge w:val="continue"/>
                  <w:tcBorders>
                    <w:tl2br w:val="nil"/>
                    <w:tr2bl w:val="nil"/>
                  </w:tcBorders>
                  <w:noWrap w:val="0"/>
                  <w:vAlign w:val="center"/>
                </w:tcPr>
                <w:p w14:paraId="7967CD9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cs="Times New Roman"/>
                      <w:color w:val="auto"/>
                      <w:spacing w:val="0"/>
                      <w:kern w:val="21"/>
                      <w:sz w:val="21"/>
                      <w:szCs w:val="21"/>
                      <w:highlight w:val="none"/>
                      <w:lang w:val="en-US" w:eastAsia="zh-CN" w:bidi="ar-SA"/>
                    </w:rPr>
                  </w:pPr>
                </w:p>
              </w:tc>
              <w:tc>
                <w:tcPr>
                  <w:tcW w:w="1195" w:type="dxa"/>
                  <w:tcBorders>
                    <w:tl2br w:val="nil"/>
                    <w:tr2bl w:val="nil"/>
                  </w:tcBorders>
                  <w:noWrap w:val="0"/>
                  <w:vAlign w:val="center"/>
                </w:tcPr>
                <w:p w14:paraId="5BC86CF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20m</w:t>
                  </w:r>
                </w:p>
              </w:tc>
              <w:tc>
                <w:tcPr>
                  <w:tcW w:w="1195" w:type="dxa"/>
                  <w:tcBorders>
                    <w:tl2br w:val="nil"/>
                    <w:tr2bl w:val="nil"/>
                  </w:tcBorders>
                  <w:noWrap w:val="0"/>
                  <w:vAlign w:val="center"/>
                </w:tcPr>
                <w:p w14:paraId="6D7248D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cs="Times New Roman"/>
                      <w:color w:val="auto"/>
                      <w:spacing w:val="0"/>
                      <w:kern w:val="21"/>
                      <w:sz w:val="21"/>
                      <w:szCs w:val="21"/>
                      <w:highlight w:val="none"/>
                      <w:lang w:val="en-US" w:eastAsia="zh-CN" w:bidi="ar-SA"/>
                    </w:rPr>
                  </w:pPr>
                  <w:r>
                    <w:rPr>
                      <w:rFonts w:hint="eastAsia" w:cs="Times New Roman"/>
                      <w:color w:val="auto"/>
                      <w:spacing w:val="0"/>
                      <w:kern w:val="21"/>
                      <w:sz w:val="21"/>
                      <w:szCs w:val="21"/>
                      <w:highlight w:val="none"/>
                      <w:lang w:val="en-US" w:eastAsia="zh-CN" w:bidi="ar-SA"/>
                    </w:rPr>
                    <w:t>5.9</w:t>
                  </w:r>
                </w:p>
              </w:tc>
              <w:tc>
                <w:tcPr>
                  <w:tcW w:w="1920" w:type="dxa"/>
                  <w:vMerge w:val="continue"/>
                  <w:tcBorders>
                    <w:tl2br w:val="nil"/>
                    <w:tr2bl w:val="nil"/>
                  </w:tcBorders>
                  <w:noWrap w:val="0"/>
                  <w:vAlign w:val="center"/>
                </w:tcPr>
                <w:p w14:paraId="6CCC635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cs="Times New Roman"/>
                      <w:color w:val="auto"/>
                      <w:spacing w:val="0"/>
                      <w:kern w:val="21"/>
                      <w:sz w:val="21"/>
                      <w:szCs w:val="21"/>
                      <w:highlight w:val="none"/>
                      <w:lang w:val="en-US" w:eastAsia="zh-CN" w:bidi="ar-SA"/>
                    </w:rPr>
                  </w:pPr>
                </w:p>
              </w:tc>
              <w:tc>
                <w:tcPr>
                  <w:tcW w:w="712" w:type="dxa"/>
                  <w:vMerge w:val="continue"/>
                  <w:tcBorders>
                    <w:tl2br w:val="nil"/>
                    <w:tr2bl w:val="nil"/>
                  </w:tcBorders>
                  <w:noWrap w:val="0"/>
                  <w:vAlign w:val="center"/>
                </w:tcPr>
                <w:p w14:paraId="65061DC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eastAsia" w:cs="Times New Roman"/>
                      <w:color w:val="auto"/>
                      <w:spacing w:val="0"/>
                      <w:kern w:val="21"/>
                      <w:sz w:val="21"/>
                      <w:szCs w:val="21"/>
                      <w:highlight w:val="none"/>
                      <w:lang w:val="en-US" w:eastAsia="zh-CN"/>
                    </w:rPr>
                  </w:pPr>
                </w:p>
              </w:tc>
            </w:tr>
          </w:tbl>
          <w:p w14:paraId="128A296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pacing w:val="0"/>
                <w:kern w:val="21"/>
                <w:sz w:val="24"/>
                <w:highlight w:val="none"/>
                <w:lang w:val="en-US" w:eastAsia="zh-CN"/>
              </w:rPr>
            </w:pPr>
            <w:r>
              <w:rPr>
                <w:rFonts w:hint="eastAsia" w:ascii="Times New Roman" w:hAnsi="Times New Roman" w:eastAsia="宋体" w:cs="Times New Roman"/>
                <w:color w:val="auto"/>
                <w:spacing w:val="0"/>
                <w:kern w:val="21"/>
                <w:sz w:val="24"/>
                <w:highlight w:val="none"/>
                <w:lang w:val="en-US" w:eastAsia="zh-CN"/>
              </w:rPr>
              <w:t>按照地方环境管理的要求，环评承诺更严格排放限值，</w:t>
            </w:r>
            <w:r>
              <w:rPr>
                <w:rFonts w:hint="eastAsia" w:cs="Times New Roman"/>
                <w:color w:val="auto"/>
                <w:spacing w:val="0"/>
                <w:kern w:val="21"/>
                <w:sz w:val="24"/>
                <w:highlight w:val="none"/>
                <w:lang w:val="en-US" w:eastAsia="zh-CN"/>
              </w:rPr>
              <w:t>有组织颗粒物排放浓度</w:t>
            </w:r>
            <w:r>
              <w:rPr>
                <w:rFonts w:hint="default" w:ascii="Times New Roman" w:hAnsi="Times New Roman" w:eastAsia="宋体" w:cs="Times New Roman"/>
                <w:color w:val="auto"/>
                <w:spacing w:val="0"/>
                <w:kern w:val="21"/>
                <w:sz w:val="24"/>
                <w:highlight w:val="none"/>
                <w:lang w:val="en-US" w:eastAsia="zh-CN"/>
              </w:rPr>
              <w:t>执行“长治市大气污染防治工作领导组办公室文件关于印发《长治市工业企业无组织排放治理实施方案》（长气防办[2019]9号）的通知”中的相关限值</w:t>
            </w:r>
            <w:r>
              <w:rPr>
                <w:rFonts w:hint="default" w:ascii="Times New Roman" w:hAnsi="Times New Roman" w:eastAsia="宋体" w:cs="Times New Roman"/>
                <w:color w:val="auto"/>
                <w:spacing w:val="0"/>
                <w:kern w:val="21"/>
                <w:sz w:val="24"/>
                <w:highlight w:val="none"/>
                <w:lang w:eastAsia="zh-CN"/>
              </w:rPr>
              <w:t>。</w:t>
            </w:r>
          </w:p>
          <w:p w14:paraId="00085013">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r>
              <w:rPr>
                <w:rFonts w:hint="default" w:ascii="Times New Roman" w:hAnsi="Times New Roman" w:eastAsia="黑体" w:cs="Times New Roman"/>
                <w:bCs/>
                <w:color w:val="auto"/>
                <w:spacing w:val="0"/>
                <w:kern w:val="21"/>
                <w:sz w:val="21"/>
                <w:szCs w:val="21"/>
                <w:highlight w:val="none"/>
                <w:lang w:val="en-US" w:eastAsia="zh-CN"/>
              </w:rPr>
              <w:t>表3</w:t>
            </w:r>
            <w:r>
              <w:rPr>
                <w:rFonts w:hint="eastAsia" w:ascii="Times New Roman" w:hAnsi="Times New Roman" w:eastAsia="黑体" w:cs="Times New Roman"/>
                <w:bCs/>
                <w:color w:val="auto"/>
                <w:spacing w:val="0"/>
                <w:kern w:val="21"/>
                <w:sz w:val="21"/>
                <w:szCs w:val="21"/>
                <w:highlight w:val="none"/>
                <w:lang w:val="en-US" w:eastAsia="zh-CN"/>
              </w:rPr>
              <w:t>.</w:t>
            </w:r>
            <w:r>
              <w:rPr>
                <w:rFonts w:hint="eastAsia" w:eastAsia="黑体" w:cs="Times New Roman"/>
                <w:bCs/>
                <w:color w:val="auto"/>
                <w:spacing w:val="0"/>
                <w:kern w:val="21"/>
                <w:sz w:val="21"/>
                <w:szCs w:val="21"/>
                <w:highlight w:val="none"/>
                <w:lang w:val="en-US" w:eastAsia="zh-CN"/>
              </w:rPr>
              <w:t>9</w:t>
            </w:r>
            <w:r>
              <w:rPr>
                <w:rFonts w:hint="eastAsia" w:ascii="Times New Roman" w:hAnsi="Times New Roman" w:eastAsia="黑体" w:cs="Times New Roman"/>
                <w:bCs/>
                <w:color w:val="auto"/>
                <w:spacing w:val="0"/>
                <w:kern w:val="21"/>
                <w:sz w:val="21"/>
                <w:szCs w:val="21"/>
                <w:highlight w:val="none"/>
                <w:lang w:val="en-US" w:eastAsia="zh-CN"/>
              </w:rPr>
              <w:t>-2</w:t>
            </w:r>
            <w:r>
              <w:rPr>
                <w:rFonts w:hint="default" w:ascii="Times New Roman" w:hAnsi="Times New Roman" w:eastAsia="黑体" w:cs="Times New Roman"/>
                <w:bCs/>
                <w:color w:val="auto"/>
                <w:spacing w:val="0"/>
                <w:kern w:val="21"/>
                <w:sz w:val="21"/>
                <w:szCs w:val="21"/>
                <w:highlight w:val="none"/>
                <w:lang w:val="en-US" w:eastAsia="zh-CN"/>
              </w:rPr>
              <w:t xml:space="preserve">  大气污染物排放限值标准（地方环境管理要求）</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8"/>
              <w:gridCol w:w="859"/>
              <w:gridCol w:w="4241"/>
              <w:gridCol w:w="1969"/>
            </w:tblGrid>
            <w:tr w14:paraId="2C9B6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27" w:type="dxa"/>
                  <w:gridSpan w:val="2"/>
                  <w:noWrap w:val="0"/>
                  <w:vAlign w:val="center"/>
                </w:tcPr>
                <w:p w14:paraId="11316BE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rPr>
                  </w:pPr>
                  <w:r>
                    <w:rPr>
                      <w:rFonts w:hint="default" w:ascii="Times New Roman" w:hAnsi="Times New Roman" w:cs="Times New Roman"/>
                      <w:color w:val="auto"/>
                      <w:spacing w:val="0"/>
                      <w:kern w:val="21"/>
                      <w:sz w:val="21"/>
                      <w:szCs w:val="21"/>
                      <w:highlight w:val="none"/>
                    </w:rPr>
                    <w:t>污染物</w:t>
                  </w:r>
                </w:p>
              </w:tc>
              <w:tc>
                <w:tcPr>
                  <w:tcW w:w="4241" w:type="dxa"/>
                  <w:noWrap w:val="0"/>
                  <w:vAlign w:val="center"/>
                </w:tcPr>
                <w:p w14:paraId="71B4838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标准</w:t>
                  </w:r>
                </w:p>
              </w:tc>
              <w:tc>
                <w:tcPr>
                  <w:tcW w:w="1969" w:type="dxa"/>
                  <w:tcBorders>
                    <w:bottom w:val="single" w:color="auto" w:sz="8" w:space="0"/>
                  </w:tcBorders>
                  <w:noWrap w:val="0"/>
                  <w:vAlign w:val="center"/>
                </w:tcPr>
                <w:p w14:paraId="7D973F2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排放浓度（mg/m</w:t>
                  </w:r>
                  <w:r>
                    <w:rPr>
                      <w:rFonts w:hint="default" w:ascii="Times New Roman" w:hAnsi="Times New Roman" w:cs="Times New Roman"/>
                      <w:color w:val="auto"/>
                      <w:spacing w:val="0"/>
                      <w:kern w:val="21"/>
                      <w:sz w:val="21"/>
                      <w:szCs w:val="21"/>
                      <w:highlight w:val="none"/>
                      <w:vertAlign w:val="superscript"/>
                      <w:lang w:val="en-US" w:eastAsia="zh-CN"/>
                    </w:rPr>
                    <w:t>3</w:t>
                  </w:r>
                  <w:r>
                    <w:rPr>
                      <w:rFonts w:hint="default" w:ascii="Times New Roman" w:hAnsi="Times New Roman" w:cs="Times New Roman"/>
                      <w:color w:val="auto"/>
                      <w:spacing w:val="0"/>
                      <w:kern w:val="21"/>
                      <w:sz w:val="21"/>
                      <w:szCs w:val="21"/>
                      <w:highlight w:val="none"/>
                      <w:lang w:val="en-US" w:eastAsia="zh-CN"/>
                    </w:rPr>
                    <w:t>）</w:t>
                  </w:r>
                </w:p>
              </w:tc>
            </w:tr>
            <w:tr w14:paraId="7C6FE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8" w:type="dxa"/>
                  <w:noWrap w:val="0"/>
                  <w:vAlign w:val="center"/>
                </w:tcPr>
                <w:p w14:paraId="6C4348A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lang w:val="en-US" w:eastAsia="zh-CN" w:bidi="ar-SA"/>
                    </w:rPr>
                    <w:t>有组织</w:t>
                  </w:r>
                </w:p>
              </w:tc>
              <w:tc>
                <w:tcPr>
                  <w:tcW w:w="859" w:type="dxa"/>
                  <w:noWrap w:val="0"/>
                  <w:vAlign w:val="center"/>
                </w:tcPr>
                <w:p w14:paraId="2F5DCA6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bidi="ar-SA"/>
                    </w:rPr>
                  </w:pPr>
                  <w:r>
                    <w:rPr>
                      <w:rFonts w:hint="default" w:ascii="Times New Roman" w:hAnsi="Times New Roman" w:cs="Times New Roman"/>
                      <w:color w:val="auto"/>
                      <w:spacing w:val="0"/>
                      <w:kern w:val="21"/>
                      <w:sz w:val="21"/>
                      <w:szCs w:val="21"/>
                      <w:highlight w:val="none"/>
                    </w:rPr>
                    <w:t>颗粒物</w:t>
                  </w:r>
                </w:p>
              </w:tc>
              <w:tc>
                <w:tcPr>
                  <w:tcW w:w="4241" w:type="dxa"/>
                  <w:noWrap w:val="0"/>
                  <w:vAlign w:val="center"/>
                </w:tcPr>
                <w:p w14:paraId="21D871F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长治市大气污染防治工作领导组办公室文件关于印发《长治市工业企业无组织排放治理实施方案》（长气防办[2019]9号）的通知</w:t>
                  </w:r>
                </w:p>
              </w:tc>
              <w:tc>
                <w:tcPr>
                  <w:tcW w:w="1969" w:type="dxa"/>
                  <w:noWrap w:val="0"/>
                  <w:vAlign w:val="center"/>
                </w:tcPr>
                <w:p w14:paraId="323DAEF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pacing w:val="0"/>
                      <w:kern w:val="21"/>
                      <w:sz w:val="21"/>
                      <w:szCs w:val="21"/>
                      <w:highlight w:val="none"/>
                      <w:lang w:val="en-US" w:eastAsia="zh-CN"/>
                    </w:rPr>
                  </w:pPr>
                  <w:r>
                    <w:rPr>
                      <w:rFonts w:hint="default" w:ascii="Times New Roman" w:hAnsi="Times New Roman" w:cs="Times New Roman"/>
                      <w:color w:val="auto"/>
                      <w:spacing w:val="0"/>
                      <w:kern w:val="21"/>
                      <w:sz w:val="21"/>
                      <w:szCs w:val="21"/>
                      <w:highlight w:val="none"/>
                      <w:lang w:val="en-US" w:eastAsia="zh-CN"/>
                    </w:rPr>
                    <w:t>10</w:t>
                  </w:r>
                </w:p>
              </w:tc>
            </w:tr>
          </w:tbl>
          <w:p w14:paraId="3FB3D71E">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3.</w:t>
            </w:r>
            <w:r>
              <w:rPr>
                <w:rFonts w:hint="eastAsia" w:cs="Times New Roman"/>
                <w:b/>
                <w:bCs/>
                <w:color w:val="auto"/>
                <w:spacing w:val="0"/>
                <w:kern w:val="21"/>
                <w:sz w:val="24"/>
                <w:szCs w:val="24"/>
                <w:highlight w:val="none"/>
                <w:lang w:val="en-US" w:eastAsia="zh-CN"/>
              </w:rPr>
              <w:t>10</w:t>
            </w:r>
            <w:r>
              <w:rPr>
                <w:rFonts w:hint="eastAsia" w:ascii="Times New Roman" w:hAnsi="Times New Roman" w:eastAsia="宋体" w:cs="Times New Roman"/>
                <w:b/>
                <w:bCs/>
                <w:color w:val="auto"/>
                <w:spacing w:val="0"/>
                <w:kern w:val="21"/>
                <w:sz w:val="24"/>
                <w:szCs w:val="24"/>
                <w:highlight w:val="none"/>
                <w:lang w:val="en-US" w:eastAsia="zh-CN"/>
              </w:rPr>
              <w:t xml:space="preserve"> </w:t>
            </w:r>
            <w:r>
              <w:rPr>
                <w:rFonts w:hint="default" w:ascii="Times New Roman" w:hAnsi="Times New Roman" w:eastAsia="宋体" w:cs="Times New Roman"/>
                <w:b/>
                <w:bCs/>
                <w:color w:val="auto"/>
                <w:spacing w:val="0"/>
                <w:kern w:val="21"/>
                <w:sz w:val="24"/>
                <w:szCs w:val="24"/>
                <w:highlight w:val="none"/>
                <w:lang w:val="en-US" w:eastAsia="zh-CN"/>
              </w:rPr>
              <w:t>噪声</w:t>
            </w:r>
          </w:p>
          <w:p w14:paraId="37E3B42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kern w:val="21"/>
                <w:sz w:val="24"/>
                <w:highlight w:val="none"/>
                <w:lang w:val="en-US" w:eastAsia="zh-CN"/>
              </w:rPr>
            </w:pPr>
            <w:r>
              <w:rPr>
                <w:rFonts w:hint="default" w:ascii="Times New Roman" w:hAnsi="Times New Roman" w:eastAsia="宋体" w:cs="Times New Roman"/>
                <w:color w:val="auto"/>
                <w:spacing w:val="0"/>
                <w:kern w:val="21"/>
                <w:sz w:val="24"/>
                <w:highlight w:val="none"/>
                <w:lang w:val="en-US" w:eastAsia="zh-CN"/>
              </w:rPr>
              <w:t>厂界噪声执行《</w:t>
            </w:r>
            <w:r>
              <w:rPr>
                <w:rFonts w:hint="default" w:ascii="Times New Roman" w:hAnsi="Times New Roman" w:eastAsia="宋体" w:cs="Times New Roman"/>
                <w:color w:val="auto"/>
                <w:spacing w:val="0"/>
                <w:kern w:val="21"/>
                <w:sz w:val="24"/>
                <w:highlight w:val="none"/>
                <w:lang w:val="en-US" w:eastAsia="zh-CN"/>
              </w:rPr>
              <w:fldChar w:fldCharType="begin"/>
            </w:r>
            <w:r>
              <w:rPr>
                <w:rFonts w:hint="default" w:ascii="Times New Roman" w:hAnsi="Times New Roman" w:eastAsia="宋体" w:cs="Times New Roman"/>
                <w:color w:val="auto"/>
                <w:spacing w:val="0"/>
                <w:kern w:val="21"/>
                <w:sz w:val="24"/>
                <w:highlight w:val="none"/>
                <w:lang w:val="en-US" w:eastAsia="zh-CN"/>
              </w:rPr>
              <w:instrText xml:space="preserve"> HYPERLINK "http://www.mep.gov.cn/info/bgw/bgg/200809/W020081017399508921576.pdf" \t "_self" </w:instrText>
            </w:r>
            <w:r>
              <w:rPr>
                <w:rFonts w:hint="default" w:ascii="Times New Roman" w:hAnsi="Times New Roman" w:eastAsia="宋体" w:cs="Times New Roman"/>
                <w:color w:val="auto"/>
                <w:spacing w:val="0"/>
                <w:kern w:val="21"/>
                <w:sz w:val="24"/>
                <w:highlight w:val="none"/>
                <w:lang w:val="en-US" w:eastAsia="zh-CN"/>
              </w:rPr>
              <w:fldChar w:fldCharType="separate"/>
            </w:r>
            <w:r>
              <w:rPr>
                <w:rFonts w:hint="default" w:ascii="Times New Roman" w:hAnsi="Times New Roman" w:eastAsia="宋体" w:cs="Times New Roman"/>
                <w:color w:val="auto"/>
                <w:spacing w:val="0"/>
                <w:kern w:val="21"/>
                <w:sz w:val="24"/>
                <w:highlight w:val="none"/>
                <w:lang w:val="en-US" w:eastAsia="zh-CN"/>
              </w:rPr>
              <w:t>工业企业厂界环境噪声</w:t>
            </w:r>
            <w:r>
              <w:rPr>
                <w:rFonts w:hint="default" w:ascii="Times New Roman" w:hAnsi="Times New Roman" w:eastAsia="宋体" w:cs="Times New Roman"/>
                <w:color w:val="auto"/>
                <w:spacing w:val="0"/>
                <w:kern w:val="21"/>
                <w:sz w:val="24"/>
                <w:highlight w:val="none"/>
                <w:lang w:val="en-US" w:eastAsia="zh-CN"/>
              </w:rPr>
              <w:fldChar w:fldCharType="end"/>
            </w:r>
            <w:r>
              <w:rPr>
                <w:rFonts w:hint="default" w:ascii="Times New Roman" w:hAnsi="Times New Roman" w:eastAsia="宋体" w:cs="Times New Roman"/>
                <w:color w:val="auto"/>
                <w:spacing w:val="0"/>
                <w:kern w:val="21"/>
                <w:sz w:val="24"/>
                <w:highlight w:val="none"/>
                <w:lang w:val="en-US" w:eastAsia="zh-CN"/>
              </w:rPr>
              <w:t>排放标准》（GB12348-2008）中</w:t>
            </w:r>
            <w:r>
              <w:rPr>
                <w:rFonts w:hint="eastAsia" w:ascii="Times New Roman" w:hAnsi="Times New Roman" w:eastAsia="宋体" w:cs="Times New Roman"/>
                <w:color w:val="auto"/>
                <w:spacing w:val="0"/>
                <w:kern w:val="21"/>
                <w:sz w:val="24"/>
                <w:highlight w:val="none"/>
                <w:lang w:val="en-US" w:eastAsia="zh-CN"/>
              </w:rPr>
              <w:t>2</w:t>
            </w:r>
            <w:r>
              <w:rPr>
                <w:rFonts w:hint="default" w:ascii="Times New Roman" w:hAnsi="Times New Roman" w:eastAsia="宋体" w:cs="Times New Roman"/>
                <w:color w:val="auto"/>
                <w:spacing w:val="0"/>
                <w:kern w:val="21"/>
                <w:sz w:val="24"/>
                <w:highlight w:val="none"/>
                <w:lang w:val="en-US" w:eastAsia="zh-CN"/>
              </w:rPr>
              <w:t>类标准</w:t>
            </w:r>
            <w:r>
              <w:rPr>
                <w:rFonts w:hint="eastAsia" w:ascii="Times New Roman" w:hAnsi="Times New Roman" w:eastAsia="宋体" w:cs="Times New Roman"/>
                <w:color w:val="auto"/>
                <w:spacing w:val="0"/>
                <w:kern w:val="21"/>
                <w:sz w:val="24"/>
                <w:highlight w:val="none"/>
                <w:lang w:val="en-US" w:eastAsia="zh-CN"/>
              </w:rPr>
              <w:t>限值</w:t>
            </w:r>
            <w:r>
              <w:rPr>
                <w:rFonts w:hint="default" w:ascii="Times New Roman" w:hAnsi="Times New Roman" w:eastAsia="宋体" w:cs="Times New Roman"/>
                <w:color w:val="auto"/>
                <w:spacing w:val="0"/>
                <w:kern w:val="21"/>
                <w:sz w:val="24"/>
                <w:highlight w:val="none"/>
                <w:lang w:val="en-US" w:eastAsia="zh-CN"/>
              </w:rPr>
              <w:t>。</w:t>
            </w:r>
          </w:p>
          <w:p w14:paraId="18F4190A">
            <w:pPr>
              <w:spacing w:line="480" w:lineRule="exact"/>
              <w:ind w:right="-40"/>
              <w:jc w:val="center"/>
              <w:rPr>
                <w:rFonts w:hint="default" w:ascii="Times New Roman" w:hAnsi="Times New Roman" w:eastAsia="黑体" w:cs="Times New Roman"/>
                <w:bCs/>
                <w:color w:val="auto"/>
                <w:spacing w:val="0"/>
                <w:kern w:val="21"/>
                <w:sz w:val="21"/>
                <w:szCs w:val="21"/>
                <w:highlight w:val="none"/>
                <w:lang w:val="en-US" w:eastAsia="zh-CN"/>
              </w:rPr>
            </w:pPr>
            <w:r>
              <w:rPr>
                <w:rFonts w:hint="default" w:ascii="Times New Roman" w:hAnsi="Times New Roman" w:eastAsia="黑体" w:cs="Times New Roman"/>
                <w:bCs/>
                <w:color w:val="auto"/>
                <w:spacing w:val="0"/>
                <w:kern w:val="21"/>
                <w:sz w:val="21"/>
                <w:szCs w:val="21"/>
                <w:highlight w:val="none"/>
                <w:lang w:val="en-US" w:eastAsia="zh-CN"/>
              </w:rPr>
              <w:t>表3</w:t>
            </w:r>
            <w:r>
              <w:rPr>
                <w:rFonts w:hint="eastAsia" w:ascii="Times New Roman" w:hAnsi="Times New Roman" w:eastAsia="黑体" w:cs="Times New Roman"/>
                <w:bCs/>
                <w:color w:val="auto"/>
                <w:spacing w:val="0"/>
                <w:kern w:val="21"/>
                <w:sz w:val="21"/>
                <w:szCs w:val="21"/>
                <w:highlight w:val="none"/>
                <w:lang w:val="en-US" w:eastAsia="zh-CN"/>
              </w:rPr>
              <w:t>.</w:t>
            </w:r>
            <w:r>
              <w:rPr>
                <w:rFonts w:hint="eastAsia" w:eastAsia="黑体" w:cs="Times New Roman"/>
                <w:bCs/>
                <w:color w:val="auto"/>
                <w:spacing w:val="0"/>
                <w:kern w:val="21"/>
                <w:sz w:val="21"/>
                <w:szCs w:val="21"/>
                <w:highlight w:val="none"/>
                <w:lang w:val="en-US" w:eastAsia="zh-CN"/>
              </w:rPr>
              <w:t>10</w:t>
            </w:r>
            <w:r>
              <w:rPr>
                <w:rFonts w:hint="eastAsia" w:ascii="Times New Roman" w:hAnsi="Times New Roman" w:eastAsia="黑体" w:cs="Times New Roman"/>
                <w:bCs/>
                <w:color w:val="auto"/>
                <w:spacing w:val="0"/>
                <w:kern w:val="21"/>
                <w:sz w:val="21"/>
                <w:szCs w:val="21"/>
                <w:highlight w:val="none"/>
                <w:lang w:val="en-US" w:eastAsia="zh-CN"/>
              </w:rPr>
              <w:t>-1</w:t>
            </w:r>
            <w:r>
              <w:rPr>
                <w:rFonts w:hint="default" w:ascii="Times New Roman" w:hAnsi="Times New Roman" w:eastAsia="黑体" w:cs="Times New Roman"/>
                <w:bCs/>
                <w:color w:val="auto"/>
                <w:spacing w:val="0"/>
                <w:kern w:val="21"/>
                <w:sz w:val="21"/>
                <w:szCs w:val="21"/>
                <w:highlight w:val="none"/>
                <w:lang w:val="en-US" w:eastAsia="zh-CN"/>
              </w:rPr>
              <w:t xml:space="preserve">  《</w:t>
            </w:r>
            <w:r>
              <w:rPr>
                <w:rFonts w:hint="default" w:ascii="Times New Roman" w:hAnsi="Times New Roman" w:eastAsia="黑体" w:cs="Times New Roman"/>
                <w:bCs/>
                <w:color w:val="auto"/>
                <w:spacing w:val="0"/>
                <w:kern w:val="21"/>
                <w:sz w:val="21"/>
                <w:szCs w:val="21"/>
                <w:highlight w:val="none"/>
                <w:lang w:val="en-US" w:eastAsia="zh-CN"/>
              </w:rPr>
              <w:fldChar w:fldCharType="begin"/>
            </w:r>
            <w:r>
              <w:rPr>
                <w:rFonts w:hint="default" w:ascii="Times New Roman" w:hAnsi="Times New Roman" w:eastAsia="黑体" w:cs="Times New Roman"/>
                <w:bCs/>
                <w:color w:val="auto"/>
                <w:spacing w:val="0"/>
                <w:kern w:val="21"/>
                <w:sz w:val="21"/>
                <w:szCs w:val="21"/>
                <w:highlight w:val="none"/>
                <w:lang w:val="en-US" w:eastAsia="zh-CN"/>
              </w:rPr>
              <w:instrText xml:space="preserve"> HYPERLINK "http://www.mep.gov.cn/info/bgw/bgg/200809/W020081017399508921576.pdf" \t "_self" </w:instrText>
            </w:r>
            <w:r>
              <w:rPr>
                <w:rFonts w:hint="default" w:ascii="Times New Roman" w:hAnsi="Times New Roman" w:eastAsia="黑体" w:cs="Times New Roman"/>
                <w:bCs/>
                <w:color w:val="auto"/>
                <w:spacing w:val="0"/>
                <w:kern w:val="21"/>
                <w:sz w:val="21"/>
                <w:szCs w:val="21"/>
                <w:highlight w:val="none"/>
                <w:lang w:val="en-US" w:eastAsia="zh-CN"/>
              </w:rPr>
              <w:fldChar w:fldCharType="separate"/>
            </w:r>
            <w:r>
              <w:rPr>
                <w:rFonts w:hint="default" w:ascii="Times New Roman" w:hAnsi="Times New Roman" w:eastAsia="黑体" w:cs="Times New Roman"/>
                <w:bCs/>
                <w:color w:val="auto"/>
                <w:spacing w:val="0"/>
                <w:kern w:val="21"/>
                <w:sz w:val="21"/>
                <w:szCs w:val="21"/>
                <w:highlight w:val="none"/>
                <w:lang w:val="en-US" w:eastAsia="zh-CN"/>
              </w:rPr>
              <w:t>工业企业厂界环境噪声</w:t>
            </w:r>
            <w:r>
              <w:rPr>
                <w:rFonts w:hint="default" w:ascii="Times New Roman" w:hAnsi="Times New Roman" w:eastAsia="黑体" w:cs="Times New Roman"/>
                <w:bCs/>
                <w:color w:val="auto"/>
                <w:spacing w:val="0"/>
                <w:kern w:val="21"/>
                <w:sz w:val="21"/>
                <w:szCs w:val="21"/>
                <w:highlight w:val="none"/>
                <w:lang w:val="en-US" w:eastAsia="zh-CN"/>
              </w:rPr>
              <w:fldChar w:fldCharType="end"/>
            </w:r>
            <w:r>
              <w:rPr>
                <w:rFonts w:hint="default" w:ascii="Times New Roman" w:hAnsi="Times New Roman" w:eastAsia="黑体" w:cs="Times New Roman"/>
                <w:bCs/>
                <w:color w:val="auto"/>
                <w:spacing w:val="0"/>
                <w:kern w:val="21"/>
                <w:sz w:val="21"/>
                <w:szCs w:val="21"/>
                <w:highlight w:val="none"/>
                <w:lang w:val="en-US" w:eastAsia="zh-CN"/>
              </w:rPr>
              <w:t>排放标准》（GB12523-2011）</w:t>
            </w:r>
          </w:p>
          <w:tbl>
            <w:tblPr>
              <w:tblStyle w:val="24"/>
              <w:tblW w:w="79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2646"/>
              <w:gridCol w:w="2646"/>
            </w:tblGrid>
            <w:tr w14:paraId="3545D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noWrap w:val="0"/>
                  <w:vAlign w:val="center"/>
                </w:tcPr>
                <w:p w14:paraId="14AE98B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kern w:val="21"/>
                      <w:szCs w:val="21"/>
                      <w:highlight w:val="none"/>
                    </w:rPr>
                  </w:pPr>
                  <w:r>
                    <w:rPr>
                      <w:rFonts w:hint="default" w:ascii="Times New Roman" w:hAnsi="Times New Roman" w:eastAsia="宋体" w:cs="Times New Roman"/>
                      <w:bCs/>
                      <w:color w:val="auto"/>
                      <w:spacing w:val="0"/>
                      <w:kern w:val="21"/>
                      <w:szCs w:val="21"/>
                      <w:highlight w:val="none"/>
                    </w:rPr>
                    <w:t>类别</w:t>
                  </w:r>
                </w:p>
              </w:tc>
              <w:tc>
                <w:tcPr>
                  <w:tcW w:w="2646" w:type="dxa"/>
                  <w:tcBorders>
                    <w:tl2br w:val="nil"/>
                    <w:tr2bl w:val="nil"/>
                  </w:tcBorders>
                  <w:noWrap w:val="0"/>
                  <w:vAlign w:val="center"/>
                </w:tcPr>
                <w:p w14:paraId="39896C8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Cs w:val="21"/>
                      <w:highlight w:val="none"/>
                    </w:rPr>
                    <w:t>昼间（dB</w:t>
                  </w:r>
                  <w:r>
                    <w:rPr>
                      <w:rFonts w:hint="eastAsia" w:ascii="Times New Roman" w:hAnsi="Times New Roman" w:eastAsia="宋体" w:cs="Times New Roman"/>
                      <w:bCs/>
                      <w:color w:val="auto"/>
                      <w:spacing w:val="0"/>
                      <w:kern w:val="21"/>
                      <w:szCs w:val="21"/>
                      <w:highlight w:val="none"/>
                      <w:lang w:val="en-US" w:eastAsia="zh-CN"/>
                    </w:rPr>
                    <w:t>(</w:t>
                  </w:r>
                  <w:r>
                    <w:rPr>
                      <w:rFonts w:hint="default" w:ascii="Times New Roman" w:hAnsi="Times New Roman" w:eastAsia="宋体" w:cs="Times New Roman"/>
                      <w:bCs/>
                      <w:color w:val="auto"/>
                      <w:spacing w:val="0"/>
                      <w:kern w:val="21"/>
                      <w:szCs w:val="21"/>
                      <w:highlight w:val="none"/>
                    </w:rPr>
                    <w:t>A</w:t>
                  </w:r>
                  <w:r>
                    <w:rPr>
                      <w:rFonts w:hint="eastAsia" w:ascii="Times New Roman" w:hAnsi="Times New Roman" w:eastAsia="宋体" w:cs="Times New Roman"/>
                      <w:bCs/>
                      <w:color w:val="auto"/>
                      <w:spacing w:val="0"/>
                      <w:kern w:val="21"/>
                      <w:szCs w:val="21"/>
                      <w:highlight w:val="none"/>
                      <w:lang w:val="en-US" w:eastAsia="zh-CN"/>
                    </w:rPr>
                    <w:t>)</w:t>
                  </w:r>
                  <w:r>
                    <w:rPr>
                      <w:rFonts w:hint="default" w:ascii="Times New Roman" w:hAnsi="Times New Roman" w:eastAsia="宋体" w:cs="Times New Roman"/>
                      <w:bCs/>
                      <w:color w:val="auto"/>
                      <w:spacing w:val="0"/>
                      <w:kern w:val="21"/>
                      <w:szCs w:val="21"/>
                      <w:highlight w:val="none"/>
                    </w:rPr>
                    <w:t>）</w:t>
                  </w:r>
                </w:p>
              </w:tc>
              <w:tc>
                <w:tcPr>
                  <w:tcW w:w="2646" w:type="dxa"/>
                  <w:tcBorders>
                    <w:tl2br w:val="nil"/>
                    <w:tr2bl w:val="nil"/>
                  </w:tcBorders>
                  <w:noWrap w:val="0"/>
                  <w:vAlign w:val="center"/>
                </w:tcPr>
                <w:p w14:paraId="4144764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kern w:val="21"/>
                      <w:sz w:val="21"/>
                      <w:szCs w:val="21"/>
                      <w:highlight w:val="none"/>
                      <w:lang w:val="en-US" w:eastAsia="zh-CN" w:bidi="ar-SA"/>
                    </w:rPr>
                  </w:pPr>
                  <w:r>
                    <w:rPr>
                      <w:rFonts w:hint="default" w:ascii="Times New Roman" w:hAnsi="Times New Roman" w:eastAsia="宋体" w:cs="Times New Roman"/>
                      <w:bCs/>
                      <w:color w:val="auto"/>
                      <w:spacing w:val="0"/>
                      <w:kern w:val="21"/>
                      <w:szCs w:val="21"/>
                      <w:highlight w:val="none"/>
                    </w:rPr>
                    <w:t>夜间（dB</w:t>
                  </w:r>
                  <w:r>
                    <w:rPr>
                      <w:rFonts w:hint="eastAsia" w:ascii="Times New Roman" w:hAnsi="Times New Roman" w:eastAsia="宋体" w:cs="Times New Roman"/>
                      <w:bCs/>
                      <w:color w:val="auto"/>
                      <w:spacing w:val="0"/>
                      <w:kern w:val="21"/>
                      <w:szCs w:val="21"/>
                      <w:highlight w:val="none"/>
                      <w:lang w:val="en-US" w:eastAsia="zh-CN"/>
                    </w:rPr>
                    <w:t>(</w:t>
                  </w:r>
                  <w:r>
                    <w:rPr>
                      <w:rFonts w:hint="default" w:ascii="Times New Roman" w:hAnsi="Times New Roman" w:eastAsia="宋体" w:cs="Times New Roman"/>
                      <w:bCs/>
                      <w:color w:val="auto"/>
                      <w:spacing w:val="0"/>
                      <w:kern w:val="21"/>
                      <w:szCs w:val="21"/>
                      <w:highlight w:val="none"/>
                    </w:rPr>
                    <w:t>A</w:t>
                  </w:r>
                  <w:r>
                    <w:rPr>
                      <w:rFonts w:hint="eastAsia" w:ascii="Times New Roman" w:hAnsi="Times New Roman" w:eastAsia="宋体" w:cs="Times New Roman"/>
                      <w:bCs/>
                      <w:color w:val="auto"/>
                      <w:spacing w:val="0"/>
                      <w:kern w:val="21"/>
                      <w:szCs w:val="21"/>
                      <w:highlight w:val="none"/>
                      <w:lang w:val="en-US" w:eastAsia="zh-CN"/>
                    </w:rPr>
                    <w:t>)</w:t>
                  </w:r>
                  <w:r>
                    <w:rPr>
                      <w:rFonts w:hint="default" w:ascii="Times New Roman" w:hAnsi="Times New Roman" w:eastAsia="宋体" w:cs="Times New Roman"/>
                      <w:bCs/>
                      <w:color w:val="auto"/>
                      <w:spacing w:val="0"/>
                      <w:kern w:val="21"/>
                      <w:szCs w:val="21"/>
                      <w:highlight w:val="none"/>
                    </w:rPr>
                    <w:t>）</w:t>
                  </w:r>
                </w:p>
              </w:tc>
            </w:tr>
            <w:tr w14:paraId="23B7F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tcBorders>
                    <w:tl2br w:val="nil"/>
                    <w:tr2bl w:val="nil"/>
                  </w:tcBorders>
                  <w:noWrap w:val="0"/>
                  <w:vAlign w:val="center"/>
                </w:tcPr>
                <w:p w14:paraId="7AFF6DB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Cs/>
                      <w:color w:val="auto"/>
                      <w:spacing w:val="0"/>
                      <w:kern w:val="21"/>
                      <w:szCs w:val="21"/>
                      <w:highlight w:val="none"/>
                      <w:lang w:eastAsia="zh-CN"/>
                    </w:rPr>
                  </w:pPr>
                  <w:r>
                    <w:rPr>
                      <w:rFonts w:hint="eastAsia" w:ascii="Times New Roman" w:hAnsi="Times New Roman" w:eastAsia="宋体" w:cs="Times New Roman"/>
                      <w:bCs/>
                      <w:color w:val="auto"/>
                      <w:spacing w:val="0"/>
                      <w:kern w:val="21"/>
                      <w:szCs w:val="21"/>
                      <w:highlight w:val="none"/>
                      <w:lang w:val="en-US" w:eastAsia="zh-CN"/>
                    </w:rPr>
                    <w:t>2</w:t>
                  </w:r>
                </w:p>
              </w:tc>
              <w:tc>
                <w:tcPr>
                  <w:tcW w:w="2646" w:type="dxa"/>
                  <w:tcBorders>
                    <w:tl2br w:val="nil"/>
                    <w:tr2bl w:val="nil"/>
                  </w:tcBorders>
                  <w:noWrap w:val="0"/>
                  <w:vAlign w:val="center"/>
                </w:tcPr>
                <w:p w14:paraId="2306081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kern w:val="21"/>
                      <w:szCs w:val="21"/>
                      <w:highlight w:val="none"/>
                      <w:lang w:val="en-US" w:eastAsia="zh-CN"/>
                    </w:rPr>
                  </w:pPr>
                  <w:r>
                    <w:rPr>
                      <w:rFonts w:hint="eastAsia" w:ascii="Times New Roman" w:hAnsi="Times New Roman" w:eastAsia="宋体" w:cs="Times New Roman"/>
                      <w:bCs/>
                      <w:color w:val="auto"/>
                      <w:spacing w:val="0"/>
                      <w:kern w:val="21"/>
                      <w:szCs w:val="21"/>
                      <w:highlight w:val="none"/>
                      <w:lang w:val="en-US" w:eastAsia="zh-CN"/>
                    </w:rPr>
                    <w:t>60</w:t>
                  </w:r>
                </w:p>
              </w:tc>
              <w:tc>
                <w:tcPr>
                  <w:tcW w:w="2646" w:type="dxa"/>
                  <w:tcBorders>
                    <w:tl2br w:val="nil"/>
                    <w:tr2bl w:val="nil"/>
                  </w:tcBorders>
                  <w:noWrap w:val="0"/>
                  <w:vAlign w:val="center"/>
                </w:tcPr>
                <w:p w14:paraId="5781561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pacing w:val="0"/>
                      <w:kern w:val="21"/>
                      <w:szCs w:val="21"/>
                      <w:highlight w:val="none"/>
                      <w:lang w:val="en-US" w:eastAsia="zh-CN"/>
                    </w:rPr>
                  </w:pPr>
                  <w:r>
                    <w:rPr>
                      <w:rFonts w:hint="eastAsia" w:ascii="Times New Roman" w:hAnsi="Times New Roman" w:eastAsia="宋体" w:cs="Times New Roman"/>
                      <w:bCs/>
                      <w:color w:val="auto"/>
                      <w:spacing w:val="0"/>
                      <w:kern w:val="21"/>
                      <w:szCs w:val="21"/>
                      <w:highlight w:val="none"/>
                      <w:lang w:val="en-US" w:eastAsia="zh-CN"/>
                    </w:rPr>
                    <w:t>50</w:t>
                  </w:r>
                </w:p>
              </w:tc>
            </w:tr>
          </w:tbl>
          <w:p w14:paraId="1D224367">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21"/>
                <w:sz w:val="24"/>
                <w:szCs w:val="24"/>
                <w:highlight w:val="none"/>
                <w:lang w:val="en-US" w:eastAsia="zh-CN"/>
              </w:rPr>
            </w:pPr>
            <w:r>
              <w:rPr>
                <w:rFonts w:hint="eastAsia" w:ascii="Times New Roman" w:hAnsi="Times New Roman" w:eastAsia="宋体" w:cs="Times New Roman"/>
                <w:b/>
                <w:bCs/>
                <w:color w:val="auto"/>
                <w:spacing w:val="0"/>
                <w:kern w:val="21"/>
                <w:sz w:val="24"/>
                <w:szCs w:val="24"/>
                <w:highlight w:val="none"/>
                <w:lang w:val="en-US" w:eastAsia="zh-CN"/>
              </w:rPr>
              <w:t>3.1</w:t>
            </w:r>
            <w:r>
              <w:rPr>
                <w:rFonts w:hint="eastAsia" w:cs="Times New Roman"/>
                <w:b/>
                <w:bCs/>
                <w:color w:val="auto"/>
                <w:spacing w:val="0"/>
                <w:kern w:val="21"/>
                <w:sz w:val="24"/>
                <w:szCs w:val="24"/>
                <w:highlight w:val="none"/>
                <w:lang w:val="en-US" w:eastAsia="zh-CN"/>
              </w:rPr>
              <w:t>1</w:t>
            </w:r>
            <w:r>
              <w:rPr>
                <w:rFonts w:hint="eastAsia" w:ascii="Times New Roman" w:hAnsi="Times New Roman" w:eastAsia="宋体" w:cs="Times New Roman"/>
                <w:b/>
                <w:bCs/>
                <w:color w:val="auto"/>
                <w:spacing w:val="0"/>
                <w:kern w:val="21"/>
                <w:sz w:val="24"/>
                <w:szCs w:val="24"/>
                <w:highlight w:val="none"/>
                <w:lang w:val="en-US" w:eastAsia="zh-CN"/>
              </w:rPr>
              <w:t xml:space="preserve"> </w:t>
            </w:r>
            <w:r>
              <w:rPr>
                <w:rFonts w:hint="default" w:ascii="Times New Roman" w:hAnsi="Times New Roman" w:eastAsia="宋体" w:cs="Times New Roman"/>
                <w:b/>
                <w:bCs/>
                <w:color w:val="auto"/>
                <w:spacing w:val="0"/>
                <w:kern w:val="21"/>
                <w:sz w:val="24"/>
                <w:szCs w:val="24"/>
                <w:highlight w:val="none"/>
                <w:lang w:val="en-US" w:eastAsia="zh-CN"/>
              </w:rPr>
              <w:t>固体废物</w:t>
            </w:r>
          </w:p>
          <w:p w14:paraId="017D8203">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kern w:val="21"/>
                <w:sz w:val="24"/>
                <w:highlight w:val="none"/>
              </w:rPr>
            </w:pPr>
            <w:r>
              <w:rPr>
                <w:rFonts w:hint="default" w:ascii="Times New Roman" w:hAnsi="Times New Roman" w:eastAsia="宋体" w:cs="Times New Roman"/>
                <w:color w:val="auto"/>
                <w:spacing w:val="0"/>
                <w:kern w:val="21"/>
                <w:sz w:val="24"/>
                <w:highlight w:val="none"/>
              </w:rPr>
              <w:t>一般固体废物</w:t>
            </w:r>
            <w:r>
              <w:rPr>
                <w:rFonts w:hint="default" w:ascii="Times New Roman" w:hAnsi="Times New Roman" w:eastAsia="宋体" w:cs="Times New Roman"/>
                <w:color w:val="auto"/>
                <w:spacing w:val="0"/>
                <w:kern w:val="21"/>
                <w:sz w:val="24"/>
                <w:highlight w:val="none"/>
                <w:lang w:val="en-US" w:eastAsia="zh-CN"/>
              </w:rPr>
              <w:t>贮存和处置</w:t>
            </w:r>
            <w:r>
              <w:rPr>
                <w:rFonts w:hint="default" w:ascii="Times New Roman" w:hAnsi="Times New Roman" w:eastAsia="宋体" w:cs="Times New Roman"/>
                <w:color w:val="auto"/>
                <w:spacing w:val="0"/>
                <w:kern w:val="21"/>
                <w:sz w:val="24"/>
                <w:highlight w:val="none"/>
              </w:rPr>
              <w:t>执行《</w:t>
            </w:r>
            <w:r>
              <w:rPr>
                <w:rFonts w:hint="eastAsia" w:ascii="Times New Roman" w:hAnsi="Times New Roman" w:eastAsia="宋体" w:cs="Times New Roman"/>
                <w:color w:val="auto"/>
                <w:spacing w:val="0"/>
                <w:kern w:val="21"/>
                <w:sz w:val="24"/>
                <w:highlight w:val="none"/>
                <w:lang w:eastAsia="zh-CN"/>
              </w:rPr>
              <w:t>一般工业固体废物贮存和填埋污染控制标准</w:t>
            </w:r>
            <w:r>
              <w:rPr>
                <w:rFonts w:hint="default" w:ascii="Times New Roman" w:hAnsi="Times New Roman" w:eastAsia="宋体" w:cs="Times New Roman"/>
                <w:color w:val="auto"/>
                <w:spacing w:val="0"/>
                <w:kern w:val="21"/>
                <w:sz w:val="24"/>
                <w:highlight w:val="none"/>
              </w:rPr>
              <w:t>》（GB18599-20</w:t>
            </w:r>
            <w:r>
              <w:rPr>
                <w:rFonts w:hint="eastAsia" w:ascii="Times New Roman" w:hAnsi="Times New Roman" w:eastAsia="宋体" w:cs="Times New Roman"/>
                <w:color w:val="auto"/>
                <w:spacing w:val="0"/>
                <w:kern w:val="21"/>
                <w:sz w:val="24"/>
                <w:highlight w:val="none"/>
                <w:lang w:val="en-US" w:eastAsia="zh-CN"/>
              </w:rPr>
              <w:t>20</w:t>
            </w:r>
            <w:r>
              <w:rPr>
                <w:rFonts w:hint="default" w:ascii="Times New Roman" w:hAnsi="Times New Roman" w:eastAsia="宋体" w:cs="Times New Roman"/>
                <w:color w:val="auto"/>
                <w:spacing w:val="0"/>
                <w:kern w:val="21"/>
                <w:sz w:val="24"/>
                <w:highlight w:val="none"/>
              </w:rPr>
              <w:t>）</w:t>
            </w:r>
            <w:r>
              <w:rPr>
                <w:rFonts w:hint="default" w:ascii="Times New Roman" w:hAnsi="Times New Roman" w:eastAsia="宋体" w:cs="Times New Roman"/>
                <w:color w:val="auto"/>
                <w:spacing w:val="0"/>
                <w:kern w:val="21"/>
                <w:sz w:val="24"/>
                <w:highlight w:val="none"/>
                <w:lang w:val="en-US" w:eastAsia="zh-CN"/>
              </w:rPr>
              <w:t>中的有关规定</w:t>
            </w:r>
            <w:r>
              <w:rPr>
                <w:rFonts w:hint="default" w:ascii="Times New Roman" w:hAnsi="Times New Roman" w:eastAsia="宋体" w:cs="Times New Roman"/>
                <w:color w:val="auto"/>
                <w:spacing w:val="0"/>
                <w:kern w:val="21"/>
                <w:sz w:val="24"/>
                <w:highlight w:val="none"/>
              </w:rPr>
              <w:t>。</w:t>
            </w:r>
          </w:p>
          <w:p w14:paraId="21455873">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cs="Times New Roman"/>
                <w:color w:val="auto"/>
                <w:spacing w:val="0"/>
                <w:kern w:val="21"/>
                <w:sz w:val="24"/>
                <w:highlight w:val="none"/>
                <w:lang w:eastAsia="zh-CN"/>
              </w:rPr>
            </w:pPr>
            <w:r>
              <w:rPr>
                <w:rFonts w:hint="eastAsia" w:ascii="Times New Roman" w:hAnsi="Times New Roman" w:eastAsia="宋体" w:cs="Times New Roman"/>
                <w:color w:val="auto"/>
                <w:kern w:val="2"/>
                <w:sz w:val="24"/>
                <w:highlight w:val="none"/>
                <w:lang w:val="en-US" w:eastAsia="zh-CN"/>
              </w:rPr>
              <w:t>危险废物</w:t>
            </w:r>
            <w:r>
              <w:rPr>
                <w:rFonts w:hint="eastAsia" w:cs="Times New Roman"/>
                <w:color w:val="auto"/>
                <w:kern w:val="2"/>
                <w:sz w:val="24"/>
                <w:highlight w:val="none"/>
                <w:lang w:val="en-US" w:eastAsia="zh-CN"/>
              </w:rPr>
              <w:t>执行</w:t>
            </w:r>
            <w:r>
              <w:rPr>
                <w:rFonts w:hint="eastAsia" w:ascii="Times New Roman" w:hAnsi="Times New Roman" w:eastAsia="宋体" w:cs="Times New Roman"/>
                <w:color w:val="auto"/>
                <w:kern w:val="2"/>
                <w:sz w:val="24"/>
                <w:highlight w:val="none"/>
                <w:lang w:val="en-US" w:eastAsia="zh-CN"/>
              </w:rPr>
              <w:t>《危险废物贮存污染控制标准》（GB18597-2023）中有关</w:t>
            </w:r>
            <w:r>
              <w:rPr>
                <w:rFonts w:hint="eastAsia" w:cs="Times New Roman"/>
                <w:color w:val="auto"/>
                <w:kern w:val="2"/>
                <w:sz w:val="24"/>
                <w:highlight w:val="none"/>
                <w:lang w:val="en-US" w:eastAsia="zh-CN"/>
              </w:rPr>
              <w:t>规定</w:t>
            </w:r>
            <w:r>
              <w:rPr>
                <w:rFonts w:hint="eastAsia" w:cs="Times New Roman"/>
                <w:color w:val="auto"/>
                <w:spacing w:val="0"/>
                <w:kern w:val="21"/>
                <w:sz w:val="24"/>
                <w:highlight w:val="none"/>
                <w:lang w:eastAsia="zh-CN"/>
              </w:rPr>
              <w:t>。</w:t>
            </w:r>
          </w:p>
          <w:p w14:paraId="1FC26AF4">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cs="Times New Roman"/>
                <w:color w:val="auto"/>
                <w:spacing w:val="0"/>
                <w:kern w:val="21"/>
                <w:sz w:val="24"/>
                <w:highlight w:val="none"/>
                <w:lang w:eastAsia="zh-CN"/>
              </w:rPr>
            </w:pPr>
          </w:p>
          <w:p w14:paraId="559C172B">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cs="Times New Roman"/>
                <w:color w:val="auto"/>
                <w:spacing w:val="0"/>
                <w:kern w:val="21"/>
                <w:sz w:val="24"/>
                <w:highlight w:val="none"/>
                <w:lang w:eastAsia="zh-CN"/>
              </w:rPr>
            </w:pPr>
          </w:p>
          <w:p w14:paraId="368545BC">
            <w:pPr>
              <w:keepNext w:val="0"/>
              <w:keepLines w:val="0"/>
              <w:pageBreakBefore w:val="0"/>
              <w:widowControl w:val="0"/>
              <w:kinsoku/>
              <w:wordWrap/>
              <w:overflowPunct/>
              <w:topLinePunct w:val="0"/>
              <w:autoSpaceDE w:val="0"/>
              <w:autoSpaceDN w:val="0"/>
              <w:bidi w:val="0"/>
              <w:adjustRightInd w:val="0"/>
              <w:snapToGrid/>
              <w:spacing w:line="480" w:lineRule="exact"/>
              <w:ind w:firstLine="420" w:firstLineChars="200"/>
              <w:jc w:val="both"/>
              <w:textAlignment w:val="auto"/>
              <w:rPr>
                <w:rFonts w:hint="eastAsia" w:ascii="Times New Roman" w:hAnsi="Times New Roman" w:eastAsia="宋体" w:cs="Times New Roman"/>
                <w:color w:val="auto"/>
                <w:spacing w:val="0"/>
                <w:kern w:val="21"/>
                <w:szCs w:val="21"/>
                <w:highlight w:val="none"/>
                <w:lang w:eastAsia="zh-CN"/>
              </w:rPr>
            </w:pPr>
          </w:p>
        </w:tc>
      </w:tr>
      <w:tr w14:paraId="6A6AC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8" w:hRule="atLeast"/>
          <w:jc w:val="center"/>
        </w:trPr>
        <w:tc>
          <w:tcPr>
            <w:tcW w:w="800" w:type="dxa"/>
            <w:noWrap w:val="0"/>
            <w:vAlign w:val="center"/>
          </w:tcPr>
          <w:p w14:paraId="02716400">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总量</w:t>
            </w:r>
          </w:p>
          <w:p w14:paraId="1932BCCC">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控制</w:t>
            </w:r>
          </w:p>
          <w:p w14:paraId="602CEAD6">
            <w:pPr>
              <w:adjustRightInd w:val="0"/>
              <w:snapToGrid w:val="0"/>
              <w:jc w:val="center"/>
              <w:rPr>
                <w:rFonts w:hint="default" w:ascii="Times New Roman" w:hAnsi="Times New Roman" w:cs="Times New Roman"/>
                <w:color w:val="auto"/>
                <w:spacing w:val="0"/>
                <w:kern w:val="21"/>
                <w:szCs w:val="21"/>
                <w:highlight w:val="none"/>
              </w:rPr>
            </w:pPr>
            <w:r>
              <w:rPr>
                <w:rFonts w:hint="default" w:ascii="Times New Roman" w:hAnsi="Times New Roman" w:cs="Times New Roman"/>
                <w:color w:val="auto"/>
                <w:spacing w:val="0"/>
                <w:kern w:val="21"/>
                <w:szCs w:val="21"/>
                <w:highlight w:val="none"/>
              </w:rPr>
              <w:t>指标</w:t>
            </w:r>
          </w:p>
        </w:tc>
        <w:tc>
          <w:tcPr>
            <w:tcW w:w="8190" w:type="dxa"/>
            <w:noWrap w:val="0"/>
            <w:vAlign w:val="center"/>
          </w:tcPr>
          <w:p w14:paraId="43635C52">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kern w:val="21"/>
                <w:sz w:val="24"/>
                <w:highlight w:val="none"/>
              </w:rPr>
            </w:pPr>
            <w:bookmarkStart w:id="3" w:name="OLE_LINK1"/>
            <w:r>
              <w:rPr>
                <w:rFonts w:hint="default" w:ascii="Times New Roman" w:hAnsi="Times New Roman" w:eastAsia="宋体" w:cs="Times New Roman"/>
                <w:color w:val="auto"/>
                <w:spacing w:val="0"/>
                <w:kern w:val="21"/>
                <w:sz w:val="24"/>
                <w:highlight w:val="none"/>
              </w:rPr>
              <w:t>根据山西省</w:t>
            </w:r>
            <w:r>
              <w:rPr>
                <w:rFonts w:hint="default" w:ascii="Times New Roman" w:hAnsi="Times New Roman" w:eastAsia="宋体" w:cs="Times New Roman"/>
                <w:color w:val="auto"/>
                <w:spacing w:val="0"/>
                <w:kern w:val="21"/>
                <w:sz w:val="24"/>
                <w:highlight w:val="none"/>
                <w:lang w:val="en-US" w:eastAsia="zh-CN"/>
              </w:rPr>
              <w:t>生态环境厅</w:t>
            </w:r>
            <w:r>
              <w:rPr>
                <w:rFonts w:hint="default" w:ascii="Times New Roman" w:hAnsi="Times New Roman" w:eastAsia="宋体" w:cs="Times New Roman"/>
                <w:color w:val="auto"/>
                <w:spacing w:val="0"/>
                <w:kern w:val="21"/>
                <w:sz w:val="24"/>
                <w:highlight w:val="none"/>
              </w:rPr>
              <w:t>《建设项目主要污染物排放总量指标核定暂行办法》（晋环规[2023]1号）文规定，</w:t>
            </w:r>
            <w:r>
              <w:rPr>
                <w:rFonts w:hint="default" w:ascii="Times New Roman" w:hAnsi="Times New Roman" w:eastAsia="宋体" w:cs="Times New Roman"/>
                <w:color w:val="auto"/>
                <w:spacing w:val="0"/>
                <w:kern w:val="21"/>
                <w:sz w:val="24"/>
                <w:highlight w:val="none"/>
                <w:lang w:eastAsia="zh-CN"/>
              </w:rPr>
              <w:t>“</w:t>
            </w:r>
            <w:r>
              <w:rPr>
                <w:rFonts w:hint="default" w:ascii="Times New Roman" w:hAnsi="Times New Roman" w:eastAsia="宋体" w:cs="Times New Roman"/>
                <w:color w:val="auto"/>
                <w:spacing w:val="0"/>
                <w:kern w:val="21"/>
                <w:sz w:val="24"/>
                <w:highlight w:val="none"/>
              </w:rPr>
              <w:t>实施排放总量控制的主要污染物包括氮氧化物、挥发性有机物、化学需氧量、氨氮等国家实施排放总量控制的主要污染物以及二氧化硫、颗粒物等山西省实施排放总量控制的主要污染物</w:t>
            </w:r>
            <w:r>
              <w:rPr>
                <w:rFonts w:hint="default" w:ascii="Times New Roman" w:hAnsi="Times New Roman" w:eastAsia="宋体" w:cs="Times New Roman"/>
                <w:color w:val="auto"/>
                <w:spacing w:val="0"/>
                <w:kern w:val="21"/>
                <w:sz w:val="24"/>
                <w:highlight w:val="none"/>
                <w:lang w:eastAsia="zh-CN"/>
              </w:rPr>
              <w:t>”</w:t>
            </w:r>
            <w:r>
              <w:rPr>
                <w:rFonts w:hint="default" w:ascii="Times New Roman" w:hAnsi="Times New Roman" w:eastAsia="宋体" w:cs="Times New Roman"/>
                <w:color w:val="auto"/>
                <w:spacing w:val="0"/>
                <w:kern w:val="21"/>
                <w:sz w:val="24"/>
                <w:highlight w:val="none"/>
              </w:rPr>
              <w:t>。</w:t>
            </w:r>
          </w:p>
          <w:bookmarkEnd w:id="3"/>
          <w:p w14:paraId="0FB13FA9">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kern w:val="21"/>
                <w:szCs w:val="21"/>
                <w:highlight w:val="none"/>
                <w:lang w:val="en-US" w:eastAsia="zh-CN"/>
              </w:rPr>
            </w:pPr>
            <w:r>
              <w:rPr>
                <w:rFonts w:hint="default" w:ascii="Times New Roman" w:hAnsi="Times New Roman" w:eastAsia="宋体" w:cs="Times New Roman"/>
                <w:color w:val="auto"/>
                <w:spacing w:val="0"/>
                <w:kern w:val="21"/>
                <w:sz w:val="24"/>
                <w:highlight w:val="none"/>
                <w:lang w:val="en-US" w:eastAsia="zh-CN"/>
              </w:rPr>
              <w:t>本项目申请总量控制指标为：</w:t>
            </w:r>
            <w:r>
              <w:rPr>
                <w:rFonts w:hint="eastAsia" w:cs="Times New Roman"/>
                <w:color w:val="auto"/>
                <w:spacing w:val="0"/>
                <w:kern w:val="21"/>
                <w:sz w:val="24"/>
                <w:highlight w:val="none"/>
                <w:lang w:val="en-US" w:eastAsia="zh-CN"/>
              </w:rPr>
              <w:t>颗粒物 1.79</w:t>
            </w:r>
            <w:r>
              <w:rPr>
                <w:rFonts w:hint="default" w:ascii="Times New Roman" w:hAnsi="Times New Roman" w:eastAsia="宋体" w:cs="Times New Roman"/>
                <w:color w:val="auto"/>
                <w:spacing w:val="0"/>
                <w:kern w:val="21"/>
                <w:sz w:val="24"/>
                <w:highlight w:val="none"/>
                <w:lang w:val="en-US" w:eastAsia="zh-CN"/>
              </w:rPr>
              <w:t>t/a。</w:t>
            </w:r>
          </w:p>
        </w:tc>
      </w:tr>
    </w:tbl>
    <w:p w14:paraId="56EEE9DB">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933E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690EBAEB">
            <w:pPr>
              <w:pStyle w:val="19"/>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14:paraId="4823C632">
            <w:pPr>
              <w:pStyle w:val="19"/>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14:paraId="3A8E2372">
            <w:pPr>
              <w:pStyle w:val="19"/>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14:paraId="49E79F9D">
            <w:pPr>
              <w:pStyle w:val="19"/>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14:paraId="060E6708">
            <w:pPr>
              <w:pStyle w:val="19"/>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162" w:type="dxa"/>
            <w:noWrap w:val="0"/>
            <w:vAlign w:val="center"/>
          </w:tcPr>
          <w:p w14:paraId="3653026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 xml:space="preserve">4.1 </w:t>
            </w:r>
            <w:r>
              <w:rPr>
                <w:rFonts w:hint="default" w:ascii="Times New Roman" w:hAnsi="Times New Roman" w:eastAsia="宋体" w:cs="Times New Roman"/>
                <w:b/>
                <w:color w:val="auto"/>
                <w:sz w:val="24"/>
                <w:szCs w:val="24"/>
                <w:highlight w:val="none"/>
              </w:rPr>
              <w:t>施工期大气环境</w:t>
            </w:r>
            <w:r>
              <w:rPr>
                <w:rFonts w:hint="default" w:ascii="Times New Roman" w:hAnsi="Times New Roman" w:cs="Times New Roman"/>
                <w:b/>
                <w:color w:val="auto"/>
                <w:sz w:val="24"/>
                <w:szCs w:val="24"/>
                <w:highlight w:val="none"/>
              </w:rPr>
              <w:t>污染防治措施</w:t>
            </w:r>
          </w:p>
          <w:p w14:paraId="3CC87F6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本项目</w:t>
            </w:r>
            <w:r>
              <w:rPr>
                <w:rFonts w:hint="default" w:ascii="Times New Roman" w:hAnsi="Times New Roman" w:eastAsia="宋体" w:cs="Times New Roman"/>
                <w:color w:val="auto"/>
                <w:sz w:val="24"/>
                <w:szCs w:val="20"/>
                <w:highlight w:val="none"/>
              </w:rPr>
              <w:t>施工期主要大气环境影响为扬尘对周围大气环境的影响，扬尘主要为施工扬尘和道路运输扬尘。</w:t>
            </w:r>
          </w:p>
          <w:p w14:paraId="7E50B3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default" w:ascii="Times New Roman" w:hAnsi="Times New Roman" w:eastAsia="宋体" w:cs="Times New Roman"/>
                <w:b w:val="0"/>
                <w:bCs w:val="0"/>
                <w:color w:val="auto"/>
                <w:sz w:val="24"/>
                <w:szCs w:val="20"/>
                <w:highlight w:val="none"/>
                <w:lang w:val="en-US" w:eastAsia="zh-CN"/>
              </w:rPr>
              <w:t>1</w:t>
            </w:r>
            <w:r>
              <w:rPr>
                <w:rFonts w:hint="eastAsia" w:ascii="Times New Roman" w:hAnsi="Times New Roman" w:eastAsia="宋体" w:cs="Times New Roman"/>
                <w:b w:val="0"/>
                <w:bCs w:val="0"/>
                <w:color w:val="auto"/>
                <w:sz w:val="24"/>
                <w:szCs w:val="20"/>
                <w:highlight w:val="none"/>
                <w:lang w:val="en-US" w:eastAsia="zh-CN"/>
              </w:rPr>
              <w:t>.</w:t>
            </w:r>
            <w:r>
              <w:rPr>
                <w:rFonts w:hint="default" w:ascii="Times New Roman" w:hAnsi="Times New Roman" w:eastAsia="宋体" w:cs="Times New Roman"/>
                <w:b w:val="0"/>
                <w:bCs w:val="0"/>
                <w:color w:val="auto"/>
                <w:sz w:val="24"/>
                <w:szCs w:val="20"/>
                <w:highlight w:val="none"/>
              </w:rPr>
              <w:t>产生环节</w:t>
            </w:r>
          </w:p>
          <w:p w14:paraId="0677111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施工扬尘主要来自</w:t>
            </w:r>
            <w:r>
              <w:rPr>
                <w:rFonts w:hint="eastAsia" w:ascii="Times New Roman" w:hAnsi="Times New Roman" w:eastAsia="宋体" w:cs="Times New Roman"/>
                <w:color w:val="auto"/>
                <w:sz w:val="24"/>
                <w:szCs w:val="20"/>
                <w:highlight w:val="none"/>
                <w:lang w:val="en-US" w:eastAsia="zh-CN"/>
              </w:rPr>
              <w:t>土方开挖、</w:t>
            </w:r>
            <w:r>
              <w:rPr>
                <w:rFonts w:hint="default" w:ascii="Times New Roman" w:hAnsi="Times New Roman" w:eastAsia="宋体" w:cs="Times New Roman"/>
                <w:color w:val="auto"/>
                <w:sz w:val="24"/>
                <w:szCs w:val="20"/>
                <w:highlight w:val="none"/>
              </w:rPr>
              <w:t>施工现场</w:t>
            </w:r>
            <w:r>
              <w:rPr>
                <w:rFonts w:hint="eastAsia" w:ascii="Times New Roman" w:hAnsi="Times New Roman" w:eastAsia="宋体" w:cs="Times New Roman"/>
                <w:color w:val="auto"/>
                <w:sz w:val="24"/>
                <w:szCs w:val="20"/>
                <w:highlight w:val="none"/>
                <w:lang w:val="en-US" w:eastAsia="zh-CN"/>
              </w:rPr>
              <w:t>物料</w:t>
            </w:r>
            <w:r>
              <w:rPr>
                <w:rFonts w:hint="default" w:ascii="Times New Roman" w:hAnsi="Times New Roman" w:eastAsia="宋体" w:cs="Times New Roman"/>
                <w:color w:val="auto"/>
                <w:sz w:val="24"/>
                <w:szCs w:val="20"/>
                <w:highlight w:val="none"/>
              </w:rPr>
              <w:t>装卸</w:t>
            </w:r>
            <w:r>
              <w:rPr>
                <w:rFonts w:hint="eastAsia"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堆放以及渣土临时堆放等过程；道路运输扬尘来自施工机械和车辆的往来过程。扬尘排放方式为间歇不定量排放，其影响范围为施工现场附近和运输道路沿途。</w:t>
            </w:r>
          </w:p>
          <w:p w14:paraId="12F1CDF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（1）施工现场堆放易产尘的建筑材料，如无围挡、随意堆放，会产生二次扬尘；</w:t>
            </w:r>
          </w:p>
          <w:p w14:paraId="26F5B62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（2）建筑材料的运输，如不采取有效的遮盖措施，会产生扬尘；</w:t>
            </w:r>
          </w:p>
          <w:p w14:paraId="3C83C17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（3）施工垃圾的清理会产生扬尘；</w:t>
            </w:r>
          </w:p>
          <w:p w14:paraId="42A379B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（4）施工及装卸车辆造成的扬尘。</w:t>
            </w:r>
          </w:p>
          <w:p w14:paraId="50F08CC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2.污染防治措施</w:t>
            </w:r>
          </w:p>
          <w:p w14:paraId="5223DED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针对本项目施工期产生的扬尘，做到“</w:t>
            </w:r>
            <w:r>
              <w:rPr>
                <w:rFonts w:hint="eastAsia" w:cs="Times New Roman"/>
                <w:color w:val="auto"/>
                <w:sz w:val="24"/>
                <w:highlight w:val="none"/>
                <w:lang w:val="en-US" w:eastAsia="zh-CN"/>
              </w:rPr>
              <w:t>六</w:t>
            </w:r>
            <w:r>
              <w:rPr>
                <w:rFonts w:hint="default" w:ascii="Times New Roman" w:hAnsi="Times New Roman" w:eastAsia="宋体" w:cs="Times New Roman"/>
                <w:color w:val="auto"/>
                <w:sz w:val="24"/>
                <w:highlight w:val="none"/>
                <w:lang w:val="en-US" w:eastAsia="zh-CN"/>
              </w:rPr>
              <w:t>个百分之百”，即</w:t>
            </w:r>
            <w:r>
              <w:rPr>
                <w:rFonts w:hint="eastAsia" w:cs="Times New Roman"/>
                <w:color w:val="auto"/>
                <w:sz w:val="24"/>
                <w:highlight w:val="none"/>
                <w:lang w:val="en-US" w:eastAsia="zh-CN"/>
              </w:rPr>
              <w:t>：</w:t>
            </w:r>
          </w:p>
          <w:p w14:paraId="619EE7D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①施工围挡100%标准；</w:t>
            </w:r>
          </w:p>
          <w:p w14:paraId="51BF56F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②物料堆放100%覆盖；</w:t>
            </w:r>
          </w:p>
          <w:p w14:paraId="0A74706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③施工现场100%湿法作业；</w:t>
            </w:r>
          </w:p>
          <w:p w14:paraId="5EE43D5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④施工道路100%硬化；</w:t>
            </w:r>
          </w:p>
          <w:p w14:paraId="06A19A0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⑤施工现场出入车辆100%冲洗；</w:t>
            </w:r>
          </w:p>
          <w:p w14:paraId="395193E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⑥渣土运输车辆100%密闭运输</w:t>
            </w:r>
            <w:r>
              <w:rPr>
                <w:rFonts w:hint="eastAsia" w:cs="Times New Roman"/>
                <w:color w:val="auto"/>
                <w:sz w:val="24"/>
                <w:highlight w:val="none"/>
                <w:lang w:val="en-US" w:eastAsia="zh-CN"/>
              </w:rPr>
              <w:t>。</w:t>
            </w:r>
          </w:p>
          <w:p w14:paraId="582FFCC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运输物料、渣土、垃圾等车辆必须全部密闭，要做到运输车辆“三不进两不出”（不达标禁止进入、无准运证禁止进入、密闭装置损坏禁止进入；车厢未密闭禁止驶出、车身不洁禁止驶出），车辆应按照批准的路线和时间进行物料、渣土、垃圾的运输。车辆装卸时要喷雾降尘，并安排专人清扫散落的渣土。</w:t>
            </w:r>
          </w:p>
          <w:p w14:paraId="783CF29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在采取以上防治措施后，施工期产生的大气污染物对环境空气产生的影响较小。</w:t>
            </w:r>
          </w:p>
          <w:p w14:paraId="7A062E5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 xml:space="preserve">4.2 </w:t>
            </w:r>
            <w:r>
              <w:rPr>
                <w:rFonts w:hint="default" w:ascii="Times New Roman" w:hAnsi="Times New Roman" w:eastAsia="宋体" w:cs="Times New Roman"/>
                <w:b/>
                <w:color w:val="auto"/>
                <w:sz w:val="24"/>
                <w:szCs w:val="24"/>
                <w:highlight w:val="none"/>
              </w:rPr>
              <w:t>施工期水环境污染防治措施</w:t>
            </w:r>
          </w:p>
          <w:p w14:paraId="0CA2DB6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本项目施工期废水主要为</w:t>
            </w:r>
            <w:r>
              <w:rPr>
                <w:rFonts w:hint="default" w:ascii="Times New Roman" w:hAnsi="Times New Roman" w:eastAsia="宋体" w:cs="Times New Roman"/>
                <w:color w:val="auto"/>
                <w:sz w:val="24"/>
                <w:highlight w:val="none"/>
                <w:lang w:val="en-US" w:eastAsia="zh-CN"/>
              </w:rPr>
              <w:t>施工废水和</w:t>
            </w:r>
            <w:r>
              <w:rPr>
                <w:rFonts w:hint="default" w:ascii="Times New Roman" w:hAnsi="Times New Roman" w:eastAsia="宋体" w:cs="Times New Roman"/>
                <w:color w:val="auto"/>
                <w:sz w:val="24"/>
                <w:highlight w:val="none"/>
              </w:rPr>
              <w:t>施工人员的生活污水。</w:t>
            </w:r>
          </w:p>
          <w:p w14:paraId="58187F0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1</w:t>
            </w:r>
            <w:r>
              <w:rPr>
                <w:rFonts w:hint="eastAsia"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施工废水</w:t>
            </w:r>
          </w:p>
          <w:p w14:paraId="5DC4A1E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施工废水主要为</w:t>
            </w:r>
            <w:r>
              <w:rPr>
                <w:rFonts w:hint="default" w:ascii="Times New Roman" w:hAnsi="Times New Roman" w:eastAsia="宋体" w:cs="Times New Roman"/>
                <w:b w:val="0"/>
                <w:bCs w:val="0"/>
                <w:color w:val="auto"/>
                <w:kern w:val="0"/>
                <w:sz w:val="24"/>
                <w:highlight w:val="none"/>
              </w:rPr>
              <w:t>施工设备</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运输车辆的</w:t>
            </w:r>
            <w:r>
              <w:rPr>
                <w:rFonts w:hint="default" w:ascii="Times New Roman" w:hAnsi="Times New Roman" w:eastAsia="宋体" w:cs="Times New Roman"/>
                <w:b w:val="0"/>
                <w:bCs w:val="0"/>
                <w:color w:val="auto"/>
                <w:kern w:val="0"/>
                <w:sz w:val="24"/>
                <w:highlight w:val="none"/>
              </w:rPr>
              <w:t>冲洗水</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水中</w:t>
            </w:r>
            <w:r>
              <w:rPr>
                <w:rFonts w:hint="default" w:ascii="Times New Roman" w:hAnsi="Times New Roman" w:eastAsia="宋体" w:cs="Times New Roman"/>
                <w:b w:val="0"/>
                <w:bCs w:val="0"/>
                <w:color w:val="auto"/>
                <w:kern w:val="0"/>
                <w:sz w:val="24"/>
                <w:highlight w:val="none"/>
              </w:rPr>
              <w:t>只含有少量泥沙，不含</w:t>
            </w:r>
            <w:r>
              <w:rPr>
                <w:rFonts w:hint="eastAsia" w:cs="Times New Roman"/>
                <w:b w:val="0"/>
                <w:bCs w:val="0"/>
                <w:color w:val="auto"/>
                <w:kern w:val="0"/>
                <w:sz w:val="24"/>
                <w:highlight w:val="none"/>
                <w:lang w:val="en-US" w:eastAsia="zh-CN"/>
              </w:rPr>
              <w:t>其他</w:t>
            </w:r>
            <w:r>
              <w:rPr>
                <w:rFonts w:hint="default" w:ascii="Times New Roman" w:hAnsi="Times New Roman" w:eastAsia="宋体" w:cs="Times New Roman"/>
                <w:b w:val="0"/>
                <w:bCs w:val="0"/>
                <w:color w:val="auto"/>
                <w:kern w:val="0"/>
                <w:sz w:val="24"/>
                <w:highlight w:val="none"/>
              </w:rPr>
              <w:t>杂质，排放量较小</w:t>
            </w:r>
            <w:r>
              <w:rPr>
                <w:rFonts w:hint="eastAsia" w:ascii="Times New Roman" w:hAnsi="Times New Roman" w:eastAsia="宋体" w:cs="Times New Roman"/>
                <w:b w:val="0"/>
                <w:bCs w:val="0"/>
                <w:color w:val="auto"/>
                <w:kern w:val="0"/>
                <w:sz w:val="24"/>
                <w:highlight w:val="none"/>
                <w:lang w:eastAsia="zh-CN"/>
              </w:rPr>
              <w:t>，经沉淀池收集、沉淀后用于施工现场洒水抑尘，不外排，对周围环境产生的影响很小</w:t>
            </w:r>
            <w:r>
              <w:rPr>
                <w:rFonts w:hint="default" w:ascii="Times New Roman" w:hAnsi="Times New Roman" w:eastAsia="宋体" w:cs="Times New Roman"/>
                <w:b w:val="0"/>
                <w:bCs w:val="0"/>
                <w:color w:val="auto"/>
                <w:kern w:val="0"/>
                <w:sz w:val="24"/>
                <w:highlight w:val="none"/>
              </w:rPr>
              <w:t>。</w:t>
            </w:r>
          </w:p>
          <w:p w14:paraId="6FCC6C6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2</w:t>
            </w:r>
            <w:r>
              <w:rPr>
                <w:rFonts w:hint="eastAsia"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施工人员的生活污水</w:t>
            </w:r>
          </w:p>
          <w:p w14:paraId="0F26F47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施工人员生活污水</w:t>
            </w:r>
            <w:r>
              <w:rPr>
                <w:rFonts w:hint="eastAsia" w:cs="Times New Roman"/>
                <w:color w:val="auto"/>
                <w:kern w:val="0"/>
                <w:sz w:val="24"/>
                <w:highlight w:val="none"/>
                <w:lang w:val="en-US" w:eastAsia="zh-CN"/>
              </w:rPr>
              <w:t>排入旱厕，定期清掏不外排</w:t>
            </w:r>
            <w:r>
              <w:rPr>
                <w:rFonts w:hint="default" w:ascii="Times New Roman" w:hAnsi="Times New Roman" w:eastAsia="宋体" w:cs="Times New Roman"/>
                <w:color w:val="auto"/>
                <w:kern w:val="0"/>
                <w:sz w:val="24"/>
                <w:highlight w:val="none"/>
                <w:lang w:eastAsia="zh-CN"/>
              </w:rPr>
              <w:t>。</w:t>
            </w:r>
          </w:p>
          <w:p w14:paraId="3E8BA7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综上所述，本项目施工期对水环境的影响很小</w:t>
            </w:r>
            <w:r>
              <w:rPr>
                <w:rFonts w:hint="eastAsia" w:cs="Times New Roman"/>
                <w:color w:val="auto"/>
                <w:kern w:val="0"/>
                <w:sz w:val="24"/>
                <w:highlight w:val="none"/>
                <w:lang w:eastAsia="zh-CN"/>
              </w:rPr>
              <w:t>。</w:t>
            </w:r>
          </w:p>
          <w:p w14:paraId="1579F24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施工期声环境污染防治措施</w:t>
            </w:r>
          </w:p>
          <w:p w14:paraId="69187036">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default" w:ascii="Times New Roman" w:hAnsi="Times New Roman" w:eastAsia="宋体" w:cs="Times New Roman"/>
                <w:color w:val="auto"/>
                <w:sz w:val="24"/>
                <w:szCs w:val="20"/>
                <w:highlight w:val="none"/>
                <w:lang w:val="en-US" w:eastAsia="zh-CN"/>
              </w:rPr>
              <w:t>施工期的噪声主要分为机械噪声、施工作业噪声和施工车辆噪声。</w:t>
            </w:r>
            <w:r>
              <w:rPr>
                <w:rFonts w:hint="default" w:ascii="Times New Roman" w:hAnsi="Times New Roman" w:eastAsia="宋体" w:cs="Times New Roman"/>
                <w:b w:val="0"/>
                <w:bCs w:val="0"/>
                <w:color w:val="auto"/>
                <w:sz w:val="24"/>
                <w:szCs w:val="20"/>
                <w:highlight w:val="none"/>
              </w:rPr>
              <w:t>为了避免施工噪声对周围环境造成影响，建设单位拟采取以下措施：</w:t>
            </w:r>
          </w:p>
          <w:p w14:paraId="696DEAD9">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cs="Times New Roman"/>
                <w:b w:val="0"/>
                <w:bCs w:val="0"/>
                <w:color w:val="auto"/>
                <w:sz w:val="24"/>
                <w:szCs w:val="20"/>
                <w:highlight w:val="none"/>
                <w:lang w:val="en-US" w:eastAsia="zh-CN"/>
              </w:rPr>
              <w:t>1.</w:t>
            </w:r>
            <w:r>
              <w:rPr>
                <w:rFonts w:hint="default" w:ascii="Times New Roman" w:hAnsi="Times New Roman" w:eastAsia="宋体" w:cs="Times New Roman"/>
                <w:b w:val="0"/>
                <w:bCs w:val="0"/>
                <w:color w:val="auto"/>
                <w:sz w:val="24"/>
                <w:szCs w:val="20"/>
                <w:highlight w:val="none"/>
                <w:lang w:val="en-US" w:eastAsia="zh-CN"/>
              </w:rPr>
              <w:t>施工单位应使用符合国家标准的低噪声机械设备，并在施工中应有专人对其进行保养维护，施工单位应对现场使用设备的人员进行培训，严格按操作规范使用各类机械；保持设备处于良好的运转状态，闲置设备及时关闭，定时检修。</w:t>
            </w:r>
          </w:p>
          <w:p w14:paraId="0A1F8A2F">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cs="Times New Roman"/>
                <w:b w:val="0"/>
                <w:bCs w:val="0"/>
                <w:color w:val="auto"/>
                <w:sz w:val="24"/>
                <w:szCs w:val="20"/>
                <w:highlight w:val="none"/>
                <w:lang w:val="en-US" w:eastAsia="zh-CN"/>
              </w:rPr>
              <w:t>2.</w:t>
            </w:r>
            <w:r>
              <w:rPr>
                <w:rFonts w:hint="default" w:ascii="Times New Roman" w:hAnsi="Times New Roman" w:eastAsia="宋体" w:cs="Times New Roman"/>
                <w:b w:val="0"/>
                <w:bCs w:val="0"/>
                <w:color w:val="auto"/>
                <w:sz w:val="24"/>
                <w:szCs w:val="20"/>
                <w:highlight w:val="none"/>
                <w:lang w:val="en-US" w:eastAsia="zh-CN"/>
              </w:rPr>
              <w:t>在施工的结构阶段和装修阶段，对建筑物的外部采用围挡，设置高噪声设备施工带减轻施工噪声对外环境的影响。</w:t>
            </w:r>
          </w:p>
          <w:p w14:paraId="46B7D630">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cs="Times New Roman"/>
                <w:b w:val="0"/>
                <w:bCs w:val="0"/>
                <w:color w:val="auto"/>
                <w:sz w:val="24"/>
                <w:szCs w:val="20"/>
                <w:highlight w:val="none"/>
                <w:lang w:val="en-US" w:eastAsia="zh-CN"/>
              </w:rPr>
              <w:t>3.</w:t>
            </w:r>
            <w:r>
              <w:rPr>
                <w:rFonts w:hint="default" w:ascii="Times New Roman" w:hAnsi="Times New Roman" w:eastAsia="宋体" w:cs="Times New Roman"/>
                <w:b w:val="0"/>
                <w:bCs w:val="0"/>
                <w:color w:val="auto"/>
                <w:sz w:val="24"/>
                <w:szCs w:val="20"/>
                <w:highlight w:val="none"/>
                <w:lang w:val="en-US" w:eastAsia="zh-CN"/>
              </w:rPr>
              <w:t>加强管理，文明施工，施工所需材料均为外购成品，严禁在施工营地和施工沿线进行材料加工，减轻对沿线敏感点居民造成的影响。</w:t>
            </w:r>
          </w:p>
          <w:p w14:paraId="6B60E5A7">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lang w:val="en-US" w:eastAsia="zh-CN"/>
              </w:rPr>
            </w:pPr>
            <w:r>
              <w:rPr>
                <w:rFonts w:hint="eastAsia" w:cs="Times New Roman"/>
                <w:b w:val="0"/>
                <w:bCs w:val="0"/>
                <w:color w:val="auto"/>
                <w:sz w:val="24"/>
                <w:szCs w:val="20"/>
                <w:highlight w:val="none"/>
                <w:lang w:val="en-US" w:eastAsia="zh-CN"/>
              </w:rPr>
              <w:t>4.</w:t>
            </w:r>
            <w:r>
              <w:rPr>
                <w:rFonts w:hint="default" w:ascii="Times New Roman" w:hAnsi="Times New Roman" w:eastAsia="宋体" w:cs="Times New Roman"/>
                <w:b w:val="0"/>
                <w:bCs w:val="0"/>
                <w:color w:val="auto"/>
                <w:sz w:val="24"/>
                <w:szCs w:val="20"/>
                <w:highlight w:val="none"/>
                <w:lang w:val="en-US" w:eastAsia="zh-CN"/>
              </w:rPr>
              <w:t>施工活动均在昼间进行，严禁在夜间进行，不在同一时间集中使用大量的动力机械设备，期间若使用噪声值大的设备则分散使用，保证周边居民的正常休息。</w:t>
            </w:r>
          </w:p>
          <w:p w14:paraId="35F8E93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cs="Times New Roman"/>
                <w:b w:val="0"/>
                <w:bCs w:val="0"/>
                <w:color w:val="auto"/>
                <w:sz w:val="24"/>
                <w:szCs w:val="20"/>
                <w:highlight w:val="none"/>
                <w:lang w:val="en-US" w:eastAsia="zh-CN"/>
              </w:rPr>
              <w:t>5.</w:t>
            </w:r>
            <w:r>
              <w:rPr>
                <w:rFonts w:hint="default" w:ascii="Times New Roman" w:hAnsi="Times New Roman" w:eastAsia="宋体" w:cs="Times New Roman"/>
                <w:b w:val="0"/>
                <w:bCs w:val="0"/>
                <w:color w:val="auto"/>
                <w:sz w:val="24"/>
                <w:szCs w:val="20"/>
                <w:highlight w:val="none"/>
                <w:lang w:val="en-US" w:eastAsia="zh-CN"/>
              </w:rPr>
              <w:t>对于运输建筑材料、土石方等物料的车辆，不在敏感时段运输，加强管理，车辆减速、不鸣笛，场地内运输车辆不长时间行驶</w:t>
            </w:r>
            <w:r>
              <w:rPr>
                <w:rFonts w:hint="default" w:ascii="Times New Roman" w:hAnsi="Times New Roman" w:eastAsia="宋体" w:cs="Times New Roman"/>
                <w:b w:val="0"/>
                <w:bCs w:val="0"/>
                <w:color w:val="auto"/>
                <w:sz w:val="24"/>
                <w:szCs w:val="20"/>
                <w:highlight w:val="none"/>
              </w:rPr>
              <w:t>。</w:t>
            </w:r>
          </w:p>
          <w:p w14:paraId="38916F6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 xml:space="preserve">4.4 </w:t>
            </w:r>
            <w:r>
              <w:rPr>
                <w:rFonts w:hint="default" w:ascii="Times New Roman" w:hAnsi="Times New Roman" w:eastAsia="宋体" w:cs="Times New Roman"/>
                <w:b/>
                <w:color w:val="auto"/>
                <w:sz w:val="24"/>
                <w:szCs w:val="24"/>
                <w:highlight w:val="none"/>
                <w:lang w:val="en-US" w:eastAsia="zh-CN"/>
              </w:rPr>
              <w:t>施工期固体废物环境污染防治措施</w:t>
            </w:r>
          </w:p>
          <w:p w14:paraId="577B066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在施工过程中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产生的固体废物主要</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rPr>
              <w:t>施工产生的建筑垃圾以及施工人员的生活垃圾。</w:t>
            </w:r>
          </w:p>
          <w:p w14:paraId="5685B73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建筑垃圾</w:t>
            </w:r>
          </w:p>
          <w:p w14:paraId="4A63B31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建设单位须严格管理，开挖的土方及其他建筑垃圾由环卫部门的渣土车及时进行清运。渣土运输车辆不得带泥土驶出工地。运输车辆采用密闭车斗运输渣土，并保证物料不遗撒外漏。若无密闭车斗，渣土的装载高度不得超过车辆槽帮上沿，车斗用苫布遮盖严实，保证渣土不泄漏。</w:t>
            </w:r>
          </w:p>
          <w:p w14:paraId="1886397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施工人员的生活垃圾</w:t>
            </w:r>
          </w:p>
          <w:p w14:paraId="54951BE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施工期施工人员产生的</w:t>
            </w:r>
            <w:r>
              <w:rPr>
                <w:rFonts w:hint="default" w:ascii="Times New Roman" w:hAnsi="Times New Roman" w:eastAsia="宋体" w:cs="Times New Roman"/>
                <w:color w:val="auto"/>
                <w:sz w:val="24"/>
                <w:highlight w:val="none"/>
                <w:lang w:val="en-US" w:eastAsia="zh-CN"/>
              </w:rPr>
              <w:t>生活垃圾产生量按0.5kg/人•d计，以</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人次/天计算，生活垃圾产生量为1</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kg/d，设置垃圾桶收集后</w:t>
            </w:r>
            <w:r>
              <w:rPr>
                <w:rFonts w:hint="default" w:ascii="Times New Roman" w:hAnsi="Times New Roman" w:eastAsia="宋体" w:cs="Times New Roman"/>
                <w:color w:val="auto"/>
                <w:sz w:val="24"/>
                <w:highlight w:val="none"/>
              </w:rPr>
              <w:t>委托环卫部门处置。</w:t>
            </w:r>
          </w:p>
          <w:p w14:paraId="1340A003">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r>
              <w:rPr>
                <w:rFonts w:hint="default" w:ascii="Times New Roman" w:hAnsi="Times New Roman" w:eastAsia="宋体" w:cs="Times New Roman"/>
                <w:color w:val="auto"/>
                <w:sz w:val="24"/>
                <w:highlight w:val="none"/>
              </w:rPr>
              <w:t>采取上述措施后</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本项目施工期产生的固体废物不会对周围环境产生明显影响。</w:t>
            </w:r>
          </w:p>
          <w:p w14:paraId="2945826F">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05E22305">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007F513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25E1E480">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2573C77D">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05E15B21">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0455811B">
            <w:pPr>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0"/>
                <w:highlight w:val="none"/>
              </w:rPr>
            </w:pPr>
          </w:p>
          <w:p w14:paraId="7FCC38E0">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33C0C287">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55205EAE">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3FFF967F">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7BF54BE9">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2CB609BD">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cs="Times New Roman"/>
                <w:bCs/>
                <w:color w:val="auto"/>
                <w:spacing w:val="-10"/>
                <w:sz w:val="24"/>
                <w:szCs w:val="24"/>
                <w:highlight w:val="none"/>
                <w:lang w:eastAsia="zh-CN"/>
              </w:rPr>
            </w:pPr>
          </w:p>
          <w:p w14:paraId="776D3A64">
            <w:pPr>
              <w:keepNext w:val="0"/>
              <w:keepLines w:val="0"/>
              <w:pageBreakBefore w:val="0"/>
              <w:kinsoku/>
              <w:wordWrap/>
              <w:overflowPunct/>
              <w:topLinePunct w:val="0"/>
              <w:autoSpaceDE/>
              <w:autoSpaceDN/>
              <w:bidi w:val="0"/>
              <w:adjustRightInd w:val="0"/>
              <w:snapToGrid w:val="0"/>
              <w:spacing w:line="480" w:lineRule="exact"/>
              <w:ind w:firstLine="440" w:firstLineChars="200"/>
              <w:textAlignment w:val="auto"/>
              <w:rPr>
                <w:rFonts w:hint="eastAsia" w:ascii="Times New Roman" w:hAnsi="Times New Roman" w:eastAsia="宋体" w:cs="Times New Roman"/>
                <w:bCs/>
                <w:color w:val="auto"/>
                <w:spacing w:val="-10"/>
                <w:sz w:val="24"/>
                <w:szCs w:val="24"/>
                <w:highlight w:val="none"/>
                <w:lang w:eastAsia="zh-CN"/>
              </w:rPr>
            </w:pPr>
          </w:p>
        </w:tc>
      </w:tr>
    </w:tbl>
    <w:p w14:paraId="2C75BA50">
      <w:pPr>
        <w:rPr>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045"/>
      </w:tblGrid>
      <w:tr w14:paraId="50B8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714" w:type="dxa"/>
            <w:noWrap w:val="0"/>
            <w:vAlign w:val="center"/>
          </w:tcPr>
          <w:p w14:paraId="16B5A8F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运营</w:t>
            </w:r>
          </w:p>
          <w:p w14:paraId="7853A0E6">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期环</w:t>
            </w:r>
          </w:p>
          <w:p w14:paraId="34F6DF5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境影</w:t>
            </w:r>
          </w:p>
          <w:p w14:paraId="670D129A">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响和</w:t>
            </w:r>
          </w:p>
          <w:p w14:paraId="2BDA83E4">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保护</w:t>
            </w:r>
          </w:p>
          <w:p w14:paraId="38DC7A48">
            <w:pPr>
              <w:adjustRightInd w:val="0"/>
              <w:snapToGrid w:val="0"/>
              <w:jc w:val="center"/>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Cs/>
                <w:color w:val="auto"/>
                <w:szCs w:val="21"/>
                <w:highlight w:val="none"/>
                <w:lang w:val="en-US" w:eastAsia="zh-CN"/>
              </w:rPr>
              <w:t>措施</w:t>
            </w:r>
          </w:p>
        </w:tc>
        <w:tc>
          <w:tcPr>
            <w:tcW w:w="14593" w:type="dxa"/>
            <w:noWrap w:val="0"/>
            <w:vAlign w:val="top"/>
          </w:tcPr>
          <w:p w14:paraId="57C8826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ascii="Times New Roman" w:hAnsi="Times New Roman" w:eastAsia="宋体" w:cs="Times New Roman"/>
                <w:b/>
                <w:color w:val="auto"/>
                <w:spacing w:val="0"/>
                <w:sz w:val="24"/>
                <w:szCs w:val="24"/>
                <w:highlight w:val="none"/>
                <w:lang w:val="en-US" w:eastAsia="zh-CN"/>
              </w:rPr>
              <w:t>4.5 废气</w:t>
            </w:r>
          </w:p>
          <w:p w14:paraId="45BD92B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本项目大气污染源产生排放情况见表4.5-1。</w:t>
            </w:r>
          </w:p>
          <w:p w14:paraId="55BD2A6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黑体" w:cs="Times New Roman"/>
                <w:b w:val="0"/>
                <w:bCs/>
                <w:color w:val="auto"/>
                <w:sz w:val="21"/>
                <w:szCs w:val="16"/>
                <w:highlight w:val="none"/>
                <w:lang w:val="en-US" w:eastAsia="zh-CN"/>
              </w:rPr>
            </w:pPr>
            <w:r>
              <w:rPr>
                <w:rFonts w:hint="default" w:ascii="Times New Roman" w:hAnsi="Times New Roman" w:eastAsia="黑体" w:cs="Times New Roman"/>
                <w:b w:val="0"/>
                <w:bCs/>
                <w:color w:val="auto"/>
                <w:sz w:val="21"/>
                <w:szCs w:val="16"/>
                <w:highlight w:val="none"/>
                <w:lang w:val="en-US" w:eastAsia="zh-CN"/>
              </w:rPr>
              <w:t>表</w:t>
            </w:r>
            <w:r>
              <w:rPr>
                <w:rFonts w:hint="eastAsia" w:ascii="Times New Roman" w:hAnsi="Times New Roman" w:eastAsia="黑体" w:cs="Times New Roman"/>
                <w:b w:val="0"/>
                <w:bCs/>
                <w:color w:val="auto"/>
                <w:sz w:val="21"/>
                <w:szCs w:val="16"/>
                <w:highlight w:val="none"/>
                <w:lang w:val="en-US" w:eastAsia="zh-CN"/>
              </w:rPr>
              <w:t>4.5-1</w:t>
            </w:r>
            <w:r>
              <w:rPr>
                <w:rFonts w:hint="default" w:ascii="Times New Roman" w:hAnsi="Times New Roman" w:eastAsia="黑体" w:cs="Times New Roman"/>
                <w:b w:val="0"/>
                <w:bCs/>
                <w:color w:val="auto"/>
                <w:sz w:val="21"/>
                <w:szCs w:val="16"/>
                <w:highlight w:val="none"/>
                <w:lang w:val="en-US" w:eastAsia="zh-CN"/>
              </w:rPr>
              <w:t xml:space="preserve">  </w:t>
            </w:r>
            <w:r>
              <w:rPr>
                <w:rFonts w:hint="eastAsia" w:ascii="Times New Roman" w:hAnsi="Times New Roman" w:eastAsia="黑体" w:cs="Times New Roman"/>
                <w:b w:val="0"/>
                <w:bCs/>
                <w:color w:val="auto"/>
                <w:sz w:val="21"/>
                <w:szCs w:val="16"/>
                <w:highlight w:val="none"/>
                <w:lang w:val="en-US" w:eastAsia="zh-CN"/>
              </w:rPr>
              <w:t>大气</w:t>
            </w:r>
            <w:r>
              <w:rPr>
                <w:rFonts w:hint="default" w:ascii="Times New Roman" w:hAnsi="Times New Roman" w:eastAsia="黑体" w:cs="Times New Roman"/>
                <w:b w:val="0"/>
                <w:bCs/>
                <w:color w:val="auto"/>
                <w:sz w:val="21"/>
                <w:szCs w:val="16"/>
                <w:highlight w:val="none"/>
                <w:lang w:val="en-US" w:eastAsia="zh-CN"/>
              </w:rPr>
              <w:t>污染源产生排放情况表</w:t>
            </w:r>
          </w:p>
          <w:tbl>
            <w:tblPr>
              <w:tblStyle w:val="24"/>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0"/>
              <w:gridCol w:w="1006"/>
              <w:gridCol w:w="872"/>
              <w:gridCol w:w="913"/>
              <w:gridCol w:w="851"/>
              <w:gridCol w:w="722"/>
              <w:gridCol w:w="1297"/>
              <w:gridCol w:w="645"/>
              <w:gridCol w:w="604"/>
              <w:gridCol w:w="862"/>
              <w:gridCol w:w="924"/>
              <w:gridCol w:w="882"/>
              <w:gridCol w:w="777"/>
              <w:gridCol w:w="848"/>
              <w:gridCol w:w="750"/>
              <w:gridCol w:w="728"/>
              <w:gridCol w:w="637"/>
            </w:tblGrid>
            <w:tr w14:paraId="2C258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vMerge w:val="restart"/>
                  <w:tcBorders>
                    <w:tl2br w:val="nil"/>
                    <w:tr2bl w:val="nil"/>
                  </w:tcBorders>
                  <w:noWrap w:val="0"/>
                  <w:vAlign w:val="center"/>
                </w:tcPr>
                <w:p w14:paraId="7E56444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序号</w:t>
                  </w:r>
                </w:p>
              </w:tc>
              <w:tc>
                <w:tcPr>
                  <w:tcW w:w="365" w:type="pct"/>
                  <w:vMerge w:val="restart"/>
                  <w:tcBorders>
                    <w:tl2br w:val="nil"/>
                    <w:tr2bl w:val="nil"/>
                  </w:tcBorders>
                  <w:noWrap w:val="0"/>
                  <w:vAlign w:val="center"/>
                </w:tcPr>
                <w:p w14:paraId="4D64BB9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产排污环节</w:t>
                  </w:r>
                </w:p>
              </w:tc>
              <w:tc>
                <w:tcPr>
                  <w:tcW w:w="316" w:type="pct"/>
                  <w:vMerge w:val="restart"/>
                  <w:tcBorders>
                    <w:tl2br w:val="nil"/>
                    <w:tr2bl w:val="nil"/>
                  </w:tcBorders>
                  <w:noWrap w:val="0"/>
                  <w:vAlign w:val="center"/>
                </w:tcPr>
                <w:p w14:paraId="412C0D5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w:t>
                  </w:r>
                </w:p>
                <w:p w14:paraId="66CE320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种类</w:t>
                  </w:r>
                </w:p>
              </w:tc>
              <w:tc>
                <w:tcPr>
                  <w:tcW w:w="331" w:type="pct"/>
                  <w:vMerge w:val="restart"/>
                  <w:tcBorders>
                    <w:tl2br w:val="nil"/>
                    <w:tr2bl w:val="nil"/>
                  </w:tcBorders>
                  <w:noWrap w:val="0"/>
                  <w:vAlign w:val="center"/>
                </w:tcPr>
                <w:p w14:paraId="74A3B25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污染物产生浓度mg/m</w:t>
                  </w:r>
                  <w:r>
                    <w:rPr>
                      <w:rFonts w:ascii="Times New Roman" w:hAnsi="Times New Roman" w:eastAsia="宋体" w:cs="Times New Roman"/>
                      <w:color w:val="auto"/>
                      <w:kern w:val="2"/>
                      <w:sz w:val="21"/>
                      <w:szCs w:val="21"/>
                      <w:highlight w:val="none"/>
                      <w:vertAlign w:val="superscript"/>
                      <w:lang w:val="en-US" w:eastAsia="zh-CN" w:bidi="ar-SA"/>
                    </w:rPr>
                    <w:t>3</w:t>
                  </w:r>
                </w:p>
              </w:tc>
              <w:tc>
                <w:tcPr>
                  <w:tcW w:w="308" w:type="pct"/>
                  <w:vMerge w:val="restart"/>
                  <w:tcBorders>
                    <w:tl2br w:val="nil"/>
                    <w:tr2bl w:val="nil"/>
                  </w:tcBorders>
                  <w:noWrap w:val="0"/>
                  <w:vAlign w:val="center"/>
                </w:tcPr>
                <w:p w14:paraId="47401D0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污染物产生</w:t>
                  </w:r>
                  <w:r>
                    <w:rPr>
                      <w:rFonts w:hint="eastAsia" w:ascii="Times New Roman" w:hAnsi="Times New Roman" w:eastAsia="宋体" w:cs="Times New Roman"/>
                      <w:color w:val="auto"/>
                      <w:kern w:val="2"/>
                      <w:sz w:val="21"/>
                      <w:szCs w:val="21"/>
                      <w:highlight w:val="none"/>
                      <w:lang w:val="en-US" w:eastAsia="zh-CN" w:bidi="ar-SA"/>
                    </w:rPr>
                    <w:t>速率kg/h</w:t>
                  </w:r>
                </w:p>
              </w:tc>
              <w:tc>
                <w:tcPr>
                  <w:tcW w:w="262" w:type="pct"/>
                  <w:vMerge w:val="restart"/>
                  <w:tcBorders>
                    <w:tl2br w:val="nil"/>
                    <w:tr2bl w:val="nil"/>
                  </w:tcBorders>
                  <w:noWrap w:val="0"/>
                  <w:vAlign w:val="center"/>
                </w:tcPr>
                <w:p w14:paraId="05E2181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排放</w:t>
                  </w:r>
                </w:p>
                <w:p w14:paraId="199152F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方式</w:t>
                  </w:r>
                </w:p>
              </w:tc>
              <w:tc>
                <w:tcPr>
                  <w:tcW w:w="1572" w:type="pct"/>
                  <w:gridSpan w:val="5"/>
                  <w:tcBorders>
                    <w:tl2br w:val="nil"/>
                    <w:tr2bl w:val="nil"/>
                  </w:tcBorders>
                  <w:noWrap w:val="0"/>
                  <w:vAlign w:val="center"/>
                </w:tcPr>
                <w:p w14:paraId="3F887BE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治理设施</w:t>
                  </w:r>
                </w:p>
              </w:tc>
              <w:tc>
                <w:tcPr>
                  <w:tcW w:w="320" w:type="pct"/>
                  <w:vMerge w:val="restart"/>
                  <w:tcBorders>
                    <w:tl2br w:val="nil"/>
                    <w:tr2bl w:val="nil"/>
                  </w:tcBorders>
                  <w:noWrap w:val="0"/>
                  <w:vAlign w:val="center"/>
                </w:tcPr>
                <w:p w14:paraId="0078294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污染物排放浓度mg/m</w:t>
                  </w:r>
                  <w:r>
                    <w:rPr>
                      <w:rFonts w:ascii="Times New Roman" w:hAnsi="Times New Roman" w:eastAsia="宋体" w:cs="Times New Roman"/>
                      <w:color w:val="auto"/>
                      <w:kern w:val="2"/>
                      <w:sz w:val="21"/>
                      <w:szCs w:val="21"/>
                      <w:highlight w:val="none"/>
                      <w:vertAlign w:val="superscript"/>
                      <w:lang w:val="en-US" w:eastAsia="zh-CN" w:bidi="ar-SA"/>
                    </w:rPr>
                    <w:t>3</w:t>
                  </w:r>
                </w:p>
              </w:tc>
              <w:tc>
                <w:tcPr>
                  <w:tcW w:w="281" w:type="pct"/>
                  <w:vMerge w:val="restart"/>
                  <w:tcBorders>
                    <w:tl2br w:val="nil"/>
                    <w:tr2bl w:val="nil"/>
                  </w:tcBorders>
                  <w:noWrap w:val="0"/>
                  <w:vAlign w:val="center"/>
                </w:tcPr>
                <w:p w14:paraId="7D71AD4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w:t>
                  </w:r>
                  <w:r>
                    <w:rPr>
                      <w:rFonts w:hint="eastAsia" w:ascii="Times New Roman" w:hAnsi="Times New Roman" w:eastAsia="宋体" w:cs="Times New Roman"/>
                      <w:color w:val="auto"/>
                      <w:kern w:val="2"/>
                      <w:sz w:val="21"/>
                      <w:szCs w:val="21"/>
                      <w:highlight w:val="none"/>
                      <w:lang w:val="en-US" w:eastAsia="zh-CN" w:bidi="ar-SA"/>
                    </w:rPr>
                    <w:t>排放速率kg/h</w:t>
                  </w:r>
                </w:p>
              </w:tc>
              <w:tc>
                <w:tcPr>
                  <w:tcW w:w="307" w:type="pct"/>
                  <w:vMerge w:val="restart"/>
                  <w:tcBorders>
                    <w:tl2br w:val="nil"/>
                    <w:tr2bl w:val="nil"/>
                  </w:tcBorders>
                  <w:noWrap w:val="0"/>
                  <w:vAlign w:val="center"/>
                </w:tcPr>
                <w:p w14:paraId="2EC0922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年运行时间h</w:t>
                  </w:r>
                </w:p>
              </w:tc>
              <w:tc>
                <w:tcPr>
                  <w:tcW w:w="272" w:type="pct"/>
                  <w:vMerge w:val="restart"/>
                  <w:tcBorders>
                    <w:tl2br w:val="nil"/>
                    <w:tr2bl w:val="nil"/>
                  </w:tcBorders>
                  <w:noWrap w:val="0"/>
                  <w:vAlign w:val="center"/>
                </w:tcPr>
                <w:p w14:paraId="19AEC56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污染物排放量t/a</w:t>
                  </w:r>
                </w:p>
              </w:tc>
              <w:tc>
                <w:tcPr>
                  <w:tcW w:w="264" w:type="pct"/>
                  <w:vMerge w:val="restart"/>
                  <w:tcBorders>
                    <w:tl2br w:val="nil"/>
                    <w:tr2bl w:val="nil"/>
                  </w:tcBorders>
                  <w:noWrap w:val="0"/>
                  <w:vAlign w:val="center"/>
                </w:tcPr>
                <w:p w14:paraId="45D953A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排放口</w:t>
                  </w:r>
                  <w:r>
                    <w:rPr>
                      <w:rFonts w:hint="eastAsia" w:ascii="Times New Roman" w:hAnsi="Times New Roman" w:eastAsia="宋体" w:cs="Times New Roman"/>
                      <w:color w:val="auto"/>
                      <w:kern w:val="2"/>
                      <w:sz w:val="21"/>
                      <w:szCs w:val="21"/>
                      <w:highlight w:val="none"/>
                      <w:lang w:val="en-US" w:eastAsia="zh-CN" w:bidi="ar-SA"/>
                    </w:rPr>
                    <w:t>编号</w:t>
                  </w:r>
                </w:p>
              </w:tc>
              <w:tc>
                <w:tcPr>
                  <w:tcW w:w="231" w:type="pct"/>
                  <w:vMerge w:val="restart"/>
                  <w:tcBorders>
                    <w:tl2br w:val="nil"/>
                    <w:tr2bl w:val="nil"/>
                  </w:tcBorders>
                  <w:noWrap w:val="0"/>
                  <w:vAlign w:val="center"/>
                </w:tcPr>
                <w:p w14:paraId="0911B67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排放标准mg/m</w:t>
                  </w:r>
                  <w:r>
                    <w:rPr>
                      <w:rFonts w:ascii="Times New Roman" w:hAnsi="Times New Roman" w:eastAsia="宋体" w:cs="Times New Roman"/>
                      <w:color w:val="auto"/>
                      <w:kern w:val="2"/>
                      <w:sz w:val="21"/>
                      <w:szCs w:val="21"/>
                      <w:highlight w:val="none"/>
                      <w:vertAlign w:val="superscript"/>
                      <w:lang w:val="en-US" w:eastAsia="zh-CN" w:bidi="ar-SA"/>
                    </w:rPr>
                    <w:t>3</w:t>
                  </w:r>
                </w:p>
              </w:tc>
            </w:tr>
            <w:tr w14:paraId="169DC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vMerge w:val="continue"/>
                  <w:tcBorders>
                    <w:tl2br w:val="nil"/>
                    <w:tr2bl w:val="nil"/>
                  </w:tcBorders>
                  <w:noWrap w:val="0"/>
                  <w:vAlign w:val="center"/>
                </w:tcPr>
                <w:p w14:paraId="38B34AF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365" w:type="pct"/>
                  <w:vMerge w:val="continue"/>
                  <w:tcBorders>
                    <w:tl2br w:val="nil"/>
                    <w:tr2bl w:val="nil"/>
                  </w:tcBorders>
                  <w:noWrap w:val="0"/>
                  <w:vAlign w:val="center"/>
                </w:tcPr>
                <w:p w14:paraId="691F510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316" w:type="pct"/>
                  <w:vMerge w:val="continue"/>
                  <w:tcBorders>
                    <w:tl2br w:val="nil"/>
                    <w:tr2bl w:val="nil"/>
                  </w:tcBorders>
                  <w:noWrap w:val="0"/>
                  <w:vAlign w:val="center"/>
                </w:tcPr>
                <w:p w14:paraId="51E5F7E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331" w:type="pct"/>
                  <w:vMerge w:val="continue"/>
                  <w:tcBorders>
                    <w:tl2br w:val="nil"/>
                    <w:tr2bl w:val="nil"/>
                  </w:tcBorders>
                  <w:noWrap w:val="0"/>
                  <w:vAlign w:val="center"/>
                </w:tcPr>
                <w:p w14:paraId="05696BC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308" w:type="pct"/>
                  <w:vMerge w:val="continue"/>
                  <w:tcBorders>
                    <w:tl2br w:val="nil"/>
                    <w:tr2bl w:val="nil"/>
                  </w:tcBorders>
                  <w:noWrap w:val="0"/>
                  <w:vAlign w:val="center"/>
                </w:tcPr>
                <w:p w14:paraId="60000A4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262" w:type="pct"/>
                  <w:vMerge w:val="continue"/>
                  <w:tcBorders>
                    <w:tl2br w:val="nil"/>
                    <w:tr2bl w:val="nil"/>
                  </w:tcBorders>
                  <w:noWrap w:val="0"/>
                  <w:vAlign w:val="center"/>
                </w:tcPr>
                <w:p w14:paraId="2863D1D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470" w:type="pct"/>
                  <w:tcBorders>
                    <w:tl2br w:val="nil"/>
                    <w:tr2bl w:val="nil"/>
                  </w:tcBorders>
                  <w:noWrap w:val="0"/>
                  <w:vAlign w:val="center"/>
                </w:tcPr>
                <w:p w14:paraId="5F873DD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污染防治设施</w:t>
                  </w:r>
                </w:p>
              </w:tc>
              <w:tc>
                <w:tcPr>
                  <w:tcW w:w="234" w:type="pct"/>
                  <w:tcBorders>
                    <w:tl2br w:val="nil"/>
                    <w:tr2bl w:val="nil"/>
                  </w:tcBorders>
                  <w:noWrap w:val="0"/>
                  <w:vAlign w:val="center"/>
                </w:tcPr>
                <w:p w14:paraId="7410E92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风量</w:t>
                  </w:r>
                </w:p>
                <w:p w14:paraId="24E5A33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/h</w:t>
                  </w:r>
                </w:p>
              </w:tc>
              <w:tc>
                <w:tcPr>
                  <w:tcW w:w="219" w:type="pct"/>
                  <w:tcBorders>
                    <w:tl2br w:val="nil"/>
                    <w:tr2bl w:val="nil"/>
                  </w:tcBorders>
                  <w:noWrap w:val="0"/>
                  <w:vAlign w:val="center"/>
                </w:tcPr>
                <w:p w14:paraId="0D31304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收集效率</w:t>
                  </w:r>
                </w:p>
              </w:tc>
              <w:tc>
                <w:tcPr>
                  <w:tcW w:w="312" w:type="pct"/>
                  <w:tcBorders>
                    <w:tl2br w:val="nil"/>
                    <w:tr2bl w:val="nil"/>
                  </w:tcBorders>
                  <w:noWrap w:val="0"/>
                  <w:vAlign w:val="center"/>
                </w:tcPr>
                <w:p w14:paraId="4C47400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治理工艺去除率</w:t>
                  </w:r>
                </w:p>
              </w:tc>
              <w:tc>
                <w:tcPr>
                  <w:tcW w:w="335" w:type="pct"/>
                  <w:tcBorders>
                    <w:tl2br w:val="nil"/>
                    <w:tr2bl w:val="nil"/>
                  </w:tcBorders>
                  <w:noWrap w:val="0"/>
                  <w:vAlign w:val="center"/>
                </w:tcPr>
                <w:p w14:paraId="13864F1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是否为可行技术</w:t>
                  </w:r>
                </w:p>
              </w:tc>
              <w:tc>
                <w:tcPr>
                  <w:tcW w:w="320" w:type="pct"/>
                  <w:vMerge w:val="continue"/>
                  <w:tcBorders>
                    <w:tl2br w:val="nil"/>
                    <w:tr2bl w:val="nil"/>
                  </w:tcBorders>
                  <w:noWrap w:val="0"/>
                  <w:vAlign w:val="center"/>
                </w:tcPr>
                <w:p w14:paraId="6CFD1F2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281" w:type="pct"/>
                  <w:vMerge w:val="continue"/>
                  <w:tcBorders>
                    <w:tl2br w:val="nil"/>
                    <w:tr2bl w:val="nil"/>
                  </w:tcBorders>
                  <w:noWrap w:val="0"/>
                  <w:vAlign w:val="center"/>
                </w:tcPr>
                <w:p w14:paraId="263241A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307" w:type="pct"/>
                  <w:vMerge w:val="continue"/>
                  <w:tcBorders>
                    <w:tl2br w:val="nil"/>
                    <w:tr2bl w:val="nil"/>
                  </w:tcBorders>
                  <w:noWrap w:val="0"/>
                  <w:vAlign w:val="center"/>
                </w:tcPr>
                <w:p w14:paraId="3911736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272" w:type="pct"/>
                  <w:vMerge w:val="continue"/>
                  <w:tcBorders>
                    <w:tl2br w:val="nil"/>
                    <w:tr2bl w:val="nil"/>
                  </w:tcBorders>
                  <w:noWrap w:val="0"/>
                  <w:vAlign w:val="center"/>
                </w:tcPr>
                <w:p w14:paraId="1CE7CE3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264" w:type="pct"/>
                  <w:vMerge w:val="continue"/>
                  <w:tcBorders>
                    <w:tl2br w:val="nil"/>
                    <w:tr2bl w:val="nil"/>
                  </w:tcBorders>
                  <w:noWrap w:val="0"/>
                  <w:vAlign w:val="center"/>
                </w:tcPr>
                <w:p w14:paraId="4E4C191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c>
                <w:tcPr>
                  <w:tcW w:w="231" w:type="pct"/>
                  <w:vMerge w:val="continue"/>
                  <w:tcBorders>
                    <w:tl2br w:val="nil"/>
                    <w:tr2bl w:val="nil"/>
                  </w:tcBorders>
                  <w:noWrap w:val="0"/>
                  <w:vAlign w:val="center"/>
                </w:tcPr>
                <w:p w14:paraId="220F4B4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p>
              </w:tc>
            </w:tr>
            <w:tr w14:paraId="7785F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 w:type="pct"/>
                  <w:tcBorders>
                    <w:tl2br w:val="nil"/>
                    <w:tr2bl w:val="nil"/>
                  </w:tcBorders>
                  <w:noWrap w:val="0"/>
                  <w:vAlign w:val="center"/>
                </w:tcPr>
                <w:p w14:paraId="12A564D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365" w:type="pct"/>
                  <w:tcBorders>
                    <w:tl2br w:val="nil"/>
                    <w:tr2bl w:val="nil"/>
                  </w:tcBorders>
                  <w:noWrap w:val="0"/>
                  <w:vAlign w:val="center"/>
                </w:tcPr>
                <w:p w14:paraId="0B3E107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矸石堆存扬尘</w:t>
                  </w:r>
                </w:p>
              </w:tc>
              <w:tc>
                <w:tcPr>
                  <w:tcW w:w="316" w:type="pct"/>
                  <w:tcBorders>
                    <w:tl2br w:val="nil"/>
                    <w:tr2bl w:val="nil"/>
                  </w:tcBorders>
                  <w:noWrap w:val="0"/>
                  <w:vAlign w:val="center"/>
                </w:tcPr>
                <w:p w14:paraId="6E3F138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2A86A59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noWrap w:val="0"/>
                  <w:vAlign w:val="center"/>
                </w:tcPr>
                <w:p w14:paraId="2E98BD6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62" w:type="pct"/>
                  <w:tcBorders>
                    <w:tl2br w:val="nil"/>
                    <w:tr2bl w:val="nil"/>
                  </w:tcBorders>
                  <w:noWrap w:val="0"/>
                  <w:vAlign w:val="center"/>
                </w:tcPr>
                <w:p w14:paraId="005257B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r>
                    <w:rPr>
                      <w:rFonts w:hint="eastAsia" w:ascii="Times New Roman" w:hAnsi="Times New Roman" w:eastAsia="宋体" w:cs="Times New Roman"/>
                      <w:color w:val="auto"/>
                      <w:kern w:val="2"/>
                      <w:sz w:val="21"/>
                      <w:szCs w:val="21"/>
                      <w:highlight w:val="none"/>
                      <w:lang w:val="en-US" w:eastAsia="zh-CN" w:bidi="ar-SA"/>
                    </w:rPr>
                    <w:t>组织</w:t>
                  </w:r>
                </w:p>
              </w:tc>
              <w:tc>
                <w:tcPr>
                  <w:tcW w:w="1236" w:type="pct"/>
                  <w:gridSpan w:val="4"/>
                  <w:tcBorders>
                    <w:tl2br w:val="nil"/>
                    <w:tr2bl w:val="nil"/>
                  </w:tcBorders>
                  <w:noWrap w:val="0"/>
                  <w:vAlign w:val="center"/>
                </w:tcPr>
                <w:p w14:paraId="7919A59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全封闭储矸棚，地面硬化，棚</w:t>
                  </w:r>
                  <w:r>
                    <w:rPr>
                      <w:rFonts w:hint="eastAsia" w:cs="Times New Roman"/>
                      <w:color w:val="auto"/>
                      <w:kern w:val="2"/>
                      <w:sz w:val="21"/>
                      <w:szCs w:val="21"/>
                      <w:highlight w:val="none"/>
                      <w:lang w:val="en-US" w:eastAsia="zh-CN" w:bidi="ar-SA"/>
                    </w:rPr>
                    <w:t>顶</w:t>
                  </w:r>
                  <w:r>
                    <w:rPr>
                      <w:rFonts w:hint="default" w:ascii="Times New Roman" w:hAnsi="Times New Roman" w:eastAsia="宋体" w:cs="Times New Roman"/>
                      <w:color w:val="auto"/>
                      <w:kern w:val="2"/>
                      <w:sz w:val="21"/>
                      <w:szCs w:val="21"/>
                      <w:highlight w:val="none"/>
                      <w:lang w:val="en-US" w:eastAsia="zh-CN" w:bidi="ar-SA"/>
                    </w:rPr>
                    <w:t>设置1套</w:t>
                  </w:r>
                  <w:r>
                    <w:rPr>
                      <w:rFonts w:hint="eastAsia" w:cs="Times New Roman"/>
                      <w:color w:val="auto"/>
                      <w:kern w:val="2"/>
                      <w:sz w:val="21"/>
                      <w:szCs w:val="21"/>
                      <w:highlight w:val="none"/>
                      <w:lang w:val="en-US" w:eastAsia="zh-CN" w:bidi="ar-SA"/>
                    </w:rPr>
                    <w:t>可覆盖全场的</w:t>
                  </w:r>
                  <w:r>
                    <w:rPr>
                      <w:rFonts w:hint="default" w:ascii="Times New Roman" w:hAnsi="Times New Roman" w:eastAsia="宋体" w:cs="Times New Roman"/>
                      <w:color w:val="auto"/>
                      <w:kern w:val="2"/>
                      <w:sz w:val="21"/>
                      <w:szCs w:val="21"/>
                      <w:highlight w:val="none"/>
                      <w:lang w:val="en-US" w:eastAsia="zh-CN" w:bidi="ar-SA"/>
                    </w:rPr>
                    <w:t>喷雾降尘装置</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顶部布置450个喷头，喷头竖向间距为3.0m，横向间距为2.5m</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，喷雾频次为每2小时1次；定点卸料，</w:t>
                  </w:r>
                  <w:r>
                    <w:rPr>
                      <w:rFonts w:hint="eastAsia" w:cs="Times New Roman"/>
                      <w:color w:val="auto"/>
                      <w:kern w:val="2"/>
                      <w:sz w:val="21"/>
                      <w:szCs w:val="21"/>
                      <w:highlight w:val="none"/>
                      <w:lang w:val="en-US" w:eastAsia="zh-CN" w:bidi="ar-SA"/>
                    </w:rPr>
                    <w:t>保持</w:t>
                  </w:r>
                  <w:r>
                    <w:rPr>
                      <w:rFonts w:hint="default" w:ascii="Times New Roman" w:hAnsi="Times New Roman" w:eastAsia="宋体" w:cs="Times New Roman"/>
                      <w:color w:val="auto"/>
                      <w:kern w:val="2"/>
                      <w:sz w:val="21"/>
                      <w:szCs w:val="21"/>
                      <w:highlight w:val="none"/>
                      <w:lang w:val="en-US" w:eastAsia="zh-CN" w:bidi="ar-SA"/>
                    </w:rPr>
                    <w:t>平缓，卸料过程开启喷雾降尘装置，持续时长为卸料作业时长</w:t>
                  </w:r>
                </w:p>
              </w:tc>
              <w:tc>
                <w:tcPr>
                  <w:tcW w:w="335" w:type="pct"/>
                  <w:tcBorders>
                    <w:tl2br w:val="nil"/>
                    <w:tr2bl w:val="nil"/>
                  </w:tcBorders>
                  <w:noWrap w:val="0"/>
                  <w:vAlign w:val="center"/>
                </w:tcPr>
                <w:p w14:paraId="52698A7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5CD6454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81" w:type="pct"/>
                  <w:tcBorders>
                    <w:tl2br w:val="nil"/>
                    <w:tr2bl w:val="nil"/>
                  </w:tcBorders>
                  <w:noWrap w:val="0"/>
                  <w:vAlign w:val="center"/>
                </w:tcPr>
                <w:p w14:paraId="2736B36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07" w:type="pct"/>
                  <w:tcBorders>
                    <w:tl2br w:val="nil"/>
                    <w:tr2bl w:val="nil"/>
                  </w:tcBorders>
                  <w:noWrap w:val="0"/>
                  <w:vAlign w:val="center"/>
                </w:tcPr>
                <w:p w14:paraId="12B0C5A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72" w:type="pct"/>
                  <w:tcBorders>
                    <w:tl2br w:val="nil"/>
                    <w:tr2bl w:val="nil"/>
                  </w:tcBorders>
                  <w:noWrap w:val="0"/>
                  <w:vAlign w:val="center"/>
                </w:tcPr>
                <w:p w14:paraId="317BBD7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1.514</w:t>
                  </w:r>
                </w:p>
              </w:tc>
              <w:tc>
                <w:tcPr>
                  <w:tcW w:w="264" w:type="pct"/>
                  <w:tcBorders>
                    <w:tl2br w:val="nil"/>
                    <w:tr2bl w:val="nil"/>
                  </w:tcBorders>
                  <w:noWrap w:val="0"/>
                  <w:vAlign w:val="center"/>
                </w:tcPr>
                <w:p w14:paraId="472022E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1" w:type="pct"/>
                  <w:tcBorders>
                    <w:tl2br w:val="nil"/>
                    <w:tr2bl w:val="nil"/>
                  </w:tcBorders>
                  <w:noWrap w:val="0"/>
                  <w:vAlign w:val="center"/>
                </w:tcPr>
                <w:p w14:paraId="12D0C74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r>
            <w:tr w14:paraId="0CC68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124EFA7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365" w:type="pct"/>
                  <w:tcBorders>
                    <w:tl2br w:val="nil"/>
                    <w:tr2bl w:val="nil"/>
                  </w:tcBorders>
                  <w:noWrap w:val="0"/>
                  <w:vAlign w:val="center"/>
                </w:tcPr>
                <w:p w14:paraId="506AE95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矸石受料斗粉尘</w:t>
                  </w:r>
                </w:p>
              </w:tc>
              <w:tc>
                <w:tcPr>
                  <w:tcW w:w="316" w:type="pct"/>
                  <w:tcBorders>
                    <w:tl2br w:val="nil"/>
                    <w:tr2bl w:val="nil"/>
                  </w:tcBorders>
                  <w:noWrap w:val="0"/>
                  <w:vAlign w:val="center"/>
                </w:tcPr>
                <w:p w14:paraId="627EFC9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0341F2B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515.15</w:t>
                  </w:r>
                </w:p>
              </w:tc>
              <w:tc>
                <w:tcPr>
                  <w:tcW w:w="308" w:type="pct"/>
                  <w:tcBorders>
                    <w:tl2br w:val="nil"/>
                    <w:tr2bl w:val="nil"/>
                  </w:tcBorders>
                  <w:noWrap w:val="0"/>
                  <w:vAlign w:val="center"/>
                </w:tcPr>
                <w:p w14:paraId="254756C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13.394</w:t>
                  </w:r>
                </w:p>
              </w:tc>
              <w:tc>
                <w:tcPr>
                  <w:tcW w:w="262" w:type="pct"/>
                  <w:tcBorders>
                    <w:tl2br w:val="nil"/>
                    <w:tr2bl w:val="nil"/>
                  </w:tcBorders>
                  <w:noWrap w:val="0"/>
                  <w:vAlign w:val="center"/>
                </w:tcPr>
                <w:p w14:paraId="6809649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684A0E8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31222C1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260</w:t>
                  </w:r>
                  <w:r>
                    <w:rPr>
                      <w:rFonts w:hint="eastAsia" w:ascii="Times New Roman" w:hAnsi="Times New Roman" w:eastAsia="宋体" w:cs="Times New Roman"/>
                      <w:color w:val="auto"/>
                      <w:kern w:val="2"/>
                      <w:sz w:val="21"/>
                      <w:szCs w:val="21"/>
                      <w:highlight w:val="none"/>
                      <w:lang w:val="en-US" w:eastAsia="zh-CN" w:bidi="ar-SA"/>
                    </w:rPr>
                    <w:t>00</w:t>
                  </w:r>
                </w:p>
              </w:tc>
              <w:tc>
                <w:tcPr>
                  <w:tcW w:w="219" w:type="pct"/>
                  <w:tcBorders>
                    <w:tl2br w:val="nil"/>
                    <w:tr2bl w:val="nil"/>
                  </w:tcBorders>
                  <w:noWrap w:val="0"/>
                  <w:vAlign w:val="center"/>
                </w:tcPr>
                <w:p w14:paraId="6C81F03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r>
                    <w:rPr>
                      <w:rFonts w:hint="eastAsia" w:ascii="Times New Roman" w:hAnsi="Times New Roman" w:eastAsia="宋体" w:cs="Times New Roman"/>
                      <w:color w:val="auto"/>
                      <w:kern w:val="2"/>
                      <w:sz w:val="21"/>
                      <w:szCs w:val="21"/>
                      <w:highlight w:val="none"/>
                      <w:lang w:val="en-US" w:eastAsia="zh-CN" w:bidi="ar-SA"/>
                    </w:rPr>
                    <w:t>%</w:t>
                  </w:r>
                </w:p>
              </w:tc>
              <w:tc>
                <w:tcPr>
                  <w:tcW w:w="312" w:type="pct"/>
                  <w:tcBorders>
                    <w:tl2br w:val="nil"/>
                    <w:tr2bl w:val="nil"/>
                  </w:tcBorders>
                  <w:noWrap w:val="0"/>
                  <w:vAlign w:val="center"/>
                </w:tcPr>
                <w:p w14:paraId="52B85B6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r>
                    <w:rPr>
                      <w:rFonts w:hint="eastAsia" w:cs="Times New Roman"/>
                      <w:color w:val="auto"/>
                      <w:kern w:val="2"/>
                      <w:sz w:val="21"/>
                      <w:szCs w:val="21"/>
                      <w:highlight w:val="none"/>
                      <w:lang w:val="en-US" w:eastAsia="zh-CN" w:bidi="ar-SA"/>
                    </w:rPr>
                    <w:t>7.84</w:t>
                  </w:r>
                  <w:r>
                    <w:rPr>
                      <w:rFonts w:hint="eastAsia" w:ascii="Times New Roman" w:hAnsi="Times New Roman" w:eastAsia="宋体" w:cs="Times New Roman"/>
                      <w:color w:val="auto"/>
                      <w:kern w:val="2"/>
                      <w:sz w:val="21"/>
                      <w:szCs w:val="21"/>
                      <w:highlight w:val="none"/>
                      <w:lang w:val="en-US" w:eastAsia="zh-CN" w:bidi="ar-SA"/>
                    </w:rPr>
                    <w:t>%</w:t>
                  </w:r>
                </w:p>
              </w:tc>
              <w:tc>
                <w:tcPr>
                  <w:tcW w:w="335" w:type="pct"/>
                  <w:tcBorders>
                    <w:tl2br w:val="nil"/>
                    <w:tr2bl w:val="nil"/>
                  </w:tcBorders>
                  <w:noWrap w:val="0"/>
                  <w:vAlign w:val="center"/>
                </w:tcPr>
                <w:p w14:paraId="22F7C85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2A1330B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281" w:type="pct"/>
                  <w:tcBorders>
                    <w:tl2br w:val="nil"/>
                    <w:tr2bl w:val="nil"/>
                  </w:tcBorders>
                  <w:noWrap w:val="0"/>
                  <w:vAlign w:val="center"/>
                </w:tcPr>
                <w:p w14:paraId="1525473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0.26</w:t>
                  </w:r>
                </w:p>
              </w:tc>
              <w:tc>
                <w:tcPr>
                  <w:tcW w:w="307" w:type="pct"/>
                  <w:tcBorders>
                    <w:tl2br w:val="nil"/>
                    <w:tr2bl w:val="nil"/>
                  </w:tcBorders>
                  <w:noWrap w:val="0"/>
                  <w:vAlign w:val="center"/>
                </w:tcPr>
                <w:p w14:paraId="05742B2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3300</w:t>
                  </w:r>
                </w:p>
              </w:tc>
              <w:tc>
                <w:tcPr>
                  <w:tcW w:w="272" w:type="pct"/>
                  <w:tcBorders>
                    <w:tl2br w:val="nil"/>
                    <w:tr2bl w:val="nil"/>
                  </w:tcBorders>
                  <w:noWrap w:val="0"/>
                  <w:vAlign w:val="center"/>
                </w:tcPr>
                <w:p w14:paraId="2867D1D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0.858</w:t>
                  </w:r>
                </w:p>
              </w:tc>
              <w:tc>
                <w:tcPr>
                  <w:tcW w:w="264" w:type="pct"/>
                  <w:tcBorders>
                    <w:tl2br w:val="nil"/>
                    <w:tr2bl w:val="nil"/>
                  </w:tcBorders>
                  <w:noWrap w:val="0"/>
                  <w:vAlign w:val="center"/>
                </w:tcPr>
                <w:p w14:paraId="2C30E97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DA001</w:t>
                  </w:r>
                </w:p>
              </w:tc>
              <w:tc>
                <w:tcPr>
                  <w:tcW w:w="231" w:type="pct"/>
                  <w:tcBorders>
                    <w:tl2br w:val="nil"/>
                    <w:tr2bl w:val="nil"/>
                  </w:tcBorders>
                  <w:noWrap w:val="0"/>
                  <w:vAlign w:val="center"/>
                </w:tcPr>
                <w:p w14:paraId="3545757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3F2E2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50BFE8E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365" w:type="pct"/>
                  <w:tcBorders>
                    <w:tl2br w:val="nil"/>
                    <w:tr2bl w:val="nil"/>
                  </w:tcBorders>
                  <w:noWrap w:val="0"/>
                  <w:vAlign w:val="center"/>
                </w:tcPr>
                <w:p w14:paraId="3E94959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0449140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03B91A2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613E621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72C32CA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4D293B1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57907E0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18E67C2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1D3DE0C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30F1D82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2C89A866">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4613F847">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27D1B394">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restart"/>
                  <w:tcBorders>
                    <w:tl2br w:val="nil"/>
                    <w:tr2bl w:val="nil"/>
                  </w:tcBorders>
                  <w:noWrap w:val="0"/>
                  <w:vAlign w:val="center"/>
                </w:tcPr>
                <w:p w14:paraId="3FA7C54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0.074</w:t>
                  </w:r>
                </w:p>
              </w:tc>
              <w:tc>
                <w:tcPr>
                  <w:tcW w:w="264" w:type="pct"/>
                  <w:tcBorders>
                    <w:tl2br w:val="nil"/>
                    <w:tr2bl w:val="nil"/>
                  </w:tcBorders>
                  <w:noWrap w:val="0"/>
                  <w:vAlign w:val="center"/>
                </w:tcPr>
                <w:p w14:paraId="7ADA69A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DA002</w:t>
                  </w:r>
                </w:p>
              </w:tc>
              <w:tc>
                <w:tcPr>
                  <w:tcW w:w="231" w:type="pct"/>
                  <w:tcBorders>
                    <w:tl2br w:val="nil"/>
                    <w:tr2bl w:val="nil"/>
                  </w:tcBorders>
                  <w:noWrap w:val="0"/>
                  <w:vAlign w:val="center"/>
                </w:tcPr>
                <w:p w14:paraId="34B5C53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400D1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24C5F08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365" w:type="pct"/>
                  <w:tcBorders>
                    <w:tl2br w:val="nil"/>
                    <w:tr2bl w:val="nil"/>
                  </w:tcBorders>
                  <w:noWrap w:val="0"/>
                  <w:vAlign w:val="center"/>
                </w:tcPr>
                <w:p w14:paraId="68B9243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4A8E3D6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2825E5D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7B191E2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079FB4D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06A9695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46A12C8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74FEA24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1FFEC8C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1B8CFF8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23120A2A">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6D8FAF3E">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1771209A">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continue"/>
                  <w:tcBorders>
                    <w:tl2br w:val="nil"/>
                    <w:tr2bl w:val="nil"/>
                  </w:tcBorders>
                  <w:noWrap w:val="0"/>
                  <w:vAlign w:val="center"/>
                </w:tcPr>
                <w:p w14:paraId="10994F0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264" w:type="pct"/>
                  <w:tcBorders>
                    <w:tl2br w:val="nil"/>
                    <w:tr2bl w:val="nil"/>
                  </w:tcBorders>
                  <w:noWrap w:val="0"/>
                  <w:vAlign w:val="center"/>
                </w:tcPr>
                <w:p w14:paraId="2341700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3</w:t>
                  </w:r>
                </w:p>
              </w:tc>
              <w:tc>
                <w:tcPr>
                  <w:tcW w:w="231" w:type="pct"/>
                  <w:tcBorders>
                    <w:tl2br w:val="nil"/>
                    <w:tr2bl w:val="nil"/>
                  </w:tcBorders>
                  <w:noWrap w:val="0"/>
                  <w:vAlign w:val="center"/>
                </w:tcPr>
                <w:p w14:paraId="0AD2DE8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034DD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310EBDF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365" w:type="pct"/>
                  <w:tcBorders>
                    <w:tl2br w:val="nil"/>
                    <w:tr2bl w:val="nil"/>
                  </w:tcBorders>
                  <w:noWrap w:val="0"/>
                  <w:vAlign w:val="center"/>
                </w:tcPr>
                <w:p w14:paraId="24A13A7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50E486F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36418D7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05D2F4D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3AE9570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7BA29C8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73B3E8B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0E7CAC0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0456FF1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5D02301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616F9625">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631B7EAA">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79E5F57E">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continue"/>
                  <w:tcBorders>
                    <w:tl2br w:val="nil"/>
                    <w:tr2bl w:val="nil"/>
                  </w:tcBorders>
                  <w:noWrap w:val="0"/>
                  <w:vAlign w:val="center"/>
                </w:tcPr>
                <w:p w14:paraId="3972212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264" w:type="pct"/>
                  <w:tcBorders>
                    <w:tl2br w:val="nil"/>
                    <w:tr2bl w:val="nil"/>
                  </w:tcBorders>
                  <w:noWrap w:val="0"/>
                  <w:vAlign w:val="center"/>
                </w:tcPr>
                <w:p w14:paraId="3503C40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4</w:t>
                  </w:r>
                </w:p>
              </w:tc>
              <w:tc>
                <w:tcPr>
                  <w:tcW w:w="231" w:type="pct"/>
                  <w:tcBorders>
                    <w:tl2br w:val="nil"/>
                    <w:tr2bl w:val="nil"/>
                  </w:tcBorders>
                  <w:noWrap w:val="0"/>
                  <w:vAlign w:val="center"/>
                </w:tcPr>
                <w:p w14:paraId="4E733A3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1FF82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2786AAF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365" w:type="pct"/>
                  <w:tcBorders>
                    <w:tl2br w:val="nil"/>
                    <w:tr2bl w:val="nil"/>
                  </w:tcBorders>
                  <w:noWrap w:val="0"/>
                  <w:vAlign w:val="center"/>
                </w:tcPr>
                <w:p w14:paraId="36BD168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1B043A4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63391D6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4217CB3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27FB136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3339CFD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7D2F510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14C7E86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1030357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4C1F977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3BFA634A">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64418DBD">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3607C826">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continue"/>
                  <w:tcBorders>
                    <w:tl2br w:val="nil"/>
                    <w:tr2bl w:val="nil"/>
                  </w:tcBorders>
                  <w:noWrap w:val="0"/>
                  <w:vAlign w:val="center"/>
                </w:tcPr>
                <w:p w14:paraId="297B7B6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264" w:type="pct"/>
                  <w:tcBorders>
                    <w:tl2br w:val="nil"/>
                    <w:tr2bl w:val="nil"/>
                  </w:tcBorders>
                  <w:noWrap w:val="0"/>
                  <w:vAlign w:val="center"/>
                </w:tcPr>
                <w:p w14:paraId="0E86FBD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5</w:t>
                  </w:r>
                </w:p>
              </w:tc>
              <w:tc>
                <w:tcPr>
                  <w:tcW w:w="231" w:type="pct"/>
                  <w:tcBorders>
                    <w:tl2br w:val="nil"/>
                    <w:tr2bl w:val="nil"/>
                  </w:tcBorders>
                  <w:noWrap w:val="0"/>
                  <w:vAlign w:val="center"/>
                </w:tcPr>
                <w:p w14:paraId="70245E8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5060A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494D42A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365" w:type="pct"/>
                  <w:tcBorders>
                    <w:tl2br w:val="nil"/>
                    <w:tr2bl w:val="nil"/>
                  </w:tcBorders>
                  <w:noWrap w:val="0"/>
                  <w:vAlign w:val="center"/>
                </w:tcPr>
                <w:p w14:paraId="62BA13E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5222F2F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1A5546C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2B9B3A3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6857B47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6F23F05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1DCFAFA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6C842A5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784CF88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6E14EE9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7ACA535B">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337B306A">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0C9EE474">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continue"/>
                  <w:tcBorders>
                    <w:tl2br w:val="nil"/>
                    <w:tr2bl w:val="nil"/>
                  </w:tcBorders>
                  <w:noWrap w:val="0"/>
                  <w:vAlign w:val="center"/>
                </w:tcPr>
                <w:p w14:paraId="2A3DCCB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264" w:type="pct"/>
                  <w:tcBorders>
                    <w:tl2br w:val="nil"/>
                    <w:tr2bl w:val="nil"/>
                  </w:tcBorders>
                  <w:noWrap w:val="0"/>
                  <w:vAlign w:val="center"/>
                </w:tcPr>
                <w:p w14:paraId="6538690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6</w:t>
                  </w:r>
                </w:p>
              </w:tc>
              <w:tc>
                <w:tcPr>
                  <w:tcW w:w="231" w:type="pct"/>
                  <w:tcBorders>
                    <w:tl2br w:val="nil"/>
                    <w:tr2bl w:val="nil"/>
                  </w:tcBorders>
                  <w:noWrap w:val="0"/>
                  <w:vAlign w:val="center"/>
                </w:tcPr>
                <w:p w14:paraId="20C0C4D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270F6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04BE04B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365" w:type="pct"/>
                  <w:tcBorders>
                    <w:tl2br w:val="nil"/>
                    <w:tr2bl w:val="nil"/>
                  </w:tcBorders>
                  <w:noWrap w:val="0"/>
                  <w:vAlign w:val="center"/>
                </w:tcPr>
                <w:p w14:paraId="5DDCE4C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316" w:type="pct"/>
                  <w:tcBorders>
                    <w:tl2br w:val="nil"/>
                    <w:tr2bl w:val="nil"/>
                  </w:tcBorders>
                  <w:noWrap w:val="0"/>
                  <w:vAlign w:val="center"/>
                </w:tcPr>
                <w:p w14:paraId="618E73C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42A99B6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308" w:type="pct"/>
                  <w:tcBorders>
                    <w:tl2br w:val="nil"/>
                    <w:tr2bl w:val="nil"/>
                  </w:tcBorders>
                  <w:noWrap w:val="0"/>
                  <w:vAlign w:val="center"/>
                </w:tcPr>
                <w:p w14:paraId="10ADA80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62" w:type="pct"/>
                  <w:tcBorders>
                    <w:tl2br w:val="nil"/>
                    <w:tr2bl w:val="nil"/>
                  </w:tcBorders>
                  <w:noWrap w:val="0"/>
                  <w:vAlign w:val="center"/>
                </w:tcPr>
                <w:p w14:paraId="6915AB3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6F0305F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407F3F9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p>
              </w:tc>
              <w:tc>
                <w:tcPr>
                  <w:tcW w:w="219" w:type="pct"/>
                  <w:tcBorders>
                    <w:tl2br w:val="nil"/>
                    <w:tr2bl w:val="nil"/>
                  </w:tcBorders>
                  <w:noWrap w:val="0"/>
                  <w:vAlign w:val="center"/>
                </w:tcPr>
                <w:p w14:paraId="1F3EBA5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312" w:type="pct"/>
                  <w:tcBorders>
                    <w:tl2br w:val="nil"/>
                    <w:tr2bl w:val="nil"/>
                  </w:tcBorders>
                  <w:noWrap w:val="0"/>
                  <w:vAlign w:val="center"/>
                </w:tcPr>
                <w:p w14:paraId="6B19235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99.38%</w:t>
                  </w:r>
                </w:p>
              </w:tc>
              <w:tc>
                <w:tcPr>
                  <w:tcW w:w="335" w:type="pct"/>
                  <w:tcBorders>
                    <w:tl2br w:val="nil"/>
                    <w:tr2bl w:val="nil"/>
                  </w:tcBorders>
                  <w:noWrap w:val="0"/>
                  <w:vAlign w:val="center"/>
                </w:tcPr>
                <w:p w14:paraId="1E398EE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032AEDA4">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595D1F9F">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0.025</w:t>
                  </w:r>
                </w:p>
              </w:tc>
              <w:tc>
                <w:tcPr>
                  <w:tcW w:w="307" w:type="pct"/>
                  <w:tcBorders>
                    <w:tl2br w:val="nil"/>
                    <w:tr2bl w:val="nil"/>
                  </w:tcBorders>
                  <w:noWrap w:val="0"/>
                  <w:vAlign w:val="center"/>
                </w:tcPr>
                <w:p w14:paraId="5BB55A66">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474</w:t>
                  </w:r>
                </w:p>
              </w:tc>
              <w:tc>
                <w:tcPr>
                  <w:tcW w:w="272" w:type="pct"/>
                  <w:vMerge w:val="continue"/>
                  <w:tcBorders>
                    <w:tl2br w:val="nil"/>
                    <w:tr2bl w:val="nil"/>
                  </w:tcBorders>
                  <w:noWrap w:val="0"/>
                  <w:vAlign w:val="center"/>
                </w:tcPr>
                <w:p w14:paraId="04E753E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264" w:type="pct"/>
                  <w:tcBorders>
                    <w:tl2br w:val="nil"/>
                    <w:tr2bl w:val="nil"/>
                  </w:tcBorders>
                  <w:noWrap w:val="0"/>
                  <w:vAlign w:val="center"/>
                </w:tcPr>
                <w:p w14:paraId="7CBE930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w:t>
                  </w:r>
                  <w:r>
                    <w:rPr>
                      <w:rFonts w:hint="eastAsia" w:cs="Times New Roman"/>
                      <w:color w:val="auto"/>
                      <w:kern w:val="2"/>
                      <w:sz w:val="21"/>
                      <w:szCs w:val="21"/>
                      <w:highlight w:val="none"/>
                      <w:lang w:val="en-US" w:eastAsia="zh-CN" w:bidi="ar-SA"/>
                    </w:rPr>
                    <w:t>7</w:t>
                  </w:r>
                </w:p>
              </w:tc>
              <w:tc>
                <w:tcPr>
                  <w:tcW w:w="231" w:type="pct"/>
                  <w:tcBorders>
                    <w:tl2br w:val="nil"/>
                    <w:tr2bl w:val="nil"/>
                  </w:tcBorders>
                  <w:noWrap w:val="0"/>
                  <w:vAlign w:val="center"/>
                </w:tcPr>
                <w:p w14:paraId="1E310096">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r>
            <w:tr w14:paraId="7CDFE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430F281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365" w:type="pct"/>
                  <w:tcBorders>
                    <w:tl2br w:val="nil"/>
                    <w:tr2bl w:val="nil"/>
                  </w:tcBorders>
                  <w:noWrap w:val="0"/>
                  <w:vAlign w:val="center"/>
                </w:tcPr>
                <w:p w14:paraId="40BE1C4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制浆粉尘</w:t>
                  </w:r>
                </w:p>
              </w:tc>
              <w:tc>
                <w:tcPr>
                  <w:tcW w:w="316" w:type="pct"/>
                  <w:tcBorders>
                    <w:tl2br w:val="nil"/>
                    <w:tr2bl w:val="nil"/>
                  </w:tcBorders>
                  <w:noWrap w:val="0"/>
                  <w:vAlign w:val="center"/>
                </w:tcPr>
                <w:p w14:paraId="0690130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3616287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22.10</w:t>
                  </w:r>
                </w:p>
              </w:tc>
              <w:tc>
                <w:tcPr>
                  <w:tcW w:w="308" w:type="pct"/>
                  <w:tcBorders>
                    <w:tl2br w:val="nil"/>
                    <w:tr2bl w:val="nil"/>
                  </w:tcBorders>
                  <w:noWrap w:val="0"/>
                  <w:vAlign w:val="center"/>
                </w:tcPr>
                <w:p w14:paraId="3369C30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0.575</w:t>
                  </w:r>
                </w:p>
              </w:tc>
              <w:tc>
                <w:tcPr>
                  <w:tcW w:w="262" w:type="pct"/>
                  <w:tcBorders>
                    <w:tl2br w:val="nil"/>
                    <w:tr2bl w:val="nil"/>
                  </w:tcBorders>
                  <w:noWrap w:val="0"/>
                  <w:vAlign w:val="center"/>
                </w:tcPr>
                <w:p w14:paraId="6A385E1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有组织</w:t>
                  </w:r>
                </w:p>
              </w:tc>
              <w:tc>
                <w:tcPr>
                  <w:tcW w:w="470" w:type="pct"/>
                  <w:tcBorders>
                    <w:tl2br w:val="nil"/>
                    <w:tr2bl w:val="nil"/>
                  </w:tcBorders>
                  <w:noWrap w:val="0"/>
                  <w:vAlign w:val="center"/>
                </w:tcPr>
                <w:p w14:paraId="01BDCB3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袋式除尘器</w:t>
                  </w:r>
                </w:p>
              </w:tc>
              <w:tc>
                <w:tcPr>
                  <w:tcW w:w="234" w:type="pct"/>
                  <w:tcBorders>
                    <w:tl2br w:val="nil"/>
                    <w:tr2bl w:val="nil"/>
                  </w:tcBorders>
                  <w:noWrap w:val="0"/>
                  <w:vAlign w:val="center"/>
                </w:tcPr>
                <w:p w14:paraId="2A3F338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260</w:t>
                  </w:r>
                  <w:r>
                    <w:rPr>
                      <w:rFonts w:hint="eastAsia" w:ascii="Times New Roman" w:hAnsi="Times New Roman" w:eastAsia="宋体" w:cs="Times New Roman"/>
                      <w:color w:val="auto"/>
                      <w:kern w:val="2"/>
                      <w:sz w:val="21"/>
                      <w:szCs w:val="21"/>
                      <w:highlight w:val="none"/>
                      <w:lang w:val="en-US" w:eastAsia="zh-CN" w:bidi="ar-SA"/>
                    </w:rPr>
                    <w:t>00</w:t>
                  </w:r>
                </w:p>
              </w:tc>
              <w:tc>
                <w:tcPr>
                  <w:tcW w:w="219" w:type="pct"/>
                  <w:tcBorders>
                    <w:tl2br w:val="nil"/>
                    <w:tr2bl w:val="nil"/>
                  </w:tcBorders>
                  <w:noWrap w:val="0"/>
                  <w:vAlign w:val="center"/>
                </w:tcPr>
                <w:p w14:paraId="10C3D7A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r>
                    <w:rPr>
                      <w:rFonts w:hint="eastAsia" w:ascii="Times New Roman" w:hAnsi="Times New Roman" w:eastAsia="宋体" w:cs="Times New Roman"/>
                      <w:color w:val="auto"/>
                      <w:kern w:val="2"/>
                      <w:sz w:val="21"/>
                      <w:szCs w:val="21"/>
                      <w:highlight w:val="none"/>
                      <w:lang w:val="en-US" w:eastAsia="zh-CN" w:bidi="ar-SA"/>
                    </w:rPr>
                    <w:t>%</w:t>
                  </w:r>
                </w:p>
              </w:tc>
              <w:tc>
                <w:tcPr>
                  <w:tcW w:w="312" w:type="pct"/>
                  <w:tcBorders>
                    <w:tl2br w:val="nil"/>
                    <w:tr2bl w:val="nil"/>
                  </w:tcBorders>
                  <w:noWrap w:val="0"/>
                  <w:vAlign w:val="center"/>
                </w:tcPr>
                <w:p w14:paraId="1E48F21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54.75</w:t>
                  </w:r>
                  <w:r>
                    <w:rPr>
                      <w:rFonts w:hint="eastAsia" w:ascii="Times New Roman" w:hAnsi="Times New Roman" w:eastAsia="宋体" w:cs="Times New Roman"/>
                      <w:color w:val="auto"/>
                      <w:kern w:val="2"/>
                      <w:sz w:val="21"/>
                      <w:szCs w:val="21"/>
                      <w:highlight w:val="none"/>
                      <w:lang w:val="en-US" w:eastAsia="zh-CN" w:bidi="ar-SA"/>
                    </w:rPr>
                    <w:t>%</w:t>
                  </w:r>
                </w:p>
              </w:tc>
              <w:tc>
                <w:tcPr>
                  <w:tcW w:w="335" w:type="pct"/>
                  <w:tcBorders>
                    <w:tl2br w:val="nil"/>
                    <w:tr2bl w:val="nil"/>
                  </w:tcBorders>
                  <w:noWrap w:val="0"/>
                  <w:vAlign w:val="center"/>
                </w:tcPr>
                <w:p w14:paraId="4EF8672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26446ED1">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10</w:t>
                  </w:r>
                </w:p>
              </w:tc>
              <w:tc>
                <w:tcPr>
                  <w:tcW w:w="281" w:type="pct"/>
                  <w:tcBorders>
                    <w:tl2br w:val="nil"/>
                    <w:tr2bl w:val="nil"/>
                  </w:tcBorders>
                  <w:noWrap w:val="0"/>
                  <w:vAlign w:val="center"/>
                </w:tcPr>
                <w:p w14:paraId="02C64E1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0.26</w:t>
                  </w:r>
                </w:p>
              </w:tc>
              <w:tc>
                <w:tcPr>
                  <w:tcW w:w="307" w:type="pct"/>
                  <w:tcBorders>
                    <w:tl2br w:val="nil"/>
                    <w:tr2bl w:val="nil"/>
                  </w:tcBorders>
                  <w:noWrap w:val="0"/>
                  <w:vAlign w:val="center"/>
                </w:tcPr>
                <w:p w14:paraId="1A6448C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3300</w:t>
                  </w:r>
                </w:p>
              </w:tc>
              <w:tc>
                <w:tcPr>
                  <w:tcW w:w="272" w:type="pct"/>
                  <w:tcBorders>
                    <w:tl2br w:val="nil"/>
                    <w:tr2bl w:val="nil"/>
                  </w:tcBorders>
                  <w:noWrap w:val="0"/>
                  <w:vAlign w:val="center"/>
                </w:tcPr>
                <w:p w14:paraId="07834C1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0.858</w:t>
                  </w:r>
                </w:p>
              </w:tc>
              <w:tc>
                <w:tcPr>
                  <w:tcW w:w="264" w:type="pct"/>
                  <w:tcBorders>
                    <w:tl2br w:val="nil"/>
                    <w:tr2bl w:val="nil"/>
                  </w:tcBorders>
                  <w:noWrap w:val="0"/>
                  <w:vAlign w:val="center"/>
                </w:tcPr>
                <w:p w14:paraId="3DC9AFF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DA008</w:t>
                  </w:r>
                </w:p>
              </w:tc>
              <w:tc>
                <w:tcPr>
                  <w:tcW w:w="231" w:type="pct"/>
                  <w:tcBorders>
                    <w:tl2br w:val="nil"/>
                    <w:tr2bl w:val="nil"/>
                  </w:tcBorders>
                  <w:noWrap w:val="0"/>
                  <w:vAlign w:val="center"/>
                </w:tcPr>
                <w:p w14:paraId="01C3FE3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r>
            <w:tr w14:paraId="61CDB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 w:type="pct"/>
                  <w:tcBorders>
                    <w:tl2br w:val="nil"/>
                    <w:tr2bl w:val="nil"/>
                  </w:tcBorders>
                  <w:noWrap w:val="0"/>
                  <w:vAlign w:val="center"/>
                </w:tcPr>
                <w:p w14:paraId="223E6D2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365" w:type="pct"/>
                  <w:tcBorders>
                    <w:tl2br w:val="nil"/>
                    <w:tr2bl w:val="nil"/>
                  </w:tcBorders>
                  <w:noWrap w:val="0"/>
                  <w:vAlign w:val="center"/>
                </w:tcPr>
                <w:p w14:paraId="78ED025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物料输送粉尘</w:t>
                  </w:r>
                </w:p>
              </w:tc>
              <w:tc>
                <w:tcPr>
                  <w:tcW w:w="316" w:type="pct"/>
                  <w:tcBorders>
                    <w:tl2br w:val="nil"/>
                    <w:tr2bl w:val="nil"/>
                  </w:tcBorders>
                  <w:noWrap w:val="0"/>
                  <w:vAlign w:val="center"/>
                </w:tcPr>
                <w:p w14:paraId="0740FF4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4CB06FB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noWrap w:val="0"/>
                  <w:vAlign w:val="center"/>
                </w:tcPr>
                <w:p w14:paraId="53499AA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62" w:type="pct"/>
                  <w:tcBorders>
                    <w:tl2br w:val="nil"/>
                    <w:tr2bl w:val="nil"/>
                  </w:tcBorders>
                  <w:noWrap w:val="0"/>
                  <w:vAlign w:val="center"/>
                </w:tcPr>
                <w:p w14:paraId="655ECF2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无组织</w:t>
                  </w:r>
                </w:p>
              </w:tc>
              <w:tc>
                <w:tcPr>
                  <w:tcW w:w="1236" w:type="pct"/>
                  <w:gridSpan w:val="4"/>
                  <w:tcBorders>
                    <w:tl2br w:val="nil"/>
                    <w:tr2bl w:val="nil"/>
                  </w:tcBorders>
                  <w:noWrap w:val="0"/>
                  <w:vAlign w:val="center"/>
                </w:tcPr>
                <w:p w14:paraId="07D1EE3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采用全封闭螺旋输送机</w:t>
                  </w:r>
                </w:p>
              </w:tc>
              <w:tc>
                <w:tcPr>
                  <w:tcW w:w="335" w:type="pct"/>
                  <w:tcBorders>
                    <w:tl2br w:val="nil"/>
                    <w:tr2bl w:val="nil"/>
                  </w:tcBorders>
                  <w:noWrap w:val="0"/>
                  <w:vAlign w:val="center"/>
                </w:tcPr>
                <w:p w14:paraId="0A6E8D1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5AB6E2E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81" w:type="pct"/>
                  <w:tcBorders>
                    <w:tl2br w:val="nil"/>
                    <w:tr2bl w:val="nil"/>
                  </w:tcBorders>
                  <w:noWrap w:val="0"/>
                  <w:vAlign w:val="center"/>
                </w:tcPr>
                <w:p w14:paraId="4D5BCD4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07" w:type="pct"/>
                  <w:tcBorders>
                    <w:tl2br w:val="nil"/>
                    <w:tr2bl w:val="nil"/>
                  </w:tcBorders>
                  <w:noWrap w:val="0"/>
                  <w:vAlign w:val="center"/>
                </w:tcPr>
                <w:p w14:paraId="5812102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72" w:type="pct"/>
                  <w:tcBorders>
                    <w:tl2br w:val="nil"/>
                    <w:tr2bl w:val="nil"/>
                  </w:tcBorders>
                  <w:noWrap w:val="0"/>
                  <w:vAlign w:val="center"/>
                </w:tcPr>
                <w:p w14:paraId="44ED25A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64" w:type="pct"/>
                  <w:tcBorders>
                    <w:tl2br w:val="nil"/>
                    <w:tr2bl w:val="nil"/>
                  </w:tcBorders>
                  <w:noWrap w:val="0"/>
                  <w:vAlign w:val="center"/>
                </w:tcPr>
                <w:p w14:paraId="6CBE410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31" w:type="pct"/>
                  <w:tcBorders>
                    <w:tl2br w:val="nil"/>
                    <w:tr2bl w:val="nil"/>
                  </w:tcBorders>
                  <w:noWrap w:val="0"/>
                  <w:vAlign w:val="center"/>
                </w:tcPr>
                <w:p w14:paraId="31E2532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r>
            <w:tr w14:paraId="63E0D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6" w:type="pct"/>
                  <w:tcBorders>
                    <w:tl2br w:val="nil"/>
                    <w:tr2bl w:val="nil"/>
                  </w:tcBorders>
                  <w:noWrap w:val="0"/>
                  <w:vAlign w:val="center"/>
                </w:tcPr>
                <w:p w14:paraId="61EBF06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365" w:type="pct"/>
                  <w:tcBorders>
                    <w:tl2br w:val="nil"/>
                    <w:tr2bl w:val="nil"/>
                  </w:tcBorders>
                  <w:noWrap w:val="0"/>
                  <w:vAlign w:val="center"/>
                </w:tcPr>
                <w:p w14:paraId="13A1C30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道路</w:t>
                  </w:r>
                  <w:r>
                    <w:rPr>
                      <w:rFonts w:ascii="Times New Roman" w:hAnsi="Times New Roman" w:eastAsia="宋体" w:cs="Times New Roman"/>
                      <w:color w:val="auto"/>
                      <w:kern w:val="2"/>
                      <w:sz w:val="21"/>
                      <w:highlight w:val="none"/>
                      <w:lang w:val="en-US" w:eastAsia="zh-CN" w:bidi="ar-SA"/>
                    </w:rPr>
                    <w:t>运输扬尘</w:t>
                  </w:r>
                </w:p>
              </w:tc>
              <w:tc>
                <w:tcPr>
                  <w:tcW w:w="316" w:type="pct"/>
                  <w:tcBorders>
                    <w:tl2br w:val="nil"/>
                    <w:tr2bl w:val="nil"/>
                  </w:tcBorders>
                  <w:noWrap w:val="0"/>
                  <w:vAlign w:val="center"/>
                </w:tcPr>
                <w:p w14:paraId="6C6C996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noWrap w:val="0"/>
                  <w:vAlign w:val="center"/>
                </w:tcPr>
                <w:p w14:paraId="399700D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noWrap w:val="0"/>
                  <w:vAlign w:val="center"/>
                </w:tcPr>
                <w:p w14:paraId="6A7C7EA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262" w:type="pct"/>
                  <w:tcBorders>
                    <w:tl2br w:val="nil"/>
                    <w:tr2bl w:val="nil"/>
                  </w:tcBorders>
                  <w:noWrap w:val="0"/>
                  <w:vAlign w:val="center"/>
                </w:tcPr>
                <w:p w14:paraId="26F08A9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无组织</w:t>
                  </w:r>
                </w:p>
              </w:tc>
              <w:tc>
                <w:tcPr>
                  <w:tcW w:w="1236" w:type="pct"/>
                  <w:gridSpan w:val="4"/>
                  <w:tcBorders>
                    <w:tl2br w:val="nil"/>
                    <w:tr2bl w:val="nil"/>
                  </w:tcBorders>
                  <w:noWrap w:val="0"/>
                  <w:vAlign w:val="center"/>
                </w:tcPr>
                <w:p w14:paraId="0EA906C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厂区地面硬化，</w:t>
                  </w:r>
                  <w:r>
                    <w:rPr>
                      <w:rFonts w:hint="default" w:ascii="Times New Roman" w:hAnsi="Times New Roman" w:eastAsia="宋体" w:cs="Times New Roman"/>
                      <w:color w:val="auto"/>
                      <w:kern w:val="2"/>
                      <w:sz w:val="21"/>
                      <w:szCs w:val="21"/>
                      <w:highlight w:val="none"/>
                      <w:lang w:val="en-US" w:eastAsia="zh-CN" w:bidi="ar-SA"/>
                    </w:rPr>
                    <w:t>定期洒水</w:t>
                  </w:r>
                  <w:r>
                    <w:rPr>
                      <w:rFonts w:hint="eastAsia" w:ascii="Times New Roman" w:hAnsi="Times New Roman" w:eastAsia="宋体" w:cs="Times New Roman"/>
                      <w:color w:val="auto"/>
                      <w:kern w:val="2"/>
                      <w:sz w:val="21"/>
                      <w:szCs w:val="21"/>
                      <w:highlight w:val="none"/>
                      <w:lang w:val="en-US" w:eastAsia="zh-CN" w:bidi="ar-SA"/>
                    </w:rPr>
                    <w:t>抑尘</w:t>
                  </w:r>
                  <w:r>
                    <w:rPr>
                      <w:rFonts w:hint="default" w:ascii="Times New Roman" w:hAnsi="Times New Roman" w:eastAsia="宋体" w:cs="Times New Roman"/>
                      <w:color w:val="auto"/>
                      <w:kern w:val="2"/>
                      <w:sz w:val="21"/>
                      <w:szCs w:val="21"/>
                      <w:highlight w:val="none"/>
                      <w:lang w:val="en-US" w:eastAsia="zh-CN" w:bidi="ar-SA"/>
                    </w:rPr>
                    <w:t>；运输车辆采用全封闭厢式车</w:t>
                  </w:r>
                  <w:r>
                    <w:rPr>
                      <w:rFonts w:hint="eastAsia" w:ascii="Times New Roman" w:hAnsi="Times New Roman" w:eastAsia="宋体" w:cs="Times New Roman"/>
                      <w:color w:val="auto"/>
                      <w:kern w:val="2"/>
                      <w:sz w:val="21"/>
                      <w:szCs w:val="21"/>
                      <w:highlight w:val="none"/>
                      <w:lang w:val="en-US" w:eastAsia="zh-CN" w:bidi="ar-SA"/>
                    </w:rPr>
                    <w:t>，车辆</w:t>
                  </w:r>
                  <w:r>
                    <w:rPr>
                      <w:rFonts w:hint="default" w:ascii="Times New Roman" w:hAnsi="Times New Roman" w:eastAsia="宋体" w:cs="Times New Roman"/>
                      <w:color w:val="auto"/>
                      <w:kern w:val="2"/>
                      <w:sz w:val="21"/>
                      <w:szCs w:val="21"/>
                      <w:highlight w:val="none"/>
                      <w:lang w:val="en-US" w:eastAsia="zh-CN" w:bidi="ar-SA"/>
                    </w:rPr>
                    <w:t>离开厂区时，对汽车轮胎清洗</w:t>
                  </w:r>
                  <w:r>
                    <w:rPr>
                      <w:rFonts w:hint="eastAsia" w:ascii="Times New Roman" w:hAnsi="Times New Roman" w:eastAsia="宋体" w:cs="Times New Roman"/>
                      <w:color w:val="auto"/>
                      <w:kern w:val="2"/>
                      <w:sz w:val="21"/>
                      <w:szCs w:val="21"/>
                      <w:highlight w:val="none"/>
                      <w:lang w:val="en-US" w:eastAsia="zh-CN" w:bidi="ar-SA"/>
                    </w:rPr>
                    <w:t>后方可上路</w:t>
                  </w:r>
                </w:p>
              </w:tc>
              <w:tc>
                <w:tcPr>
                  <w:tcW w:w="335" w:type="pct"/>
                  <w:tcBorders>
                    <w:tl2br w:val="nil"/>
                    <w:tr2bl w:val="nil"/>
                  </w:tcBorders>
                  <w:noWrap w:val="0"/>
                  <w:vAlign w:val="center"/>
                </w:tcPr>
                <w:p w14:paraId="657B61A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noWrap w:val="0"/>
                  <w:vAlign w:val="center"/>
                </w:tcPr>
                <w:p w14:paraId="273D8AF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w:t>
                  </w:r>
                </w:p>
              </w:tc>
              <w:tc>
                <w:tcPr>
                  <w:tcW w:w="281" w:type="pct"/>
                  <w:tcBorders>
                    <w:tl2br w:val="nil"/>
                    <w:tr2bl w:val="nil"/>
                  </w:tcBorders>
                  <w:noWrap w:val="0"/>
                  <w:vAlign w:val="center"/>
                </w:tcPr>
                <w:p w14:paraId="6CAB756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07" w:type="pct"/>
                  <w:tcBorders>
                    <w:tl2br w:val="nil"/>
                    <w:tr2bl w:val="nil"/>
                  </w:tcBorders>
                  <w:noWrap w:val="0"/>
                  <w:vAlign w:val="center"/>
                </w:tcPr>
                <w:p w14:paraId="45937A1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72" w:type="pct"/>
                  <w:tcBorders>
                    <w:tl2br w:val="nil"/>
                    <w:tr2bl w:val="nil"/>
                  </w:tcBorders>
                  <w:noWrap w:val="0"/>
                  <w:vAlign w:val="center"/>
                </w:tcPr>
                <w:p w14:paraId="5DCBC50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1.743</w:t>
                  </w:r>
                </w:p>
              </w:tc>
              <w:tc>
                <w:tcPr>
                  <w:tcW w:w="264" w:type="pct"/>
                  <w:tcBorders>
                    <w:tl2br w:val="nil"/>
                    <w:tr2bl w:val="nil"/>
                  </w:tcBorders>
                  <w:noWrap w:val="0"/>
                  <w:vAlign w:val="center"/>
                </w:tcPr>
                <w:p w14:paraId="2EF467D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w:t>
                  </w:r>
                </w:p>
              </w:tc>
              <w:tc>
                <w:tcPr>
                  <w:tcW w:w="231" w:type="pct"/>
                  <w:tcBorders>
                    <w:tl2br w:val="nil"/>
                    <w:tr2bl w:val="nil"/>
                  </w:tcBorders>
                  <w:noWrap w:val="0"/>
                  <w:vAlign w:val="center"/>
                </w:tcPr>
                <w:p w14:paraId="0C50BD8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r>
            <w:tr w14:paraId="0CDEE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8" w:type="pct"/>
                  <w:gridSpan w:val="5"/>
                  <w:vMerge w:val="restart"/>
                  <w:tcBorders>
                    <w:tl2br w:val="nil"/>
                    <w:tr2bl w:val="nil"/>
                  </w:tcBorders>
                  <w:noWrap w:val="0"/>
                  <w:vAlign w:val="center"/>
                </w:tcPr>
                <w:p w14:paraId="16BF14A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排放量合计</w:t>
                  </w:r>
                </w:p>
              </w:tc>
              <w:tc>
                <w:tcPr>
                  <w:tcW w:w="2743" w:type="pct"/>
                  <w:gridSpan w:val="9"/>
                  <w:tcBorders>
                    <w:tl2br w:val="nil"/>
                    <w:tr2bl w:val="nil"/>
                  </w:tcBorders>
                  <w:noWrap w:val="0"/>
                  <w:vAlign w:val="center"/>
                </w:tcPr>
                <w:p w14:paraId="17EC885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有组织颗粒物</w:t>
                  </w:r>
                </w:p>
              </w:tc>
              <w:tc>
                <w:tcPr>
                  <w:tcW w:w="767" w:type="pct"/>
                  <w:gridSpan w:val="3"/>
                  <w:tcBorders>
                    <w:tl2br w:val="nil"/>
                    <w:tr2bl w:val="nil"/>
                  </w:tcBorders>
                  <w:noWrap w:val="0"/>
                  <w:vAlign w:val="center"/>
                </w:tcPr>
                <w:p w14:paraId="5009FDC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1.79</w:t>
                  </w:r>
                </w:p>
              </w:tc>
            </w:tr>
            <w:tr w14:paraId="1CFA8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88" w:type="pct"/>
                  <w:gridSpan w:val="5"/>
                  <w:vMerge w:val="continue"/>
                  <w:tcBorders>
                    <w:tl2br w:val="nil"/>
                    <w:tr2bl w:val="nil"/>
                  </w:tcBorders>
                  <w:noWrap w:val="0"/>
                  <w:vAlign w:val="center"/>
                </w:tcPr>
                <w:p w14:paraId="30E4B8E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743" w:type="pct"/>
                  <w:gridSpan w:val="9"/>
                  <w:tcBorders>
                    <w:tl2br w:val="nil"/>
                    <w:tr2bl w:val="nil"/>
                  </w:tcBorders>
                  <w:noWrap w:val="0"/>
                  <w:vAlign w:val="center"/>
                </w:tcPr>
                <w:p w14:paraId="02BCBAB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无组织颗粒物</w:t>
                  </w:r>
                </w:p>
              </w:tc>
              <w:tc>
                <w:tcPr>
                  <w:tcW w:w="767" w:type="pct"/>
                  <w:gridSpan w:val="3"/>
                  <w:tcBorders>
                    <w:tl2br w:val="nil"/>
                    <w:tr2bl w:val="nil"/>
                  </w:tcBorders>
                  <w:noWrap w:val="0"/>
                  <w:vAlign w:val="center"/>
                </w:tcPr>
                <w:p w14:paraId="6E867D8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3.257</w:t>
                  </w:r>
                </w:p>
              </w:tc>
            </w:tr>
          </w:tbl>
          <w:p w14:paraId="5856CB1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p>
        </w:tc>
      </w:tr>
    </w:tbl>
    <w:p w14:paraId="5CCF7243">
      <w:pPr>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1A44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2103C123">
            <w:pPr>
              <w:adjustRightInd w:val="0"/>
              <w:snapToGrid w:val="0"/>
              <w:jc w:val="center"/>
              <w:rPr>
                <w:rFonts w:hint="default" w:ascii="Times New Roman" w:hAnsi="Times New Roman" w:cs="Times New Roman"/>
                <w:bCs/>
                <w:color w:val="auto"/>
                <w:sz w:val="21"/>
                <w:szCs w:val="21"/>
                <w:highlight w:val="none"/>
              </w:rPr>
            </w:pPr>
            <w:r>
              <w:rPr>
                <w:rFonts w:hint="eastAsia"/>
                <w:color w:val="auto"/>
                <w:highlight w:val="none"/>
                <w:lang w:val="en-US" w:eastAsia="zh-CN"/>
              </w:rPr>
              <w:t>=</w:t>
            </w:r>
            <w:r>
              <w:rPr>
                <w:rFonts w:hint="default" w:ascii="Times New Roman" w:hAnsi="Times New Roman" w:cs="Times New Roman"/>
                <w:bCs/>
                <w:color w:val="auto"/>
                <w:sz w:val="21"/>
                <w:szCs w:val="21"/>
                <w:highlight w:val="none"/>
              </w:rPr>
              <w:t>运营</w:t>
            </w:r>
          </w:p>
          <w:p w14:paraId="2A81FD12">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期环</w:t>
            </w:r>
          </w:p>
          <w:p w14:paraId="779E5F28">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境影</w:t>
            </w:r>
          </w:p>
          <w:p w14:paraId="2788DC24">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响和</w:t>
            </w:r>
          </w:p>
          <w:p w14:paraId="4B290FC5">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保护</w:t>
            </w:r>
          </w:p>
          <w:p w14:paraId="3CF9E05E">
            <w:pPr>
              <w:pStyle w:val="19"/>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bCs/>
                <w:color w:val="auto"/>
                <w:sz w:val="21"/>
                <w:szCs w:val="21"/>
                <w:highlight w:val="none"/>
              </w:rPr>
              <w:t>措施</w:t>
            </w:r>
          </w:p>
        </w:tc>
        <w:tc>
          <w:tcPr>
            <w:tcW w:w="8162" w:type="dxa"/>
            <w:noWrap w:val="0"/>
            <w:vAlign w:val="center"/>
          </w:tcPr>
          <w:p w14:paraId="51B2F3BC">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eastAsia" w:cs="Times New Roman"/>
                <w:color w:val="auto"/>
                <w:spacing w:val="0"/>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污染物源强计算及防治措施</w:t>
            </w:r>
          </w:p>
          <w:p w14:paraId="7FE1C0A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G1.矸石</w:t>
            </w:r>
            <w:r>
              <w:rPr>
                <w:rFonts w:hint="eastAsia" w:ascii="Times New Roman" w:hAnsi="Times New Roman" w:eastAsia="宋体" w:cs="Times New Roman"/>
                <w:color w:val="auto"/>
                <w:spacing w:val="0"/>
                <w:sz w:val="24"/>
                <w:highlight w:val="none"/>
                <w:lang w:val="en-US" w:eastAsia="zh-CN"/>
              </w:rPr>
              <w:t>堆存扬尘</w:t>
            </w:r>
          </w:p>
          <w:p w14:paraId="68D222B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cs="Times New Roman"/>
                <w:bCs/>
                <w:color w:val="auto"/>
                <w:spacing w:val="0"/>
                <w:sz w:val="24"/>
                <w:szCs w:val="24"/>
                <w:highlight w:val="none"/>
                <w:lang w:val="en-US" w:eastAsia="zh-CN"/>
              </w:rPr>
              <w:t>矸石</w:t>
            </w:r>
            <w:r>
              <w:rPr>
                <w:rFonts w:hint="eastAsia" w:ascii="Times New Roman" w:hAnsi="Times New Roman" w:eastAsia="宋体" w:cs="Times New Roman"/>
                <w:bCs/>
                <w:color w:val="auto"/>
                <w:spacing w:val="0"/>
                <w:sz w:val="24"/>
                <w:szCs w:val="24"/>
                <w:highlight w:val="none"/>
                <w:lang w:val="en-US" w:eastAsia="zh-CN"/>
              </w:rPr>
              <w:t>堆存</w:t>
            </w:r>
            <w:r>
              <w:rPr>
                <w:rFonts w:hint="eastAsia" w:ascii="Times New Roman" w:hAnsi="Times New Roman" w:cs="Times New Roman"/>
                <w:bCs/>
                <w:color w:val="auto"/>
                <w:spacing w:val="0"/>
                <w:sz w:val="24"/>
                <w:szCs w:val="24"/>
                <w:highlight w:val="none"/>
                <w:lang w:val="en-US" w:eastAsia="zh-CN"/>
              </w:rPr>
              <w:t>扬尘</w:t>
            </w:r>
            <w:r>
              <w:rPr>
                <w:rFonts w:hint="eastAsia" w:ascii="Times New Roman" w:hAnsi="Times New Roman" w:eastAsia="宋体" w:cs="Times New Roman"/>
                <w:bCs/>
                <w:color w:val="auto"/>
                <w:spacing w:val="0"/>
                <w:sz w:val="24"/>
                <w:szCs w:val="24"/>
                <w:highlight w:val="none"/>
                <w:lang w:val="en-US" w:eastAsia="zh-CN"/>
              </w:rPr>
              <w:t>包括装卸</w:t>
            </w:r>
            <w:r>
              <w:rPr>
                <w:rFonts w:hint="eastAsia" w:cs="Times New Roman"/>
                <w:bCs/>
                <w:color w:val="auto"/>
                <w:spacing w:val="0"/>
                <w:sz w:val="24"/>
                <w:szCs w:val="24"/>
                <w:highlight w:val="none"/>
                <w:lang w:val="en-US" w:eastAsia="zh-CN"/>
              </w:rPr>
              <w:t>扬尘</w:t>
            </w:r>
            <w:r>
              <w:rPr>
                <w:rFonts w:hint="eastAsia" w:ascii="Times New Roman" w:hAnsi="Times New Roman" w:eastAsia="宋体" w:cs="Times New Roman"/>
                <w:bCs/>
                <w:color w:val="auto"/>
                <w:spacing w:val="0"/>
                <w:sz w:val="24"/>
                <w:szCs w:val="24"/>
                <w:highlight w:val="none"/>
                <w:lang w:val="en-US" w:eastAsia="zh-CN"/>
              </w:rPr>
              <w:t>和风蚀扬尘</w:t>
            </w:r>
            <w:r>
              <w:rPr>
                <w:rFonts w:hint="default" w:ascii="Times New Roman" w:hAnsi="Times New Roman" w:eastAsia="宋体" w:cs="Times New Roman"/>
                <w:color w:val="auto"/>
                <w:spacing w:val="0"/>
                <w:sz w:val="24"/>
                <w:highlight w:val="none"/>
                <w:lang w:val="en-US" w:eastAsia="zh-CN"/>
              </w:rPr>
              <w:t>。</w:t>
            </w:r>
            <w:r>
              <w:rPr>
                <w:rFonts w:hint="eastAsia" w:ascii="Times New Roman" w:hAnsi="Times New Roman" w:eastAsia="宋体" w:cs="Times New Roman"/>
                <w:color w:val="auto"/>
                <w:spacing w:val="0"/>
                <w:sz w:val="24"/>
                <w:highlight w:val="none"/>
                <w:lang w:val="en-US" w:eastAsia="zh-CN"/>
              </w:rPr>
              <w:t>本项目</w:t>
            </w:r>
            <w:r>
              <w:rPr>
                <w:rFonts w:hint="eastAsia" w:cs="Times New Roman"/>
                <w:color w:val="auto"/>
                <w:spacing w:val="0"/>
                <w:sz w:val="24"/>
                <w:highlight w:val="none"/>
                <w:lang w:val="en-US" w:eastAsia="zh-CN"/>
              </w:rPr>
              <w:t>矸石</w:t>
            </w:r>
            <w:r>
              <w:rPr>
                <w:rFonts w:hint="eastAsia" w:ascii="Times New Roman" w:hAnsi="Times New Roman" w:eastAsia="宋体" w:cs="Times New Roman"/>
                <w:color w:val="auto"/>
                <w:spacing w:val="0"/>
                <w:sz w:val="24"/>
                <w:highlight w:val="none"/>
                <w:lang w:val="en-US" w:eastAsia="zh-CN"/>
              </w:rPr>
              <w:t>年用量为</w:t>
            </w:r>
            <w:r>
              <w:rPr>
                <w:rFonts w:hint="eastAsia" w:cs="Times New Roman"/>
                <w:color w:val="auto"/>
                <w:spacing w:val="0"/>
                <w:sz w:val="24"/>
                <w:highlight w:val="none"/>
                <w:lang w:val="en-US" w:eastAsia="zh-CN"/>
              </w:rPr>
              <w:t>442000t</w:t>
            </w:r>
            <w:r>
              <w:rPr>
                <w:rFonts w:hint="eastAsia" w:ascii="Times New Roman" w:hAnsi="Times New Roman" w:eastAsia="宋体" w:cs="Times New Roman"/>
                <w:bCs/>
                <w:color w:val="auto"/>
                <w:spacing w:val="0"/>
                <w:sz w:val="24"/>
                <w:szCs w:val="24"/>
                <w:highlight w:val="none"/>
                <w:lang w:val="en-US" w:eastAsia="zh-CN"/>
              </w:rPr>
              <w:t>，根据《排放源统计调查产排污核算方法和系数手册》之“工业源产排污核算方法和系数手册-附表2 工业源固体物料堆场颗粒物核算系数手册”，颗粒物产生量核算公式如下：</w:t>
            </w:r>
          </w:p>
          <w:p w14:paraId="6DF85023">
            <w:pPr>
              <w:jc w:val="center"/>
              <w:rPr>
                <w:rFonts w:hint="eastAsia" w:ascii="Times New Roman" w:hAnsi="Times New Roman" w:eastAsia="宋体" w:cs="Times New Roman"/>
                <w:color w:val="auto"/>
                <w:spacing w:val="0"/>
                <w:highlight w:val="none"/>
                <w:lang w:val="en-US" w:eastAsia="zh-CN"/>
              </w:rPr>
            </w:pPr>
            <w:r>
              <w:rPr>
                <w:rFonts w:hint="eastAsia" w:ascii="Times New Roman" w:hAnsi="Times New Roman" w:eastAsia="宋体" w:cs="Times New Roman"/>
                <w:color w:val="auto"/>
                <w:spacing w:val="0"/>
                <w:highlight w:val="none"/>
                <w:lang w:val="en-US" w:eastAsia="zh-CN"/>
              </w:rPr>
              <w:drawing>
                <wp:inline distT="0" distB="0" distL="114300" distR="114300">
                  <wp:extent cx="4258310" cy="325755"/>
                  <wp:effectExtent l="0" t="0" r="8890" b="17145"/>
                  <wp:docPr id="18" name="图片 3" descr="170262478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1702624786188"/>
                          <pic:cNvPicPr>
                            <a:picLocks noChangeAspect="1"/>
                          </pic:cNvPicPr>
                        </pic:nvPicPr>
                        <pic:blipFill>
                          <a:blip r:embed="rId28"/>
                          <a:srcRect b="25760"/>
                          <a:stretch>
                            <a:fillRect/>
                          </a:stretch>
                        </pic:blipFill>
                        <pic:spPr>
                          <a:xfrm>
                            <a:off x="0" y="0"/>
                            <a:ext cx="4258310" cy="325755"/>
                          </a:xfrm>
                          <a:prstGeom prst="rect">
                            <a:avLst/>
                          </a:prstGeom>
                          <a:noFill/>
                          <a:ln>
                            <a:noFill/>
                          </a:ln>
                        </pic:spPr>
                      </pic:pic>
                    </a:graphicData>
                  </a:graphic>
                </wp:inline>
              </w:drawing>
            </w:r>
          </w:p>
          <w:p w14:paraId="41338D9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式中：P指颗粒物产生量（单位：吨）；</w:t>
            </w:r>
          </w:p>
          <w:p w14:paraId="128CB8F2">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ZC</w:t>
            </w:r>
            <w:r>
              <w:rPr>
                <w:rFonts w:hint="eastAsia" w:ascii="Times New Roman" w:hAnsi="Times New Roman" w:eastAsia="宋体" w:cs="Times New Roman"/>
                <w:bCs/>
                <w:color w:val="auto"/>
                <w:spacing w:val="0"/>
                <w:sz w:val="24"/>
                <w:szCs w:val="24"/>
                <w:highlight w:val="none"/>
                <w:vertAlign w:val="subscript"/>
                <w:lang w:val="en-US" w:eastAsia="zh-CN"/>
              </w:rPr>
              <w:t>y</w:t>
            </w:r>
            <w:r>
              <w:rPr>
                <w:rFonts w:hint="eastAsia" w:ascii="Times New Roman" w:hAnsi="Times New Roman" w:eastAsia="宋体" w:cs="Times New Roman"/>
                <w:bCs/>
                <w:color w:val="auto"/>
                <w:spacing w:val="0"/>
                <w:sz w:val="24"/>
                <w:szCs w:val="24"/>
                <w:highlight w:val="none"/>
                <w:lang w:val="en-US" w:eastAsia="zh-CN"/>
              </w:rPr>
              <w:t>指装卸扬尘产生量（单位：吨）；</w:t>
            </w:r>
          </w:p>
          <w:p w14:paraId="1F4E83CF">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FC</w:t>
            </w:r>
            <w:r>
              <w:rPr>
                <w:rFonts w:hint="eastAsia" w:ascii="Times New Roman" w:hAnsi="Times New Roman" w:eastAsia="宋体" w:cs="Times New Roman"/>
                <w:bCs/>
                <w:color w:val="auto"/>
                <w:spacing w:val="0"/>
                <w:sz w:val="24"/>
                <w:szCs w:val="24"/>
                <w:highlight w:val="none"/>
                <w:vertAlign w:val="subscript"/>
                <w:lang w:val="en-US" w:eastAsia="zh-CN"/>
              </w:rPr>
              <w:t>y</w:t>
            </w:r>
            <w:r>
              <w:rPr>
                <w:rFonts w:hint="eastAsia" w:ascii="Times New Roman" w:hAnsi="Times New Roman" w:eastAsia="宋体" w:cs="Times New Roman"/>
                <w:bCs/>
                <w:color w:val="auto"/>
                <w:spacing w:val="0"/>
                <w:sz w:val="24"/>
                <w:szCs w:val="24"/>
                <w:highlight w:val="none"/>
                <w:lang w:val="en-US" w:eastAsia="zh-CN"/>
              </w:rPr>
              <w:t>指风蚀扬尘产生量（单位：吨）；</w:t>
            </w:r>
          </w:p>
          <w:p w14:paraId="0E32BB11">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N</w:t>
            </w:r>
            <w:r>
              <w:rPr>
                <w:rFonts w:hint="eastAsia" w:ascii="Times New Roman" w:hAnsi="Times New Roman" w:eastAsia="宋体" w:cs="Times New Roman"/>
                <w:bCs/>
                <w:color w:val="auto"/>
                <w:spacing w:val="0"/>
                <w:sz w:val="24"/>
                <w:szCs w:val="24"/>
                <w:highlight w:val="none"/>
                <w:vertAlign w:val="subscript"/>
                <w:lang w:val="en-US" w:eastAsia="zh-CN"/>
              </w:rPr>
              <w:t>c</w:t>
            </w:r>
            <w:r>
              <w:rPr>
                <w:rFonts w:hint="eastAsia" w:ascii="Times New Roman" w:hAnsi="Times New Roman" w:eastAsia="宋体" w:cs="Times New Roman"/>
                <w:bCs/>
                <w:color w:val="auto"/>
                <w:spacing w:val="0"/>
                <w:sz w:val="24"/>
                <w:szCs w:val="24"/>
                <w:highlight w:val="none"/>
                <w:lang w:val="en-US" w:eastAsia="zh-CN"/>
              </w:rPr>
              <w:t>指年物料运载车次（单位：车），</w:t>
            </w:r>
            <w:r>
              <w:rPr>
                <w:rFonts w:hint="eastAsia" w:cs="Times New Roman"/>
                <w:bCs/>
                <w:color w:val="auto"/>
                <w:spacing w:val="0"/>
                <w:sz w:val="24"/>
                <w:szCs w:val="24"/>
                <w:highlight w:val="none"/>
                <w:lang w:val="en-US" w:eastAsia="zh-CN"/>
              </w:rPr>
              <w:t>17680车</w:t>
            </w:r>
            <w:r>
              <w:rPr>
                <w:rFonts w:hint="eastAsia" w:ascii="Times New Roman" w:hAnsi="Times New Roman" w:eastAsia="宋体" w:cs="Times New Roman"/>
                <w:bCs/>
                <w:color w:val="auto"/>
                <w:spacing w:val="0"/>
                <w:sz w:val="24"/>
                <w:szCs w:val="24"/>
                <w:highlight w:val="none"/>
                <w:lang w:val="en-US" w:eastAsia="zh-CN"/>
              </w:rPr>
              <w:t>；</w:t>
            </w:r>
          </w:p>
          <w:p w14:paraId="51EDD524">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D指单车平均运载量（单位：吨/车），</w:t>
            </w:r>
            <w:r>
              <w:rPr>
                <w:rFonts w:hint="eastAsia" w:cs="Times New Roman"/>
                <w:bCs/>
                <w:color w:val="auto"/>
                <w:spacing w:val="0"/>
                <w:sz w:val="24"/>
                <w:szCs w:val="24"/>
                <w:highlight w:val="none"/>
                <w:lang w:val="en-US" w:eastAsia="zh-CN"/>
              </w:rPr>
              <w:t>25吨/车</w:t>
            </w:r>
            <w:r>
              <w:rPr>
                <w:rFonts w:hint="eastAsia" w:ascii="Times New Roman" w:hAnsi="Times New Roman" w:eastAsia="宋体" w:cs="Times New Roman"/>
                <w:bCs/>
                <w:color w:val="auto"/>
                <w:spacing w:val="0"/>
                <w:sz w:val="24"/>
                <w:szCs w:val="24"/>
                <w:highlight w:val="none"/>
                <w:lang w:val="en-US" w:eastAsia="zh-CN"/>
              </w:rPr>
              <w:t>；</w:t>
            </w:r>
          </w:p>
          <w:p w14:paraId="37558531">
            <w:pPr>
              <w:keepNext w:val="0"/>
              <w:keepLines w:val="0"/>
              <w:pageBreakBefore w:val="0"/>
              <w:widowControl w:val="0"/>
              <w:kinsoku/>
              <w:wordWrap/>
              <w:overflowPunct/>
              <w:topLinePunct w:val="0"/>
              <w:autoSpaceDE/>
              <w:autoSpaceDN/>
              <w:bidi w:val="0"/>
              <w:adjustRightInd w:val="0"/>
              <w:snapToGrid w:val="0"/>
              <w:spacing w:line="480" w:lineRule="exact"/>
              <w:ind w:left="420" w:leftChars="200" w:firstLine="720" w:firstLineChars="3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(a/b)指装卸扬尘概化系数（单位：千克/吨），a指各省风速概化系数，取0.0010；b指物料含水率概化系数，取</w:t>
            </w:r>
            <w:r>
              <w:rPr>
                <w:rFonts w:hint="eastAsia" w:cs="Times New Roman"/>
                <w:bCs/>
                <w:color w:val="auto"/>
                <w:spacing w:val="0"/>
                <w:sz w:val="24"/>
                <w:szCs w:val="24"/>
                <w:highlight w:val="none"/>
                <w:lang w:val="en-US" w:eastAsia="zh-CN"/>
              </w:rPr>
              <w:t>0.0008</w:t>
            </w:r>
            <w:r>
              <w:rPr>
                <w:rFonts w:hint="eastAsia" w:ascii="Times New Roman" w:hAnsi="Times New Roman" w:eastAsia="宋体" w:cs="Times New Roman"/>
                <w:bCs/>
                <w:color w:val="auto"/>
                <w:spacing w:val="0"/>
                <w:sz w:val="24"/>
                <w:szCs w:val="24"/>
                <w:highlight w:val="none"/>
                <w:lang w:val="en-US" w:eastAsia="zh-CN"/>
              </w:rPr>
              <w:t>；</w:t>
            </w:r>
          </w:p>
          <w:p w14:paraId="5D31349B">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E</w:t>
            </w:r>
            <w:r>
              <w:rPr>
                <w:rFonts w:hint="eastAsia" w:ascii="Times New Roman" w:hAnsi="Times New Roman" w:eastAsia="宋体" w:cs="Times New Roman"/>
                <w:bCs/>
                <w:color w:val="auto"/>
                <w:spacing w:val="0"/>
                <w:sz w:val="24"/>
                <w:szCs w:val="24"/>
                <w:highlight w:val="none"/>
                <w:vertAlign w:val="subscript"/>
                <w:lang w:val="en-US" w:eastAsia="zh-CN"/>
              </w:rPr>
              <w:t>f</w:t>
            </w:r>
            <w:r>
              <w:rPr>
                <w:rFonts w:hint="eastAsia" w:ascii="Times New Roman" w:hAnsi="Times New Roman" w:eastAsia="宋体" w:cs="Times New Roman"/>
                <w:bCs/>
                <w:color w:val="auto"/>
                <w:spacing w:val="0"/>
                <w:sz w:val="24"/>
                <w:szCs w:val="24"/>
                <w:highlight w:val="none"/>
                <w:lang w:val="en-US" w:eastAsia="zh-CN"/>
              </w:rPr>
              <w:t>指堆场风蚀扬尘概化系数，取</w:t>
            </w:r>
            <w:r>
              <w:rPr>
                <w:rFonts w:hint="eastAsia" w:cs="Times New Roman"/>
                <w:bCs/>
                <w:color w:val="auto"/>
                <w:spacing w:val="0"/>
                <w:sz w:val="24"/>
                <w:szCs w:val="24"/>
                <w:highlight w:val="none"/>
                <w:lang w:val="en-US" w:eastAsia="zh-CN"/>
              </w:rPr>
              <w:t>11.7366</w:t>
            </w:r>
            <w:r>
              <w:rPr>
                <w:rFonts w:hint="eastAsia" w:ascii="Times New Roman" w:hAnsi="Times New Roman" w:eastAsia="宋体" w:cs="Times New Roman"/>
                <w:bCs/>
                <w:color w:val="auto"/>
                <w:spacing w:val="0"/>
                <w:sz w:val="24"/>
                <w:szCs w:val="24"/>
                <w:highlight w:val="none"/>
                <w:lang w:val="en-US" w:eastAsia="zh-CN"/>
              </w:rPr>
              <w:t>；</w:t>
            </w:r>
          </w:p>
          <w:p w14:paraId="6A25B887">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S指堆场占地面积（单位：平方米），</w:t>
            </w:r>
            <w:r>
              <w:rPr>
                <w:rFonts w:hint="eastAsia" w:cs="Times New Roman"/>
                <w:bCs/>
                <w:color w:val="auto"/>
                <w:spacing w:val="0"/>
                <w:sz w:val="24"/>
                <w:szCs w:val="24"/>
                <w:highlight w:val="none"/>
                <w:lang w:val="en-US" w:eastAsia="zh-CN"/>
              </w:rPr>
              <w:t>1268平方米</w:t>
            </w:r>
            <w:r>
              <w:rPr>
                <w:rFonts w:hint="eastAsia" w:ascii="Times New Roman" w:hAnsi="Times New Roman" w:eastAsia="宋体" w:cs="Times New Roman"/>
                <w:bCs/>
                <w:color w:val="auto"/>
                <w:spacing w:val="0"/>
                <w:sz w:val="24"/>
                <w:szCs w:val="24"/>
                <w:highlight w:val="none"/>
                <w:lang w:val="en-US" w:eastAsia="zh-CN"/>
              </w:rPr>
              <w:t>。</w:t>
            </w:r>
          </w:p>
          <w:p w14:paraId="29F91D2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因此，本项目</w:t>
            </w:r>
            <w:r>
              <w:rPr>
                <w:rFonts w:hint="eastAsia" w:cs="Times New Roman"/>
                <w:bCs/>
                <w:color w:val="auto"/>
                <w:spacing w:val="0"/>
                <w:sz w:val="24"/>
                <w:szCs w:val="24"/>
                <w:highlight w:val="none"/>
                <w:lang w:val="en-US" w:eastAsia="zh-CN"/>
              </w:rPr>
              <w:t>储矸棚颗粒物</w:t>
            </w:r>
            <w:r>
              <w:rPr>
                <w:rFonts w:hint="eastAsia" w:ascii="Times New Roman" w:hAnsi="Times New Roman" w:eastAsia="宋体" w:cs="Times New Roman"/>
                <w:bCs/>
                <w:color w:val="auto"/>
                <w:spacing w:val="0"/>
                <w:sz w:val="24"/>
                <w:szCs w:val="24"/>
                <w:highlight w:val="none"/>
                <w:lang w:val="en-US" w:eastAsia="zh-CN"/>
              </w:rPr>
              <w:t>产生量为</w:t>
            </w:r>
            <w:r>
              <w:rPr>
                <w:rFonts w:hint="eastAsia" w:cs="Times New Roman"/>
                <w:bCs/>
                <w:color w:val="auto"/>
                <w:spacing w:val="0"/>
                <w:sz w:val="24"/>
                <w:szCs w:val="24"/>
                <w:highlight w:val="none"/>
                <w:lang w:val="en-US" w:eastAsia="zh-CN"/>
              </w:rPr>
              <w:t>582.264</w:t>
            </w:r>
            <w:r>
              <w:rPr>
                <w:rFonts w:hint="eastAsia" w:ascii="Times New Roman" w:hAnsi="Times New Roman" w:eastAsia="宋体" w:cs="Times New Roman"/>
                <w:bCs/>
                <w:color w:val="auto"/>
                <w:spacing w:val="0"/>
                <w:sz w:val="24"/>
                <w:szCs w:val="24"/>
                <w:highlight w:val="none"/>
                <w:lang w:val="en-US" w:eastAsia="zh-CN"/>
              </w:rPr>
              <w:t>t/a。</w:t>
            </w:r>
          </w:p>
          <w:p w14:paraId="716E3B9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sz w:val="24"/>
                <w:highlight w:val="none"/>
                <w:lang w:val="en-US" w:eastAsia="zh-CN"/>
              </w:rPr>
            </w:pPr>
            <w:r>
              <w:rPr>
                <w:rFonts w:hint="eastAsia" w:cs="Times New Roman"/>
                <w:color w:val="auto"/>
                <w:spacing w:val="0"/>
                <w:sz w:val="24"/>
                <w:highlight w:val="none"/>
                <w:lang w:val="en-US" w:eastAsia="zh-CN"/>
              </w:rPr>
              <w:t>本项目设置1座</w:t>
            </w:r>
            <w:r>
              <w:rPr>
                <w:rFonts w:hint="eastAsia" w:ascii="Times New Roman" w:hAnsi="Times New Roman" w:eastAsia="宋体" w:cs="Times New Roman"/>
                <w:color w:val="auto"/>
                <w:spacing w:val="0"/>
                <w:sz w:val="24"/>
                <w:highlight w:val="none"/>
                <w:lang w:val="en-US" w:eastAsia="zh-CN"/>
              </w:rPr>
              <w:t>全封闭储矸棚，地面硬化，棚内设置1套喷雾降尘</w:t>
            </w:r>
            <w:r>
              <w:rPr>
                <w:rFonts w:hint="eastAsia" w:cs="Times New Roman"/>
                <w:color w:val="auto"/>
                <w:spacing w:val="0"/>
                <w:sz w:val="24"/>
                <w:highlight w:val="none"/>
                <w:lang w:val="en-US" w:eastAsia="zh-CN"/>
              </w:rPr>
              <w:t>装置，</w:t>
            </w:r>
            <w:r>
              <w:rPr>
                <w:rFonts w:hint="eastAsia" w:ascii="Times New Roman" w:hAnsi="Times New Roman" w:eastAsia="宋体" w:cs="Times New Roman"/>
                <w:color w:val="auto"/>
                <w:spacing w:val="0"/>
                <w:sz w:val="24"/>
                <w:highlight w:val="none"/>
                <w:lang w:val="en-US" w:eastAsia="zh-CN"/>
              </w:rPr>
              <w:t>顶部布置450个喷头，喷头竖向间距为3.0m，横向间距为2.5m，喷雾范围可以覆盖整个储矸棚，喷雾频次为每2小时1次；</w:t>
            </w:r>
            <w:r>
              <w:rPr>
                <w:rFonts w:hint="default" w:ascii="Times New Roman" w:hAnsi="Times New Roman" w:eastAsia="宋体" w:cs="Times New Roman"/>
                <w:color w:val="auto"/>
                <w:spacing w:val="0"/>
                <w:sz w:val="24"/>
                <w:highlight w:val="none"/>
                <w:lang w:val="en-US" w:eastAsia="zh-CN"/>
              </w:rPr>
              <w:t>对于卸料过程中产生的扬尘，要加强管理，采用定点卸料</w:t>
            </w:r>
            <w:r>
              <w:rPr>
                <w:rFonts w:hint="eastAsia"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lang w:val="en-US" w:eastAsia="zh-CN"/>
              </w:rPr>
              <w:t>在卸料时应尽量平缓，卸料过程开启</w:t>
            </w:r>
            <w:r>
              <w:rPr>
                <w:rFonts w:hint="eastAsia" w:cs="Times New Roman"/>
                <w:color w:val="auto"/>
                <w:spacing w:val="0"/>
                <w:sz w:val="24"/>
                <w:highlight w:val="none"/>
                <w:lang w:val="en-US" w:eastAsia="zh-CN"/>
              </w:rPr>
              <w:t>喷雾降尘装置</w:t>
            </w:r>
            <w:r>
              <w:rPr>
                <w:rFonts w:hint="default" w:ascii="Times New Roman" w:hAnsi="Times New Roman" w:eastAsia="宋体" w:cs="Times New Roman"/>
                <w:color w:val="auto"/>
                <w:spacing w:val="0"/>
                <w:sz w:val="24"/>
                <w:highlight w:val="none"/>
                <w:lang w:val="en-US" w:eastAsia="zh-CN"/>
              </w:rPr>
              <w:t>，持续时长为</w:t>
            </w:r>
            <w:r>
              <w:rPr>
                <w:rFonts w:hint="eastAsia" w:cs="Times New Roman"/>
                <w:color w:val="auto"/>
                <w:spacing w:val="0"/>
                <w:sz w:val="24"/>
                <w:highlight w:val="none"/>
                <w:lang w:val="en-US" w:eastAsia="zh-CN"/>
              </w:rPr>
              <w:t>卸料</w:t>
            </w:r>
            <w:r>
              <w:rPr>
                <w:rFonts w:hint="default" w:ascii="Times New Roman" w:hAnsi="Times New Roman" w:eastAsia="宋体" w:cs="Times New Roman"/>
                <w:color w:val="auto"/>
                <w:spacing w:val="0"/>
                <w:sz w:val="24"/>
                <w:highlight w:val="none"/>
                <w:lang w:val="en-US" w:eastAsia="zh-CN"/>
              </w:rPr>
              <w:t>作业时长，保证</w:t>
            </w:r>
            <w:r>
              <w:rPr>
                <w:rFonts w:hint="eastAsia" w:cs="Times New Roman"/>
                <w:color w:val="auto"/>
                <w:spacing w:val="0"/>
                <w:sz w:val="24"/>
                <w:highlight w:val="none"/>
                <w:lang w:val="en-US" w:eastAsia="zh-CN"/>
              </w:rPr>
              <w:t>棚</w:t>
            </w:r>
            <w:r>
              <w:rPr>
                <w:rFonts w:hint="default" w:ascii="Times New Roman" w:hAnsi="Times New Roman" w:eastAsia="宋体" w:cs="Times New Roman"/>
                <w:color w:val="auto"/>
                <w:spacing w:val="0"/>
                <w:sz w:val="24"/>
                <w:highlight w:val="none"/>
                <w:lang w:val="en-US" w:eastAsia="zh-CN"/>
              </w:rPr>
              <w:t>内</w:t>
            </w:r>
            <w:r>
              <w:rPr>
                <w:rFonts w:hint="eastAsia" w:cs="Times New Roman"/>
                <w:color w:val="auto"/>
                <w:spacing w:val="0"/>
                <w:sz w:val="24"/>
                <w:highlight w:val="none"/>
                <w:lang w:val="en-US" w:eastAsia="zh-CN"/>
              </w:rPr>
              <w:t>煤矸石</w:t>
            </w:r>
            <w:r>
              <w:rPr>
                <w:rFonts w:hint="default" w:ascii="Times New Roman" w:hAnsi="Times New Roman" w:eastAsia="宋体" w:cs="Times New Roman"/>
                <w:color w:val="auto"/>
                <w:spacing w:val="0"/>
                <w:sz w:val="24"/>
                <w:highlight w:val="none"/>
                <w:lang w:val="en-US" w:eastAsia="zh-CN"/>
              </w:rPr>
              <w:t>表面的湿度</w:t>
            </w:r>
            <w:r>
              <w:rPr>
                <w:rFonts w:hint="eastAsia" w:ascii="Times New Roman" w:hAnsi="Times New Roman" w:eastAsia="宋体"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lang w:val="en-US" w:eastAsia="zh-CN"/>
              </w:rPr>
              <w:t>减少</w:t>
            </w:r>
            <w:r>
              <w:rPr>
                <w:rFonts w:hint="eastAsia" w:ascii="Times New Roman" w:hAnsi="Times New Roman" w:eastAsia="宋体" w:cs="Times New Roman"/>
                <w:color w:val="auto"/>
                <w:spacing w:val="0"/>
                <w:sz w:val="24"/>
                <w:highlight w:val="none"/>
                <w:lang w:val="en-US" w:eastAsia="zh-CN"/>
              </w:rPr>
              <w:t>扬尘</w:t>
            </w:r>
            <w:r>
              <w:rPr>
                <w:rFonts w:hint="default" w:ascii="Times New Roman" w:hAnsi="Times New Roman" w:eastAsia="宋体" w:cs="Times New Roman"/>
                <w:color w:val="auto"/>
                <w:spacing w:val="0"/>
                <w:sz w:val="24"/>
                <w:highlight w:val="none"/>
                <w:lang w:val="en-US" w:eastAsia="zh-CN"/>
              </w:rPr>
              <w:t>的散出</w:t>
            </w:r>
            <w:r>
              <w:rPr>
                <w:rFonts w:hint="eastAsia" w:ascii="Times New Roman" w:hAnsi="Times New Roman" w:eastAsia="宋体" w:cs="Times New Roman"/>
                <w:color w:val="auto"/>
                <w:spacing w:val="0"/>
                <w:sz w:val="24"/>
                <w:highlight w:val="none"/>
                <w:lang w:val="en-US" w:eastAsia="zh-CN"/>
              </w:rPr>
              <w:t>。</w:t>
            </w:r>
          </w:p>
          <w:p w14:paraId="3C74760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颗粒物排放量核算公式如下：</w:t>
            </w:r>
          </w:p>
          <w:p w14:paraId="4C8296A2">
            <w:pPr>
              <w:widowControl w:val="0"/>
              <w:autoSpaceDE w:val="0"/>
              <w:autoSpaceDN w:val="0"/>
              <w:adjustRightInd w:val="0"/>
              <w:jc w:val="center"/>
              <w:rPr>
                <w:rFonts w:hint="eastAsia"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drawing>
                <wp:inline distT="0" distB="0" distL="114300" distR="114300">
                  <wp:extent cx="2101850" cy="319405"/>
                  <wp:effectExtent l="0" t="0" r="12700" b="4445"/>
                  <wp:docPr id="19" name="图片 4" descr="17026257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1702625718562"/>
                          <pic:cNvPicPr>
                            <a:picLocks noChangeAspect="1"/>
                          </pic:cNvPicPr>
                        </pic:nvPicPr>
                        <pic:blipFill>
                          <a:blip r:embed="rId29"/>
                          <a:stretch>
                            <a:fillRect/>
                          </a:stretch>
                        </pic:blipFill>
                        <pic:spPr>
                          <a:xfrm>
                            <a:off x="0" y="0"/>
                            <a:ext cx="2101850" cy="319405"/>
                          </a:xfrm>
                          <a:prstGeom prst="rect">
                            <a:avLst/>
                          </a:prstGeom>
                          <a:noFill/>
                          <a:ln>
                            <a:noFill/>
                          </a:ln>
                        </pic:spPr>
                      </pic:pic>
                    </a:graphicData>
                  </a:graphic>
                </wp:inline>
              </w:drawing>
            </w:r>
          </w:p>
          <w:p w14:paraId="3E1AE68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式中：P指颗粒物产生量（单位：吨）；</w:t>
            </w:r>
          </w:p>
          <w:p w14:paraId="5855A9E6">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U</w:t>
            </w:r>
            <w:r>
              <w:rPr>
                <w:rFonts w:hint="eastAsia" w:ascii="Times New Roman" w:hAnsi="Times New Roman" w:eastAsia="宋体" w:cs="Times New Roman"/>
                <w:bCs/>
                <w:color w:val="auto"/>
                <w:spacing w:val="0"/>
                <w:sz w:val="24"/>
                <w:szCs w:val="24"/>
                <w:highlight w:val="none"/>
                <w:vertAlign w:val="subscript"/>
                <w:lang w:val="en-US" w:eastAsia="zh-CN"/>
              </w:rPr>
              <w:t>c</w:t>
            </w:r>
            <w:r>
              <w:rPr>
                <w:rFonts w:hint="eastAsia" w:ascii="Times New Roman" w:hAnsi="Times New Roman" w:eastAsia="宋体" w:cs="Times New Roman"/>
                <w:bCs/>
                <w:color w:val="auto"/>
                <w:spacing w:val="0"/>
                <w:sz w:val="24"/>
                <w:szCs w:val="24"/>
                <w:highlight w:val="none"/>
                <w:lang w:val="en-US" w:eastAsia="zh-CN"/>
              </w:rPr>
              <w:t>指颗粒物排放量（单位：吨）；</w:t>
            </w:r>
          </w:p>
          <w:p w14:paraId="3B082B88">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C</w:t>
            </w:r>
            <w:r>
              <w:rPr>
                <w:rFonts w:hint="eastAsia" w:ascii="Times New Roman" w:hAnsi="Times New Roman" w:eastAsia="宋体" w:cs="Times New Roman"/>
                <w:bCs/>
                <w:color w:val="auto"/>
                <w:spacing w:val="0"/>
                <w:sz w:val="24"/>
                <w:szCs w:val="24"/>
                <w:highlight w:val="none"/>
                <w:vertAlign w:val="subscript"/>
                <w:lang w:val="en-US" w:eastAsia="zh-CN"/>
              </w:rPr>
              <w:t>m</w:t>
            </w:r>
            <w:r>
              <w:rPr>
                <w:rFonts w:hint="eastAsia" w:ascii="Times New Roman" w:hAnsi="Times New Roman" w:eastAsia="宋体" w:cs="Times New Roman"/>
                <w:bCs/>
                <w:color w:val="auto"/>
                <w:spacing w:val="0"/>
                <w:sz w:val="24"/>
                <w:szCs w:val="24"/>
                <w:highlight w:val="none"/>
                <w:lang w:val="en-US" w:eastAsia="zh-CN"/>
              </w:rPr>
              <w:t>指颗粒物控制措施控制效率（单位：%），</w:t>
            </w:r>
            <w:r>
              <w:rPr>
                <w:rFonts w:hint="eastAsia" w:cs="Times New Roman"/>
                <w:bCs/>
                <w:color w:val="auto"/>
                <w:spacing w:val="0"/>
                <w:sz w:val="24"/>
                <w:szCs w:val="24"/>
                <w:highlight w:val="none"/>
                <w:lang w:val="en-US" w:eastAsia="zh-CN"/>
              </w:rPr>
              <w:t>洒水</w:t>
            </w:r>
            <w:r>
              <w:rPr>
                <w:rFonts w:hint="eastAsia" w:ascii="Times New Roman" w:hAnsi="Times New Roman" w:eastAsia="宋体" w:cs="Times New Roman"/>
                <w:bCs/>
                <w:color w:val="auto"/>
                <w:spacing w:val="0"/>
                <w:sz w:val="24"/>
                <w:szCs w:val="24"/>
                <w:highlight w:val="none"/>
                <w:lang w:val="en-US" w:eastAsia="zh-CN"/>
              </w:rPr>
              <w:t>7</w:t>
            </w:r>
            <w:r>
              <w:rPr>
                <w:rFonts w:hint="eastAsia" w:cs="Times New Roman"/>
                <w:bCs/>
                <w:color w:val="auto"/>
                <w:spacing w:val="0"/>
                <w:sz w:val="24"/>
                <w:szCs w:val="24"/>
                <w:highlight w:val="none"/>
                <w:lang w:val="en-US" w:eastAsia="zh-CN"/>
              </w:rPr>
              <w:t>4</w:t>
            </w:r>
            <w:r>
              <w:rPr>
                <w:rFonts w:hint="eastAsia" w:ascii="Times New Roman" w:hAnsi="Times New Roman" w:eastAsia="宋体" w:cs="Times New Roman"/>
                <w:bCs/>
                <w:color w:val="auto"/>
                <w:spacing w:val="0"/>
                <w:sz w:val="24"/>
                <w:szCs w:val="24"/>
                <w:highlight w:val="none"/>
                <w:lang w:val="en-US" w:eastAsia="zh-CN"/>
              </w:rPr>
              <w:t>%；</w:t>
            </w:r>
          </w:p>
          <w:p w14:paraId="02C2AB59">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auto"/>
              <w:rPr>
                <w:rFonts w:hint="eastAsia" w:ascii="Times New Roman" w:hAnsi="Times New Roman" w:eastAsia="宋体" w:cs="Times New Roman"/>
                <w:bCs/>
                <w:color w:val="auto"/>
                <w:spacing w:val="0"/>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T</w:t>
            </w:r>
            <w:r>
              <w:rPr>
                <w:rFonts w:hint="eastAsia" w:ascii="Times New Roman" w:hAnsi="Times New Roman" w:eastAsia="宋体" w:cs="Times New Roman"/>
                <w:bCs/>
                <w:color w:val="auto"/>
                <w:spacing w:val="0"/>
                <w:sz w:val="24"/>
                <w:szCs w:val="24"/>
                <w:highlight w:val="none"/>
                <w:vertAlign w:val="subscript"/>
                <w:lang w:val="en-US" w:eastAsia="zh-CN"/>
              </w:rPr>
              <w:t>m</w:t>
            </w:r>
            <w:r>
              <w:rPr>
                <w:rFonts w:hint="eastAsia" w:ascii="Times New Roman" w:hAnsi="Times New Roman" w:eastAsia="宋体" w:cs="Times New Roman"/>
                <w:bCs/>
                <w:color w:val="auto"/>
                <w:spacing w:val="0"/>
                <w:sz w:val="24"/>
                <w:szCs w:val="24"/>
                <w:highlight w:val="none"/>
                <w:lang w:val="en-US" w:eastAsia="zh-CN"/>
              </w:rPr>
              <w:t>指堆场类型控制效率（单位：%），密闭式99%。</w:t>
            </w:r>
          </w:p>
          <w:p w14:paraId="3FA4942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因此，本项目</w:t>
            </w:r>
            <w:r>
              <w:rPr>
                <w:rFonts w:hint="eastAsia" w:cs="Times New Roman"/>
                <w:bCs/>
                <w:color w:val="auto"/>
                <w:spacing w:val="0"/>
                <w:sz w:val="24"/>
                <w:szCs w:val="24"/>
                <w:highlight w:val="none"/>
                <w:lang w:val="en-US" w:eastAsia="zh-CN"/>
              </w:rPr>
              <w:t>储矸棚</w:t>
            </w:r>
            <w:r>
              <w:rPr>
                <w:rFonts w:hint="eastAsia" w:ascii="Times New Roman" w:hAnsi="Times New Roman" w:eastAsia="宋体" w:cs="Times New Roman"/>
                <w:bCs/>
                <w:color w:val="auto"/>
                <w:spacing w:val="0"/>
                <w:sz w:val="24"/>
                <w:szCs w:val="24"/>
                <w:highlight w:val="none"/>
                <w:lang w:val="en-US" w:eastAsia="zh-CN"/>
              </w:rPr>
              <w:t>颗粒物无组织排放量为</w:t>
            </w:r>
            <w:r>
              <w:rPr>
                <w:rFonts w:hint="eastAsia" w:cs="Times New Roman"/>
                <w:bCs/>
                <w:color w:val="auto"/>
                <w:spacing w:val="0"/>
                <w:sz w:val="24"/>
                <w:szCs w:val="24"/>
                <w:highlight w:val="none"/>
                <w:lang w:val="en-US" w:eastAsia="zh-CN"/>
              </w:rPr>
              <w:t>1.514</w:t>
            </w:r>
            <w:r>
              <w:rPr>
                <w:rFonts w:hint="eastAsia" w:ascii="Times New Roman" w:hAnsi="Times New Roman" w:eastAsia="宋体" w:cs="Times New Roman"/>
                <w:bCs/>
                <w:color w:val="auto"/>
                <w:spacing w:val="0"/>
                <w:sz w:val="24"/>
                <w:szCs w:val="24"/>
                <w:highlight w:val="none"/>
                <w:lang w:val="en-US" w:eastAsia="zh-CN"/>
              </w:rPr>
              <w:t>t/a。</w:t>
            </w:r>
          </w:p>
          <w:p w14:paraId="1A60794B">
            <w:pPr>
              <w:widowControl/>
              <w:snapToGrid w:val="0"/>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G2.矸石受料斗粉尘</w:t>
            </w:r>
          </w:p>
          <w:p w14:paraId="25DF80C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矸石通过铲车倒入矸石受料斗，</w:t>
            </w:r>
            <w:r>
              <w:rPr>
                <w:rFonts w:hint="eastAsia" w:cs="Times New Roman"/>
                <w:color w:val="auto"/>
                <w:sz w:val="24"/>
                <w:highlight w:val="none"/>
                <w:lang w:val="en-US" w:eastAsia="zh-CN"/>
              </w:rPr>
              <w:t>投料</w:t>
            </w:r>
            <w:r>
              <w:rPr>
                <w:rFonts w:hint="eastAsia" w:ascii="Times New Roman" w:hAnsi="Times New Roman" w:eastAsia="宋体" w:cs="Times New Roman"/>
                <w:color w:val="auto"/>
                <w:sz w:val="24"/>
                <w:highlight w:val="none"/>
                <w:lang w:val="en-US" w:eastAsia="zh-CN"/>
              </w:rPr>
              <w:t>过程中会产生粉尘</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该工序年工作330天，每天工作</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小时</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参照《环境影响评价实用技术指南》（李爱贞主编）中推荐的投料经验系数0.01%进行估算</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矸石</w:t>
            </w:r>
            <w:r>
              <w:rPr>
                <w:rFonts w:hint="eastAsia" w:ascii="Times New Roman" w:hAnsi="Times New Roman" w:eastAsia="宋体" w:cs="Times New Roman"/>
                <w:color w:val="auto"/>
                <w:spacing w:val="0"/>
                <w:sz w:val="24"/>
                <w:highlight w:val="none"/>
                <w:lang w:val="en-US" w:eastAsia="zh-CN"/>
              </w:rPr>
              <w:t>年用量为</w:t>
            </w:r>
            <w:r>
              <w:rPr>
                <w:rFonts w:hint="eastAsia" w:cs="Times New Roman"/>
                <w:color w:val="auto"/>
                <w:spacing w:val="0"/>
                <w:sz w:val="24"/>
                <w:highlight w:val="none"/>
                <w:lang w:val="en-US" w:eastAsia="zh-CN"/>
              </w:rPr>
              <w:t>442000t</w:t>
            </w:r>
            <w:r>
              <w:rPr>
                <w:rFonts w:hint="default" w:ascii="Times New Roman" w:hAnsi="Times New Roman" w:eastAsia="宋体" w:cs="Times New Roman"/>
                <w:color w:val="auto"/>
                <w:sz w:val="24"/>
                <w:highlight w:val="none"/>
                <w:lang w:val="en-US" w:eastAsia="zh-CN"/>
              </w:rPr>
              <w:t>，因此粉尘产生量为</w:t>
            </w:r>
            <w:r>
              <w:rPr>
                <w:rFonts w:hint="eastAsia" w:cs="Times New Roman"/>
                <w:color w:val="auto"/>
                <w:sz w:val="24"/>
                <w:highlight w:val="none"/>
                <w:lang w:val="en-US" w:eastAsia="zh-CN"/>
              </w:rPr>
              <w:t>44.2</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，产生速率为</w:t>
            </w:r>
            <w:r>
              <w:rPr>
                <w:rFonts w:hint="eastAsia" w:cs="Times New Roman"/>
                <w:color w:val="auto"/>
                <w:sz w:val="24"/>
                <w:highlight w:val="none"/>
                <w:lang w:val="en-US" w:eastAsia="zh-CN"/>
              </w:rPr>
              <w:t>13.394</w:t>
            </w:r>
            <w:r>
              <w:rPr>
                <w:rFonts w:hint="eastAsia" w:ascii="Times New Roman" w:hAnsi="Times New Roman" w:cs="Times New Roman"/>
                <w:color w:val="auto"/>
                <w:sz w:val="24"/>
                <w:highlight w:val="none"/>
                <w:lang w:val="en-US" w:eastAsia="zh-CN"/>
              </w:rPr>
              <w:t>kg/h，产生浓度为</w:t>
            </w:r>
            <w:r>
              <w:rPr>
                <w:rFonts w:hint="eastAsia" w:cs="Times New Roman"/>
                <w:color w:val="auto"/>
                <w:sz w:val="24"/>
                <w:highlight w:val="none"/>
                <w:lang w:val="en-US" w:eastAsia="zh-CN"/>
              </w:rPr>
              <w:t>515.15</w:t>
            </w:r>
            <w:r>
              <w:rPr>
                <w:rFonts w:hint="eastAsia" w:ascii="Times New Roman" w:hAnsi="Times New Roman" w:eastAsia="宋体" w:cs="Times New Roman"/>
                <w:snapToGrid w:val="0"/>
                <w:color w:val="auto"/>
                <w:sz w:val="24"/>
                <w:szCs w:val="20"/>
                <w:highlight w:val="none"/>
                <w:lang w:val="en-US" w:eastAsia="zh-CN"/>
              </w:rPr>
              <w:t>mg/m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p>
          <w:p w14:paraId="32FDB738">
            <w:pPr>
              <w:widowControl/>
              <w:snapToGrid w:val="0"/>
              <w:spacing w:line="480" w:lineRule="exact"/>
              <w:ind w:firstLine="480" w:firstLineChars="200"/>
              <w:rPr>
                <w:rFonts w:hint="eastAsia" w:ascii="Times New Roman" w:hAnsi="Times New Roman" w:eastAsia="宋体" w:cs="Times New Roman"/>
                <w:snapToGrid w:val="0"/>
                <w:color w:val="auto"/>
                <w:sz w:val="24"/>
                <w:szCs w:val="20"/>
                <w:highlight w:val="none"/>
                <w:lang w:val="en-US" w:eastAsia="zh-CN"/>
              </w:rPr>
            </w:pPr>
            <w:r>
              <w:rPr>
                <w:rFonts w:hint="eastAsia" w:ascii="Times New Roman" w:hAnsi="Times New Roman" w:eastAsia="宋体" w:cs="Times New Roman"/>
                <w:color w:val="auto"/>
                <w:sz w:val="24"/>
                <w:highlight w:val="none"/>
                <w:lang w:val="en-US" w:eastAsia="zh-CN"/>
              </w:rPr>
              <w:t>矸石受料</w:t>
            </w:r>
            <w:r>
              <w:rPr>
                <w:rFonts w:hint="eastAsia" w:ascii="Times New Roman" w:hAnsi="Times New Roman" w:cs="Times New Roman"/>
                <w:color w:val="auto"/>
                <w:sz w:val="24"/>
                <w:highlight w:val="none"/>
                <w:lang w:val="en-US" w:eastAsia="zh-CN"/>
              </w:rPr>
              <w:t>斗</w:t>
            </w:r>
            <w:r>
              <w:rPr>
                <w:rFonts w:hint="eastAsia" w:ascii="Times New Roman" w:hAnsi="Times New Roman" w:eastAsia="宋体" w:cs="Times New Roman"/>
                <w:color w:val="auto"/>
                <w:sz w:val="24"/>
                <w:highlight w:val="none"/>
                <w:lang w:val="en-US" w:eastAsia="zh-CN"/>
              </w:rPr>
              <w:t>位于全封闭储矸棚内，</w:t>
            </w:r>
            <w:r>
              <w:rPr>
                <w:rFonts w:hint="eastAsia" w:ascii="Times New Roman" w:hAnsi="Times New Roman" w:eastAsia="宋体" w:cs="Times New Roman"/>
                <w:snapToGrid w:val="0"/>
                <w:color w:val="auto"/>
                <w:sz w:val="24"/>
                <w:highlight w:val="none"/>
                <w:lang w:val="en-US" w:eastAsia="zh-CN"/>
              </w:rPr>
              <w:t>为半地埋式结构</w:t>
            </w:r>
            <w:r>
              <w:rPr>
                <w:rFonts w:hint="eastAsia" w:ascii="Times New Roman" w:hAnsi="Times New Roman" w:cs="Times New Roman"/>
                <w:snapToGrid w:val="0"/>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受矸斗入料口在入料口设置</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个半密闭集气罩</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采用通风柜形式，彩钢板三面</w:t>
            </w:r>
            <w:r>
              <w:rPr>
                <w:rFonts w:hint="eastAsia" w:ascii="Times New Roman" w:hAnsi="Times New Roman" w:cs="Times New Roman"/>
                <w:color w:val="auto"/>
                <w:sz w:val="24"/>
                <w:highlight w:val="none"/>
                <w:lang w:val="en-US" w:eastAsia="zh-CN"/>
              </w:rPr>
              <w:t>封闭</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，粉尘</w:t>
            </w:r>
            <w:r>
              <w:rPr>
                <w:rFonts w:hint="eastAsia" w:ascii="Times New Roman" w:hAnsi="Times New Roman" w:cs="Times New Roman"/>
                <w:color w:val="auto"/>
                <w:sz w:val="24"/>
                <w:highlight w:val="none"/>
                <w:lang w:val="en-US" w:eastAsia="zh-CN"/>
              </w:rPr>
              <w:t>经收集</w:t>
            </w:r>
            <w:r>
              <w:rPr>
                <w:rFonts w:hint="eastAsia" w:ascii="Times New Roman" w:hAnsi="Times New Roman" w:eastAsia="宋体" w:cs="Times New Roman"/>
                <w:color w:val="auto"/>
                <w:sz w:val="24"/>
                <w:highlight w:val="none"/>
                <w:lang w:val="en-US" w:eastAsia="zh-CN"/>
              </w:rPr>
              <w:t>引</w:t>
            </w:r>
            <w:r>
              <w:rPr>
                <w:rFonts w:hint="eastAsia" w:ascii="Times New Roman" w:hAnsi="Times New Roman" w:cs="Times New Roman"/>
                <w:color w:val="auto"/>
                <w:sz w:val="24"/>
                <w:highlight w:val="none"/>
                <w:lang w:val="en-US" w:eastAsia="zh-CN"/>
              </w:rPr>
              <w:t>入</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台袋式</w:t>
            </w:r>
            <w:r>
              <w:rPr>
                <w:rFonts w:hint="eastAsia" w:ascii="Times New Roman" w:hAnsi="Times New Roman" w:eastAsia="宋体" w:cs="Times New Roman"/>
                <w:color w:val="auto"/>
                <w:sz w:val="24"/>
                <w:highlight w:val="none"/>
                <w:lang w:val="en-US" w:eastAsia="zh-CN"/>
              </w:rPr>
              <w:t>除尘器</w:t>
            </w:r>
            <w:r>
              <w:rPr>
                <w:rFonts w:hint="eastAsia" w:ascii="Times New Roman" w:hAnsi="Times New Roman" w:cs="Times New Roman"/>
                <w:color w:val="auto"/>
                <w:sz w:val="24"/>
                <w:highlight w:val="none"/>
                <w:lang w:val="en-US" w:eastAsia="zh-CN"/>
              </w:rPr>
              <w:t>进行处理</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处理后由1根15m高排气筒排放（内径0.3m）。</w:t>
            </w:r>
          </w:p>
          <w:p w14:paraId="55FCAF7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napToGrid w:val="0"/>
                <w:color w:val="auto"/>
                <w:sz w:val="24"/>
                <w:szCs w:val="20"/>
                <w:highlight w:val="none"/>
                <w:lang w:val="en-US" w:eastAsia="zh-CN"/>
              </w:rPr>
            </w:pPr>
            <w:r>
              <w:rPr>
                <w:rFonts w:hint="eastAsia" w:cs="Times New Roman"/>
                <w:color w:val="auto"/>
                <w:sz w:val="24"/>
                <w:highlight w:val="none"/>
                <w:lang w:val="en-US" w:eastAsia="zh-CN"/>
              </w:rPr>
              <w:t>集气罩</w:t>
            </w:r>
            <w:r>
              <w:rPr>
                <w:rFonts w:hint="eastAsia" w:ascii="Times New Roman" w:hAnsi="Times New Roman" w:eastAsia="宋体" w:cs="Times New Roman"/>
                <w:color w:val="auto"/>
                <w:sz w:val="24"/>
                <w:highlight w:val="none"/>
                <w:lang w:val="en-US" w:eastAsia="zh-CN"/>
              </w:rPr>
              <w:t>设计尺寸</w:t>
            </w:r>
            <w:r>
              <w:rPr>
                <w:rFonts w:hint="eastAsia"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3m</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2m，控制速度按1.2m/s，则设计集气罩风量为25920m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/h，集</w:t>
            </w:r>
            <w:r>
              <w:rPr>
                <w:rFonts w:hint="eastAsia" w:ascii="Times New Roman" w:hAnsi="Times New Roman" w:eastAsia="宋体" w:cs="Times New Roman"/>
                <w:color w:val="auto"/>
                <w:sz w:val="24"/>
                <w:highlight w:val="none"/>
                <w:lang w:val="en-US" w:eastAsia="zh-CN"/>
              </w:rPr>
              <w:t>气效率</w:t>
            </w:r>
            <w:r>
              <w:rPr>
                <w:rFonts w:hint="eastAsia" w:cs="Times New Roman"/>
                <w:color w:val="auto"/>
                <w:sz w:val="24"/>
                <w:highlight w:val="none"/>
                <w:lang w:val="en-US" w:eastAsia="zh-CN"/>
              </w:rPr>
              <w:t>90</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袋式</w:t>
            </w:r>
            <w:r>
              <w:rPr>
                <w:rFonts w:hint="eastAsia" w:ascii="Times New Roman" w:hAnsi="Times New Roman" w:eastAsia="宋体" w:cs="Times New Roman"/>
                <w:color w:val="auto"/>
                <w:sz w:val="24"/>
                <w:highlight w:val="none"/>
                <w:lang w:val="en-US" w:eastAsia="zh-CN"/>
              </w:rPr>
              <w:t>除尘器风量</w:t>
            </w:r>
            <w:r>
              <w:rPr>
                <w:rFonts w:hint="eastAsia" w:cs="Times New Roman"/>
                <w:color w:val="auto"/>
                <w:sz w:val="24"/>
                <w:highlight w:val="none"/>
                <w:lang w:val="en-US" w:eastAsia="zh-CN"/>
              </w:rPr>
              <w:t>取</w:t>
            </w:r>
            <w:r>
              <w:rPr>
                <w:rFonts w:hint="eastAsia" w:ascii="Times New Roman" w:hAnsi="Times New Roman" w:eastAsia="宋体" w:cs="Times New Roman"/>
                <w:color w:val="auto"/>
                <w:sz w:val="24"/>
                <w:highlight w:val="none"/>
                <w:lang w:val="en-US" w:eastAsia="zh-CN"/>
              </w:rPr>
              <w:t>26000m</w:t>
            </w:r>
            <w:r>
              <w:rPr>
                <w:rFonts w:hint="eastAsia" w:ascii="Times New Roman" w:hAnsi="Times New Roman" w:eastAsia="宋体"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过滤面积</w:t>
            </w:r>
            <w:r>
              <w:rPr>
                <w:rFonts w:hint="eastAsia" w:ascii="Times New Roman" w:hAnsi="Times New Roman" w:eastAsia="宋体" w:cs="Times New Roman"/>
                <w:color w:val="auto"/>
                <w:sz w:val="24"/>
                <w:highlight w:val="none"/>
                <w:lang w:val="en-US" w:eastAsia="zh-CN"/>
              </w:rPr>
              <w:t>542m</w:t>
            </w:r>
            <w:r>
              <w:rPr>
                <w:rFonts w:hint="eastAsia" w:cs="Times New Roman"/>
                <w:color w:val="auto"/>
                <w:sz w:val="24"/>
                <w:highlight w:val="none"/>
                <w:vertAlign w:val="superscript"/>
                <w:lang w:val="en-US" w:eastAsia="zh-CN"/>
              </w:rPr>
              <w:t>2</w:t>
            </w:r>
            <w:r>
              <w:rPr>
                <w:rFonts w:hint="eastAsia" w:cs="Times New Roman"/>
                <w:color w:val="auto"/>
                <w:sz w:val="24"/>
                <w:highlight w:val="none"/>
                <w:vertAlign w:val="baseline"/>
                <w:lang w:val="en-US" w:eastAsia="zh-CN"/>
              </w:rPr>
              <w:t>，</w:t>
            </w:r>
            <w:r>
              <w:rPr>
                <w:rFonts w:hint="eastAsia" w:ascii="Times New Roman" w:hAnsi="Times New Roman" w:eastAsia="宋体" w:cs="Times New Roman"/>
                <w:color w:val="auto"/>
                <w:sz w:val="24"/>
                <w:highlight w:val="none"/>
                <w:lang w:val="en-US" w:eastAsia="zh-CN"/>
              </w:rPr>
              <w:t>滤袋材质为涤纶针刺毡</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过滤风速0.8m/min</w:t>
            </w:r>
            <w:r>
              <w:rPr>
                <w:rFonts w:hint="eastAsia" w:cs="Times New Roman"/>
                <w:color w:val="auto"/>
                <w:sz w:val="24"/>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粉尘排放浓度能够满足</w:t>
            </w:r>
            <w:r>
              <w:rPr>
                <w:rFonts w:hint="eastAsia" w:cs="Times New Roman"/>
                <w:snapToGrid w:val="0"/>
                <w:color w:val="auto"/>
                <w:sz w:val="24"/>
                <w:szCs w:val="20"/>
                <w:highlight w:val="none"/>
                <w:lang w:val="en-US" w:eastAsia="zh-CN"/>
              </w:rPr>
              <w:t>“</w:t>
            </w:r>
            <w:r>
              <w:rPr>
                <w:rFonts w:hint="default" w:ascii="Times New Roman" w:hAnsi="Times New Roman" w:eastAsia="宋体" w:cs="Times New Roman"/>
                <w:color w:val="auto"/>
                <w:spacing w:val="0"/>
                <w:kern w:val="21"/>
                <w:sz w:val="24"/>
                <w:highlight w:val="none"/>
                <w:lang w:val="en-US" w:eastAsia="zh-CN"/>
              </w:rPr>
              <w:t>长治市大气污染防治工作领导组办公室文件《关于印发长治市工业企业无组织排放治理实施方案》（长气防办[2019]9号）的通知</w:t>
            </w:r>
            <w:r>
              <w:rPr>
                <w:rFonts w:hint="eastAsia" w:cs="Times New Roman"/>
                <w:snapToGrid w:val="0"/>
                <w:color w:val="auto"/>
                <w:sz w:val="24"/>
                <w:szCs w:val="20"/>
                <w:highlight w:val="none"/>
                <w:lang w:val="en-US" w:eastAsia="zh-CN"/>
              </w:rPr>
              <w:t>”中</w:t>
            </w:r>
            <w:r>
              <w:rPr>
                <w:rFonts w:hint="eastAsia" w:ascii="Times New Roman" w:hAnsi="Times New Roman" w:eastAsia="宋体" w:cs="Times New Roman"/>
                <w:snapToGrid w:val="0"/>
                <w:color w:val="auto"/>
                <w:sz w:val="24"/>
                <w:szCs w:val="20"/>
                <w:highlight w:val="none"/>
                <w:lang w:val="en-US" w:eastAsia="zh-CN"/>
              </w:rPr>
              <w:t>特别排放限值：颗粒物10mg/Nm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w:t>
            </w:r>
            <w:r>
              <w:rPr>
                <w:rFonts w:hint="eastAsia" w:ascii="Times New Roman" w:hAnsi="Times New Roman" w:cs="Times New Roman"/>
                <w:snapToGrid w:val="0"/>
                <w:color w:val="auto"/>
                <w:sz w:val="24"/>
                <w:szCs w:val="20"/>
                <w:highlight w:val="none"/>
                <w:lang w:val="en-US" w:eastAsia="zh-CN"/>
              </w:rPr>
              <w:t>因此，</w:t>
            </w:r>
            <w:r>
              <w:rPr>
                <w:rFonts w:hint="eastAsia" w:ascii="Times New Roman" w:hAnsi="Times New Roman" w:eastAsia="宋体" w:cs="Times New Roman"/>
                <w:snapToGrid w:val="0"/>
                <w:color w:val="auto"/>
                <w:sz w:val="24"/>
                <w:szCs w:val="20"/>
                <w:highlight w:val="none"/>
                <w:lang w:val="en-US" w:eastAsia="zh-CN"/>
              </w:rPr>
              <w:t>粉尘有组织排放量=10mg/Nm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w:t>
            </w:r>
            <w:r>
              <w:rPr>
                <w:rFonts w:hint="eastAsia" w:ascii="Times New Roman" w:hAnsi="Times New Roman" w:cs="Times New Roman"/>
                <w:snapToGrid w:val="0"/>
                <w:color w:val="auto"/>
                <w:sz w:val="24"/>
                <w:szCs w:val="20"/>
                <w:highlight w:val="none"/>
                <w:lang w:val="en-US" w:eastAsia="zh-CN"/>
              </w:rPr>
              <w:t>26</w:t>
            </w:r>
            <w:r>
              <w:rPr>
                <w:rFonts w:hint="eastAsia" w:ascii="Times New Roman" w:hAnsi="Times New Roman" w:eastAsia="宋体" w:cs="Times New Roman"/>
                <w:snapToGrid w:val="0"/>
                <w:color w:val="auto"/>
                <w:sz w:val="24"/>
                <w:szCs w:val="20"/>
                <w:highlight w:val="none"/>
                <w:lang w:val="en-US" w:eastAsia="zh-CN"/>
              </w:rPr>
              <w:t>00</w:t>
            </w:r>
            <w:r>
              <w:rPr>
                <w:rFonts w:hint="eastAsia" w:ascii="Times New Roman" w:hAnsi="Times New Roman" w:cs="Times New Roman"/>
                <w:snapToGrid w:val="0"/>
                <w:color w:val="auto"/>
                <w:sz w:val="24"/>
                <w:szCs w:val="20"/>
                <w:highlight w:val="none"/>
                <w:lang w:val="en-US" w:eastAsia="zh-CN"/>
              </w:rPr>
              <w:t>0</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/h×3</w:t>
            </w:r>
            <w:r>
              <w:rPr>
                <w:rFonts w:hint="eastAsia" w:ascii="Times New Roman" w:hAnsi="Times New Roman" w:cs="Times New Roman"/>
                <w:snapToGrid w:val="0"/>
                <w:color w:val="auto"/>
                <w:sz w:val="24"/>
                <w:szCs w:val="20"/>
                <w:highlight w:val="none"/>
                <w:lang w:val="en-US" w:eastAsia="zh-CN"/>
              </w:rPr>
              <w:t>3</w:t>
            </w:r>
            <w:r>
              <w:rPr>
                <w:rFonts w:hint="eastAsia" w:ascii="Times New Roman" w:hAnsi="Times New Roman" w:eastAsia="宋体" w:cs="Times New Roman"/>
                <w:snapToGrid w:val="0"/>
                <w:color w:val="auto"/>
                <w:sz w:val="24"/>
                <w:szCs w:val="20"/>
                <w:highlight w:val="none"/>
                <w:lang w:val="en-US" w:eastAsia="zh-CN"/>
              </w:rPr>
              <w:t>0d×</w:t>
            </w:r>
            <w:r>
              <w:rPr>
                <w:rFonts w:hint="eastAsia" w:ascii="Times New Roman" w:hAnsi="Times New Roman" w:cs="Times New Roman"/>
                <w:snapToGrid w:val="0"/>
                <w:color w:val="auto"/>
                <w:sz w:val="24"/>
                <w:szCs w:val="20"/>
                <w:highlight w:val="none"/>
                <w:lang w:val="en-US" w:eastAsia="zh-CN"/>
              </w:rPr>
              <w:t>10</w:t>
            </w:r>
            <w:r>
              <w:rPr>
                <w:rFonts w:hint="eastAsia" w:ascii="Times New Roman" w:hAnsi="Times New Roman" w:eastAsia="宋体" w:cs="Times New Roman"/>
                <w:snapToGrid w:val="0"/>
                <w:color w:val="auto"/>
                <w:sz w:val="24"/>
                <w:szCs w:val="20"/>
                <w:highlight w:val="none"/>
                <w:lang w:val="en-US" w:eastAsia="zh-CN"/>
              </w:rPr>
              <w:t>h×10</w:t>
            </w:r>
            <w:r>
              <w:rPr>
                <w:rFonts w:hint="eastAsia" w:ascii="Times New Roman" w:hAnsi="Times New Roman" w:eastAsia="宋体" w:cs="Times New Roman"/>
                <w:snapToGrid w:val="0"/>
                <w:color w:val="auto"/>
                <w:sz w:val="24"/>
                <w:szCs w:val="20"/>
                <w:highlight w:val="none"/>
                <w:vertAlign w:val="superscript"/>
                <w:lang w:val="en-US" w:eastAsia="zh-CN"/>
              </w:rPr>
              <w:t>-9</w:t>
            </w:r>
            <w:r>
              <w:rPr>
                <w:rFonts w:hint="eastAsia" w:ascii="Times New Roman" w:hAnsi="Times New Roman" w:eastAsia="宋体" w:cs="Times New Roman"/>
                <w:snapToGrid w:val="0"/>
                <w:color w:val="auto"/>
                <w:sz w:val="24"/>
                <w:szCs w:val="20"/>
                <w:highlight w:val="none"/>
                <w:lang w:val="en-US" w:eastAsia="zh-CN"/>
              </w:rPr>
              <w:t>=0.</w:t>
            </w:r>
            <w:r>
              <w:rPr>
                <w:rFonts w:hint="eastAsia" w:ascii="Times New Roman" w:hAnsi="Times New Roman" w:cs="Times New Roman"/>
                <w:snapToGrid w:val="0"/>
                <w:color w:val="auto"/>
                <w:sz w:val="24"/>
                <w:szCs w:val="20"/>
                <w:highlight w:val="none"/>
                <w:lang w:val="en-US" w:eastAsia="zh-CN"/>
              </w:rPr>
              <w:t>858</w:t>
            </w:r>
            <w:r>
              <w:rPr>
                <w:rFonts w:hint="eastAsia" w:ascii="Times New Roman" w:hAnsi="Times New Roman" w:eastAsia="宋体" w:cs="Times New Roman"/>
                <w:snapToGrid w:val="0"/>
                <w:color w:val="auto"/>
                <w:sz w:val="24"/>
                <w:szCs w:val="20"/>
                <w:highlight w:val="none"/>
                <w:lang w:val="en-US" w:eastAsia="zh-CN"/>
              </w:rPr>
              <w:t>t/a，排放速率为0.</w:t>
            </w:r>
            <w:r>
              <w:rPr>
                <w:rFonts w:hint="eastAsia" w:ascii="Times New Roman" w:hAnsi="Times New Roman" w:cs="Times New Roman"/>
                <w:snapToGrid w:val="0"/>
                <w:color w:val="auto"/>
                <w:sz w:val="24"/>
                <w:szCs w:val="20"/>
                <w:highlight w:val="none"/>
                <w:lang w:val="en-US" w:eastAsia="zh-CN"/>
              </w:rPr>
              <w:t>26</w:t>
            </w:r>
            <w:r>
              <w:rPr>
                <w:rFonts w:hint="eastAsia" w:ascii="Times New Roman" w:hAnsi="Times New Roman" w:eastAsia="宋体" w:cs="Times New Roman"/>
                <w:snapToGrid w:val="0"/>
                <w:color w:val="auto"/>
                <w:sz w:val="24"/>
                <w:szCs w:val="20"/>
                <w:highlight w:val="none"/>
                <w:lang w:val="en-US" w:eastAsia="zh-CN"/>
              </w:rPr>
              <w:t>kg/h。</w:t>
            </w:r>
          </w:p>
          <w:p w14:paraId="4AB1DC61">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G3.水泥筒仓</w:t>
            </w:r>
            <w:r>
              <w:rPr>
                <w:rFonts w:hint="eastAsia" w:ascii="Times New Roman" w:hAnsi="Times New Roman" w:eastAsia="宋体" w:cs="Times New Roman"/>
                <w:color w:val="auto"/>
                <w:sz w:val="24"/>
                <w:highlight w:val="none"/>
                <w:lang w:val="en-US" w:eastAsia="zh-CN"/>
              </w:rPr>
              <w:t>粉尘</w:t>
            </w:r>
          </w:p>
          <w:p w14:paraId="270D901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sz w:val="24"/>
                <w:highlight w:val="none"/>
                <w:lang w:val="en-US" w:eastAsia="zh-CN"/>
              </w:rPr>
              <w:t>本项目设置</w:t>
            </w:r>
            <w:r>
              <w:rPr>
                <w:rFonts w:hint="eastAsia" w:ascii="Times New Roman" w:hAnsi="Times New Roman" w:cs="Times New Roman"/>
                <w:snapToGrid w:val="0"/>
                <w:color w:val="auto"/>
                <w:sz w:val="24"/>
                <w:highlight w:val="none"/>
                <w:lang w:val="en-US" w:eastAsia="zh-CN"/>
              </w:rPr>
              <w:t>6</w:t>
            </w:r>
            <w:r>
              <w:rPr>
                <w:rFonts w:hint="eastAsia" w:ascii="Times New Roman" w:hAnsi="Times New Roman" w:eastAsia="宋体" w:cs="Times New Roman"/>
                <w:snapToGrid w:val="0"/>
                <w:color w:val="auto"/>
                <w:sz w:val="24"/>
                <w:highlight w:val="none"/>
                <w:lang w:val="en-US" w:eastAsia="zh-CN"/>
              </w:rPr>
              <w:t>座</w:t>
            </w:r>
            <w:r>
              <w:rPr>
                <w:rFonts w:hint="eastAsia" w:ascii="Times New Roman" w:hAnsi="Times New Roman" w:cs="Times New Roman"/>
                <w:snapToGrid w:val="0"/>
                <w:color w:val="auto"/>
                <w:sz w:val="24"/>
                <w:highlight w:val="none"/>
                <w:lang w:val="en-US" w:eastAsia="zh-CN"/>
              </w:rPr>
              <w:t>水泥</w:t>
            </w:r>
            <w:r>
              <w:rPr>
                <w:rFonts w:hint="eastAsia" w:ascii="Times New Roman" w:hAnsi="Times New Roman" w:eastAsia="宋体" w:cs="Times New Roman"/>
                <w:snapToGrid w:val="0"/>
                <w:color w:val="auto"/>
                <w:sz w:val="24"/>
                <w:highlight w:val="none"/>
                <w:lang w:val="en-US" w:eastAsia="zh-CN"/>
              </w:rPr>
              <w:t>筒仓</w:t>
            </w:r>
            <w:r>
              <w:rPr>
                <w:rFonts w:hint="eastAsia" w:ascii="Times New Roman" w:hAnsi="Times New Roman" w:eastAsia="宋体" w:cs="Times New Roman"/>
                <w:snapToGrid w:val="0"/>
                <w:color w:val="auto"/>
                <w:sz w:val="24"/>
                <w:szCs w:val="20"/>
                <w:highlight w:val="none"/>
                <w:lang w:val="en-US" w:eastAsia="zh-CN"/>
              </w:rPr>
              <w:t>，</w:t>
            </w:r>
            <w:r>
              <w:rPr>
                <w:rFonts w:hint="eastAsia" w:cs="Times New Roman"/>
                <w:snapToGrid w:val="0"/>
                <w:color w:val="auto"/>
                <w:spacing w:val="0"/>
                <w:sz w:val="24"/>
                <w:szCs w:val="20"/>
                <w:highlight w:val="none"/>
                <w:lang w:val="en-US" w:eastAsia="zh-CN"/>
              </w:rPr>
              <w:t>水泥</w:t>
            </w:r>
            <w:r>
              <w:rPr>
                <w:rFonts w:ascii="Times New Roman" w:hAnsi="Times New Roman" w:eastAsia="宋体" w:cs="Times New Roman"/>
                <w:snapToGrid w:val="0"/>
                <w:color w:val="auto"/>
                <w:spacing w:val="0"/>
                <w:sz w:val="24"/>
                <w:szCs w:val="20"/>
                <w:highlight w:val="none"/>
              </w:rPr>
              <w:t>由</w:t>
            </w:r>
            <w:r>
              <w:rPr>
                <w:rFonts w:hint="eastAsia" w:ascii="Times New Roman" w:hAnsi="Times New Roman" w:eastAsia="宋体" w:cs="Times New Roman"/>
                <w:snapToGrid w:val="0"/>
                <w:color w:val="auto"/>
                <w:spacing w:val="0"/>
                <w:sz w:val="24"/>
                <w:szCs w:val="20"/>
                <w:highlight w:val="none"/>
              </w:rPr>
              <w:t>密封</w:t>
            </w:r>
            <w:r>
              <w:rPr>
                <w:rFonts w:hint="eastAsia" w:ascii="Times New Roman" w:hAnsi="Times New Roman" w:eastAsia="宋体" w:cs="Times New Roman"/>
                <w:snapToGrid w:val="0"/>
                <w:color w:val="auto"/>
                <w:spacing w:val="0"/>
                <w:sz w:val="24"/>
                <w:szCs w:val="20"/>
                <w:highlight w:val="none"/>
                <w:lang w:val="en-US" w:eastAsia="zh-CN"/>
              </w:rPr>
              <w:t>罐车</w:t>
            </w:r>
            <w:r>
              <w:rPr>
                <w:rFonts w:hint="eastAsia" w:ascii="Times New Roman" w:hAnsi="Times New Roman" w:eastAsia="宋体" w:cs="Times New Roman"/>
                <w:snapToGrid w:val="0"/>
                <w:color w:val="auto"/>
                <w:spacing w:val="0"/>
                <w:sz w:val="24"/>
                <w:szCs w:val="20"/>
                <w:highlight w:val="none"/>
              </w:rPr>
              <w:t>运至厂内，</w:t>
            </w:r>
            <w:r>
              <w:rPr>
                <w:rFonts w:hint="eastAsia" w:ascii="Times New Roman" w:hAnsi="Times New Roman" w:eastAsia="宋体" w:cs="Times New Roman"/>
                <w:snapToGrid w:val="0"/>
                <w:color w:val="auto"/>
                <w:spacing w:val="0"/>
                <w:sz w:val="24"/>
                <w:szCs w:val="20"/>
                <w:highlight w:val="none"/>
                <w:lang w:val="en-US" w:eastAsia="zh-CN"/>
              </w:rPr>
              <w:t>罐车与筒仓通过管道连接，通过</w:t>
            </w:r>
            <w:r>
              <w:rPr>
                <w:rFonts w:hint="eastAsia" w:cs="Times New Roman"/>
                <w:snapToGrid w:val="0"/>
                <w:color w:val="auto"/>
                <w:spacing w:val="0"/>
                <w:sz w:val="24"/>
                <w:szCs w:val="20"/>
                <w:highlight w:val="none"/>
                <w:lang w:val="en-US" w:eastAsia="zh-CN"/>
              </w:rPr>
              <w:t>螺旋上料机</w:t>
            </w:r>
            <w:r>
              <w:rPr>
                <w:rFonts w:hint="eastAsia" w:ascii="Times New Roman" w:hAnsi="Times New Roman" w:eastAsia="宋体" w:cs="Times New Roman"/>
                <w:snapToGrid w:val="0"/>
                <w:color w:val="auto"/>
                <w:spacing w:val="0"/>
                <w:sz w:val="24"/>
                <w:szCs w:val="20"/>
                <w:highlight w:val="none"/>
              </w:rPr>
              <w:t>打入</w:t>
            </w:r>
            <w:r>
              <w:rPr>
                <w:rFonts w:hint="eastAsia" w:ascii="Times New Roman" w:hAnsi="Times New Roman" w:eastAsia="宋体" w:cs="Times New Roman"/>
                <w:snapToGrid w:val="0"/>
                <w:color w:val="auto"/>
                <w:spacing w:val="0"/>
                <w:sz w:val="24"/>
                <w:szCs w:val="20"/>
                <w:highlight w:val="none"/>
                <w:lang w:val="en-US" w:eastAsia="zh-CN"/>
              </w:rPr>
              <w:t>筒仓</w:t>
            </w:r>
            <w:r>
              <w:rPr>
                <w:rFonts w:hint="eastAsia" w:ascii="Times New Roman" w:hAnsi="Times New Roman" w:eastAsia="宋体" w:cs="Times New Roman"/>
                <w:snapToGrid w:val="0"/>
                <w:color w:val="auto"/>
                <w:spacing w:val="0"/>
                <w:sz w:val="24"/>
                <w:szCs w:val="20"/>
                <w:highlight w:val="none"/>
              </w:rPr>
              <w:t>，由于受气流冲击</w:t>
            </w:r>
            <w:r>
              <w:rPr>
                <w:rFonts w:ascii="Times New Roman" w:hAnsi="Times New Roman" w:eastAsia="宋体" w:cs="Times New Roman"/>
                <w:snapToGrid w:val="0"/>
                <w:color w:val="auto"/>
                <w:spacing w:val="0"/>
                <w:sz w:val="24"/>
                <w:szCs w:val="20"/>
                <w:highlight w:val="none"/>
              </w:rPr>
              <w:t>，仓顶呼吸孔会产生一定量的粉尘。</w:t>
            </w:r>
          </w:p>
          <w:p w14:paraId="70BDAF8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spacing w:val="0"/>
                <w:sz w:val="24"/>
                <w:szCs w:val="20"/>
                <w:highlight w:val="none"/>
                <w:lang w:val="en-US" w:eastAsia="zh-CN"/>
              </w:rPr>
              <w:t>本项目</w:t>
            </w:r>
            <w:r>
              <w:rPr>
                <w:rFonts w:hint="eastAsia" w:ascii="Times New Roman" w:hAnsi="Times New Roman" w:eastAsia="宋体" w:cs="Times New Roman"/>
                <w:snapToGrid w:val="0"/>
                <w:color w:val="auto"/>
                <w:spacing w:val="0"/>
                <w:sz w:val="24"/>
                <w:szCs w:val="24"/>
                <w:highlight w:val="none"/>
                <w:lang w:val="en-US" w:eastAsia="zh-CN"/>
              </w:rPr>
              <w:t>水泥</w:t>
            </w:r>
            <w:r>
              <w:rPr>
                <w:rFonts w:hint="eastAsia" w:ascii="Times New Roman" w:hAnsi="Times New Roman" w:cs="Times New Roman"/>
                <w:snapToGrid w:val="0"/>
                <w:color w:val="auto"/>
                <w:spacing w:val="0"/>
                <w:sz w:val="24"/>
                <w:szCs w:val="24"/>
                <w:highlight w:val="none"/>
                <w:lang w:val="en-US" w:eastAsia="zh-CN"/>
              </w:rPr>
              <w:t>年用量为</w:t>
            </w:r>
            <w:r>
              <w:rPr>
                <w:rFonts w:hint="eastAsia" w:cs="Times New Roman"/>
                <w:snapToGrid w:val="0"/>
                <w:color w:val="auto"/>
                <w:spacing w:val="0"/>
                <w:sz w:val="24"/>
                <w:szCs w:val="24"/>
                <w:highlight w:val="none"/>
                <w:lang w:val="en-US" w:eastAsia="zh-CN"/>
              </w:rPr>
              <w:t>94800</w:t>
            </w:r>
            <w:r>
              <w:rPr>
                <w:rFonts w:hint="eastAsia" w:ascii="Times New Roman" w:hAnsi="Times New Roman" w:cs="Times New Roman"/>
                <w:snapToGrid w:val="0"/>
                <w:color w:val="auto"/>
                <w:spacing w:val="0"/>
                <w:sz w:val="24"/>
                <w:szCs w:val="24"/>
                <w:highlight w:val="none"/>
                <w:lang w:val="en-US" w:eastAsia="zh-CN"/>
              </w:rPr>
              <w:t>t</w:t>
            </w:r>
            <w:r>
              <w:rPr>
                <w:rFonts w:hint="eastAsia" w:ascii="Times New Roman" w:hAnsi="Times New Roman" w:eastAsia="宋体" w:cs="Times New Roman"/>
                <w:snapToGrid w:val="0"/>
                <w:color w:val="auto"/>
                <w:spacing w:val="0"/>
                <w:sz w:val="24"/>
                <w:szCs w:val="24"/>
                <w:highlight w:val="none"/>
                <w:lang w:val="en-US" w:eastAsia="zh-CN"/>
              </w:rPr>
              <w:t>，</w:t>
            </w:r>
            <w:r>
              <w:rPr>
                <w:rFonts w:hint="eastAsia" w:ascii="Times New Roman" w:hAnsi="Times New Roman" w:cs="Times New Roman"/>
                <w:snapToGrid w:val="0"/>
                <w:color w:val="auto"/>
                <w:sz w:val="24"/>
                <w:szCs w:val="24"/>
                <w:highlight w:val="none"/>
                <w:lang w:val="en-US" w:eastAsia="zh-CN"/>
              </w:rPr>
              <w:t>根据建设单位提供资料</w:t>
            </w:r>
            <w:r>
              <w:rPr>
                <w:rFonts w:hint="eastAsia" w:ascii="Times New Roman" w:hAnsi="Times New Roman" w:eastAsia="宋体" w:cs="Times New Roman"/>
                <w:snapToGrid w:val="0"/>
                <w:color w:val="auto"/>
                <w:spacing w:val="0"/>
                <w:sz w:val="24"/>
                <w:szCs w:val="24"/>
                <w:highlight w:val="none"/>
                <w:lang w:val="en-US" w:eastAsia="zh-CN"/>
              </w:rPr>
              <w:t>，</w:t>
            </w:r>
            <w:r>
              <w:rPr>
                <w:rFonts w:hint="eastAsia" w:ascii="Times New Roman" w:hAnsi="Times New Roman" w:eastAsia="宋体" w:cs="Times New Roman"/>
                <w:snapToGrid w:val="0"/>
                <w:color w:val="auto"/>
                <w:spacing w:val="0"/>
                <w:sz w:val="24"/>
                <w:szCs w:val="20"/>
                <w:highlight w:val="none"/>
                <w:lang w:val="en-US" w:eastAsia="zh-CN"/>
              </w:rPr>
              <w:t>每100t</w:t>
            </w:r>
            <w:r>
              <w:rPr>
                <w:rFonts w:hint="eastAsia" w:ascii="Times New Roman" w:hAnsi="Times New Roman" w:cs="Times New Roman"/>
                <w:snapToGrid w:val="0"/>
                <w:color w:val="auto"/>
                <w:spacing w:val="0"/>
                <w:sz w:val="24"/>
                <w:szCs w:val="20"/>
                <w:highlight w:val="none"/>
                <w:lang w:val="en-US" w:eastAsia="zh-CN"/>
              </w:rPr>
              <w:t>水泥罐</w:t>
            </w:r>
            <w:r>
              <w:rPr>
                <w:rFonts w:hint="eastAsia" w:ascii="Times New Roman" w:hAnsi="Times New Roman" w:eastAsia="宋体" w:cs="Times New Roman"/>
                <w:snapToGrid w:val="0"/>
                <w:color w:val="auto"/>
                <w:spacing w:val="0"/>
                <w:sz w:val="24"/>
                <w:szCs w:val="20"/>
                <w:highlight w:val="none"/>
                <w:lang w:val="en-US" w:eastAsia="zh-CN"/>
              </w:rPr>
              <w:t>车打入</w:t>
            </w:r>
            <w:r>
              <w:rPr>
                <w:rFonts w:hint="eastAsia" w:ascii="Times New Roman" w:hAnsi="Times New Roman" w:cs="Times New Roman"/>
                <w:snapToGrid w:val="0"/>
                <w:color w:val="auto"/>
                <w:spacing w:val="0"/>
                <w:sz w:val="24"/>
                <w:szCs w:val="20"/>
                <w:highlight w:val="none"/>
                <w:lang w:val="en-US" w:eastAsia="zh-CN"/>
              </w:rPr>
              <w:t>水泥</w:t>
            </w:r>
            <w:r>
              <w:rPr>
                <w:rFonts w:hint="eastAsia" w:ascii="Times New Roman" w:hAnsi="Times New Roman" w:eastAsia="宋体" w:cs="Times New Roman"/>
                <w:snapToGrid w:val="0"/>
                <w:color w:val="auto"/>
                <w:spacing w:val="0"/>
                <w:sz w:val="24"/>
                <w:szCs w:val="20"/>
                <w:highlight w:val="none"/>
                <w:lang w:val="en-US" w:eastAsia="zh-CN"/>
              </w:rPr>
              <w:t>筒仓用时3h，</w:t>
            </w:r>
            <w:r>
              <w:rPr>
                <w:rFonts w:hint="eastAsia" w:ascii="Times New Roman" w:hAnsi="Times New Roman" w:eastAsia="宋体" w:cs="Times New Roman"/>
                <w:color w:val="auto"/>
                <w:spacing w:val="0"/>
                <w:sz w:val="24"/>
                <w:highlight w:val="none"/>
                <w:lang w:val="en-US" w:eastAsia="zh-CN"/>
              </w:rPr>
              <w:t>则水泥筒仓年上料时间为</w:t>
            </w:r>
            <w:r>
              <w:rPr>
                <w:rFonts w:hint="eastAsia" w:cs="Times New Roman"/>
                <w:color w:val="auto"/>
                <w:spacing w:val="0"/>
                <w:sz w:val="24"/>
                <w:highlight w:val="none"/>
                <w:lang w:val="en-US" w:eastAsia="zh-CN"/>
              </w:rPr>
              <w:t>2844</w:t>
            </w:r>
            <w:r>
              <w:rPr>
                <w:rFonts w:hint="eastAsia" w:ascii="Times New Roman" w:hAnsi="Times New Roman" w:eastAsia="宋体" w:cs="Times New Roman"/>
                <w:color w:val="auto"/>
                <w:spacing w:val="0"/>
                <w:sz w:val="24"/>
                <w:highlight w:val="none"/>
                <w:lang w:val="en-US" w:eastAsia="zh-CN"/>
              </w:rPr>
              <w:t>h</w:t>
            </w:r>
            <w:r>
              <w:rPr>
                <w:rFonts w:hint="eastAsia" w:cs="Times New Roman"/>
                <w:color w:val="auto"/>
                <w:spacing w:val="0"/>
                <w:sz w:val="24"/>
                <w:highlight w:val="none"/>
                <w:lang w:val="en-US" w:eastAsia="zh-CN"/>
              </w:rPr>
              <w:t>，项目设6座筒仓，则每座筒仓的</w:t>
            </w:r>
            <w:r>
              <w:rPr>
                <w:rFonts w:hint="eastAsia" w:ascii="Times New Roman" w:hAnsi="Times New Roman" w:eastAsia="宋体" w:cs="Times New Roman"/>
                <w:color w:val="auto"/>
                <w:spacing w:val="0"/>
                <w:sz w:val="24"/>
                <w:highlight w:val="none"/>
                <w:lang w:val="en-US" w:eastAsia="zh-CN"/>
              </w:rPr>
              <w:t>年上料时间为</w:t>
            </w:r>
            <w:r>
              <w:rPr>
                <w:rFonts w:hint="eastAsia" w:cs="Times New Roman"/>
                <w:color w:val="auto"/>
                <w:spacing w:val="0"/>
                <w:sz w:val="24"/>
                <w:highlight w:val="none"/>
                <w:lang w:val="en-US" w:eastAsia="zh-CN"/>
              </w:rPr>
              <w:t>474h</w:t>
            </w:r>
            <w:r>
              <w:rPr>
                <w:rFonts w:hint="eastAsia" w:ascii="Times New Roman" w:hAnsi="Times New Roman" w:eastAsia="宋体" w:cs="Times New Roman"/>
                <w:color w:val="auto"/>
                <w:spacing w:val="0"/>
                <w:sz w:val="24"/>
                <w:highlight w:val="none"/>
                <w:lang w:val="en-US" w:eastAsia="zh-CN"/>
              </w:rPr>
              <w:t>。</w:t>
            </w:r>
            <w:r>
              <w:rPr>
                <w:rFonts w:hint="eastAsia" w:ascii="Times New Roman" w:hAnsi="Times New Roman" w:eastAsia="宋体" w:cs="Times New Roman"/>
                <w:snapToGrid w:val="0"/>
                <w:color w:val="auto"/>
                <w:sz w:val="24"/>
                <w:szCs w:val="24"/>
                <w:highlight w:val="none"/>
                <w:lang w:val="en-US" w:eastAsia="zh-CN"/>
              </w:rPr>
              <w:t>根据《空气污染物排放和控制手册》中推荐的物料卸至高架出料仓时产尘系数，每上1t料产生粉尘0.12kg，则</w:t>
            </w:r>
            <w:r>
              <w:rPr>
                <w:rFonts w:hint="eastAsia" w:ascii="Times New Roman" w:hAnsi="Times New Roman" w:cs="Times New Roman"/>
                <w:snapToGrid w:val="0"/>
                <w:color w:val="auto"/>
                <w:sz w:val="24"/>
                <w:szCs w:val="24"/>
                <w:highlight w:val="none"/>
                <w:lang w:val="en-US" w:eastAsia="zh-CN"/>
              </w:rPr>
              <w:t>水泥筒仓</w:t>
            </w:r>
            <w:r>
              <w:rPr>
                <w:rFonts w:hint="eastAsia" w:ascii="Times New Roman" w:hAnsi="Times New Roman" w:eastAsia="宋体" w:cs="Times New Roman"/>
                <w:snapToGrid w:val="0"/>
                <w:color w:val="auto"/>
                <w:sz w:val="24"/>
                <w:szCs w:val="24"/>
                <w:highlight w:val="none"/>
                <w:lang w:val="en-US" w:eastAsia="zh-CN"/>
              </w:rPr>
              <w:t>粉尘产生量为</w:t>
            </w:r>
            <w:r>
              <w:rPr>
                <w:rFonts w:hint="eastAsia" w:cs="Times New Roman"/>
                <w:snapToGrid w:val="0"/>
                <w:color w:val="auto"/>
                <w:sz w:val="24"/>
                <w:szCs w:val="24"/>
                <w:highlight w:val="none"/>
                <w:lang w:val="en-US" w:eastAsia="zh-CN"/>
              </w:rPr>
              <w:t>11.376</w:t>
            </w:r>
            <w:r>
              <w:rPr>
                <w:rFonts w:hint="eastAsia" w:ascii="Times New Roman" w:hAnsi="Times New Roman" w:eastAsia="宋体" w:cs="Times New Roman"/>
                <w:snapToGrid w:val="0"/>
                <w:color w:val="auto"/>
                <w:sz w:val="24"/>
                <w:szCs w:val="24"/>
                <w:highlight w:val="none"/>
                <w:lang w:val="en-US" w:eastAsia="zh-CN"/>
              </w:rPr>
              <w:t>t/a</w:t>
            </w:r>
            <w:r>
              <w:rPr>
                <w:rFonts w:hint="eastAsia" w:ascii="Times New Roman" w:hAnsi="Times New Roman" w:cs="Times New Roman"/>
                <w:snapToGrid w:val="0"/>
                <w:color w:val="auto"/>
                <w:sz w:val="24"/>
                <w:szCs w:val="24"/>
                <w:highlight w:val="none"/>
                <w:lang w:val="en-US" w:eastAsia="zh-CN"/>
              </w:rPr>
              <w:t>，</w:t>
            </w:r>
            <w:r>
              <w:rPr>
                <w:rFonts w:hint="eastAsia" w:ascii="Times New Roman" w:hAnsi="Times New Roman" w:cs="Times New Roman"/>
                <w:color w:val="auto"/>
                <w:sz w:val="24"/>
                <w:highlight w:val="none"/>
                <w:lang w:val="en-US" w:eastAsia="zh-CN"/>
              </w:rPr>
              <w:t>产生速率为4kg/h，产生浓度为1600</w:t>
            </w:r>
            <w:r>
              <w:rPr>
                <w:rFonts w:hint="eastAsia" w:ascii="Times New Roman" w:hAnsi="Times New Roman" w:eastAsia="宋体" w:cs="Times New Roman"/>
                <w:snapToGrid w:val="0"/>
                <w:color w:val="auto"/>
                <w:sz w:val="24"/>
                <w:szCs w:val="20"/>
                <w:highlight w:val="none"/>
                <w:lang w:val="en-US" w:eastAsia="zh-CN"/>
              </w:rPr>
              <w:t>mg/m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cs="Times New Roman"/>
                <w:snapToGrid w:val="0"/>
                <w:color w:val="auto"/>
                <w:sz w:val="24"/>
                <w:szCs w:val="24"/>
                <w:highlight w:val="none"/>
                <w:lang w:val="en-US" w:eastAsia="zh-CN"/>
              </w:rPr>
              <w:t>。</w:t>
            </w:r>
          </w:p>
          <w:p w14:paraId="57D7AD89">
            <w:pPr>
              <w:spacing w:line="480" w:lineRule="exact"/>
              <w:ind w:firstLine="480" w:firstLineChars="200"/>
              <w:jc w:val="both"/>
              <w:rPr>
                <w:rFonts w:hint="eastAsia" w:ascii="Times New Roman" w:hAnsi="Times New Roman" w:eastAsia="宋体" w:cs="Times New Roman"/>
                <w:snapToGrid w:val="0"/>
                <w:color w:val="auto"/>
                <w:sz w:val="24"/>
                <w:szCs w:val="20"/>
                <w:highlight w:val="none"/>
                <w:lang w:val="en-US" w:eastAsia="zh-CN"/>
              </w:rPr>
            </w:pPr>
            <w:r>
              <w:rPr>
                <w:rFonts w:hint="eastAsia" w:ascii="Times New Roman" w:hAnsi="Times New Roman" w:eastAsia="宋体" w:cs="Times New Roman"/>
                <w:snapToGrid w:val="0"/>
                <w:color w:val="auto"/>
                <w:sz w:val="24"/>
                <w:szCs w:val="20"/>
                <w:highlight w:val="none"/>
                <w:lang w:val="en-US" w:eastAsia="zh-CN"/>
              </w:rPr>
              <w:t>本次评价要求每座</w:t>
            </w:r>
            <w:r>
              <w:rPr>
                <w:rFonts w:hint="eastAsia" w:ascii="Times New Roman" w:hAnsi="Times New Roman" w:cs="Times New Roman"/>
                <w:snapToGrid w:val="0"/>
                <w:color w:val="auto"/>
                <w:sz w:val="24"/>
                <w:szCs w:val="20"/>
                <w:highlight w:val="none"/>
                <w:lang w:val="en-US" w:eastAsia="zh-CN"/>
              </w:rPr>
              <w:t>水泥</w:t>
            </w:r>
            <w:r>
              <w:rPr>
                <w:rFonts w:hint="eastAsia" w:ascii="Times New Roman" w:hAnsi="Times New Roman" w:eastAsia="宋体" w:cs="Times New Roman"/>
                <w:snapToGrid w:val="0"/>
                <w:color w:val="auto"/>
                <w:sz w:val="24"/>
                <w:szCs w:val="20"/>
                <w:highlight w:val="none"/>
                <w:lang w:val="en-US" w:eastAsia="zh-CN"/>
              </w:rPr>
              <w:t>筒仓仓顶均配套设置1台袋式除尘器（共</w:t>
            </w:r>
            <w:r>
              <w:rPr>
                <w:rFonts w:hint="eastAsia" w:ascii="Times New Roman" w:hAnsi="Times New Roman" w:cs="Times New Roman"/>
                <w:snapToGrid w:val="0"/>
                <w:color w:val="auto"/>
                <w:sz w:val="24"/>
                <w:szCs w:val="20"/>
                <w:highlight w:val="none"/>
                <w:lang w:val="en-US" w:eastAsia="zh-CN"/>
              </w:rPr>
              <w:t>6</w:t>
            </w:r>
            <w:r>
              <w:rPr>
                <w:rFonts w:hint="eastAsia" w:ascii="Times New Roman" w:hAnsi="Times New Roman" w:eastAsia="宋体" w:cs="Times New Roman"/>
                <w:snapToGrid w:val="0"/>
                <w:color w:val="auto"/>
                <w:sz w:val="24"/>
                <w:szCs w:val="20"/>
                <w:highlight w:val="none"/>
                <w:lang w:val="en-US" w:eastAsia="zh-CN"/>
              </w:rPr>
              <w:t>台），仓顶呼吸孔均设集气管，每台袋式除尘器均配套设置1根排气筒（共</w:t>
            </w:r>
            <w:r>
              <w:rPr>
                <w:rFonts w:hint="eastAsia" w:ascii="Times New Roman" w:hAnsi="Times New Roman" w:cs="Times New Roman"/>
                <w:snapToGrid w:val="0"/>
                <w:color w:val="auto"/>
                <w:sz w:val="24"/>
                <w:szCs w:val="20"/>
                <w:highlight w:val="none"/>
                <w:lang w:val="en-US" w:eastAsia="zh-CN"/>
              </w:rPr>
              <w:t>6</w:t>
            </w:r>
            <w:r>
              <w:rPr>
                <w:rFonts w:hint="eastAsia" w:ascii="Times New Roman" w:hAnsi="Times New Roman" w:eastAsia="宋体" w:cs="Times New Roman"/>
                <w:snapToGrid w:val="0"/>
                <w:color w:val="auto"/>
                <w:sz w:val="24"/>
                <w:szCs w:val="20"/>
                <w:highlight w:val="none"/>
                <w:lang w:val="en-US" w:eastAsia="zh-CN"/>
              </w:rPr>
              <w:t>根，高度20m，φ0.4m），粉尘经各自配套袋式除尘器处理后由配套排气筒排放。</w:t>
            </w:r>
          </w:p>
          <w:p w14:paraId="73012066">
            <w:pPr>
              <w:spacing w:line="480" w:lineRule="exact"/>
              <w:ind w:firstLine="480" w:firstLineChars="200"/>
              <w:jc w:val="both"/>
              <w:rPr>
                <w:rFonts w:hint="default" w:ascii="Times New Roman" w:hAnsi="Times New Roman" w:eastAsia="宋体" w:cs="Times New Roman"/>
                <w:snapToGrid w:val="0"/>
                <w:color w:val="auto"/>
                <w:sz w:val="24"/>
                <w:szCs w:val="20"/>
                <w:highlight w:val="none"/>
                <w:lang w:val="en-US" w:eastAsia="zh-CN"/>
              </w:rPr>
            </w:pPr>
            <w:r>
              <w:rPr>
                <w:rFonts w:hint="eastAsia" w:cs="Times New Roman"/>
                <w:snapToGrid w:val="0"/>
                <w:color w:val="auto"/>
                <w:sz w:val="24"/>
                <w:szCs w:val="20"/>
                <w:highlight w:val="none"/>
                <w:lang w:val="en-US" w:eastAsia="zh-CN"/>
              </w:rPr>
              <w:t>根据建设单位提供资料，水泥筒仓仓顶</w:t>
            </w:r>
            <w:r>
              <w:rPr>
                <w:rFonts w:hint="eastAsia" w:ascii="Times New Roman" w:hAnsi="Times New Roman" w:eastAsia="宋体" w:cs="Times New Roman"/>
                <w:snapToGrid w:val="0"/>
                <w:color w:val="auto"/>
                <w:sz w:val="24"/>
                <w:szCs w:val="20"/>
                <w:highlight w:val="none"/>
                <w:lang w:val="en-US" w:eastAsia="zh-CN"/>
              </w:rPr>
              <w:t>除尘器风量均为2500m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/h，布袋材质：涤纶针刺毡，过滤风速0.8m/min，过滤面积5</w:t>
            </w:r>
            <w:r>
              <w:rPr>
                <w:rFonts w:hint="eastAsia" w:ascii="Times New Roman" w:hAnsi="Times New Roman" w:cs="Times New Roman"/>
                <w:snapToGrid w:val="0"/>
                <w:color w:val="auto"/>
                <w:sz w:val="24"/>
                <w:szCs w:val="20"/>
                <w:highlight w:val="none"/>
                <w:lang w:val="en-US" w:eastAsia="zh-CN"/>
              </w:rPr>
              <w:t>2.1</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ascii="Times New Roman" w:hAnsi="Times New Roman" w:eastAsia="宋体" w:cs="Times New Roman"/>
                <w:snapToGrid w:val="0"/>
                <w:color w:val="auto"/>
                <w:sz w:val="24"/>
                <w:szCs w:val="20"/>
                <w:highlight w:val="none"/>
                <w:lang w:val="en-US" w:eastAsia="zh-CN"/>
              </w:rPr>
              <w:t>。粉尘排放浓度能够满足</w:t>
            </w:r>
            <w:r>
              <w:rPr>
                <w:rFonts w:hint="eastAsia" w:cs="Times New Roman"/>
                <w:snapToGrid w:val="0"/>
                <w:color w:val="auto"/>
                <w:sz w:val="24"/>
                <w:szCs w:val="20"/>
                <w:highlight w:val="none"/>
                <w:lang w:val="en-US" w:eastAsia="zh-CN"/>
              </w:rPr>
              <w:t>“</w:t>
            </w:r>
            <w:r>
              <w:rPr>
                <w:rFonts w:hint="default" w:ascii="Times New Roman" w:hAnsi="Times New Roman" w:eastAsia="宋体" w:cs="Times New Roman"/>
                <w:color w:val="auto"/>
                <w:spacing w:val="0"/>
                <w:kern w:val="21"/>
                <w:sz w:val="24"/>
                <w:highlight w:val="none"/>
                <w:lang w:val="en-US" w:eastAsia="zh-CN"/>
              </w:rPr>
              <w:t>长治市大气污染防治工作领导组办公室文件《关于印发长治市工业企业无组织排放治理实施方案》（长气防办[2019]9号）的通知</w:t>
            </w:r>
            <w:r>
              <w:rPr>
                <w:rFonts w:hint="eastAsia" w:cs="Times New Roman"/>
                <w:snapToGrid w:val="0"/>
                <w:color w:val="auto"/>
                <w:sz w:val="24"/>
                <w:szCs w:val="20"/>
                <w:highlight w:val="none"/>
                <w:lang w:val="en-US" w:eastAsia="zh-CN"/>
              </w:rPr>
              <w:t>”中</w:t>
            </w:r>
            <w:r>
              <w:rPr>
                <w:rFonts w:hint="eastAsia" w:ascii="Times New Roman" w:hAnsi="Times New Roman" w:eastAsia="宋体" w:cs="Times New Roman"/>
                <w:snapToGrid w:val="0"/>
                <w:color w:val="auto"/>
                <w:sz w:val="24"/>
                <w:szCs w:val="20"/>
                <w:highlight w:val="none"/>
                <w:lang w:val="en-US" w:eastAsia="zh-CN"/>
              </w:rPr>
              <w:t>特别排放限值：颗粒物10mg/Nm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kern w:val="2"/>
                <w:sz w:val="24"/>
                <w:szCs w:val="20"/>
                <w:highlight w:val="none"/>
                <w:lang w:val="en-US" w:eastAsia="zh-CN" w:bidi="ar-SA"/>
              </w:rPr>
              <w:t>。因此，粉尘有组织排放量=</w:t>
            </w:r>
            <w:r>
              <w:rPr>
                <w:rFonts w:hint="eastAsia" w:ascii="Times New Roman" w:hAnsi="Times New Roman" w:eastAsia="宋体" w:cs="Times New Roman"/>
                <w:snapToGrid w:val="0"/>
                <w:color w:val="auto"/>
                <w:sz w:val="24"/>
                <w:szCs w:val="20"/>
                <w:highlight w:val="none"/>
                <w:lang w:val="en-US" w:eastAsia="zh-CN"/>
              </w:rPr>
              <w:t>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×2500m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w:t>
            </w:r>
            <w:r>
              <w:rPr>
                <w:rFonts w:hint="eastAsia" w:cs="Times New Roman"/>
                <w:snapToGrid w:val="0"/>
                <w:color w:val="auto"/>
                <w:sz w:val="24"/>
                <w:szCs w:val="20"/>
                <w:highlight w:val="none"/>
                <w:lang w:val="en-US" w:eastAsia="zh-CN"/>
              </w:rPr>
              <w:t>2844</w:t>
            </w:r>
            <w:r>
              <w:rPr>
                <w:rFonts w:hint="eastAsia" w:ascii="Times New Roman" w:hAnsi="Times New Roman" w:eastAsia="宋体" w:cs="Times New Roman"/>
                <w:snapToGrid w:val="0"/>
                <w:color w:val="auto"/>
                <w:sz w:val="24"/>
                <w:szCs w:val="20"/>
                <w:highlight w:val="none"/>
                <w:lang w:val="en-US" w:eastAsia="zh-CN"/>
              </w:rPr>
              <w:t>h×10</w:t>
            </w:r>
            <w:r>
              <w:rPr>
                <w:rFonts w:hint="eastAsia" w:ascii="Times New Roman" w:hAnsi="Times New Roman" w:eastAsia="宋体" w:cs="Times New Roman"/>
                <w:snapToGrid w:val="0"/>
                <w:color w:val="auto"/>
                <w:sz w:val="24"/>
                <w:szCs w:val="20"/>
                <w:highlight w:val="none"/>
                <w:vertAlign w:val="superscript"/>
                <w:lang w:val="en-US" w:eastAsia="zh-CN"/>
              </w:rPr>
              <w:t>-9</w:t>
            </w:r>
            <w:r>
              <w:rPr>
                <w:rFonts w:hint="eastAsia" w:ascii="Times New Roman" w:hAnsi="Times New Roman" w:eastAsia="宋体" w:cs="Times New Roman"/>
                <w:snapToGrid w:val="0"/>
                <w:color w:val="auto"/>
                <w:sz w:val="24"/>
                <w:szCs w:val="20"/>
                <w:highlight w:val="none"/>
                <w:lang w:val="en-US" w:eastAsia="zh-CN"/>
              </w:rPr>
              <w:t>=0.0</w:t>
            </w:r>
            <w:r>
              <w:rPr>
                <w:rFonts w:hint="eastAsia" w:cs="Times New Roman"/>
                <w:snapToGrid w:val="0"/>
                <w:color w:val="auto"/>
                <w:sz w:val="24"/>
                <w:szCs w:val="20"/>
                <w:highlight w:val="none"/>
                <w:lang w:val="en-US" w:eastAsia="zh-CN"/>
              </w:rPr>
              <w:t>74</w:t>
            </w:r>
            <w:r>
              <w:rPr>
                <w:rFonts w:hint="eastAsia" w:ascii="Times New Roman" w:hAnsi="Times New Roman" w:eastAsia="宋体" w:cs="Times New Roman"/>
                <w:snapToGrid w:val="0"/>
                <w:color w:val="auto"/>
                <w:kern w:val="2"/>
                <w:sz w:val="24"/>
                <w:szCs w:val="20"/>
                <w:highlight w:val="none"/>
                <w:lang w:val="en-US" w:eastAsia="zh-CN" w:bidi="ar-SA"/>
              </w:rPr>
              <w:t>t/a，单座筒仓</w:t>
            </w:r>
            <w:r>
              <w:rPr>
                <w:rFonts w:hint="eastAsia" w:ascii="Times New Roman" w:hAnsi="Times New Roman" w:eastAsia="宋体" w:cs="Times New Roman"/>
                <w:snapToGrid w:val="0"/>
                <w:color w:val="auto"/>
                <w:sz w:val="24"/>
                <w:szCs w:val="20"/>
                <w:highlight w:val="none"/>
                <w:lang w:val="en-US" w:eastAsia="zh-CN"/>
              </w:rPr>
              <w:t>排放速率为0.025kg/h</w:t>
            </w:r>
            <w:r>
              <w:rPr>
                <w:rFonts w:hint="eastAsia" w:ascii="Times New Roman" w:hAnsi="Times New Roman" w:eastAsia="宋体" w:cs="Times New Roman"/>
                <w:snapToGrid w:val="0"/>
                <w:color w:val="auto"/>
                <w:kern w:val="2"/>
                <w:sz w:val="24"/>
                <w:szCs w:val="20"/>
                <w:highlight w:val="none"/>
                <w:lang w:val="en-US" w:eastAsia="zh-CN" w:bidi="ar-SA"/>
              </w:rPr>
              <w:t>。</w:t>
            </w:r>
          </w:p>
          <w:p w14:paraId="7D2A87D6">
            <w:pPr>
              <w:widowControl/>
              <w:snapToGrid w:val="0"/>
              <w:spacing w:line="480" w:lineRule="exact"/>
              <w:ind w:firstLine="480" w:firstLineChars="200"/>
              <w:rPr>
                <w:rFonts w:hint="default" w:cs="Times New Roman"/>
                <w:color w:val="auto"/>
                <w:sz w:val="24"/>
                <w:szCs w:val="20"/>
                <w:highlight w:val="none"/>
                <w:lang w:val="en-US" w:eastAsia="zh-CN"/>
              </w:rPr>
            </w:pPr>
            <w:r>
              <w:rPr>
                <w:rFonts w:hint="eastAsia" w:cs="Times New Roman"/>
                <w:color w:val="auto"/>
                <w:sz w:val="24"/>
                <w:szCs w:val="20"/>
                <w:highlight w:val="none"/>
                <w:lang w:val="en-US" w:eastAsia="zh-CN"/>
              </w:rPr>
              <w:t>G4.制浆粉尘</w:t>
            </w:r>
          </w:p>
          <w:p w14:paraId="5567D9C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highlight w:val="yellow"/>
                <w:lang w:val="en-US" w:eastAsia="zh-CN"/>
              </w:rPr>
            </w:pPr>
            <w:r>
              <w:rPr>
                <w:rFonts w:hint="eastAsia" w:hAnsi="宋体" w:cs="Times New Roman"/>
                <w:color w:val="auto"/>
                <w:sz w:val="24"/>
                <w:highlight w:val="none"/>
                <w:lang w:val="en-US" w:eastAsia="zh-CN"/>
              </w:rPr>
              <w:t>制浆车间将水泥和水按比例在高速制浆机内初步搅拌混合，制浆机制浆初期会产生粉尘，</w:t>
            </w:r>
            <w:r>
              <w:rPr>
                <w:rFonts w:hint="eastAsia" w:ascii="Times New Roman" w:hAnsi="Times New Roman" w:eastAsia="宋体" w:cs="Times New Roman"/>
                <w:color w:val="auto"/>
                <w:sz w:val="24"/>
                <w:highlight w:val="none"/>
                <w:lang w:val="en-US" w:eastAsia="zh-CN"/>
              </w:rPr>
              <w:t>该工序年工作330天，每天工作</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小时</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参照《逸散性工业粉尘控制技术》及对同类企业的类比调查，物料搅拌、混合粉尘产生系数为0.02kg/t</w:t>
            </w:r>
            <w:r>
              <w:rPr>
                <w:rFonts w:hint="eastAsia" w:ascii="Times New Roman" w:hAnsi="Times New Roman" w:eastAsia="宋体" w:cs="Times New Roman"/>
                <w:color w:val="auto"/>
                <w:sz w:val="24"/>
                <w:highlight w:val="none"/>
                <w:vertAlign w:val="superscript"/>
                <w:lang w:val="en-US" w:eastAsia="zh-CN"/>
              </w:rPr>
              <w:t>.</w:t>
            </w:r>
            <w:r>
              <w:rPr>
                <w:rFonts w:hint="eastAsia" w:ascii="Times New Roman" w:hAnsi="Times New Roman" w:eastAsia="宋体" w:cs="Times New Roman"/>
                <w:color w:val="auto"/>
                <w:sz w:val="24"/>
                <w:highlight w:val="none"/>
                <w:lang w:val="en-US" w:eastAsia="zh-CN"/>
              </w:rPr>
              <w:t>原料，</w:t>
            </w:r>
            <w:r>
              <w:rPr>
                <w:rFonts w:hint="eastAsia" w:cs="Times New Roman"/>
                <w:color w:val="auto"/>
                <w:sz w:val="24"/>
                <w:highlight w:val="none"/>
                <w:lang w:val="en-US" w:eastAsia="zh-CN"/>
              </w:rPr>
              <w:t>该工序原料</w:t>
            </w:r>
            <w:r>
              <w:rPr>
                <w:rFonts w:hint="eastAsia" w:ascii="Times New Roman" w:hAnsi="Times New Roman" w:eastAsia="宋体" w:cs="Times New Roman"/>
                <w:color w:val="auto"/>
                <w:sz w:val="24"/>
                <w:highlight w:val="none"/>
                <w:lang w:val="en-US" w:eastAsia="zh-CN"/>
              </w:rPr>
              <w:t>年用量为</w:t>
            </w:r>
            <w:r>
              <w:rPr>
                <w:rFonts w:hint="eastAsia" w:cs="Times New Roman"/>
                <w:color w:val="auto"/>
                <w:sz w:val="24"/>
                <w:highlight w:val="none"/>
                <w:lang w:val="en-US" w:eastAsia="zh-CN"/>
              </w:rPr>
              <w:t>94800t</w:t>
            </w:r>
            <w:r>
              <w:rPr>
                <w:rFonts w:hint="eastAsia" w:ascii="Times New Roman" w:hAnsi="Times New Roman" w:eastAsia="宋体" w:cs="Times New Roman"/>
                <w:color w:val="auto"/>
                <w:sz w:val="24"/>
                <w:highlight w:val="none"/>
                <w:lang w:val="en-US" w:eastAsia="zh-CN"/>
              </w:rPr>
              <w:t>，则粉尘产生量为</w:t>
            </w:r>
            <w:r>
              <w:rPr>
                <w:rFonts w:hint="eastAsia" w:cs="Times New Roman"/>
                <w:color w:val="auto"/>
                <w:sz w:val="24"/>
                <w:highlight w:val="none"/>
                <w:lang w:val="en-US" w:eastAsia="zh-CN"/>
              </w:rPr>
              <w:t>1.896</w:t>
            </w:r>
            <w:r>
              <w:rPr>
                <w:rFonts w:hint="eastAsia"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，产生速率为</w:t>
            </w:r>
            <w:r>
              <w:rPr>
                <w:rFonts w:hint="eastAsia" w:cs="Times New Roman"/>
                <w:color w:val="auto"/>
                <w:sz w:val="24"/>
                <w:highlight w:val="none"/>
                <w:lang w:val="en-US" w:eastAsia="zh-CN"/>
              </w:rPr>
              <w:t>0.575</w:t>
            </w:r>
            <w:r>
              <w:rPr>
                <w:rFonts w:hint="eastAsia" w:ascii="Times New Roman" w:hAnsi="Times New Roman" w:cs="Times New Roman"/>
                <w:color w:val="auto"/>
                <w:sz w:val="24"/>
                <w:highlight w:val="none"/>
                <w:lang w:val="en-US" w:eastAsia="zh-CN"/>
              </w:rPr>
              <w:t>kg/h，产生浓度为</w:t>
            </w:r>
            <w:r>
              <w:rPr>
                <w:rFonts w:hint="eastAsia" w:cs="Times New Roman"/>
                <w:color w:val="auto"/>
                <w:sz w:val="24"/>
                <w:highlight w:val="none"/>
                <w:lang w:val="en-US" w:eastAsia="zh-CN"/>
              </w:rPr>
              <w:t>22.10</w:t>
            </w:r>
            <w:r>
              <w:rPr>
                <w:rFonts w:hint="eastAsia" w:ascii="Times New Roman" w:hAnsi="Times New Roman" w:eastAsia="宋体" w:cs="Times New Roman"/>
                <w:snapToGrid w:val="0"/>
                <w:color w:val="auto"/>
                <w:sz w:val="24"/>
                <w:szCs w:val="20"/>
                <w:highlight w:val="none"/>
                <w:lang w:val="en-US" w:eastAsia="zh-CN"/>
              </w:rPr>
              <w:t>mg/m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p>
          <w:p w14:paraId="76DAFEBA">
            <w:pPr>
              <w:widowControl/>
              <w:shd w:val="clear"/>
              <w:snapToGrid w:val="0"/>
              <w:spacing w:line="480" w:lineRule="exact"/>
              <w:ind w:firstLine="480" w:firstLineChars="200"/>
              <w:rPr>
                <w:rFonts w:hint="eastAsia" w:ascii="Times New Roman" w:hAnsi="Times New Roman" w:eastAsia="宋体" w:cs="Times New Roman"/>
                <w:snapToGrid w:val="0"/>
                <w:color w:val="auto"/>
                <w:sz w:val="24"/>
                <w:szCs w:val="20"/>
                <w:highlight w:val="none"/>
                <w:lang w:val="en-US" w:eastAsia="zh-CN"/>
              </w:rPr>
            </w:pPr>
            <w:r>
              <w:rPr>
                <w:rFonts w:hint="eastAsia" w:cs="Times New Roman"/>
                <w:color w:val="auto"/>
                <w:sz w:val="24"/>
                <w:highlight w:val="none"/>
                <w:lang w:val="en-US" w:eastAsia="zh-CN"/>
              </w:rPr>
              <w:t>本项目高速制浆机位于全封闭制浆车间内，每台制浆机上方均</w:t>
            </w:r>
            <w:r>
              <w:rPr>
                <w:rFonts w:hint="eastAsia" w:ascii="Times New Roman" w:hAnsi="Times New Roman" w:eastAsia="宋体" w:cs="Times New Roman"/>
                <w:color w:val="auto"/>
                <w:spacing w:val="0"/>
                <w:sz w:val="24"/>
                <w:highlight w:val="none"/>
                <w:lang w:val="en-US" w:eastAsia="zh-CN"/>
              </w:rPr>
              <w:t>安装集气管道，</w:t>
            </w:r>
            <w:r>
              <w:rPr>
                <w:rFonts w:hint="eastAsia" w:ascii="Times New Roman" w:hAnsi="Times New Roman" w:cs="Times New Roman"/>
                <w:color w:val="auto"/>
                <w:spacing w:val="0"/>
                <w:sz w:val="24"/>
                <w:highlight w:val="none"/>
                <w:lang w:val="en-US" w:eastAsia="zh-CN"/>
              </w:rPr>
              <w:t>粉尘</w:t>
            </w:r>
            <w:r>
              <w:rPr>
                <w:rFonts w:hint="eastAsia" w:ascii="Times New Roman" w:hAnsi="Times New Roman" w:eastAsia="宋体" w:cs="Times New Roman"/>
                <w:color w:val="auto"/>
                <w:spacing w:val="0"/>
                <w:sz w:val="24"/>
                <w:highlight w:val="none"/>
                <w:lang w:val="en-US" w:eastAsia="zh-CN"/>
              </w:rPr>
              <w:t>经集气管道引入</w:t>
            </w:r>
            <w:r>
              <w:rPr>
                <w:rFonts w:hint="default" w:ascii="Times New Roman" w:hAnsi="Times New Roman" w:eastAsia="宋体" w:cs="Times New Roman"/>
                <w:color w:val="auto"/>
                <w:spacing w:val="0"/>
                <w:sz w:val="24"/>
                <w:highlight w:val="none"/>
                <w:lang w:val="en-US" w:eastAsia="zh-CN"/>
              </w:rPr>
              <w:t>1</w:t>
            </w:r>
            <w:r>
              <w:rPr>
                <w:rFonts w:hint="eastAsia" w:ascii="Times New Roman" w:hAnsi="Times New Roman" w:cs="Times New Roman"/>
                <w:color w:val="auto"/>
                <w:spacing w:val="0"/>
                <w:sz w:val="24"/>
                <w:highlight w:val="none"/>
                <w:lang w:val="en-US" w:eastAsia="zh-CN"/>
              </w:rPr>
              <w:t>台</w:t>
            </w:r>
            <w:r>
              <w:rPr>
                <w:rFonts w:hint="eastAsia" w:ascii="Times New Roman" w:hAnsi="Times New Roman" w:cs="Times New Roman"/>
                <w:color w:val="auto"/>
                <w:sz w:val="24"/>
                <w:highlight w:val="none"/>
                <w:lang w:val="en-US" w:eastAsia="zh-CN"/>
              </w:rPr>
              <w:t>袋式</w:t>
            </w:r>
            <w:r>
              <w:rPr>
                <w:rFonts w:hint="eastAsia" w:ascii="Times New Roman" w:hAnsi="Times New Roman" w:eastAsia="宋体" w:cs="Times New Roman"/>
                <w:color w:val="auto"/>
                <w:sz w:val="24"/>
                <w:highlight w:val="none"/>
                <w:lang w:val="en-US" w:eastAsia="zh-CN"/>
              </w:rPr>
              <w:t>除尘器</w:t>
            </w:r>
            <w:r>
              <w:rPr>
                <w:rFonts w:hint="eastAsia" w:ascii="Times New Roman" w:hAnsi="Times New Roman" w:cs="Times New Roman"/>
                <w:color w:val="auto"/>
                <w:sz w:val="24"/>
                <w:highlight w:val="none"/>
                <w:lang w:val="en-US" w:eastAsia="zh-CN"/>
              </w:rPr>
              <w:t>进行处理</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处理后由1根15m高排气筒排放（内径0.3m）。</w:t>
            </w:r>
          </w:p>
          <w:p w14:paraId="610442C7">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snapToGrid w:val="0"/>
                <w:color w:val="auto"/>
                <w:sz w:val="24"/>
                <w:szCs w:val="20"/>
                <w:highlight w:val="none"/>
                <w:lang w:val="en-US" w:eastAsia="zh-CN"/>
              </w:rPr>
            </w:pPr>
            <w:r>
              <w:rPr>
                <w:rFonts w:hint="eastAsia" w:cs="Times New Roman"/>
                <w:color w:val="auto"/>
                <w:sz w:val="24"/>
                <w:highlight w:val="none"/>
                <w:lang w:val="en-US" w:eastAsia="zh-CN"/>
              </w:rPr>
              <w:t>袋式</w:t>
            </w:r>
            <w:r>
              <w:rPr>
                <w:rFonts w:hint="eastAsia" w:ascii="Times New Roman" w:hAnsi="Times New Roman" w:eastAsia="宋体" w:cs="Times New Roman"/>
                <w:color w:val="auto"/>
                <w:sz w:val="24"/>
                <w:highlight w:val="none"/>
                <w:lang w:val="en-US" w:eastAsia="zh-CN"/>
              </w:rPr>
              <w:t>除尘器风量</w:t>
            </w:r>
            <w:r>
              <w:rPr>
                <w:rFonts w:hint="eastAsia" w:cs="Times New Roman"/>
                <w:color w:val="auto"/>
                <w:sz w:val="24"/>
                <w:highlight w:val="none"/>
                <w:lang w:val="en-US" w:eastAsia="zh-CN"/>
              </w:rPr>
              <w:t>取</w:t>
            </w:r>
            <w:r>
              <w:rPr>
                <w:rFonts w:hint="eastAsia" w:ascii="Times New Roman" w:hAnsi="Times New Roman" w:eastAsia="宋体" w:cs="Times New Roman"/>
                <w:color w:val="auto"/>
                <w:sz w:val="24"/>
                <w:highlight w:val="none"/>
                <w:lang w:val="en-US" w:eastAsia="zh-CN"/>
              </w:rPr>
              <w:t>26000m</w:t>
            </w:r>
            <w:r>
              <w:rPr>
                <w:rFonts w:hint="eastAsia" w:ascii="Times New Roman" w:hAnsi="Times New Roman" w:eastAsia="宋体"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过滤面积</w:t>
            </w:r>
            <w:r>
              <w:rPr>
                <w:rFonts w:hint="eastAsia" w:ascii="Times New Roman" w:hAnsi="Times New Roman" w:eastAsia="宋体" w:cs="Times New Roman"/>
                <w:color w:val="auto"/>
                <w:sz w:val="24"/>
                <w:highlight w:val="none"/>
                <w:lang w:val="en-US" w:eastAsia="zh-CN"/>
              </w:rPr>
              <w:t>542m</w:t>
            </w:r>
            <w:r>
              <w:rPr>
                <w:rFonts w:hint="eastAsia" w:cs="Times New Roman"/>
                <w:color w:val="auto"/>
                <w:sz w:val="24"/>
                <w:highlight w:val="none"/>
                <w:vertAlign w:val="superscript"/>
                <w:lang w:val="en-US" w:eastAsia="zh-CN"/>
              </w:rPr>
              <w:t>2</w:t>
            </w:r>
            <w:r>
              <w:rPr>
                <w:rFonts w:hint="eastAsia" w:cs="Times New Roman"/>
                <w:color w:val="auto"/>
                <w:sz w:val="24"/>
                <w:highlight w:val="none"/>
                <w:vertAlign w:val="baseline"/>
                <w:lang w:val="en-US" w:eastAsia="zh-CN"/>
              </w:rPr>
              <w:t>，</w:t>
            </w:r>
            <w:r>
              <w:rPr>
                <w:rFonts w:hint="eastAsia" w:ascii="Times New Roman" w:hAnsi="Times New Roman" w:eastAsia="宋体" w:cs="Times New Roman"/>
                <w:color w:val="auto"/>
                <w:sz w:val="24"/>
                <w:highlight w:val="none"/>
                <w:lang w:val="en-US" w:eastAsia="zh-CN"/>
              </w:rPr>
              <w:t>滤袋材质为涤纶针刺毡</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过滤风速0.8m/min</w:t>
            </w:r>
            <w:r>
              <w:rPr>
                <w:rFonts w:hint="eastAsia" w:cs="Times New Roman"/>
                <w:color w:val="auto"/>
                <w:sz w:val="24"/>
                <w:highlight w:val="none"/>
                <w:lang w:val="en-US" w:eastAsia="zh-CN"/>
              </w:rPr>
              <w:t>。</w:t>
            </w:r>
            <w:r>
              <w:rPr>
                <w:rFonts w:hint="eastAsia" w:ascii="Times New Roman" w:hAnsi="Times New Roman" w:eastAsia="宋体" w:cs="Times New Roman"/>
                <w:snapToGrid w:val="0"/>
                <w:color w:val="auto"/>
                <w:sz w:val="24"/>
                <w:szCs w:val="20"/>
                <w:highlight w:val="none"/>
                <w:lang w:val="en-US" w:eastAsia="zh-CN"/>
              </w:rPr>
              <w:t>粉尘排放浓度能够满足</w:t>
            </w:r>
            <w:r>
              <w:rPr>
                <w:rFonts w:hint="eastAsia" w:cs="Times New Roman"/>
                <w:snapToGrid w:val="0"/>
                <w:color w:val="auto"/>
                <w:sz w:val="24"/>
                <w:szCs w:val="20"/>
                <w:highlight w:val="none"/>
                <w:lang w:val="en-US" w:eastAsia="zh-CN"/>
              </w:rPr>
              <w:t>“</w:t>
            </w:r>
            <w:r>
              <w:rPr>
                <w:rFonts w:hint="default" w:ascii="Times New Roman" w:hAnsi="Times New Roman" w:eastAsia="宋体" w:cs="Times New Roman"/>
                <w:color w:val="auto"/>
                <w:spacing w:val="0"/>
                <w:kern w:val="21"/>
                <w:sz w:val="24"/>
                <w:highlight w:val="none"/>
                <w:lang w:val="en-US" w:eastAsia="zh-CN"/>
              </w:rPr>
              <w:t>长治市大气污染防治工作领导组办公室文件《关于印发长治市工业企业无组织排放治理实施方案》（长气防办[2019]9号）的通知</w:t>
            </w:r>
            <w:r>
              <w:rPr>
                <w:rFonts w:hint="eastAsia" w:cs="Times New Roman"/>
                <w:snapToGrid w:val="0"/>
                <w:color w:val="auto"/>
                <w:sz w:val="24"/>
                <w:szCs w:val="20"/>
                <w:highlight w:val="none"/>
                <w:lang w:val="en-US" w:eastAsia="zh-CN"/>
              </w:rPr>
              <w:t>”中</w:t>
            </w:r>
            <w:r>
              <w:rPr>
                <w:rFonts w:hint="eastAsia" w:ascii="Times New Roman" w:hAnsi="Times New Roman" w:eastAsia="宋体" w:cs="Times New Roman"/>
                <w:snapToGrid w:val="0"/>
                <w:color w:val="auto"/>
                <w:sz w:val="24"/>
                <w:szCs w:val="20"/>
                <w:highlight w:val="none"/>
                <w:lang w:val="en-US" w:eastAsia="zh-CN"/>
              </w:rPr>
              <w:t>特别排放限值：颗粒物10mg/Nm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w:t>
            </w:r>
            <w:r>
              <w:rPr>
                <w:rFonts w:hint="eastAsia" w:ascii="Times New Roman" w:hAnsi="Times New Roman" w:cs="Times New Roman"/>
                <w:snapToGrid w:val="0"/>
                <w:color w:val="auto"/>
                <w:sz w:val="24"/>
                <w:szCs w:val="20"/>
                <w:highlight w:val="none"/>
                <w:lang w:val="en-US" w:eastAsia="zh-CN"/>
              </w:rPr>
              <w:t>因此，</w:t>
            </w:r>
            <w:r>
              <w:rPr>
                <w:rFonts w:hint="eastAsia" w:ascii="Times New Roman" w:hAnsi="Times New Roman" w:eastAsia="宋体" w:cs="Times New Roman"/>
                <w:snapToGrid w:val="0"/>
                <w:color w:val="auto"/>
                <w:sz w:val="24"/>
                <w:szCs w:val="20"/>
                <w:highlight w:val="none"/>
                <w:lang w:val="en-US" w:eastAsia="zh-CN"/>
              </w:rPr>
              <w:t>粉尘有组织排放量=10mg/Nm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w:t>
            </w:r>
            <w:r>
              <w:rPr>
                <w:rFonts w:hint="eastAsia" w:ascii="Times New Roman" w:hAnsi="Times New Roman" w:cs="Times New Roman"/>
                <w:snapToGrid w:val="0"/>
                <w:color w:val="auto"/>
                <w:sz w:val="24"/>
                <w:szCs w:val="20"/>
                <w:highlight w:val="none"/>
                <w:lang w:val="en-US" w:eastAsia="zh-CN"/>
              </w:rPr>
              <w:t>26</w:t>
            </w:r>
            <w:r>
              <w:rPr>
                <w:rFonts w:hint="eastAsia" w:ascii="Times New Roman" w:hAnsi="Times New Roman" w:eastAsia="宋体" w:cs="Times New Roman"/>
                <w:snapToGrid w:val="0"/>
                <w:color w:val="auto"/>
                <w:sz w:val="24"/>
                <w:szCs w:val="20"/>
                <w:highlight w:val="none"/>
                <w:lang w:val="en-US" w:eastAsia="zh-CN"/>
              </w:rPr>
              <w:t>00</w:t>
            </w:r>
            <w:r>
              <w:rPr>
                <w:rFonts w:hint="eastAsia" w:ascii="Times New Roman" w:hAnsi="Times New Roman" w:cs="Times New Roman"/>
                <w:snapToGrid w:val="0"/>
                <w:color w:val="auto"/>
                <w:sz w:val="24"/>
                <w:szCs w:val="20"/>
                <w:highlight w:val="none"/>
                <w:lang w:val="en-US" w:eastAsia="zh-CN"/>
              </w:rPr>
              <w:t>0</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/h×3</w:t>
            </w:r>
            <w:r>
              <w:rPr>
                <w:rFonts w:hint="eastAsia" w:ascii="Times New Roman" w:hAnsi="Times New Roman" w:cs="Times New Roman"/>
                <w:snapToGrid w:val="0"/>
                <w:color w:val="auto"/>
                <w:sz w:val="24"/>
                <w:szCs w:val="20"/>
                <w:highlight w:val="none"/>
                <w:lang w:val="en-US" w:eastAsia="zh-CN"/>
              </w:rPr>
              <w:t>3</w:t>
            </w:r>
            <w:r>
              <w:rPr>
                <w:rFonts w:hint="eastAsia" w:ascii="Times New Roman" w:hAnsi="Times New Roman" w:eastAsia="宋体" w:cs="Times New Roman"/>
                <w:snapToGrid w:val="0"/>
                <w:color w:val="auto"/>
                <w:sz w:val="24"/>
                <w:szCs w:val="20"/>
                <w:highlight w:val="none"/>
                <w:lang w:val="en-US" w:eastAsia="zh-CN"/>
              </w:rPr>
              <w:t>0d×</w:t>
            </w:r>
            <w:r>
              <w:rPr>
                <w:rFonts w:hint="eastAsia" w:ascii="Times New Roman" w:hAnsi="Times New Roman" w:cs="Times New Roman"/>
                <w:snapToGrid w:val="0"/>
                <w:color w:val="auto"/>
                <w:sz w:val="24"/>
                <w:szCs w:val="20"/>
                <w:highlight w:val="none"/>
                <w:lang w:val="en-US" w:eastAsia="zh-CN"/>
              </w:rPr>
              <w:t>10</w:t>
            </w:r>
            <w:r>
              <w:rPr>
                <w:rFonts w:hint="eastAsia" w:ascii="Times New Roman" w:hAnsi="Times New Roman" w:eastAsia="宋体" w:cs="Times New Roman"/>
                <w:snapToGrid w:val="0"/>
                <w:color w:val="auto"/>
                <w:sz w:val="24"/>
                <w:szCs w:val="20"/>
                <w:highlight w:val="none"/>
                <w:lang w:val="en-US" w:eastAsia="zh-CN"/>
              </w:rPr>
              <w:t>h×10</w:t>
            </w:r>
            <w:r>
              <w:rPr>
                <w:rFonts w:hint="eastAsia" w:ascii="Times New Roman" w:hAnsi="Times New Roman" w:eastAsia="宋体" w:cs="Times New Roman"/>
                <w:snapToGrid w:val="0"/>
                <w:color w:val="auto"/>
                <w:sz w:val="24"/>
                <w:szCs w:val="20"/>
                <w:highlight w:val="none"/>
                <w:vertAlign w:val="superscript"/>
                <w:lang w:val="en-US" w:eastAsia="zh-CN"/>
              </w:rPr>
              <w:t>-9</w:t>
            </w:r>
            <w:r>
              <w:rPr>
                <w:rFonts w:hint="eastAsia" w:ascii="Times New Roman" w:hAnsi="Times New Roman" w:eastAsia="宋体" w:cs="Times New Roman"/>
                <w:snapToGrid w:val="0"/>
                <w:color w:val="auto"/>
                <w:sz w:val="24"/>
                <w:szCs w:val="20"/>
                <w:highlight w:val="none"/>
                <w:lang w:val="en-US" w:eastAsia="zh-CN"/>
              </w:rPr>
              <w:t>=0.</w:t>
            </w:r>
            <w:r>
              <w:rPr>
                <w:rFonts w:hint="eastAsia" w:ascii="Times New Roman" w:hAnsi="Times New Roman" w:cs="Times New Roman"/>
                <w:snapToGrid w:val="0"/>
                <w:color w:val="auto"/>
                <w:sz w:val="24"/>
                <w:szCs w:val="20"/>
                <w:highlight w:val="none"/>
                <w:lang w:val="en-US" w:eastAsia="zh-CN"/>
              </w:rPr>
              <w:t>858</w:t>
            </w:r>
            <w:r>
              <w:rPr>
                <w:rFonts w:hint="eastAsia" w:ascii="Times New Roman" w:hAnsi="Times New Roman" w:eastAsia="宋体" w:cs="Times New Roman"/>
                <w:snapToGrid w:val="0"/>
                <w:color w:val="auto"/>
                <w:sz w:val="24"/>
                <w:szCs w:val="20"/>
                <w:highlight w:val="none"/>
                <w:lang w:val="en-US" w:eastAsia="zh-CN"/>
              </w:rPr>
              <w:t>t/a，排放速率为0.</w:t>
            </w:r>
            <w:r>
              <w:rPr>
                <w:rFonts w:hint="eastAsia" w:ascii="Times New Roman" w:hAnsi="Times New Roman" w:cs="Times New Roman"/>
                <w:snapToGrid w:val="0"/>
                <w:color w:val="auto"/>
                <w:sz w:val="24"/>
                <w:szCs w:val="20"/>
                <w:highlight w:val="none"/>
                <w:lang w:val="en-US" w:eastAsia="zh-CN"/>
              </w:rPr>
              <w:t>26</w:t>
            </w:r>
            <w:r>
              <w:rPr>
                <w:rFonts w:hint="eastAsia" w:ascii="Times New Roman" w:hAnsi="Times New Roman" w:eastAsia="宋体" w:cs="Times New Roman"/>
                <w:snapToGrid w:val="0"/>
                <w:color w:val="auto"/>
                <w:sz w:val="24"/>
                <w:szCs w:val="20"/>
                <w:highlight w:val="none"/>
                <w:lang w:val="en-US" w:eastAsia="zh-CN"/>
              </w:rPr>
              <w:t>kg/h。</w:t>
            </w:r>
          </w:p>
          <w:p w14:paraId="4E9EE8F0">
            <w:pPr>
              <w:widowControl/>
              <w:snapToGrid w:val="0"/>
              <w:spacing w:line="480" w:lineRule="exact"/>
              <w:ind w:firstLine="480" w:firstLineChars="200"/>
              <w:rPr>
                <w:rFonts w:hint="default" w:ascii="Times New Roman" w:hAnsi="Times New Roman" w:eastAsia="宋体" w:cs="Times New Roman"/>
                <w:color w:val="auto"/>
                <w:sz w:val="24"/>
                <w:szCs w:val="20"/>
                <w:highlight w:val="none"/>
                <w:lang w:val="en-US" w:eastAsia="zh-CN"/>
              </w:rPr>
            </w:pPr>
            <w:r>
              <w:rPr>
                <w:rFonts w:hint="eastAsia" w:cs="Times New Roman"/>
                <w:color w:val="auto"/>
                <w:sz w:val="24"/>
                <w:szCs w:val="20"/>
                <w:highlight w:val="none"/>
                <w:lang w:val="en-US" w:eastAsia="zh-CN"/>
              </w:rPr>
              <w:t>G5.物料输送粉尘</w:t>
            </w:r>
          </w:p>
          <w:p w14:paraId="5EBDCD40">
            <w:pPr>
              <w:widowControl/>
              <w:snapToGrid w:val="0"/>
              <w:spacing w:line="480" w:lineRule="exact"/>
              <w:ind w:firstLine="480" w:firstLineChars="200"/>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本项目</w:t>
            </w:r>
            <w:r>
              <w:rPr>
                <w:rFonts w:hint="default" w:ascii="Times New Roman" w:hAnsi="Times New Roman" w:eastAsia="宋体" w:cs="Times New Roman"/>
                <w:color w:val="auto"/>
                <w:spacing w:val="0"/>
                <w:sz w:val="24"/>
                <w:highlight w:val="none"/>
                <w:lang w:eastAsia="zh-CN"/>
              </w:rPr>
              <w:t>水泥</w:t>
            </w:r>
            <w:r>
              <w:rPr>
                <w:rFonts w:hint="eastAsia" w:ascii="Times New Roman" w:hAnsi="Times New Roman" w:eastAsia="宋体" w:cs="Times New Roman"/>
                <w:color w:val="auto"/>
                <w:spacing w:val="0"/>
                <w:sz w:val="24"/>
                <w:highlight w:val="none"/>
                <w:lang w:val="en-US" w:eastAsia="zh-CN"/>
              </w:rPr>
              <w:t>采用</w:t>
            </w:r>
            <w:r>
              <w:rPr>
                <w:rFonts w:hint="default" w:ascii="Times New Roman" w:hAnsi="Times New Roman" w:eastAsia="宋体" w:cs="Times New Roman"/>
                <w:color w:val="auto"/>
                <w:spacing w:val="0"/>
                <w:sz w:val="24"/>
                <w:highlight w:val="none"/>
                <w:lang w:eastAsia="zh-CN"/>
              </w:rPr>
              <w:t>螺旋输送机供料</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z w:val="24"/>
                <w:szCs w:val="20"/>
                <w:highlight w:val="none"/>
                <w:lang w:val="en-US" w:eastAsia="zh-CN"/>
              </w:rPr>
              <w:t>输送过程中会产生</w:t>
            </w:r>
            <w:r>
              <w:rPr>
                <w:rFonts w:hint="eastAsia" w:cs="Times New Roman"/>
                <w:color w:val="auto"/>
                <w:sz w:val="24"/>
                <w:szCs w:val="20"/>
                <w:highlight w:val="none"/>
                <w:lang w:val="en-US" w:eastAsia="zh-CN"/>
              </w:rPr>
              <w:t>粉尘</w:t>
            </w:r>
            <w:r>
              <w:rPr>
                <w:rFonts w:hint="default" w:ascii="Times New Roman" w:hAnsi="Times New Roman" w:eastAsia="宋体" w:cs="Times New Roman"/>
                <w:color w:val="auto"/>
                <w:sz w:val="24"/>
                <w:szCs w:val="20"/>
                <w:highlight w:val="none"/>
                <w:lang w:val="en-US" w:eastAsia="zh-CN"/>
              </w:rPr>
              <w:t>。项目采用全封闭</w:t>
            </w:r>
            <w:r>
              <w:rPr>
                <w:rFonts w:hint="eastAsia" w:cs="Times New Roman"/>
                <w:color w:val="auto"/>
                <w:sz w:val="24"/>
                <w:szCs w:val="20"/>
                <w:highlight w:val="none"/>
                <w:lang w:val="en-US" w:eastAsia="zh-CN"/>
              </w:rPr>
              <w:t>螺旋输送机</w:t>
            </w:r>
            <w:r>
              <w:rPr>
                <w:rFonts w:hint="default" w:ascii="Times New Roman" w:hAnsi="Times New Roman" w:eastAsia="宋体" w:cs="Times New Roman"/>
                <w:color w:val="auto"/>
                <w:sz w:val="24"/>
                <w:szCs w:val="20"/>
                <w:highlight w:val="none"/>
                <w:lang w:val="en-US" w:eastAsia="zh-CN"/>
              </w:rPr>
              <w:t>，则</w:t>
            </w:r>
            <w:r>
              <w:rPr>
                <w:rFonts w:hint="eastAsia" w:cs="Times New Roman"/>
                <w:color w:val="auto"/>
                <w:sz w:val="24"/>
                <w:szCs w:val="20"/>
                <w:highlight w:val="none"/>
                <w:lang w:val="en-US" w:eastAsia="zh-CN"/>
              </w:rPr>
              <w:t>物料输送粉尘</w:t>
            </w:r>
            <w:r>
              <w:rPr>
                <w:rFonts w:hint="default" w:ascii="Times New Roman" w:hAnsi="Times New Roman" w:eastAsia="宋体" w:cs="Times New Roman"/>
                <w:color w:val="auto"/>
                <w:sz w:val="24"/>
                <w:szCs w:val="20"/>
                <w:highlight w:val="none"/>
                <w:lang w:val="en-US" w:eastAsia="zh-CN"/>
              </w:rPr>
              <w:t>可忽略。</w:t>
            </w:r>
          </w:p>
          <w:p w14:paraId="4D833335">
            <w:pPr>
              <w:widowControl/>
              <w:snapToGrid w:val="0"/>
              <w:spacing w:line="480" w:lineRule="exact"/>
              <w:ind w:firstLine="480" w:firstLineChars="200"/>
              <w:rPr>
                <w:rFonts w:hint="default" w:ascii="Times New Roman" w:hAnsi="Times New Roman" w:eastAsia="黑体" w:cs="Times New Roman"/>
                <w:color w:val="auto"/>
                <w:sz w:val="24"/>
                <w:szCs w:val="20"/>
                <w:highlight w:val="none"/>
              </w:rPr>
            </w:pPr>
            <w:r>
              <w:rPr>
                <w:rFonts w:hint="eastAsia" w:cs="Times New Roman"/>
                <w:color w:val="auto"/>
                <w:sz w:val="24"/>
                <w:szCs w:val="20"/>
                <w:highlight w:val="none"/>
                <w:lang w:val="en-US" w:eastAsia="zh-CN"/>
              </w:rPr>
              <w:t>G6.</w:t>
            </w:r>
            <w:r>
              <w:rPr>
                <w:rFonts w:hint="default" w:ascii="Times New Roman" w:hAnsi="Times New Roman" w:eastAsia="宋体" w:cs="Times New Roman"/>
                <w:color w:val="auto"/>
                <w:sz w:val="24"/>
                <w:szCs w:val="20"/>
                <w:highlight w:val="none"/>
              </w:rPr>
              <w:t>道路扬尘</w:t>
            </w:r>
          </w:p>
          <w:p w14:paraId="3E437B4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根据《汽车道路煤扬尘规律研究》（朱景韩、俞济清等，交通环保（水运版），1986），车辆行驶产生的扬尘，在道路完全干燥的情况下，可按下列经验公式计算：</w:t>
            </w:r>
          </w:p>
          <w:p w14:paraId="68C9F4C1">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Q=0.123(V/5)(W/6.8)</w:t>
            </w:r>
            <w:r>
              <w:rPr>
                <w:rFonts w:hint="default" w:ascii="Times New Roman" w:hAnsi="Times New Roman" w:eastAsia="宋体" w:cs="Times New Roman"/>
                <w:color w:val="auto"/>
                <w:sz w:val="24"/>
                <w:szCs w:val="24"/>
                <w:highlight w:val="none"/>
                <w:vertAlign w:val="superscript"/>
              </w:rPr>
              <w:t>0.85</w:t>
            </w:r>
            <w:r>
              <w:rPr>
                <w:rFonts w:hint="default" w:ascii="Times New Roman" w:hAnsi="Times New Roman" w:eastAsia="宋体" w:cs="Times New Roman"/>
                <w:color w:val="auto"/>
                <w:sz w:val="24"/>
                <w:szCs w:val="24"/>
                <w:highlight w:val="none"/>
              </w:rPr>
              <w:t>(P/0.5)</w:t>
            </w:r>
            <w:r>
              <w:rPr>
                <w:rFonts w:hint="default" w:ascii="Times New Roman" w:hAnsi="Times New Roman" w:eastAsia="宋体" w:cs="Times New Roman"/>
                <w:color w:val="auto"/>
                <w:sz w:val="24"/>
                <w:szCs w:val="24"/>
                <w:highlight w:val="none"/>
                <w:vertAlign w:val="superscript"/>
              </w:rPr>
              <w:t>0.75</w:t>
            </w:r>
          </w:p>
          <w:p w14:paraId="7E1DF1B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式中：Q—汽车行驶时的扬尘，</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/km</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辆；</w:t>
            </w:r>
          </w:p>
          <w:p w14:paraId="2920D35D">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V—汽车速度，</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km/h；</w:t>
            </w:r>
          </w:p>
          <w:p w14:paraId="4012EE8E">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W—汽车载重量，</w:t>
            </w:r>
            <w:r>
              <w:rPr>
                <w:rFonts w:hint="eastAsia"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t（车身自重</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t+载重量</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480476EF">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P—道路表面粉尘量，</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25659483">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=（Q×L×D×T）/1000</w:t>
            </w:r>
          </w:p>
          <w:p w14:paraId="58FF52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vertAlign w:val="subscript"/>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—道路扬尘产生量，t/a；</w:t>
            </w:r>
          </w:p>
          <w:p w14:paraId="6AED38A0">
            <w:pPr>
              <w:keepNext w:val="0"/>
              <w:keepLines w:val="0"/>
              <w:pageBreakBefore w:val="0"/>
              <w:widowControl w:val="0"/>
              <w:kinsoku/>
              <w:wordWrap/>
              <w:overflowPunct/>
              <w:topLinePunct w:val="0"/>
              <w:autoSpaceDE/>
              <w:autoSpaceDN/>
              <w:bidi w:val="0"/>
              <w:adjustRightInd w:val="0"/>
              <w:snapToGrid w:val="0"/>
              <w:spacing w:line="480" w:lineRule="exact"/>
              <w:ind w:firstLine="1195" w:firstLineChars="49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Q—汽车行驶时的扬尘，</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/km</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辆；</w:t>
            </w:r>
          </w:p>
          <w:p w14:paraId="47EBF6CF">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L—汽车在</w:t>
            </w:r>
            <w:r>
              <w:rPr>
                <w:rFonts w:hint="default"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rPr>
              <w:t>内行驶距离，</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km；</w:t>
            </w:r>
          </w:p>
          <w:p w14:paraId="5F45D7BC">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D—年工作天数</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330</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p w14:paraId="0304B482">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T—每天运输车数</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66</w:t>
            </w:r>
            <w:r>
              <w:rPr>
                <w:rFonts w:hint="eastAsia" w:ascii="Times New Roman" w:hAnsi="Times New Roman" w:eastAsia="宋体" w:cs="Times New Roman"/>
                <w:color w:val="auto"/>
                <w:sz w:val="24"/>
                <w:szCs w:val="24"/>
                <w:highlight w:val="none"/>
                <w:lang w:val="en-US" w:eastAsia="zh-CN"/>
              </w:rPr>
              <w:t>辆</w:t>
            </w:r>
            <w:r>
              <w:rPr>
                <w:rFonts w:hint="default" w:ascii="Times New Roman" w:hAnsi="Times New Roman" w:eastAsia="宋体" w:cs="Times New Roman"/>
                <w:color w:val="auto"/>
                <w:sz w:val="24"/>
                <w:szCs w:val="24"/>
                <w:highlight w:val="none"/>
              </w:rPr>
              <w:t>。</w:t>
            </w:r>
          </w:p>
          <w:p w14:paraId="201AC379">
            <w:pPr>
              <w:widowControl/>
              <w:snapToGrid w:val="0"/>
              <w:spacing w:line="480" w:lineRule="exact"/>
              <w:ind w:firstLine="489" w:firstLineChars="204"/>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szCs w:val="20"/>
                <w:highlight w:val="none"/>
              </w:rPr>
              <w:t>根据本项目情况，当路面无人管理时，对道路路况以0.4kg/m</w:t>
            </w:r>
            <w:r>
              <w:rPr>
                <w:rFonts w:hint="default" w:ascii="Times New Roman" w:hAnsi="Times New Roman" w:eastAsia="宋体" w:cs="Times New Roman"/>
                <w:bCs/>
                <w:color w:val="auto"/>
                <w:sz w:val="24"/>
                <w:szCs w:val="20"/>
                <w:highlight w:val="none"/>
                <w:vertAlign w:val="superscript"/>
              </w:rPr>
              <w:t>2</w:t>
            </w:r>
            <w:r>
              <w:rPr>
                <w:rFonts w:hint="default" w:ascii="Times New Roman" w:hAnsi="Times New Roman" w:eastAsia="宋体" w:cs="Times New Roman"/>
                <w:bCs/>
                <w:color w:val="auto"/>
                <w:sz w:val="24"/>
                <w:szCs w:val="20"/>
                <w:highlight w:val="none"/>
              </w:rPr>
              <w:t>计，道路扬尘量为</w:t>
            </w:r>
            <w:r>
              <w:rPr>
                <w:rFonts w:hint="eastAsia" w:cs="Times New Roman"/>
                <w:bCs/>
                <w:color w:val="auto"/>
                <w:sz w:val="24"/>
                <w:szCs w:val="20"/>
                <w:highlight w:val="none"/>
                <w:lang w:val="en-US" w:eastAsia="zh-CN"/>
              </w:rPr>
              <w:t>2.932</w:t>
            </w:r>
            <w:r>
              <w:rPr>
                <w:rFonts w:hint="default" w:ascii="Times New Roman" w:hAnsi="Times New Roman" w:eastAsia="宋体" w:cs="Times New Roman"/>
                <w:bCs/>
                <w:color w:val="auto"/>
                <w:sz w:val="24"/>
                <w:szCs w:val="20"/>
                <w:highlight w:val="none"/>
              </w:rPr>
              <w:t>t/a。为减少道路扬尘的产生和排放，建设单位应</w:t>
            </w:r>
            <w:r>
              <w:rPr>
                <w:rFonts w:hint="default" w:ascii="Times New Roman" w:hAnsi="Times New Roman" w:eastAsia="宋体" w:cs="Times New Roman"/>
                <w:color w:val="auto"/>
                <w:sz w:val="24"/>
                <w:szCs w:val="20"/>
                <w:highlight w:val="none"/>
              </w:rPr>
              <w:t>派专人定期</w:t>
            </w:r>
            <w:r>
              <w:rPr>
                <w:rFonts w:hint="default" w:ascii="Times New Roman" w:hAnsi="Times New Roman" w:eastAsia="宋体" w:cs="Times New Roman"/>
                <w:bCs/>
                <w:color w:val="auto"/>
                <w:sz w:val="24"/>
                <w:szCs w:val="20"/>
                <w:highlight w:val="none"/>
              </w:rPr>
              <w:t>对厂区地面</w:t>
            </w:r>
            <w:r>
              <w:rPr>
                <w:rFonts w:hint="default" w:ascii="Times New Roman" w:hAnsi="Times New Roman" w:eastAsia="宋体" w:cs="Times New Roman"/>
                <w:color w:val="auto"/>
                <w:sz w:val="24"/>
                <w:szCs w:val="20"/>
                <w:highlight w:val="none"/>
              </w:rPr>
              <w:t>进行清扫、洒水</w:t>
            </w:r>
            <w:r>
              <w:rPr>
                <w:rFonts w:hint="eastAsia" w:ascii="Times New Roman" w:hAnsi="Times New Roman" w:eastAsia="宋体" w:cs="Times New Roman"/>
                <w:bCs/>
                <w:color w:val="auto"/>
                <w:sz w:val="24"/>
                <w:szCs w:val="24"/>
                <w:highlight w:val="none"/>
                <w:lang w:val="en-US" w:eastAsia="zh-CN"/>
              </w:rPr>
              <w:t>，保持路面清洁和相对湿度</w:t>
            </w:r>
            <w:r>
              <w:rPr>
                <w:rFonts w:hint="default" w:ascii="Times New Roman" w:hAnsi="Times New Roman" w:eastAsia="宋体" w:cs="Times New Roman"/>
                <w:bCs/>
                <w:color w:val="auto"/>
                <w:sz w:val="24"/>
                <w:szCs w:val="20"/>
                <w:highlight w:val="none"/>
              </w:rPr>
              <w:t>，</w:t>
            </w:r>
            <w:r>
              <w:rPr>
                <w:rFonts w:hint="eastAsia" w:ascii="Times New Roman" w:hAnsi="Times New Roman" w:eastAsia="宋体" w:cs="Times New Roman"/>
                <w:bCs/>
                <w:color w:val="auto"/>
                <w:sz w:val="24"/>
                <w:szCs w:val="24"/>
                <w:highlight w:val="none"/>
                <w:lang w:val="en-US" w:eastAsia="zh-CN"/>
              </w:rPr>
              <w:t>在厂区的易起尘路段减速慢行；</w:t>
            </w:r>
            <w:r>
              <w:rPr>
                <w:rFonts w:hint="eastAsia" w:cs="Times New Roman"/>
                <w:b w:val="0"/>
                <w:bCs w:val="0"/>
                <w:color w:val="auto"/>
                <w:sz w:val="24"/>
                <w:szCs w:val="24"/>
                <w:highlight w:val="none"/>
                <w:lang w:val="en-US" w:eastAsia="zh-CN"/>
              </w:rPr>
              <w:t>新建1座</w:t>
            </w:r>
            <w:r>
              <w:rPr>
                <w:rFonts w:hint="default" w:ascii="Times New Roman" w:hAnsi="Times New Roman" w:eastAsia="宋体" w:cs="Times New Roman"/>
                <w:b w:val="0"/>
                <w:bCs w:val="0"/>
                <w:color w:val="auto"/>
                <w:sz w:val="24"/>
                <w:szCs w:val="24"/>
                <w:highlight w:val="none"/>
                <w:lang w:val="en-US" w:eastAsia="zh-CN"/>
              </w:rPr>
              <w:t>洗车平台，对轮胎、车厢外体、车牌和车灯均进行冲洗，保障车辆在运输过程中箱体无挂料、无撒漏、轮胎不带粉</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泥</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、行驶无扬尘</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Cs/>
                <w:color w:val="auto"/>
                <w:sz w:val="24"/>
                <w:highlight w:val="none"/>
              </w:rPr>
              <w:t>基于这种情况，道路路况以0.2kg/m</w:t>
            </w:r>
            <w:r>
              <w:rPr>
                <w:rFonts w:hint="default" w:ascii="Times New Roman" w:hAnsi="Times New Roman" w:eastAsia="宋体" w:cs="Times New Roman"/>
                <w:bCs/>
                <w:color w:val="auto"/>
                <w:sz w:val="24"/>
                <w:highlight w:val="none"/>
                <w:vertAlign w:val="superscript"/>
              </w:rPr>
              <w:t>2</w:t>
            </w:r>
            <w:r>
              <w:rPr>
                <w:rFonts w:hint="default" w:ascii="Times New Roman" w:hAnsi="Times New Roman" w:eastAsia="宋体" w:cs="Times New Roman"/>
                <w:bCs/>
                <w:color w:val="auto"/>
                <w:sz w:val="24"/>
                <w:highlight w:val="none"/>
              </w:rPr>
              <w:t>计，经计算，项目道路扬尘量为</w:t>
            </w:r>
            <w:r>
              <w:rPr>
                <w:rFonts w:hint="eastAsia" w:cs="Times New Roman"/>
                <w:bCs/>
                <w:color w:val="auto"/>
                <w:sz w:val="24"/>
                <w:highlight w:val="none"/>
                <w:lang w:val="en-US" w:eastAsia="zh-CN"/>
              </w:rPr>
              <w:t>1.743</w:t>
            </w:r>
            <w:r>
              <w:rPr>
                <w:rFonts w:hint="default" w:ascii="Times New Roman" w:hAnsi="Times New Roman" w:eastAsia="宋体" w:cs="Times New Roman"/>
                <w:bCs/>
                <w:color w:val="auto"/>
                <w:sz w:val="24"/>
                <w:highlight w:val="none"/>
              </w:rPr>
              <w:t>t/a</w:t>
            </w:r>
            <w:r>
              <w:rPr>
                <w:rFonts w:hint="default" w:ascii="Times New Roman" w:hAnsi="Times New Roman" w:eastAsia="宋体" w:cs="Times New Roman"/>
                <w:bCs/>
                <w:color w:val="auto"/>
                <w:sz w:val="24"/>
                <w:szCs w:val="20"/>
                <w:highlight w:val="none"/>
              </w:rPr>
              <w:t>。</w:t>
            </w:r>
          </w:p>
          <w:p w14:paraId="744882F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b w:val="0"/>
                <w:bCs w:val="0"/>
                <w:color w:val="auto"/>
                <w:sz w:val="24"/>
                <w:szCs w:val="24"/>
                <w:highlight w:val="none"/>
                <w:lang w:val="en-US" w:eastAsia="zh-CN"/>
              </w:rPr>
              <w:t>煤矸石运输由</w:t>
            </w:r>
            <w:r>
              <w:rPr>
                <w:rFonts w:hint="eastAsia" w:cs="Times New Roman"/>
                <w:bCs/>
                <w:color w:val="auto"/>
                <w:sz w:val="24"/>
                <w:szCs w:val="24"/>
                <w:highlight w:val="none"/>
                <w:lang w:val="en-US" w:eastAsia="zh-CN"/>
              </w:rPr>
              <w:t>山西晋煤集团赵庄煤业有限责任公司负责，</w:t>
            </w:r>
            <w:r>
              <w:rPr>
                <w:rFonts w:hint="default" w:ascii="Times New Roman" w:hAnsi="Times New Roman" w:eastAsia="宋体" w:cs="Times New Roman"/>
                <w:b w:val="0"/>
                <w:bCs w:val="0"/>
                <w:color w:val="auto"/>
                <w:sz w:val="24"/>
                <w:szCs w:val="24"/>
                <w:highlight w:val="none"/>
                <w:lang w:val="en-US" w:eastAsia="zh-CN"/>
              </w:rPr>
              <w:t>为保证清洁运输，</w:t>
            </w:r>
            <w:r>
              <w:rPr>
                <w:rFonts w:hint="eastAsia" w:ascii="Times New Roman" w:hAnsi="Times New Roman" w:eastAsia="宋体" w:cs="Times New Roman"/>
                <w:b w:val="0"/>
                <w:bCs w:val="0"/>
                <w:color w:val="auto"/>
                <w:sz w:val="24"/>
                <w:szCs w:val="24"/>
                <w:highlight w:val="none"/>
                <w:lang w:val="en-US" w:eastAsia="zh-CN"/>
              </w:rPr>
              <w:t>本次评价要求：</w:t>
            </w:r>
          </w:p>
          <w:p w14:paraId="62AFF4E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使用清洁能源</w:t>
            </w:r>
          </w:p>
          <w:p w14:paraId="6B78E30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供货单位优先选用新能源汽车或符合国六排放标准的汽车，以减少尾气排放对环境的污染。新能源汽车不仅能够减少尾气排放，还能够降低</w:t>
            </w:r>
            <w:r>
              <w:rPr>
                <w:rFonts w:hint="eastAsia" w:cs="Times New Roman"/>
                <w:color w:val="auto"/>
                <w:sz w:val="24"/>
                <w:highlight w:val="none"/>
                <w:lang w:val="en-US" w:eastAsia="zh-CN"/>
              </w:rPr>
              <w:t>噪声污染</w:t>
            </w:r>
            <w:r>
              <w:rPr>
                <w:rFonts w:hint="eastAsia" w:ascii="Times New Roman" w:hAnsi="Times New Roman" w:eastAsia="宋体" w:cs="Times New Roman"/>
                <w:color w:val="auto"/>
                <w:sz w:val="24"/>
                <w:highlight w:val="none"/>
                <w:lang w:val="en-US" w:eastAsia="zh-CN"/>
              </w:rPr>
              <w:t>，提高运输效率。</w:t>
            </w:r>
          </w:p>
          <w:p w14:paraId="6A90EE8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减少运输过程中的扬尘</w:t>
            </w:r>
          </w:p>
          <w:p w14:paraId="2E7BBA9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运输车辆采用全封闭厢式货车</w:t>
            </w:r>
            <w:r>
              <w:rPr>
                <w:rFonts w:hint="eastAsia" w:ascii="Times New Roman" w:hAnsi="Times New Roman" w:eastAsia="宋体" w:cs="Times New Roman"/>
                <w:color w:val="auto"/>
                <w:sz w:val="24"/>
                <w:highlight w:val="none"/>
                <w:lang w:val="en-US" w:eastAsia="zh-CN"/>
              </w:rPr>
              <w:t>，避免</w:t>
            </w:r>
            <w:r>
              <w:rPr>
                <w:rFonts w:hint="eastAsia" w:cs="Times New Roman"/>
                <w:color w:val="auto"/>
                <w:sz w:val="24"/>
                <w:highlight w:val="none"/>
                <w:lang w:val="en-US" w:eastAsia="zh-CN"/>
              </w:rPr>
              <w:t>矸石</w:t>
            </w:r>
            <w:r>
              <w:rPr>
                <w:rFonts w:hint="eastAsia" w:ascii="Times New Roman" w:hAnsi="Times New Roman" w:eastAsia="宋体" w:cs="Times New Roman"/>
                <w:color w:val="auto"/>
                <w:sz w:val="24"/>
                <w:highlight w:val="none"/>
                <w:lang w:val="en-US" w:eastAsia="zh-CN"/>
              </w:rPr>
              <w:t>在运输过程中散落或扬起。</w:t>
            </w:r>
          </w:p>
          <w:p w14:paraId="0BE784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合理规划运输路线</w:t>
            </w:r>
          </w:p>
          <w:p w14:paraId="66D5596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合理规划运输路线是现场清洁环保运输的重要措施之一。根据运输需求和实际情况，</w:t>
            </w:r>
            <w:r>
              <w:rPr>
                <w:rFonts w:hint="eastAsia" w:cs="Times New Roman"/>
                <w:color w:val="auto"/>
                <w:sz w:val="24"/>
                <w:highlight w:val="none"/>
                <w:lang w:val="en-US" w:eastAsia="zh-CN"/>
              </w:rPr>
              <w:t>供货单位</w:t>
            </w:r>
            <w:r>
              <w:rPr>
                <w:rFonts w:hint="eastAsia" w:ascii="Times New Roman" w:hAnsi="Times New Roman" w:eastAsia="宋体" w:cs="Times New Roman"/>
                <w:color w:val="auto"/>
                <w:sz w:val="24"/>
                <w:highlight w:val="none"/>
                <w:lang w:val="en-US" w:eastAsia="zh-CN"/>
              </w:rPr>
              <w:t>应该合理规划运输路线，减少不必要的绕行和重复运输，降低能源消耗和排放</w:t>
            </w:r>
            <w:r>
              <w:rPr>
                <w:rFonts w:hint="eastAsia" w:cs="Times New Roman"/>
                <w:color w:val="auto"/>
                <w:sz w:val="24"/>
                <w:highlight w:val="none"/>
                <w:lang w:val="en-US" w:eastAsia="zh-CN"/>
              </w:rPr>
              <w:t>。</w:t>
            </w:r>
          </w:p>
          <w:p w14:paraId="287671F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建立清洁运输台账</w:t>
            </w:r>
          </w:p>
          <w:p w14:paraId="6DDB0D6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建立清洁运输台账是现场清洁环保运输的重要手段之一。</w:t>
            </w:r>
            <w:r>
              <w:rPr>
                <w:rFonts w:hint="eastAsia" w:cs="Times New Roman"/>
                <w:color w:val="auto"/>
                <w:sz w:val="24"/>
                <w:highlight w:val="none"/>
                <w:lang w:val="en-US" w:eastAsia="zh-CN"/>
              </w:rPr>
              <w:t>建设单位</w:t>
            </w:r>
            <w:r>
              <w:rPr>
                <w:rFonts w:hint="eastAsia" w:ascii="Times New Roman" w:hAnsi="Times New Roman" w:eastAsia="宋体" w:cs="Times New Roman"/>
                <w:color w:val="auto"/>
                <w:sz w:val="24"/>
                <w:highlight w:val="none"/>
                <w:lang w:val="en-US" w:eastAsia="zh-CN"/>
              </w:rPr>
              <w:t>应该记录运输车辆进出厂区情况，包括车辆类型、运输物料、排放量等信息，以便监控和评估清洁运输比例是否满足要求。</w:t>
            </w:r>
          </w:p>
          <w:p w14:paraId="7926A3E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加强员工培训与教育</w:t>
            </w:r>
          </w:p>
          <w:p w14:paraId="3209991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加强员工培训与教育是现场清洁环保运输的重要保障。</w:t>
            </w:r>
            <w:r>
              <w:rPr>
                <w:rFonts w:hint="eastAsia" w:cs="Times New Roman"/>
                <w:color w:val="auto"/>
                <w:sz w:val="24"/>
                <w:highlight w:val="none"/>
                <w:lang w:val="en-US" w:eastAsia="zh-CN"/>
              </w:rPr>
              <w:t>建设单位</w:t>
            </w:r>
            <w:r>
              <w:rPr>
                <w:rFonts w:hint="eastAsia" w:ascii="Times New Roman" w:hAnsi="Times New Roman" w:eastAsia="宋体" w:cs="Times New Roman"/>
                <w:color w:val="auto"/>
                <w:sz w:val="24"/>
                <w:highlight w:val="none"/>
                <w:lang w:val="en-US" w:eastAsia="zh-CN"/>
              </w:rPr>
              <w:t>应提高员工对环保和清洁运输的认识和意识，加强相关培训和教育，确保员工能够遵守相关规定和操作规程。</w:t>
            </w:r>
          </w:p>
          <w:p w14:paraId="1FF2046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4A55A90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42C0C6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380A9F0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199DF43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76FF059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27C91C8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4D995BA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52AAAC4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val="0"/>
                <w:color w:val="auto"/>
                <w:sz w:val="24"/>
                <w:szCs w:val="24"/>
                <w:highlight w:val="none"/>
                <w:lang w:val="en-US" w:eastAsia="zh-CN"/>
              </w:rPr>
            </w:pPr>
          </w:p>
          <w:p w14:paraId="53FCB22E">
            <w:pPr>
              <w:pStyle w:val="9"/>
              <w:rPr>
                <w:rFonts w:hint="eastAsia"/>
                <w:color w:val="auto"/>
                <w:lang w:eastAsia="zh-CN"/>
              </w:rPr>
            </w:pPr>
          </w:p>
        </w:tc>
      </w:tr>
    </w:tbl>
    <w:p w14:paraId="722109C6">
      <w:pPr>
        <w:rPr>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045"/>
      </w:tblGrid>
      <w:tr w14:paraId="4FF7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714" w:type="dxa"/>
            <w:noWrap w:val="0"/>
            <w:vAlign w:val="center"/>
          </w:tcPr>
          <w:p w14:paraId="2302FA2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运营</w:t>
            </w:r>
          </w:p>
          <w:p w14:paraId="6A11F2C7">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期环</w:t>
            </w:r>
          </w:p>
          <w:p w14:paraId="5396277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境影</w:t>
            </w:r>
          </w:p>
          <w:p w14:paraId="004CFED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响和</w:t>
            </w:r>
          </w:p>
          <w:p w14:paraId="049E4A7A">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保护</w:t>
            </w:r>
          </w:p>
          <w:p w14:paraId="214A82D1">
            <w:pPr>
              <w:adjustRightInd w:val="0"/>
              <w:snapToGrid w:val="0"/>
              <w:jc w:val="center"/>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Cs/>
                <w:color w:val="auto"/>
                <w:szCs w:val="21"/>
                <w:highlight w:val="none"/>
                <w:lang w:val="en-US" w:eastAsia="zh-CN"/>
              </w:rPr>
              <w:t>措施</w:t>
            </w:r>
          </w:p>
        </w:tc>
        <w:tc>
          <w:tcPr>
            <w:tcW w:w="14593" w:type="dxa"/>
            <w:noWrap w:val="0"/>
            <w:vAlign w:val="top"/>
          </w:tcPr>
          <w:p w14:paraId="61E7BCB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黑体" w:cs="Times New Roman"/>
                <w:b w:val="0"/>
                <w:bCs/>
                <w:color w:val="auto"/>
                <w:spacing w:val="0"/>
                <w:kern w:val="2"/>
                <w:sz w:val="21"/>
                <w:szCs w:val="21"/>
                <w:highlight w:val="none"/>
                <w:lang w:val="en-US" w:eastAsia="zh-CN" w:bidi="ar-SA"/>
              </w:rPr>
            </w:pPr>
            <w:r>
              <w:rPr>
                <w:rFonts w:hint="eastAsia" w:ascii="Times New Roman" w:hAnsi="Times New Roman" w:eastAsia="宋体" w:cs="Times New Roman"/>
                <w:b w:val="0"/>
                <w:bCs/>
                <w:color w:val="auto"/>
                <w:spacing w:val="0"/>
                <w:sz w:val="24"/>
                <w:szCs w:val="24"/>
                <w:highlight w:val="none"/>
                <w:lang w:val="en-US" w:eastAsia="zh-CN"/>
              </w:rPr>
              <w:t>2.废气污染物排放口基本情况</w:t>
            </w:r>
          </w:p>
          <w:p w14:paraId="0DB3BB62">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.5-2</w:t>
            </w:r>
            <w:r>
              <w:rPr>
                <w:rFonts w:hint="default" w:ascii="Times New Roman" w:hAnsi="Times New Roman" w:eastAsia="黑体" w:cs="Times New Roman"/>
                <w:b w:val="0"/>
                <w:bCs w:val="0"/>
                <w:color w:val="auto"/>
                <w:kern w:val="2"/>
                <w:sz w:val="21"/>
                <w:szCs w:val="21"/>
                <w:highlight w:val="none"/>
                <w:lang w:val="en-US" w:eastAsia="zh-CN" w:bidi="ar-SA"/>
              </w:rPr>
              <w:t xml:space="preserve">  </w:t>
            </w:r>
            <w:r>
              <w:rPr>
                <w:rFonts w:hint="eastAsia" w:ascii="Times New Roman" w:hAnsi="Times New Roman" w:eastAsia="黑体" w:cs="Times New Roman"/>
                <w:b w:val="0"/>
                <w:bCs w:val="0"/>
                <w:color w:val="auto"/>
                <w:kern w:val="2"/>
                <w:sz w:val="21"/>
                <w:szCs w:val="21"/>
                <w:highlight w:val="none"/>
                <w:lang w:val="en-US" w:eastAsia="zh-CN" w:bidi="ar-SA"/>
              </w:rPr>
              <w:t>废气污染物</w:t>
            </w:r>
            <w:r>
              <w:rPr>
                <w:rFonts w:hint="default" w:ascii="Times New Roman" w:hAnsi="Times New Roman" w:eastAsia="黑体" w:cs="Times New Roman"/>
                <w:b w:val="0"/>
                <w:bCs w:val="0"/>
                <w:color w:val="auto"/>
                <w:kern w:val="2"/>
                <w:sz w:val="21"/>
                <w:szCs w:val="21"/>
                <w:highlight w:val="none"/>
                <w:lang w:val="en-US" w:eastAsia="zh-CN" w:bidi="ar-SA"/>
              </w:rPr>
              <w:t>排放口基本情况表</w:t>
            </w:r>
          </w:p>
          <w:tbl>
            <w:tblPr>
              <w:tblStyle w:val="24"/>
              <w:tblW w:w="136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2674"/>
              <w:gridCol w:w="1427"/>
              <w:gridCol w:w="1515"/>
              <w:gridCol w:w="1516"/>
              <w:gridCol w:w="1322"/>
              <w:gridCol w:w="1500"/>
              <w:gridCol w:w="1070"/>
              <w:gridCol w:w="1443"/>
            </w:tblGrid>
            <w:tr w14:paraId="230DA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vMerge w:val="restart"/>
                  <w:tcBorders>
                    <w:tl2br w:val="nil"/>
                    <w:tr2bl w:val="nil"/>
                  </w:tcBorders>
                  <w:noWrap w:val="0"/>
                  <w:vAlign w:val="center"/>
                </w:tcPr>
                <w:p w14:paraId="20EC3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排放口编号</w:t>
                  </w:r>
                </w:p>
              </w:tc>
              <w:tc>
                <w:tcPr>
                  <w:tcW w:w="2674" w:type="dxa"/>
                  <w:vMerge w:val="restart"/>
                  <w:tcBorders>
                    <w:tl2br w:val="nil"/>
                    <w:tr2bl w:val="nil"/>
                  </w:tcBorders>
                  <w:noWrap w:val="0"/>
                  <w:vAlign w:val="center"/>
                </w:tcPr>
                <w:p w14:paraId="4D903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排放口名称</w:t>
                  </w:r>
                </w:p>
              </w:tc>
              <w:tc>
                <w:tcPr>
                  <w:tcW w:w="1427" w:type="dxa"/>
                  <w:vMerge w:val="restart"/>
                  <w:tcBorders>
                    <w:tl2br w:val="nil"/>
                    <w:tr2bl w:val="nil"/>
                  </w:tcBorders>
                  <w:noWrap w:val="0"/>
                  <w:vAlign w:val="center"/>
                </w:tcPr>
                <w:p w14:paraId="0BDAE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污染物种类</w:t>
                  </w:r>
                </w:p>
              </w:tc>
              <w:tc>
                <w:tcPr>
                  <w:tcW w:w="3031" w:type="dxa"/>
                  <w:gridSpan w:val="2"/>
                  <w:tcBorders>
                    <w:tl2br w:val="nil"/>
                    <w:tr2bl w:val="nil"/>
                  </w:tcBorders>
                  <w:noWrap w:val="0"/>
                  <w:vAlign w:val="center"/>
                </w:tcPr>
                <w:p w14:paraId="61DC2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排放口地理坐标</w:t>
                  </w:r>
                </w:p>
              </w:tc>
              <w:tc>
                <w:tcPr>
                  <w:tcW w:w="1322" w:type="dxa"/>
                  <w:vMerge w:val="restart"/>
                  <w:tcBorders>
                    <w:tl2br w:val="nil"/>
                    <w:tr2bl w:val="nil"/>
                  </w:tcBorders>
                  <w:noWrap w:val="0"/>
                  <w:vAlign w:val="center"/>
                </w:tcPr>
                <w:p w14:paraId="76EED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排气筒高度（</w:t>
                  </w:r>
                  <w:r>
                    <w:rPr>
                      <w:rFonts w:hint="default" w:ascii="Times New Roman" w:hAnsi="Times New Roman" w:eastAsia="宋体" w:cs="Times New Roman"/>
                      <w:b w:val="0"/>
                      <w:bCs/>
                      <w:color w:val="auto"/>
                      <w:kern w:val="28"/>
                      <w:sz w:val="21"/>
                      <w:szCs w:val="21"/>
                      <w:highlight w:val="none"/>
                      <w:lang w:val="en-US"/>
                    </w:rPr>
                    <w:t>m</w:t>
                  </w:r>
                  <w:r>
                    <w:rPr>
                      <w:rFonts w:hint="default" w:ascii="Times New Roman" w:hAnsi="Times New Roman" w:eastAsia="宋体" w:cs="Times New Roman"/>
                      <w:b w:val="0"/>
                      <w:bCs/>
                      <w:color w:val="auto"/>
                      <w:kern w:val="28"/>
                      <w:sz w:val="21"/>
                      <w:szCs w:val="21"/>
                      <w:highlight w:val="none"/>
                    </w:rPr>
                    <w:t>）</w:t>
                  </w:r>
                </w:p>
              </w:tc>
              <w:tc>
                <w:tcPr>
                  <w:tcW w:w="1500" w:type="dxa"/>
                  <w:vMerge w:val="restart"/>
                  <w:tcBorders>
                    <w:tl2br w:val="nil"/>
                    <w:tr2bl w:val="nil"/>
                  </w:tcBorders>
                  <w:noWrap w:val="0"/>
                  <w:vAlign w:val="center"/>
                </w:tcPr>
                <w:p w14:paraId="1E9662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排气筒出口内径（</w:t>
                  </w:r>
                  <w:r>
                    <w:rPr>
                      <w:rFonts w:hint="default" w:ascii="Times New Roman" w:hAnsi="Times New Roman" w:eastAsia="宋体" w:cs="Times New Roman"/>
                      <w:b w:val="0"/>
                      <w:bCs/>
                      <w:color w:val="auto"/>
                      <w:kern w:val="28"/>
                      <w:sz w:val="21"/>
                      <w:szCs w:val="21"/>
                      <w:highlight w:val="none"/>
                      <w:lang w:val="en-US"/>
                    </w:rPr>
                    <w:t>m</w:t>
                  </w:r>
                  <w:r>
                    <w:rPr>
                      <w:rFonts w:hint="default" w:ascii="Times New Roman" w:hAnsi="Times New Roman" w:eastAsia="宋体" w:cs="Times New Roman"/>
                      <w:b w:val="0"/>
                      <w:bCs/>
                      <w:color w:val="auto"/>
                      <w:kern w:val="28"/>
                      <w:sz w:val="21"/>
                      <w:szCs w:val="21"/>
                      <w:highlight w:val="none"/>
                    </w:rPr>
                    <w:t>）</w:t>
                  </w:r>
                </w:p>
              </w:tc>
              <w:tc>
                <w:tcPr>
                  <w:tcW w:w="1070" w:type="dxa"/>
                  <w:vMerge w:val="restart"/>
                  <w:tcBorders>
                    <w:tl2br w:val="nil"/>
                    <w:tr2bl w:val="nil"/>
                  </w:tcBorders>
                  <w:noWrap w:val="0"/>
                  <w:vAlign w:val="center"/>
                </w:tcPr>
                <w:p w14:paraId="3C7C4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排气温度（℃）</w:t>
                  </w:r>
                </w:p>
              </w:tc>
              <w:tc>
                <w:tcPr>
                  <w:tcW w:w="1443" w:type="dxa"/>
                  <w:vMerge w:val="restart"/>
                  <w:tcBorders>
                    <w:tl2br w:val="nil"/>
                    <w:tr2bl w:val="nil"/>
                  </w:tcBorders>
                  <w:noWrap w:val="0"/>
                  <w:vAlign w:val="center"/>
                </w:tcPr>
                <w:p w14:paraId="6B566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val="0"/>
                      <w:bCs/>
                      <w:color w:val="auto"/>
                      <w:kern w:val="28"/>
                      <w:sz w:val="21"/>
                      <w:szCs w:val="21"/>
                      <w:highlight w:val="none"/>
                      <w:lang w:val="en-US" w:eastAsia="zh-CN"/>
                    </w:rPr>
                  </w:pPr>
                  <w:r>
                    <w:rPr>
                      <w:rFonts w:hint="eastAsia" w:ascii="Times New Roman" w:hAnsi="Times New Roman" w:eastAsia="宋体" w:cs="Times New Roman"/>
                      <w:b w:val="0"/>
                      <w:bCs/>
                      <w:color w:val="auto"/>
                      <w:kern w:val="28"/>
                      <w:sz w:val="21"/>
                      <w:szCs w:val="21"/>
                      <w:highlight w:val="none"/>
                      <w:lang w:val="en-US" w:eastAsia="zh-CN"/>
                    </w:rPr>
                    <w:t>类型</w:t>
                  </w:r>
                </w:p>
              </w:tc>
            </w:tr>
            <w:tr w14:paraId="2F097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vMerge w:val="continue"/>
                  <w:tcBorders>
                    <w:tl2br w:val="nil"/>
                    <w:tr2bl w:val="nil"/>
                  </w:tcBorders>
                  <w:noWrap w:val="0"/>
                  <w:vAlign w:val="center"/>
                </w:tcPr>
                <w:p w14:paraId="1EE283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2674" w:type="dxa"/>
                  <w:vMerge w:val="continue"/>
                  <w:tcBorders>
                    <w:tl2br w:val="nil"/>
                    <w:tr2bl w:val="nil"/>
                  </w:tcBorders>
                  <w:noWrap w:val="0"/>
                  <w:vAlign w:val="center"/>
                </w:tcPr>
                <w:p w14:paraId="09D8D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427" w:type="dxa"/>
                  <w:vMerge w:val="continue"/>
                  <w:tcBorders>
                    <w:tl2br w:val="nil"/>
                    <w:tr2bl w:val="nil"/>
                  </w:tcBorders>
                  <w:noWrap w:val="0"/>
                  <w:vAlign w:val="center"/>
                </w:tcPr>
                <w:p w14:paraId="7FA8D6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515" w:type="dxa"/>
                  <w:tcBorders>
                    <w:tl2br w:val="nil"/>
                    <w:tr2bl w:val="nil"/>
                  </w:tcBorders>
                  <w:noWrap w:val="0"/>
                  <w:vAlign w:val="center"/>
                </w:tcPr>
                <w:p w14:paraId="3A8F59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经度</w:t>
                  </w:r>
                </w:p>
              </w:tc>
              <w:tc>
                <w:tcPr>
                  <w:tcW w:w="1516" w:type="dxa"/>
                  <w:tcBorders>
                    <w:tl2br w:val="nil"/>
                    <w:tr2bl w:val="nil"/>
                  </w:tcBorders>
                  <w:noWrap w:val="0"/>
                  <w:vAlign w:val="center"/>
                </w:tcPr>
                <w:p w14:paraId="7AECC3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纬度</w:t>
                  </w:r>
                </w:p>
              </w:tc>
              <w:tc>
                <w:tcPr>
                  <w:tcW w:w="1322" w:type="dxa"/>
                  <w:vMerge w:val="continue"/>
                  <w:tcBorders>
                    <w:tl2br w:val="nil"/>
                    <w:tr2bl w:val="nil"/>
                  </w:tcBorders>
                  <w:noWrap w:val="0"/>
                  <w:vAlign w:val="center"/>
                </w:tcPr>
                <w:p w14:paraId="3B2066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500" w:type="dxa"/>
                  <w:vMerge w:val="continue"/>
                  <w:tcBorders>
                    <w:tl2br w:val="nil"/>
                    <w:tr2bl w:val="nil"/>
                  </w:tcBorders>
                  <w:noWrap w:val="0"/>
                  <w:vAlign w:val="center"/>
                </w:tcPr>
                <w:p w14:paraId="790629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070" w:type="dxa"/>
                  <w:vMerge w:val="continue"/>
                  <w:tcBorders>
                    <w:tl2br w:val="nil"/>
                    <w:tr2bl w:val="nil"/>
                  </w:tcBorders>
                  <w:noWrap w:val="0"/>
                  <w:vAlign w:val="center"/>
                </w:tcPr>
                <w:p w14:paraId="00A60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443" w:type="dxa"/>
                  <w:vMerge w:val="continue"/>
                  <w:tcBorders>
                    <w:tl2br w:val="nil"/>
                    <w:tr2bl w:val="nil"/>
                  </w:tcBorders>
                  <w:noWrap w:val="0"/>
                  <w:vAlign w:val="center"/>
                </w:tcPr>
                <w:p w14:paraId="40373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r>
            <w:tr w14:paraId="77209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tcBorders>
                    <w:tl2br w:val="nil"/>
                    <w:tr2bl w:val="nil"/>
                  </w:tcBorders>
                  <w:noWrap w:val="0"/>
                  <w:vAlign w:val="center"/>
                </w:tcPr>
                <w:p w14:paraId="7FFAD97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1</w:t>
                  </w:r>
                </w:p>
              </w:tc>
              <w:tc>
                <w:tcPr>
                  <w:tcW w:w="2674" w:type="dxa"/>
                  <w:tcBorders>
                    <w:tl2br w:val="nil"/>
                    <w:tr2bl w:val="nil"/>
                  </w:tcBorders>
                  <w:noWrap w:val="0"/>
                  <w:vAlign w:val="center"/>
                </w:tcPr>
                <w:p w14:paraId="1BE09E7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矸石受料斗粉尘</w:t>
                  </w:r>
                  <w:r>
                    <w:rPr>
                      <w:rFonts w:hint="eastAsia" w:ascii="Times New Roman" w:hAnsi="Times New Roman" w:eastAsia="宋体" w:cs="Times New Roman"/>
                      <w:color w:val="auto"/>
                      <w:kern w:val="2"/>
                      <w:sz w:val="21"/>
                      <w:szCs w:val="21"/>
                      <w:highlight w:val="none"/>
                      <w:lang w:val="en-US" w:eastAsia="zh-CN" w:bidi="ar-SA"/>
                    </w:rPr>
                    <w:t>排放口</w:t>
                  </w:r>
                </w:p>
              </w:tc>
              <w:tc>
                <w:tcPr>
                  <w:tcW w:w="1427" w:type="dxa"/>
                  <w:tcBorders>
                    <w:tl2br w:val="nil"/>
                    <w:tr2bl w:val="nil"/>
                  </w:tcBorders>
                  <w:noWrap w:val="0"/>
                  <w:vAlign w:val="center"/>
                </w:tcPr>
                <w:p w14:paraId="5D81D7A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tcBorders>
                    <w:tl2br w:val="nil"/>
                    <w:tr2bl w:val="nil"/>
                  </w:tcBorders>
                  <w:noWrap w:val="0"/>
                  <w:vAlign w:val="center"/>
                </w:tcPr>
                <w:p w14:paraId="594DA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6.037</w:t>
                  </w:r>
                  <w:r>
                    <w:rPr>
                      <w:rFonts w:hint="default" w:ascii="Times New Roman" w:hAnsi="Times New Roman" w:eastAsia="宋体" w:cs="Times New Roman"/>
                      <w:b w:val="0"/>
                      <w:bCs/>
                      <w:color w:val="auto"/>
                      <w:kern w:val="28"/>
                      <w:sz w:val="21"/>
                      <w:szCs w:val="21"/>
                      <w:highlight w:val="none"/>
                    </w:rPr>
                    <w:t>″</w:t>
                  </w:r>
                </w:p>
              </w:tc>
              <w:tc>
                <w:tcPr>
                  <w:tcW w:w="1516" w:type="dxa"/>
                  <w:tcBorders>
                    <w:tl2br w:val="nil"/>
                    <w:tr2bl w:val="nil"/>
                  </w:tcBorders>
                  <w:noWrap w:val="0"/>
                  <w:vAlign w:val="center"/>
                </w:tcPr>
                <w:p w14:paraId="3B8757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32.012</w:t>
                  </w:r>
                  <w:r>
                    <w:rPr>
                      <w:rFonts w:hint="default" w:ascii="Times New Roman" w:hAnsi="Times New Roman" w:eastAsia="宋体" w:cs="Times New Roman"/>
                      <w:b w:val="0"/>
                      <w:bCs/>
                      <w:color w:val="auto"/>
                      <w:kern w:val="28"/>
                      <w:sz w:val="21"/>
                      <w:szCs w:val="21"/>
                      <w:highlight w:val="none"/>
                    </w:rPr>
                    <w:t>″</w:t>
                  </w:r>
                </w:p>
              </w:tc>
              <w:tc>
                <w:tcPr>
                  <w:tcW w:w="1322" w:type="dxa"/>
                  <w:tcBorders>
                    <w:tl2br w:val="nil"/>
                    <w:tr2bl w:val="nil"/>
                  </w:tcBorders>
                  <w:noWrap w:val="0"/>
                  <w:vAlign w:val="center"/>
                </w:tcPr>
                <w:p w14:paraId="127FB0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15</w:t>
                  </w:r>
                </w:p>
              </w:tc>
              <w:tc>
                <w:tcPr>
                  <w:tcW w:w="1500" w:type="dxa"/>
                  <w:tcBorders>
                    <w:tl2br w:val="nil"/>
                    <w:tr2bl w:val="nil"/>
                  </w:tcBorders>
                  <w:noWrap w:val="0"/>
                  <w:vAlign w:val="center"/>
                </w:tcPr>
                <w:p w14:paraId="2C4E8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tcBorders>
                    <w:tl2br w:val="nil"/>
                    <w:tr2bl w:val="nil"/>
                  </w:tcBorders>
                  <w:noWrap w:val="0"/>
                  <w:vAlign w:val="center"/>
                </w:tcPr>
                <w:p w14:paraId="43A38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tcBorders>
                    <w:tl2br w:val="nil"/>
                    <w:tr2bl w:val="nil"/>
                  </w:tcBorders>
                  <w:noWrap w:val="0"/>
                  <w:vAlign w:val="center"/>
                </w:tcPr>
                <w:p w14:paraId="31CE9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1B6D6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tcBorders>
                    <w:tl2br w:val="nil"/>
                    <w:tr2bl w:val="nil"/>
                  </w:tcBorders>
                  <w:noWrap w:val="0"/>
                  <w:vAlign w:val="center"/>
                </w:tcPr>
                <w:p w14:paraId="69666A4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2</w:t>
                  </w:r>
                </w:p>
              </w:tc>
              <w:tc>
                <w:tcPr>
                  <w:tcW w:w="2674" w:type="dxa"/>
                  <w:tcBorders>
                    <w:tl2br w:val="nil"/>
                    <w:tr2bl w:val="nil"/>
                  </w:tcBorders>
                  <w:noWrap w:val="0"/>
                  <w:vAlign w:val="center"/>
                </w:tcPr>
                <w:p w14:paraId="42DA99A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tcBorders>
                    <w:tl2br w:val="nil"/>
                    <w:tr2bl w:val="nil"/>
                  </w:tcBorders>
                  <w:noWrap w:val="0"/>
                  <w:vAlign w:val="center"/>
                </w:tcPr>
                <w:p w14:paraId="16E6985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tcBorders>
                    <w:tl2br w:val="nil"/>
                    <w:tr2bl w:val="nil"/>
                  </w:tcBorders>
                  <w:noWrap w:val="0"/>
                  <w:vAlign w:val="center"/>
                </w:tcPr>
                <w:p w14:paraId="17690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8.856</w:t>
                  </w:r>
                  <w:r>
                    <w:rPr>
                      <w:rFonts w:hint="default" w:ascii="Times New Roman" w:hAnsi="Times New Roman" w:eastAsia="宋体" w:cs="Times New Roman"/>
                      <w:b w:val="0"/>
                      <w:bCs/>
                      <w:color w:val="auto"/>
                      <w:kern w:val="28"/>
                      <w:sz w:val="21"/>
                      <w:szCs w:val="21"/>
                      <w:highlight w:val="none"/>
                    </w:rPr>
                    <w:t>″</w:t>
                  </w:r>
                </w:p>
              </w:tc>
              <w:tc>
                <w:tcPr>
                  <w:tcW w:w="1516" w:type="dxa"/>
                  <w:tcBorders>
                    <w:tl2br w:val="nil"/>
                    <w:tr2bl w:val="nil"/>
                  </w:tcBorders>
                  <w:noWrap w:val="0"/>
                  <w:vAlign w:val="center"/>
                </w:tcPr>
                <w:p w14:paraId="4B6C9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32.195</w:t>
                  </w:r>
                  <w:r>
                    <w:rPr>
                      <w:rFonts w:hint="default" w:ascii="Times New Roman" w:hAnsi="Times New Roman" w:eastAsia="宋体" w:cs="Times New Roman"/>
                      <w:b w:val="0"/>
                      <w:bCs/>
                      <w:color w:val="auto"/>
                      <w:kern w:val="28"/>
                      <w:sz w:val="21"/>
                      <w:szCs w:val="21"/>
                      <w:highlight w:val="none"/>
                    </w:rPr>
                    <w:t>″</w:t>
                  </w:r>
                </w:p>
              </w:tc>
              <w:tc>
                <w:tcPr>
                  <w:tcW w:w="1322" w:type="dxa"/>
                  <w:tcBorders>
                    <w:tl2br w:val="nil"/>
                    <w:tr2bl w:val="nil"/>
                  </w:tcBorders>
                  <w:noWrap w:val="0"/>
                  <w:vAlign w:val="center"/>
                </w:tcPr>
                <w:p w14:paraId="15BC0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tcBorders>
                    <w:tl2br w:val="nil"/>
                    <w:tr2bl w:val="nil"/>
                  </w:tcBorders>
                  <w:noWrap w:val="0"/>
                  <w:vAlign w:val="center"/>
                </w:tcPr>
                <w:p w14:paraId="7F096E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tcBorders>
                    <w:tl2br w:val="nil"/>
                    <w:tr2bl w:val="nil"/>
                  </w:tcBorders>
                  <w:noWrap w:val="0"/>
                  <w:vAlign w:val="center"/>
                </w:tcPr>
                <w:p w14:paraId="51D7F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tcBorders>
                    <w:tl2br w:val="nil"/>
                    <w:tr2bl w:val="nil"/>
                  </w:tcBorders>
                  <w:noWrap w:val="0"/>
                  <w:vAlign w:val="center"/>
                </w:tcPr>
                <w:p w14:paraId="2ACDA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4BFF91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5947492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3</w:t>
                  </w:r>
                </w:p>
              </w:tc>
              <w:tc>
                <w:tcPr>
                  <w:tcW w:w="2674" w:type="dxa"/>
                  <w:noWrap w:val="0"/>
                  <w:vAlign w:val="center"/>
                </w:tcPr>
                <w:p w14:paraId="3EB861D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noWrap w:val="0"/>
                  <w:vAlign w:val="center"/>
                </w:tcPr>
                <w:p w14:paraId="772A8B6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4FBC0A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8.866</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36699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32.137</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1973A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noWrap w:val="0"/>
                  <w:vAlign w:val="center"/>
                </w:tcPr>
                <w:p w14:paraId="56926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noWrap w:val="0"/>
                  <w:vAlign w:val="center"/>
                </w:tcPr>
                <w:p w14:paraId="670AEA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noWrap w:val="0"/>
                  <w:vAlign w:val="center"/>
                </w:tcPr>
                <w:p w14:paraId="0FB5B5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2AD09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43B483A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4</w:t>
                  </w:r>
                </w:p>
              </w:tc>
              <w:tc>
                <w:tcPr>
                  <w:tcW w:w="2674" w:type="dxa"/>
                  <w:noWrap w:val="0"/>
                  <w:vAlign w:val="center"/>
                </w:tcPr>
                <w:p w14:paraId="750C77E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noWrap w:val="0"/>
                  <w:vAlign w:val="center"/>
                </w:tcPr>
                <w:p w14:paraId="6BE925D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65EC1A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8.871</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23296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32.065</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53D231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noWrap w:val="0"/>
                  <w:vAlign w:val="center"/>
                </w:tcPr>
                <w:p w14:paraId="0EFAD1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noWrap w:val="0"/>
                  <w:vAlign w:val="center"/>
                </w:tcPr>
                <w:p w14:paraId="3DA16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noWrap w:val="0"/>
                  <w:vAlign w:val="center"/>
                </w:tcPr>
                <w:p w14:paraId="4387A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05AEC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1AED232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5</w:t>
                  </w:r>
                </w:p>
              </w:tc>
              <w:tc>
                <w:tcPr>
                  <w:tcW w:w="2674" w:type="dxa"/>
                  <w:noWrap w:val="0"/>
                  <w:vAlign w:val="center"/>
                </w:tcPr>
                <w:p w14:paraId="67ADBB3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noWrap w:val="0"/>
                  <w:vAlign w:val="center"/>
                </w:tcPr>
                <w:p w14:paraId="2F6BBB9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10B4E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8.875</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4CD94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31.992</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60A4D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noWrap w:val="0"/>
                  <w:vAlign w:val="center"/>
                </w:tcPr>
                <w:p w14:paraId="1310B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noWrap w:val="0"/>
                  <w:vAlign w:val="center"/>
                </w:tcPr>
                <w:p w14:paraId="151CE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noWrap w:val="0"/>
                  <w:vAlign w:val="center"/>
                </w:tcPr>
                <w:p w14:paraId="378A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5EC27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37615E4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6</w:t>
                  </w:r>
                </w:p>
              </w:tc>
              <w:tc>
                <w:tcPr>
                  <w:tcW w:w="2674" w:type="dxa"/>
                  <w:noWrap w:val="0"/>
                  <w:vAlign w:val="center"/>
                </w:tcPr>
                <w:p w14:paraId="289F6FF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noWrap w:val="0"/>
                  <w:vAlign w:val="center"/>
                </w:tcPr>
                <w:p w14:paraId="22E870D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68E83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8.876</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4AF91E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31.925</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5E25DC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noWrap w:val="0"/>
                  <w:vAlign w:val="center"/>
                </w:tcPr>
                <w:p w14:paraId="6F1B01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noWrap w:val="0"/>
                  <w:vAlign w:val="center"/>
                </w:tcPr>
                <w:p w14:paraId="2C854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noWrap w:val="0"/>
                  <w:vAlign w:val="center"/>
                </w:tcPr>
                <w:p w14:paraId="44CF6E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523AAC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3A599C94">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7</w:t>
                  </w:r>
                </w:p>
              </w:tc>
              <w:tc>
                <w:tcPr>
                  <w:tcW w:w="2674" w:type="dxa"/>
                  <w:noWrap w:val="0"/>
                  <w:vAlign w:val="center"/>
                </w:tcPr>
                <w:p w14:paraId="727F7AE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p>
              </w:tc>
              <w:tc>
                <w:tcPr>
                  <w:tcW w:w="1427" w:type="dxa"/>
                  <w:noWrap w:val="0"/>
                  <w:vAlign w:val="center"/>
                </w:tcPr>
                <w:p w14:paraId="70EB5B9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6EE09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8.880</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1B636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31.857</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26F921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1500" w:type="dxa"/>
                  <w:noWrap w:val="0"/>
                  <w:vAlign w:val="center"/>
                </w:tcPr>
                <w:p w14:paraId="29719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w:t>
                  </w:r>
                </w:p>
              </w:tc>
              <w:tc>
                <w:tcPr>
                  <w:tcW w:w="1070" w:type="dxa"/>
                  <w:noWrap w:val="0"/>
                  <w:vAlign w:val="center"/>
                </w:tcPr>
                <w:p w14:paraId="19211E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1443" w:type="dxa"/>
                  <w:noWrap w:val="0"/>
                  <w:vAlign w:val="center"/>
                </w:tcPr>
                <w:p w14:paraId="318EF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14:paraId="6262B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39" w:type="dxa"/>
                  <w:noWrap w:val="0"/>
                  <w:vAlign w:val="center"/>
                </w:tcPr>
                <w:p w14:paraId="12EA25C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DA008</w:t>
                  </w:r>
                </w:p>
              </w:tc>
              <w:tc>
                <w:tcPr>
                  <w:tcW w:w="2674" w:type="dxa"/>
                  <w:noWrap w:val="0"/>
                  <w:vAlign w:val="center"/>
                </w:tcPr>
                <w:p w14:paraId="593E4D4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制浆机粉尘排放口</w:t>
                  </w:r>
                </w:p>
              </w:tc>
              <w:tc>
                <w:tcPr>
                  <w:tcW w:w="1427" w:type="dxa"/>
                  <w:noWrap w:val="0"/>
                  <w:vAlign w:val="center"/>
                </w:tcPr>
                <w:p w14:paraId="62DAA77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515" w:type="dxa"/>
                  <w:noWrap w:val="0"/>
                  <w:vAlign w:val="center"/>
                </w:tcPr>
                <w:p w14:paraId="3CBEF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11</w:t>
                  </w:r>
                  <w:r>
                    <w:rPr>
                      <w:rFonts w:hint="eastAsia" w:cs="Times New Roman"/>
                      <w:b w:val="0"/>
                      <w:bCs/>
                      <w:color w:val="auto"/>
                      <w:kern w:val="28"/>
                      <w:sz w:val="21"/>
                      <w:szCs w:val="21"/>
                      <w:highlight w:val="none"/>
                      <w:lang w:val="en-US" w:eastAsia="zh-CN"/>
                    </w:rPr>
                    <w:t>2</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5</w:t>
                  </w:r>
                  <w:r>
                    <w:rPr>
                      <w:rFonts w:hint="eastAsia" w:cs="Times New Roman"/>
                      <w:b w:val="0"/>
                      <w:bCs/>
                      <w:color w:val="auto"/>
                      <w:kern w:val="28"/>
                      <w:sz w:val="21"/>
                      <w:szCs w:val="21"/>
                      <w:highlight w:val="none"/>
                      <w:lang w:val="en-US" w:eastAsia="zh-CN"/>
                    </w:rPr>
                    <w:t>6</w:t>
                  </w:r>
                  <w:r>
                    <w:rPr>
                      <w:rFonts w:hint="default" w:ascii="Times New Roman" w:hAnsi="Times New Roman" w:eastAsia="宋体" w:cs="Times New Roman"/>
                      <w:b w:val="0"/>
                      <w:bCs/>
                      <w:color w:val="auto"/>
                      <w:kern w:val="28"/>
                      <w:sz w:val="21"/>
                      <w:szCs w:val="21"/>
                      <w:highlight w:val="none"/>
                    </w:rPr>
                    <w:t>′</w:t>
                  </w:r>
                  <w:r>
                    <w:rPr>
                      <w:rFonts w:hint="eastAsia" w:ascii="Times New Roman" w:hAnsi="Times New Roman" w:eastAsia="宋体" w:cs="Times New Roman"/>
                      <w:b w:val="0"/>
                      <w:bCs/>
                      <w:color w:val="auto"/>
                      <w:kern w:val="28"/>
                      <w:sz w:val="21"/>
                      <w:szCs w:val="21"/>
                      <w:highlight w:val="none"/>
                      <w:lang w:val="en-US" w:eastAsia="zh-CN"/>
                    </w:rPr>
                    <w:t>2</w:t>
                  </w:r>
                  <w:r>
                    <w:rPr>
                      <w:rFonts w:hint="eastAsia" w:cs="Times New Roman"/>
                      <w:b w:val="0"/>
                      <w:bCs/>
                      <w:color w:val="auto"/>
                      <w:kern w:val="28"/>
                      <w:sz w:val="21"/>
                      <w:szCs w:val="21"/>
                      <w:highlight w:val="none"/>
                      <w:lang w:val="en-US" w:eastAsia="zh-CN"/>
                    </w:rPr>
                    <w:t>9.049</w:t>
                  </w:r>
                  <w:r>
                    <w:rPr>
                      <w:rFonts w:hint="default" w:ascii="Times New Roman" w:hAnsi="Times New Roman" w:eastAsia="宋体" w:cs="Times New Roman"/>
                      <w:b w:val="0"/>
                      <w:bCs/>
                      <w:color w:val="auto"/>
                      <w:kern w:val="28"/>
                      <w:sz w:val="21"/>
                      <w:szCs w:val="21"/>
                      <w:highlight w:val="none"/>
                    </w:rPr>
                    <w:t>″</w:t>
                  </w:r>
                </w:p>
              </w:tc>
              <w:tc>
                <w:tcPr>
                  <w:tcW w:w="1516" w:type="dxa"/>
                  <w:noWrap w:val="0"/>
                  <w:vAlign w:val="center"/>
                </w:tcPr>
                <w:p w14:paraId="15352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rPr>
                    <w:t>36</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0</w:t>
                  </w:r>
                  <w:r>
                    <w:rPr>
                      <w:rFonts w:hint="default" w:ascii="Times New Roman" w:hAnsi="Times New Roman" w:eastAsia="宋体" w:cs="Times New Roman"/>
                      <w:b w:val="0"/>
                      <w:bCs/>
                      <w:color w:val="auto"/>
                      <w:kern w:val="28"/>
                      <w:sz w:val="21"/>
                      <w:szCs w:val="21"/>
                      <w:highlight w:val="none"/>
                    </w:rPr>
                    <w:t>′</w:t>
                  </w:r>
                  <w:r>
                    <w:rPr>
                      <w:rFonts w:hint="eastAsia" w:cs="Times New Roman"/>
                      <w:b w:val="0"/>
                      <w:bCs/>
                      <w:color w:val="auto"/>
                      <w:kern w:val="28"/>
                      <w:sz w:val="21"/>
                      <w:szCs w:val="21"/>
                      <w:highlight w:val="none"/>
                      <w:lang w:val="en-US" w:eastAsia="zh-CN"/>
                    </w:rPr>
                    <w:t>31.869</w:t>
                  </w:r>
                  <w:r>
                    <w:rPr>
                      <w:rFonts w:hint="default" w:ascii="Times New Roman" w:hAnsi="Times New Roman" w:eastAsia="宋体" w:cs="Times New Roman"/>
                      <w:b w:val="0"/>
                      <w:bCs/>
                      <w:color w:val="auto"/>
                      <w:kern w:val="28"/>
                      <w:sz w:val="21"/>
                      <w:szCs w:val="21"/>
                      <w:highlight w:val="none"/>
                    </w:rPr>
                    <w:t>″</w:t>
                  </w:r>
                </w:p>
              </w:tc>
              <w:tc>
                <w:tcPr>
                  <w:tcW w:w="1322" w:type="dxa"/>
                  <w:noWrap w:val="0"/>
                  <w:vAlign w:val="center"/>
                </w:tcPr>
                <w:p w14:paraId="7E488F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15</w:t>
                  </w:r>
                </w:p>
              </w:tc>
              <w:tc>
                <w:tcPr>
                  <w:tcW w:w="1500" w:type="dxa"/>
                  <w:noWrap w:val="0"/>
                  <w:vAlign w:val="center"/>
                </w:tcPr>
                <w:p w14:paraId="55176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 w:val="0"/>
                      <w:bCs/>
                      <w:color w:val="auto"/>
                      <w:kern w:val="28"/>
                      <w:sz w:val="21"/>
                      <w:szCs w:val="21"/>
                      <w:highlight w:val="none"/>
                      <w:lang w:val="en-US" w:eastAsia="zh-CN"/>
                    </w:rPr>
                  </w:pPr>
                  <w:r>
                    <w:rPr>
                      <w:rFonts w:hint="eastAsia" w:cs="Times New Roman"/>
                      <w:b w:val="0"/>
                      <w:bCs/>
                      <w:color w:val="auto"/>
                      <w:kern w:val="28"/>
                      <w:sz w:val="21"/>
                      <w:szCs w:val="21"/>
                      <w:highlight w:val="none"/>
                      <w:lang w:val="en-US" w:eastAsia="zh-CN"/>
                    </w:rPr>
                    <w:t>0.3</w:t>
                  </w:r>
                </w:p>
              </w:tc>
              <w:tc>
                <w:tcPr>
                  <w:tcW w:w="1070" w:type="dxa"/>
                  <w:noWrap w:val="0"/>
                  <w:vAlign w:val="center"/>
                </w:tcPr>
                <w:p w14:paraId="56BE7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常温</w:t>
                  </w:r>
                </w:p>
              </w:tc>
              <w:tc>
                <w:tcPr>
                  <w:tcW w:w="1443" w:type="dxa"/>
                  <w:noWrap w:val="0"/>
                  <w:vAlign w:val="center"/>
                </w:tcPr>
                <w:p w14:paraId="58F33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一般排放口</w:t>
                  </w:r>
                </w:p>
              </w:tc>
            </w:tr>
          </w:tbl>
          <w:p w14:paraId="54F69EB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b w:val="0"/>
                <w:bCs/>
                <w:color w:val="auto"/>
                <w:spacing w:val="0"/>
                <w:sz w:val="24"/>
                <w:szCs w:val="24"/>
                <w:highlight w:val="none"/>
                <w:vertAlign w:val="baseline"/>
                <w:lang w:val="en-US" w:eastAsia="zh-CN"/>
              </w:rPr>
            </w:pPr>
            <w:r>
              <w:rPr>
                <w:rFonts w:hint="eastAsia" w:ascii="Times New Roman" w:hAnsi="Times New Roman" w:eastAsia="宋体" w:cs="Times New Roman"/>
                <w:b w:val="0"/>
                <w:bCs/>
                <w:color w:val="auto"/>
                <w:spacing w:val="0"/>
                <w:sz w:val="24"/>
                <w:szCs w:val="24"/>
                <w:highlight w:val="none"/>
                <w:vertAlign w:val="baseline"/>
                <w:lang w:val="en-US" w:eastAsia="zh-CN"/>
              </w:rPr>
              <w:t>3.非正常工况排放情况</w:t>
            </w:r>
          </w:p>
          <w:p w14:paraId="1798308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color w:val="auto"/>
                <w:spacing w:val="0"/>
                <w:sz w:val="24"/>
                <w:szCs w:val="24"/>
                <w:highlight w:val="none"/>
                <w:vertAlign w:val="baseline"/>
                <w:lang w:val="en-US" w:eastAsia="zh-CN"/>
              </w:rPr>
            </w:pPr>
            <w:r>
              <w:rPr>
                <w:rFonts w:hint="default" w:ascii="Times New Roman" w:hAnsi="Times New Roman" w:eastAsia="宋体" w:cs="Times New Roman"/>
                <w:b w:val="0"/>
                <w:bCs/>
                <w:color w:val="auto"/>
                <w:spacing w:val="0"/>
                <w:sz w:val="24"/>
                <w:szCs w:val="24"/>
                <w:highlight w:val="none"/>
                <w:vertAlign w:val="baseline"/>
                <w:lang w:val="en-US" w:eastAsia="zh-CN"/>
              </w:rPr>
              <w:t>非正常排放是指生产过程中开停车、设备检修、工艺设备运转异常等非正常工况下的污染物排放，以及污染物排放控制措施达不到应有效率等情况下的排放。本</w:t>
            </w:r>
            <w:r>
              <w:rPr>
                <w:rFonts w:hint="eastAsia" w:ascii="Times New Roman" w:hAnsi="Times New Roman" w:eastAsia="宋体" w:cs="Times New Roman"/>
                <w:b w:val="0"/>
                <w:bCs/>
                <w:color w:val="auto"/>
                <w:spacing w:val="0"/>
                <w:sz w:val="24"/>
                <w:szCs w:val="24"/>
                <w:highlight w:val="none"/>
                <w:vertAlign w:val="baseline"/>
                <w:lang w:val="en-US" w:eastAsia="zh-CN"/>
              </w:rPr>
              <w:t>项目</w:t>
            </w:r>
            <w:r>
              <w:rPr>
                <w:rFonts w:hint="default" w:ascii="Times New Roman" w:hAnsi="Times New Roman" w:eastAsia="宋体" w:cs="Times New Roman"/>
                <w:b w:val="0"/>
                <w:bCs/>
                <w:color w:val="auto"/>
                <w:spacing w:val="0"/>
                <w:sz w:val="24"/>
                <w:szCs w:val="24"/>
                <w:highlight w:val="none"/>
                <w:vertAlign w:val="baseline"/>
                <w:lang w:val="en-US" w:eastAsia="zh-CN"/>
              </w:rPr>
              <w:t>非正常情况排放主要为废气处理设施故障，具体详见表</w:t>
            </w:r>
            <w:r>
              <w:rPr>
                <w:rFonts w:hint="eastAsia" w:ascii="Times New Roman" w:hAnsi="Times New Roman" w:eastAsia="宋体" w:cs="Times New Roman"/>
                <w:b w:val="0"/>
                <w:bCs/>
                <w:color w:val="auto"/>
                <w:spacing w:val="0"/>
                <w:sz w:val="24"/>
                <w:szCs w:val="24"/>
                <w:highlight w:val="none"/>
                <w:vertAlign w:val="baseline"/>
                <w:lang w:val="en-US" w:eastAsia="zh-CN"/>
              </w:rPr>
              <w:t>4.5-3。</w:t>
            </w:r>
          </w:p>
          <w:p w14:paraId="184F2C9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黑体" w:cs="Times New Roman"/>
                <w:b w:val="0"/>
                <w:bCs/>
                <w:color w:val="auto"/>
                <w:sz w:val="21"/>
                <w:szCs w:val="16"/>
                <w:highlight w:val="none"/>
                <w:lang w:val="en-US" w:eastAsia="zh-CN"/>
              </w:rPr>
            </w:pPr>
            <w:r>
              <w:rPr>
                <w:rFonts w:hint="default" w:ascii="Times New Roman" w:hAnsi="Times New Roman" w:eastAsia="黑体" w:cs="Times New Roman"/>
                <w:b w:val="0"/>
                <w:bCs/>
                <w:color w:val="auto"/>
                <w:sz w:val="21"/>
                <w:szCs w:val="16"/>
                <w:highlight w:val="none"/>
                <w:lang w:val="en-US" w:eastAsia="zh-CN"/>
              </w:rPr>
              <w:t>表</w:t>
            </w:r>
            <w:r>
              <w:rPr>
                <w:rFonts w:hint="eastAsia" w:ascii="Times New Roman" w:hAnsi="Times New Roman" w:eastAsia="黑体" w:cs="Times New Roman"/>
                <w:b w:val="0"/>
                <w:bCs/>
                <w:color w:val="auto"/>
                <w:sz w:val="21"/>
                <w:szCs w:val="16"/>
                <w:highlight w:val="none"/>
                <w:lang w:val="en-US" w:eastAsia="zh-CN"/>
              </w:rPr>
              <w:t>4.5-3</w:t>
            </w:r>
            <w:r>
              <w:rPr>
                <w:rFonts w:hint="default" w:ascii="Times New Roman" w:hAnsi="Times New Roman" w:eastAsia="黑体" w:cs="Times New Roman"/>
                <w:b w:val="0"/>
                <w:bCs/>
                <w:color w:val="auto"/>
                <w:sz w:val="21"/>
                <w:szCs w:val="16"/>
                <w:highlight w:val="none"/>
                <w:lang w:val="en-US" w:eastAsia="zh-CN"/>
              </w:rPr>
              <w:t xml:space="preserve">  废气污染物非正常排放量核算表</w:t>
            </w:r>
          </w:p>
          <w:tbl>
            <w:tblPr>
              <w:tblStyle w:val="24"/>
              <w:tblW w:w="49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45"/>
              <w:gridCol w:w="2164"/>
              <w:gridCol w:w="1488"/>
              <w:gridCol w:w="2024"/>
              <w:gridCol w:w="2030"/>
              <w:gridCol w:w="1264"/>
              <w:gridCol w:w="1297"/>
              <w:gridCol w:w="1297"/>
              <w:gridCol w:w="1297"/>
            </w:tblGrid>
            <w:tr w14:paraId="0FBD7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2CCF640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序号</w:t>
                  </w:r>
                </w:p>
              </w:tc>
              <w:tc>
                <w:tcPr>
                  <w:tcW w:w="795" w:type="pct"/>
                  <w:tcBorders>
                    <w:tl2br w:val="nil"/>
                    <w:tr2bl w:val="nil"/>
                  </w:tcBorders>
                  <w:noWrap w:val="0"/>
                  <w:vAlign w:val="center"/>
                </w:tcPr>
                <w:p w14:paraId="6DDAE42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污染源</w:t>
                  </w:r>
                </w:p>
              </w:tc>
              <w:tc>
                <w:tcPr>
                  <w:tcW w:w="546" w:type="pct"/>
                  <w:tcBorders>
                    <w:tl2br w:val="nil"/>
                    <w:tr2bl w:val="nil"/>
                  </w:tcBorders>
                  <w:noWrap w:val="0"/>
                  <w:vAlign w:val="center"/>
                </w:tcPr>
                <w:p w14:paraId="723218D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污染物种类</w:t>
                  </w:r>
                </w:p>
              </w:tc>
              <w:tc>
                <w:tcPr>
                  <w:tcW w:w="743" w:type="pct"/>
                  <w:tcBorders>
                    <w:tl2br w:val="nil"/>
                    <w:tr2bl w:val="nil"/>
                  </w:tcBorders>
                  <w:noWrap w:val="0"/>
                  <w:vAlign w:val="center"/>
                </w:tcPr>
                <w:p w14:paraId="74ACCCE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非正常排放原因</w:t>
                  </w:r>
                </w:p>
              </w:tc>
              <w:tc>
                <w:tcPr>
                  <w:tcW w:w="745" w:type="pct"/>
                  <w:tcBorders>
                    <w:tl2br w:val="nil"/>
                    <w:tr2bl w:val="nil"/>
                  </w:tcBorders>
                  <w:noWrap w:val="0"/>
                  <w:vAlign w:val="center"/>
                </w:tcPr>
                <w:p w14:paraId="00006C1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非正常排放</w:t>
                  </w:r>
                  <w:r>
                    <w:rPr>
                      <w:rFonts w:hint="eastAsia" w:cs="Times New Roman"/>
                      <w:color w:val="auto"/>
                      <w:kern w:val="2"/>
                      <w:sz w:val="21"/>
                      <w:szCs w:val="21"/>
                      <w:highlight w:val="none"/>
                      <w:lang w:val="en-US" w:eastAsia="zh-CN" w:bidi="ar-SA"/>
                    </w:rPr>
                    <w:t>浓度</w:t>
                  </w:r>
                  <w:r>
                    <w:rPr>
                      <w:rFonts w:ascii="Times New Roman" w:hAnsi="Times New Roman" w:eastAsia="宋体" w:cs="Times New Roman"/>
                      <w:color w:val="auto"/>
                      <w:kern w:val="2"/>
                      <w:sz w:val="21"/>
                      <w:szCs w:val="21"/>
                      <w:highlight w:val="none"/>
                      <w:lang w:val="en-US" w:eastAsia="zh-CN" w:bidi="ar-SA"/>
                    </w:rPr>
                    <w:t>mg/m</w:t>
                  </w:r>
                  <w:r>
                    <w:rPr>
                      <w:rFonts w:ascii="Times New Roman" w:hAnsi="Times New Roman" w:eastAsia="宋体" w:cs="Times New Roman"/>
                      <w:color w:val="auto"/>
                      <w:kern w:val="2"/>
                      <w:sz w:val="21"/>
                      <w:szCs w:val="21"/>
                      <w:highlight w:val="none"/>
                      <w:vertAlign w:val="superscript"/>
                      <w:lang w:val="en-US" w:eastAsia="zh-CN" w:bidi="ar-SA"/>
                    </w:rPr>
                    <w:t>3</w:t>
                  </w:r>
                </w:p>
              </w:tc>
              <w:tc>
                <w:tcPr>
                  <w:tcW w:w="464" w:type="pct"/>
                  <w:tcBorders>
                    <w:tl2br w:val="nil"/>
                    <w:tr2bl w:val="nil"/>
                  </w:tcBorders>
                  <w:noWrap w:val="0"/>
                  <w:vAlign w:val="center"/>
                </w:tcPr>
                <w:p w14:paraId="291B7D59">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非正常</w:t>
                  </w:r>
                </w:p>
                <w:p w14:paraId="3C4AAAE8">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排放速率kg/h</w:t>
                  </w:r>
                </w:p>
              </w:tc>
              <w:tc>
                <w:tcPr>
                  <w:tcW w:w="476" w:type="pct"/>
                  <w:tcBorders>
                    <w:tl2br w:val="nil"/>
                    <w:tr2bl w:val="nil"/>
                  </w:tcBorders>
                  <w:noWrap w:val="0"/>
                  <w:vAlign w:val="center"/>
                </w:tcPr>
                <w:p w14:paraId="6FD9BE89">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单次持续时间h</w:t>
                  </w:r>
                </w:p>
              </w:tc>
              <w:tc>
                <w:tcPr>
                  <w:tcW w:w="476" w:type="pct"/>
                  <w:tcBorders>
                    <w:tl2br w:val="nil"/>
                    <w:tr2bl w:val="nil"/>
                  </w:tcBorders>
                  <w:noWrap w:val="0"/>
                  <w:vAlign w:val="center"/>
                </w:tcPr>
                <w:p w14:paraId="0EC37288">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年发生频次</w:t>
                  </w:r>
                </w:p>
                <w:p w14:paraId="4034326B">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次</w:t>
                  </w:r>
                </w:p>
              </w:tc>
              <w:tc>
                <w:tcPr>
                  <w:tcW w:w="476" w:type="pct"/>
                  <w:tcBorders>
                    <w:tl2br w:val="nil"/>
                    <w:tr2bl w:val="nil"/>
                  </w:tcBorders>
                  <w:noWrap w:val="0"/>
                  <w:vAlign w:val="center"/>
                </w:tcPr>
                <w:p w14:paraId="44B9B5B6">
                  <w:pPr>
                    <w:pStyle w:val="21"/>
                    <w:keepNext w:val="0"/>
                    <w:keepLines w:val="0"/>
                    <w:pageBreakBefore w:val="0"/>
                    <w:widowControl w:val="0"/>
                    <w:kinsoku/>
                    <w:wordWrap/>
                    <w:overflowPunct/>
                    <w:topLinePunct w:val="0"/>
                    <w:autoSpaceDE w:val="0"/>
                    <w:autoSpaceDN w:val="0"/>
                    <w:bidi w:val="0"/>
                    <w:adjustRightInd/>
                    <w:snapToGrid/>
                    <w:spacing w:after="0" w:line="300" w:lineRule="exact"/>
                    <w:ind w:left="0" w:leftChars="0" w:right="0" w:rightChars="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应对措施</w:t>
                  </w:r>
                </w:p>
              </w:tc>
            </w:tr>
            <w:tr w14:paraId="2F7C6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304F24F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95" w:type="pct"/>
                  <w:tcBorders>
                    <w:tl2br w:val="nil"/>
                    <w:tr2bl w:val="nil"/>
                  </w:tcBorders>
                  <w:noWrap w:val="0"/>
                  <w:vAlign w:val="center"/>
                </w:tcPr>
                <w:p w14:paraId="06B8D87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3680B36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restart"/>
                  <w:tcBorders>
                    <w:tl2br w:val="nil"/>
                    <w:tr2bl w:val="nil"/>
                  </w:tcBorders>
                  <w:noWrap w:val="0"/>
                  <w:vAlign w:val="center"/>
                </w:tcPr>
                <w:p w14:paraId="1734CBF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废气处理设施故障</w:t>
                  </w:r>
                </w:p>
              </w:tc>
              <w:tc>
                <w:tcPr>
                  <w:tcW w:w="745" w:type="pct"/>
                  <w:tcBorders>
                    <w:tl2br w:val="nil"/>
                    <w:tr2bl w:val="nil"/>
                  </w:tcBorders>
                  <w:noWrap w:val="0"/>
                  <w:vAlign w:val="center"/>
                </w:tcPr>
                <w:p w14:paraId="18FE87B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00BB45E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5D597F1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5AAC2D3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restart"/>
                  <w:tcBorders>
                    <w:tl2br w:val="nil"/>
                    <w:tr2bl w:val="nil"/>
                  </w:tcBorders>
                  <w:noWrap w:val="0"/>
                  <w:vAlign w:val="center"/>
                </w:tcPr>
                <w:p w14:paraId="18C0F95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立即停止生产，及时检修，</w:t>
                  </w:r>
                </w:p>
                <w:p w14:paraId="1E97CFA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故障解决后，恢复生产</w:t>
                  </w:r>
                </w:p>
              </w:tc>
            </w:tr>
            <w:tr w14:paraId="25CF2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422820F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95" w:type="pct"/>
                  <w:tcBorders>
                    <w:tl2br w:val="nil"/>
                    <w:tr2bl w:val="nil"/>
                  </w:tcBorders>
                  <w:noWrap w:val="0"/>
                  <w:vAlign w:val="center"/>
                </w:tcPr>
                <w:p w14:paraId="37E88B0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5204022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02A5953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1B3832B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71E0C20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55EC433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6E2BFB9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392AA14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5060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3CA9F47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795" w:type="pct"/>
                  <w:tcBorders>
                    <w:tl2br w:val="nil"/>
                    <w:tr2bl w:val="nil"/>
                  </w:tcBorders>
                  <w:noWrap w:val="0"/>
                  <w:vAlign w:val="center"/>
                </w:tcPr>
                <w:p w14:paraId="6AFD449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255A9BA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223B5E5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195C6DA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2ABFEA1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6297D02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69BE3E9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5130AC1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6EFF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650A931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95" w:type="pct"/>
                  <w:tcBorders>
                    <w:tl2br w:val="nil"/>
                    <w:tr2bl w:val="nil"/>
                  </w:tcBorders>
                  <w:noWrap w:val="0"/>
                  <w:vAlign w:val="center"/>
                </w:tcPr>
                <w:p w14:paraId="0265D1E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0024DEB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78E49AA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3B8F6A6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4801D8F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0A3F057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57AF05B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03DC2A4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56BB8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0FAB868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95" w:type="pct"/>
                  <w:tcBorders>
                    <w:tl2br w:val="nil"/>
                    <w:tr2bl w:val="nil"/>
                  </w:tcBorders>
                  <w:noWrap w:val="0"/>
                  <w:vAlign w:val="center"/>
                </w:tcPr>
                <w:p w14:paraId="5938447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6940809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6E85E545">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6EF8FBC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05F7816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600E609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5FB125F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0C600E8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3179D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73" w:type="pct"/>
                  <w:tcBorders>
                    <w:tl2br w:val="nil"/>
                    <w:tr2bl w:val="nil"/>
                  </w:tcBorders>
                  <w:noWrap w:val="0"/>
                  <w:vAlign w:val="center"/>
                </w:tcPr>
                <w:p w14:paraId="1044002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95" w:type="pct"/>
                  <w:tcBorders>
                    <w:tl2br w:val="nil"/>
                    <w:tr2bl w:val="nil"/>
                  </w:tcBorders>
                  <w:noWrap w:val="0"/>
                  <w:vAlign w:val="center"/>
                </w:tcPr>
                <w:p w14:paraId="39E984E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546" w:type="pct"/>
                  <w:tcBorders>
                    <w:tl2br w:val="nil"/>
                    <w:tr2bl w:val="nil"/>
                  </w:tcBorders>
                  <w:noWrap w:val="0"/>
                  <w:vAlign w:val="center"/>
                </w:tcPr>
                <w:p w14:paraId="5C17DDD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42DE6A4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2497C292">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1600</w:t>
                  </w:r>
                </w:p>
              </w:tc>
              <w:tc>
                <w:tcPr>
                  <w:tcW w:w="464" w:type="pct"/>
                  <w:tcBorders>
                    <w:tl2br w:val="nil"/>
                    <w:tr2bl w:val="nil"/>
                  </w:tcBorders>
                  <w:noWrap w:val="0"/>
                  <w:vAlign w:val="center"/>
                </w:tcPr>
                <w:p w14:paraId="5362138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76" w:type="pct"/>
                  <w:tcBorders>
                    <w:tl2br w:val="nil"/>
                    <w:tr2bl w:val="nil"/>
                  </w:tcBorders>
                  <w:noWrap w:val="0"/>
                  <w:vAlign w:val="center"/>
                </w:tcPr>
                <w:p w14:paraId="43496BC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0411A71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181B629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3F57E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73" w:type="pct"/>
                  <w:tcBorders>
                    <w:tl2br w:val="nil"/>
                    <w:tr2bl w:val="nil"/>
                  </w:tcBorders>
                  <w:noWrap w:val="0"/>
                  <w:vAlign w:val="center"/>
                </w:tcPr>
                <w:p w14:paraId="40B0096B">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795" w:type="pct"/>
                  <w:tcBorders>
                    <w:tl2br w:val="nil"/>
                    <w:tr2bl w:val="nil"/>
                  </w:tcBorders>
                  <w:noWrap w:val="0"/>
                  <w:vAlign w:val="center"/>
                </w:tcPr>
                <w:p w14:paraId="05B6DCC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矸石受料斗粉尘</w:t>
                  </w:r>
                </w:p>
              </w:tc>
              <w:tc>
                <w:tcPr>
                  <w:tcW w:w="546" w:type="pct"/>
                  <w:tcBorders>
                    <w:tl2br w:val="nil"/>
                    <w:tr2bl w:val="nil"/>
                  </w:tcBorders>
                  <w:noWrap w:val="0"/>
                  <w:vAlign w:val="center"/>
                </w:tcPr>
                <w:p w14:paraId="651B5656">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77B7911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570C774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515.15</w:t>
                  </w:r>
                </w:p>
              </w:tc>
              <w:tc>
                <w:tcPr>
                  <w:tcW w:w="464" w:type="pct"/>
                  <w:tcBorders>
                    <w:tl2br w:val="nil"/>
                    <w:tr2bl w:val="nil"/>
                  </w:tcBorders>
                  <w:noWrap w:val="0"/>
                  <w:vAlign w:val="center"/>
                </w:tcPr>
                <w:p w14:paraId="4BA2A41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13.394</w:t>
                  </w:r>
                </w:p>
              </w:tc>
              <w:tc>
                <w:tcPr>
                  <w:tcW w:w="476" w:type="pct"/>
                  <w:tcBorders>
                    <w:tl2br w:val="nil"/>
                    <w:tr2bl w:val="nil"/>
                  </w:tcBorders>
                  <w:noWrap w:val="0"/>
                  <w:vAlign w:val="center"/>
                </w:tcPr>
                <w:p w14:paraId="7F32ECC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4B063D9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0D895D6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4A91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3" w:type="pct"/>
                  <w:tcBorders>
                    <w:tl2br w:val="nil"/>
                    <w:tr2bl w:val="nil"/>
                  </w:tcBorders>
                  <w:noWrap w:val="0"/>
                  <w:vAlign w:val="center"/>
                </w:tcPr>
                <w:p w14:paraId="6C0F3997">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795" w:type="pct"/>
                  <w:tcBorders>
                    <w:tl2br w:val="nil"/>
                    <w:tr2bl w:val="nil"/>
                  </w:tcBorders>
                  <w:noWrap w:val="0"/>
                  <w:vAlign w:val="center"/>
                </w:tcPr>
                <w:p w14:paraId="54A22DF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制浆机粉尘</w:t>
                  </w:r>
                </w:p>
              </w:tc>
              <w:tc>
                <w:tcPr>
                  <w:tcW w:w="546" w:type="pct"/>
                  <w:tcBorders>
                    <w:tl2br w:val="nil"/>
                    <w:tr2bl w:val="nil"/>
                  </w:tcBorders>
                  <w:noWrap w:val="0"/>
                  <w:vAlign w:val="center"/>
                </w:tcPr>
                <w:p w14:paraId="252190B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743" w:type="pct"/>
                  <w:vMerge w:val="continue"/>
                  <w:tcBorders>
                    <w:tl2br w:val="nil"/>
                    <w:tr2bl w:val="nil"/>
                  </w:tcBorders>
                  <w:noWrap w:val="0"/>
                  <w:vAlign w:val="center"/>
                </w:tcPr>
                <w:p w14:paraId="24EB125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45" w:type="pct"/>
                  <w:tcBorders>
                    <w:tl2br w:val="nil"/>
                    <w:tr2bl w:val="nil"/>
                  </w:tcBorders>
                  <w:noWrap w:val="0"/>
                  <w:vAlign w:val="center"/>
                </w:tcPr>
                <w:p w14:paraId="063D3D1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22.10</w:t>
                  </w:r>
                </w:p>
              </w:tc>
              <w:tc>
                <w:tcPr>
                  <w:tcW w:w="464" w:type="pct"/>
                  <w:tcBorders>
                    <w:tl2br w:val="nil"/>
                    <w:tr2bl w:val="nil"/>
                  </w:tcBorders>
                  <w:noWrap w:val="0"/>
                  <w:vAlign w:val="center"/>
                </w:tcPr>
                <w:p w14:paraId="6154AB0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0.575</w:t>
                  </w:r>
                </w:p>
              </w:tc>
              <w:tc>
                <w:tcPr>
                  <w:tcW w:w="476" w:type="pct"/>
                  <w:tcBorders>
                    <w:tl2br w:val="nil"/>
                    <w:tr2bl w:val="nil"/>
                  </w:tcBorders>
                  <w:noWrap w:val="0"/>
                  <w:vAlign w:val="center"/>
                </w:tcPr>
                <w:p w14:paraId="4C57BC0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76" w:type="pct"/>
                  <w:tcBorders>
                    <w:tl2br w:val="nil"/>
                    <w:tr2bl w:val="nil"/>
                  </w:tcBorders>
                  <w:noWrap w:val="0"/>
                  <w:vAlign w:val="center"/>
                </w:tcPr>
                <w:p w14:paraId="1F8BDC49">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476" w:type="pct"/>
                  <w:vMerge w:val="continue"/>
                  <w:tcBorders>
                    <w:tl2br w:val="nil"/>
                    <w:tr2bl w:val="nil"/>
                  </w:tcBorders>
                  <w:noWrap w:val="0"/>
                  <w:vAlign w:val="center"/>
                </w:tcPr>
                <w:p w14:paraId="0563F2B8">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bl>
          <w:p w14:paraId="47269CAE">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ascii="Times New Roman" w:hAnsi="Times New Roman" w:eastAsia="宋体" w:cs="Times New Roman"/>
                <w:b w:val="0"/>
                <w:bCs/>
                <w:color w:val="auto"/>
                <w:spacing w:val="-10"/>
                <w:sz w:val="24"/>
                <w:szCs w:val="24"/>
                <w:highlight w:val="none"/>
                <w:vertAlign w:val="baseline"/>
                <w:lang w:val="en-US" w:eastAsia="zh-CN"/>
              </w:rPr>
            </w:pPr>
          </w:p>
          <w:p w14:paraId="1DD8FDBF">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ascii="Times New Roman" w:hAnsi="Times New Roman" w:eastAsia="宋体" w:cs="Times New Roman"/>
                <w:b w:val="0"/>
                <w:bCs/>
                <w:color w:val="auto"/>
                <w:spacing w:val="-10"/>
                <w:sz w:val="24"/>
                <w:szCs w:val="24"/>
                <w:highlight w:val="none"/>
                <w:vertAlign w:val="baseline"/>
                <w:lang w:val="en-US" w:eastAsia="zh-CN"/>
              </w:rPr>
            </w:pPr>
          </w:p>
          <w:p w14:paraId="5BBA2082">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ascii="Times New Roman" w:hAnsi="Times New Roman" w:eastAsia="宋体" w:cs="Times New Roman"/>
                <w:b w:val="0"/>
                <w:bCs/>
                <w:color w:val="auto"/>
                <w:spacing w:val="-10"/>
                <w:sz w:val="24"/>
                <w:szCs w:val="24"/>
                <w:highlight w:val="none"/>
                <w:vertAlign w:val="baseline"/>
                <w:lang w:val="en-US" w:eastAsia="zh-CN"/>
              </w:rPr>
            </w:pPr>
          </w:p>
          <w:p w14:paraId="12F13D99">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ascii="Times New Roman" w:hAnsi="Times New Roman" w:eastAsia="宋体" w:cs="Times New Roman"/>
                <w:b w:val="0"/>
                <w:bCs/>
                <w:color w:val="auto"/>
                <w:spacing w:val="-10"/>
                <w:sz w:val="24"/>
                <w:szCs w:val="24"/>
                <w:highlight w:val="none"/>
                <w:vertAlign w:val="baseline"/>
                <w:lang w:val="en-US" w:eastAsia="zh-CN"/>
              </w:rPr>
            </w:pPr>
          </w:p>
          <w:p w14:paraId="7C1415B7">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544460E3">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130ABF37">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367E2FFE">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1EAB19F6">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34569715">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32A60D06">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3391AECC">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0037D32A">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1E851FA2">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eastAsia" w:cs="Times New Roman"/>
                <w:b w:val="0"/>
                <w:bCs/>
                <w:color w:val="auto"/>
                <w:spacing w:val="-10"/>
                <w:sz w:val="24"/>
                <w:szCs w:val="24"/>
                <w:highlight w:val="none"/>
                <w:vertAlign w:val="baseline"/>
                <w:lang w:val="en-US" w:eastAsia="zh-CN"/>
              </w:rPr>
            </w:pPr>
          </w:p>
          <w:p w14:paraId="6F7D1DF0">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default" w:ascii="Times New Roman" w:hAnsi="Times New Roman" w:eastAsia="宋体" w:cs="Times New Roman"/>
                <w:b w:val="0"/>
                <w:bCs/>
                <w:color w:val="auto"/>
                <w:spacing w:val="-10"/>
                <w:sz w:val="24"/>
                <w:szCs w:val="24"/>
                <w:highlight w:val="none"/>
                <w:vertAlign w:val="baseline"/>
                <w:lang w:val="en-US" w:eastAsia="zh-CN"/>
              </w:rPr>
            </w:pPr>
          </w:p>
        </w:tc>
      </w:tr>
    </w:tbl>
    <w:p w14:paraId="67CEA78C">
      <w:pPr>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1CC9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1207A2CA">
            <w:pPr>
              <w:pStyle w:val="19"/>
              <w:adjustRightInd w:val="0"/>
              <w:snapToGrid w:val="0"/>
              <w:spacing w:before="0" w:beforeAutospacing="0" w:after="0" w:afterAutospacing="0"/>
              <w:jc w:val="center"/>
              <w:rPr>
                <w:rFonts w:hint="default" w:ascii="Times New Roman" w:hAnsi="Times New Roman" w:cs="Times New Roman"/>
                <w:bCs/>
                <w:color w:val="auto"/>
                <w:sz w:val="21"/>
                <w:szCs w:val="21"/>
                <w:highlight w:val="none"/>
              </w:rPr>
            </w:pPr>
          </w:p>
        </w:tc>
        <w:tc>
          <w:tcPr>
            <w:tcW w:w="8162" w:type="dxa"/>
            <w:noWrap w:val="0"/>
            <w:vAlign w:val="center"/>
          </w:tcPr>
          <w:p w14:paraId="2123B26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4.大气环境影响分析</w:t>
            </w:r>
          </w:p>
          <w:p w14:paraId="175BC41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本项目运营期产生的废气污染物为颗粒物，根据现场勘察，项目厂界外500m范围内环境保护目标为应城村</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布村，所在区域环境空气质量为不达标区，当地政府全面贯彻落实大气污染防治攻坚措施，将不断改善区域环境空气质量。</w:t>
            </w:r>
          </w:p>
          <w:p w14:paraId="3464A54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本项目废气污染源</w:t>
            </w:r>
            <w:r>
              <w:rPr>
                <w:rFonts w:hint="eastAsia" w:cs="Times New Roman"/>
                <w:b w:val="0"/>
                <w:bCs/>
                <w:color w:val="auto"/>
                <w:sz w:val="24"/>
                <w:szCs w:val="24"/>
                <w:highlight w:val="none"/>
                <w:lang w:val="en-US" w:eastAsia="zh-CN"/>
              </w:rPr>
              <w:t>主要</w:t>
            </w:r>
            <w:r>
              <w:rPr>
                <w:rFonts w:hint="eastAsia" w:ascii="Times New Roman" w:hAnsi="Times New Roman" w:eastAsia="宋体" w:cs="Times New Roman"/>
                <w:b w:val="0"/>
                <w:bCs/>
                <w:color w:val="auto"/>
                <w:sz w:val="24"/>
                <w:szCs w:val="24"/>
                <w:highlight w:val="none"/>
                <w:lang w:val="en-US" w:eastAsia="zh-CN"/>
              </w:rPr>
              <w:t>为</w:t>
            </w:r>
            <w:r>
              <w:rPr>
                <w:rFonts w:hint="eastAsia" w:cs="Times New Roman"/>
                <w:b w:val="0"/>
                <w:bCs/>
                <w:color w:val="auto"/>
                <w:sz w:val="24"/>
                <w:szCs w:val="24"/>
                <w:highlight w:val="none"/>
                <w:lang w:val="en-US" w:eastAsia="zh-CN"/>
              </w:rPr>
              <w:t>矸石受料斗</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水泥</w:t>
            </w:r>
            <w:r>
              <w:rPr>
                <w:rFonts w:hint="eastAsia" w:ascii="Times New Roman" w:hAnsi="Times New Roman" w:eastAsia="宋体" w:cs="Times New Roman"/>
                <w:b w:val="0"/>
                <w:bCs/>
                <w:color w:val="auto"/>
                <w:sz w:val="24"/>
                <w:szCs w:val="24"/>
                <w:highlight w:val="none"/>
                <w:lang w:val="en-US" w:eastAsia="zh-CN"/>
              </w:rPr>
              <w:t>筒仓</w:t>
            </w:r>
            <w:r>
              <w:rPr>
                <w:rFonts w:hint="eastAsia" w:cs="Times New Roman"/>
                <w:b w:val="0"/>
                <w:bCs/>
                <w:color w:val="auto"/>
                <w:sz w:val="24"/>
                <w:szCs w:val="24"/>
                <w:highlight w:val="none"/>
                <w:lang w:val="en-US" w:eastAsia="zh-CN"/>
              </w:rPr>
              <w:t>及制浆机</w:t>
            </w:r>
            <w:r>
              <w:rPr>
                <w:rFonts w:hint="eastAsia" w:ascii="Times New Roman" w:hAnsi="Times New Roman" w:eastAsia="宋体" w:cs="Times New Roman"/>
                <w:b w:val="0"/>
                <w:bCs/>
                <w:color w:val="auto"/>
                <w:sz w:val="24"/>
                <w:szCs w:val="24"/>
                <w:highlight w:val="none"/>
                <w:lang w:val="en-US" w:eastAsia="zh-CN"/>
              </w:rPr>
              <w:t>产生的粉尘，均配套设置了袋式除尘器，布袋材质均为涤纶针刺毡，除尘效率较高，处理后排放浓度</w:t>
            </w:r>
            <w:r>
              <w:rPr>
                <w:rFonts w:hint="eastAsia" w:cs="Times New Roman"/>
                <w:b w:val="0"/>
                <w:bCs/>
                <w:color w:val="auto"/>
                <w:sz w:val="24"/>
                <w:szCs w:val="24"/>
                <w:highlight w:val="none"/>
                <w:lang w:val="en-US" w:eastAsia="zh-CN"/>
              </w:rPr>
              <w:t>相关</w:t>
            </w:r>
            <w:r>
              <w:rPr>
                <w:rFonts w:hint="eastAsia" w:ascii="Times New Roman" w:hAnsi="Times New Roman" w:eastAsia="宋体" w:cs="Times New Roman"/>
                <w:b w:val="0"/>
                <w:bCs/>
                <w:color w:val="auto"/>
                <w:sz w:val="24"/>
                <w:szCs w:val="24"/>
                <w:highlight w:val="none"/>
                <w:lang w:val="en-US" w:eastAsia="zh-CN"/>
              </w:rPr>
              <w:t>排放</w:t>
            </w:r>
            <w:r>
              <w:rPr>
                <w:rFonts w:hint="eastAsia" w:cs="Times New Roman"/>
                <w:b w:val="0"/>
                <w:bCs/>
                <w:color w:val="auto"/>
                <w:sz w:val="24"/>
                <w:szCs w:val="24"/>
                <w:highlight w:val="none"/>
                <w:lang w:val="en-US" w:eastAsia="zh-CN"/>
              </w:rPr>
              <w:t>标准</w:t>
            </w:r>
            <w:r>
              <w:rPr>
                <w:rFonts w:hint="eastAsia" w:ascii="Times New Roman" w:hAnsi="Times New Roman" w:eastAsia="宋体" w:cs="Times New Roman"/>
                <w:b w:val="0"/>
                <w:bCs/>
                <w:color w:val="auto"/>
                <w:sz w:val="24"/>
                <w:szCs w:val="24"/>
                <w:highlight w:val="none"/>
                <w:lang w:val="en-US" w:eastAsia="zh-CN"/>
              </w:rPr>
              <w:t>限值要求（颗粒物≤10mg/m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），能够实现达标排放。</w:t>
            </w:r>
          </w:p>
          <w:p w14:paraId="7803CBA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本项目产尘工段安装有集气装置并配备袋式除尘器，由专人定期对废气收集治理设施进行检查和维护，使其保持较高的废气收集效率，确保污染治理设施能长期稳定运行；厂区地面进行硬化或绿化，无裸露土地，出入口设有洗车平台，每天定期对厂区道路及地面进行洒水清扫。</w:t>
            </w:r>
          </w:p>
          <w:p w14:paraId="666C5B0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综上所述，本项目对生产环节产生的废气进行收集处理，采取的污染治理措施均为排污许可技术规范中可行技术，污染物均能实现达标排放，对区域大气环境的影响较小。</w:t>
            </w:r>
          </w:p>
          <w:p w14:paraId="4F8A9A9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eastAsia" w:ascii="Times New Roman" w:hAnsi="Times New Roman" w:eastAsia="宋体" w:cs="Times New Roman"/>
                <w:b w:val="0"/>
                <w:bCs/>
                <w:color w:val="auto"/>
                <w:spacing w:val="0"/>
                <w:sz w:val="24"/>
                <w:szCs w:val="24"/>
                <w:highlight w:val="none"/>
                <w:lang w:val="en-US" w:eastAsia="zh-CN"/>
              </w:rPr>
              <w:t>5.</w:t>
            </w:r>
            <w:r>
              <w:rPr>
                <w:rFonts w:hint="default" w:ascii="Times New Roman" w:hAnsi="Times New Roman" w:eastAsia="宋体" w:cs="Times New Roman"/>
                <w:b w:val="0"/>
                <w:bCs/>
                <w:color w:val="auto"/>
                <w:spacing w:val="0"/>
                <w:sz w:val="24"/>
                <w:szCs w:val="24"/>
                <w:highlight w:val="none"/>
                <w:lang w:val="en-US" w:eastAsia="zh-CN"/>
              </w:rPr>
              <w:t>大气污染源监测计划</w:t>
            </w:r>
          </w:p>
          <w:p w14:paraId="6BAC98E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val="en-US" w:eastAsia="zh-CN"/>
              </w:rPr>
              <w:t>根据《排污单位自行监测技术指南</w:t>
            </w:r>
            <w:r>
              <w:rPr>
                <w:rFonts w:hint="eastAsia" w:ascii="Times New Roman" w:hAnsi="Times New Roman" w:eastAsia="宋体" w:cs="Times New Roman"/>
                <w:b w:val="0"/>
                <w:bCs/>
                <w:color w:val="auto"/>
                <w:spacing w:val="0"/>
                <w:sz w:val="24"/>
                <w:szCs w:val="24"/>
                <w:highlight w:val="none"/>
                <w:lang w:val="en-US" w:eastAsia="zh-CN"/>
              </w:rPr>
              <w:t xml:space="preserve"> 总则</w:t>
            </w:r>
            <w:r>
              <w:rPr>
                <w:rFonts w:hint="default" w:ascii="Times New Roman" w:hAnsi="Times New Roman" w:eastAsia="宋体" w:cs="Times New Roman"/>
                <w:b w:val="0"/>
                <w:bCs/>
                <w:color w:val="auto"/>
                <w:spacing w:val="0"/>
                <w:sz w:val="24"/>
                <w:szCs w:val="24"/>
                <w:highlight w:val="none"/>
                <w:lang w:val="en-US" w:eastAsia="zh-CN"/>
              </w:rPr>
              <w:t>》（HJ819-2017）</w:t>
            </w:r>
            <w:r>
              <w:rPr>
                <w:rFonts w:hint="eastAsia" w:ascii="Times New Roman" w:hAnsi="Times New Roman" w:eastAsia="宋体" w:cs="Times New Roman"/>
                <w:b w:val="0"/>
                <w:bCs/>
                <w:color w:val="auto"/>
                <w:spacing w:val="0"/>
                <w:sz w:val="24"/>
                <w:szCs w:val="24"/>
                <w:highlight w:val="none"/>
                <w:lang w:val="en-US" w:eastAsia="zh-CN"/>
              </w:rPr>
              <w:t>，大气监测计划见下表。</w:t>
            </w:r>
          </w:p>
          <w:p w14:paraId="71AD0A9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eastAsia" w:ascii="Times New Roman" w:hAnsi="Times New Roman" w:eastAsia="黑体" w:cs="Times New Roman"/>
                <w:b w:val="0"/>
                <w:bCs w:val="0"/>
                <w:color w:val="auto"/>
                <w:kern w:val="2"/>
                <w:sz w:val="21"/>
                <w:szCs w:val="21"/>
                <w:highlight w:val="none"/>
                <w:lang w:val="en-US" w:eastAsia="zh-CN" w:bidi="ar-SA"/>
              </w:rPr>
              <w:t>表4.5-4  大气污染源监测计划一览表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934"/>
              <w:gridCol w:w="1521"/>
              <w:gridCol w:w="1310"/>
            </w:tblGrid>
            <w:tr w14:paraId="45A52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14:paraId="3907F9E9">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排放形式</w:t>
                  </w:r>
                </w:p>
              </w:tc>
              <w:tc>
                <w:tcPr>
                  <w:tcW w:w="3934" w:type="dxa"/>
                  <w:tcBorders>
                    <w:tl2br w:val="nil"/>
                    <w:tr2bl w:val="nil"/>
                  </w:tcBorders>
                  <w:noWrap w:val="0"/>
                  <w:vAlign w:val="center"/>
                </w:tcPr>
                <w:p w14:paraId="665724BE">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sz w:val="21"/>
                      <w:szCs w:val="21"/>
                      <w:highlight w:val="none"/>
                      <w:u w:val="none"/>
                    </w:rPr>
                    <w:t>监测点位</w:t>
                  </w:r>
                </w:p>
              </w:tc>
              <w:tc>
                <w:tcPr>
                  <w:tcW w:w="1521" w:type="dxa"/>
                  <w:tcBorders>
                    <w:tl2br w:val="nil"/>
                    <w:tr2bl w:val="nil"/>
                  </w:tcBorders>
                  <w:noWrap w:val="0"/>
                  <w:vAlign w:val="center"/>
                </w:tcPr>
                <w:p w14:paraId="45B22A3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Times New Roman" w:hAnsi="Times New Roman" w:eastAsia="宋体" w:cs="Times New Roman"/>
                      <w:color w:val="auto"/>
                      <w:kern w:val="2"/>
                      <w:sz w:val="21"/>
                      <w:szCs w:val="21"/>
                      <w:highlight w:val="none"/>
                      <w:u w:val="none"/>
                      <w:lang w:eastAsia="zh-CN"/>
                    </w:rPr>
                  </w:pPr>
                  <w:r>
                    <w:rPr>
                      <w:rFonts w:hint="default" w:ascii="Times New Roman" w:hAnsi="Times New Roman" w:eastAsia="宋体" w:cs="Times New Roman"/>
                      <w:color w:val="auto"/>
                      <w:sz w:val="21"/>
                      <w:szCs w:val="21"/>
                      <w:highlight w:val="none"/>
                      <w:u w:val="none"/>
                    </w:rPr>
                    <w:t>监测</w:t>
                  </w:r>
                  <w:r>
                    <w:rPr>
                      <w:rFonts w:hint="eastAsia" w:ascii="Times New Roman" w:hAnsi="Times New Roman" w:eastAsia="宋体" w:cs="Times New Roman"/>
                      <w:color w:val="auto"/>
                      <w:sz w:val="21"/>
                      <w:szCs w:val="21"/>
                      <w:highlight w:val="none"/>
                      <w:u w:val="none"/>
                      <w:lang w:val="en-US" w:eastAsia="zh-CN"/>
                    </w:rPr>
                    <w:t>因子</w:t>
                  </w:r>
                </w:p>
              </w:tc>
              <w:tc>
                <w:tcPr>
                  <w:tcW w:w="1310" w:type="dxa"/>
                  <w:tcBorders>
                    <w:tl2br w:val="nil"/>
                    <w:tr2bl w:val="nil"/>
                  </w:tcBorders>
                  <w:noWrap w:val="0"/>
                  <w:vAlign w:val="center"/>
                </w:tcPr>
                <w:p w14:paraId="37A38B5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sz w:val="21"/>
                      <w:szCs w:val="21"/>
                      <w:highlight w:val="none"/>
                      <w:u w:val="none"/>
                    </w:rPr>
                    <w:t>监测频次</w:t>
                  </w:r>
                </w:p>
              </w:tc>
            </w:tr>
            <w:tr w14:paraId="6ABED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tcBorders>
                    <w:tl2br w:val="nil"/>
                    <w:tr2bl w:val="nil"/>
                  </w:tcBorders>
                  <w:noWrap w:val="0"/>
                  <w:vAlign w:val="center"/>
                </w:tcPr>
                <w:p w14:paraId="32C1FD8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有组织</w:t>
                  </w:r>
                </w:p>
              </w:tc>
              <w:tc>
                <w:tcPr>
                  <w:tcW w:w="3934" w:type="dxa"/>
                  <w:tcBorders>
                    <w:tl2br w:val="nil"/>
                    <w:tr2bl w:val="nil"/>
                  </w:tcBorders>
                  <w:noWrap w:val="0"/>
                  <w:vAlign w:val="center"/>
                </w:tcPr>
                <w:p w14:paraId="549E871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矸石受料斗粉尘</w:t>
                  </w:r>
                  <w:r>
                    <w:rPr>
                      <w:rFonts w:hint="eastAsia" w:ascii="Times New Roman" w:hAnsi="Times New Roman" w:eastAsia="宋体" w:cs="Times New Roman"/>
                      <w:color w:val="auto"/>
                      <w:kern w:val="2"/>
                      <w:sz w:val="21"/>
                      <w:szCs w:val="21"/>
                      <w:highlight w:val="none"/>
                      <w:lang w:val="en-US" w:eastAsia="zh-CN" w:bidi="ar-SA"/>
                    </w:rPr>
                    <w:t>排放口</w:t>
                  </w:r>
                  <w:r>
                    <w:rPr>
                      <w:rFonts w:hint="eastAsia" w:cs="Times New Roman"/>
                      <w:color w:val="auto"/>
                      <w:kern w:val="2"/>
                      <w:sz w:val="21"/>
                      <w:szCs w:val="21"/>
                      <w:highlight w:val="none"/>
                      <w:lang w:val="en-US" w:eastAsia="zh-CN" w:bidi="ar-SA"/>
                    </w:rPr>
                    <w:t>（DA001）</w:t>
                  </w:r>
                </w:p>
              </w:tc>
              <w:tc>
                <w:tcPr>
                  <w:tcW w:w="1521" w:type="dxa"/>
                  <w:tcBorders>
                    <w:tl2br w:val="nil"/>
                    <w:tr2bl w:val="nil"/>
                  </w:tcBorders>
                  <w:noWrap w:val="0"/>
                  <w:vAlign w:val="center"/>
                </w:tcPr>
                <w:p w14:paraId="4925F97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1B957C8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5E21B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41A9D56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03B4D9A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（DA002）</w:t>
                  </w:r>
                </w:p>
              </w:tc>
              <w:tc>
                <w:tcPr>
                  <w:tcW w:w="1521" w:type="dxa"/>
                  <w:tcBorders>
                    <w:tl2br w:val="nil"/>
                    <w:tr2bl w:val="nil"/>
                  </w:tcBorders>
                  <w:noWrap w:val="0"/>
                  <w:vAlign w:val="center"/>
                </w:tcPr>
                <w:p w14:paraId="778079F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2EAC3F7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6D1A8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0E5FC9F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6C075630">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（DA003）</w:t>
                  </w:r>
                </w:p>
              </w:tc>
              <w:tc>
                <w:tcPr>
                  <w:tcW w:w="1521" w:type="dxa"/>
                  <w:tcBorders>
                    <w:tl2br w:val="nil"/>
                    <w:tr2bl w:val="nil"/>
                  </w:tcBorders>
                  <w:noWrap w:val="0"/>
                  <w:vAlign w:val="center"/>
                </w:tcPr>
                <w:p w14:paraId="6CBE8B9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4DA0760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204D1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415EC4B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0563792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（DA004）</w:t>
                  </w:r>
                </w:p>
              </w:tc>
              <w:tc>
                <w:tcPr>
                  <w:tcW w:w="1521" w:type="dxa"/>
                  <w:tcBorders>
                    <w:tl2br w:val="nil"/>
                    <w:tr2bl w:val="nil"/>
                  </w:tcBorders>
                  <w:noWrap w:val="0"/>
                  <w:vAlign w:val="center"/>
                </w:tcPr>
                <w:p w14:paraId="566BB2A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533D367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5DF3B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3940DF4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6C8ECE3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（DA005）</w:t>
                  </w:r>
                </w:p>
              </w:tc>
              <w:tc>
                <w:tcPr>
                  <w:tcW w:w="1521" w:type="dxa"/>
                  <w:tcBorders>
                    <w:tl2br w:val="nil"/>
                    <w:tr2bl w:val="nil"/>
                  </w:tcBorders>
                  <w:noWrap w:val="0"/>
                  <w:vAlign w:val="center"/>
                </w:tcPr>
                <w:p w14:paraId="4B574B6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67A86C5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204F3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264CE8E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6212E2BC">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（DA006）</w:t>
                  </w:r>
                </w:p>
              </w:tc>
              <w:tc>
                <w:tcPr>
                  <w:tcW w:w="1521" w:type="dxa"/>
                  <w:tcBorders>
                    <w:tl2br w:val="nil"/>
                    <w:tr2bl w:val="nil"/>
                  </w:tcBorders>
                  <w:noWrap w:val="0"/>
                  <w:vAlign w:val="center"/>
                </w:tcPr>
                <w:p w14:paraId="7B13795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01D4E4F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61231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6496CE8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57659AD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筒仓粉尘排放口</w:t>
                  </w:r>
                  <w:r>
                    <w:rPr>
                      <w:rFonts w:hint="eastAsia" w:cs="Times New Roman"/>
                      <w:color w:val="auto"/>
                      <w:kern w:val="2"/>
                      <w:sz w:val="21"/>
                      <w:szCs w:val="21"/>
                      <w:highlight w:val="none"/>
                      <w:lang w:val="en-US" w:eastAsia="zh-CN" w:bidi="ar-SA"/>
                    </w:rPr>
                    <w:t>（DA007）</w:t>
                  </w:r>
                </w:p>
              </w:tc>
              <w:tc>
                <w:tcPr>
                  <w:tcW w:w="1521" w:type="dxa"/>
                  <w:tcBorders>
                    <w:tl2br w:val="nil"/>
                    <w:tr2bl w:val="nil"/>
                  </w:tcBorders>
                  <w:noWrap w:val="0"/>
                  <w:vAlign w:val="center"/>
                </w:tcPr>
                <w:p w14:paraId="7388B08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1607262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68A0E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tcBorders>
                    <w:tl2br w:val="nil"/>
                    <w:tr2bl w:val="nil"/>
                  </w:tcBorders>
                  <w:noWrap w:val="0"/>
                  <w:vAlign w:val="center"/>
                </w:tcPr>
                <w:p w14:paraId="2711506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934" w:type="dxa"/>
                  <w:tcBorders>
                    <w:tl2br w:val="nil"/>
                    <w:tr2bl w:val="nil"/>
                  </w:tcBorders>
                  <w:noWrap w:val="0"/>
                  <w:vAlign w:val="center"/>
                </w:tcPr>
                <w:p w14:paraId="5C244D2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制浆机粉尘排放口（DA008）</w:t>
                  </w:r>
                </w:p>
              </w:tc>
              <w:tc>
                <w:tcPr>
                  <w:tcW w:w="1521" w:type="dxa"/>
                  <w:tcBorders>
                    <w:tl2br w:val="nil"/>
                    <w:tr2bl w:val="nil"/>
                  </w:tcBorders>
                  <w:noWrap w:val="0"/>
                  <w:vAlign w:val="center"/>
                </w:tcPr>
                <w:p w14:paraId="336D44A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431BA8C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1次/年</w:t>
                  </w:r>
                </w:p>
              </w:tc>
            </w:tr>
            <w:tr w14:paraId="16B00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noWrap w:val="0"/>
                  <w:vAlign w:val="center"/>
                </w:tcPr>
                <w:p w14:paraId="1BA1187B">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无组织</w:t>
                  </w:r>
                </w:p>
              </w:tc>
              <w:tc>
                <w:tcPr>
                  <w:tcW w:w="3934" w:type="dxa"/>
                  <w:tcBorders>
                    <w:tl2br w:val="nil"/>
                    <w:tr2bl w:val="nil"/>
                  </w:tcBorders>
                  <w:noWrap w:val="0"/>
                  <w:vAlign w:val="center"/>
                </w:tcPr>
                <w:p w14:paraId="703EAC5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厂界</w:t>
                  </w:r>
                  <w:r>
                    <w:rPr>
                      <w:rFonts w:hint="default" w:ascii="Times New Roman" w:hAnsi="Times New Roman" w:eastAsia="宋体" w:cs="Times New Roman"/>
                      <w:color w:val="auto"/>
                      <w:sz w:val="21"/>
                      <w:szCs w:val="21"/>
                      <w:highlight w:val="none"/>
                      <w:u w:val="none"/>
                    </w:rPr>
                    <w:t>上风向1个点位，下风向</w:t>
                  </w: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个点位</w:t>
                  </w:r>
                </w:p>
              </w:tc>
              <w:tc>
                <w:tcPr>
                  <w:tcW w:w="1521" w:type="dxa"/>
                  <w:tcBorders>
                    <w:tl2br w:val="nil"/>
                    <w:tr2bl w:val="nil"/>
                  </w:tcBorders>
                  <w:noWrap w:val="0"/>
                  <w:vAlign w:val="center"/>
                </w:tcPr>
                <w:p w14:paraId="24CA8411">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10" w:type="dxa"/>
                  <w:tcBorders>
                    <w:tl2br w:val="nil"/>
                    <w:tr2bl w:val="nil"/>
                  </w:tcBorders>
                  <w:noWrap w:val="0"/>
                  <w:vAlign w:val="center"/>
                </w:tcPr>
                <w:p w14:paraId="44144668">
                  <w:pPr>
                    <w:keepNext w:val="0"/>
                    <w:keepLines w:val="0"/>
                    <w:pageBreakBefore w:val="0"/>
                    <w:widowControl w:val="0"/>
                    <w:kinsoku/>
                    <w:wordWrap/>
                    <w:overflowPunct/>
                    <w:topLinePunct w:val="0"/>
                    <w:autoSpaceDE/>
                    <w:autoSpaceDN/>
                    <w:bidi w:val="0"/>
                    <w:adjustRightInd w:val="0"/>
                    <w:snapToGrid w:val="0"/>
                    <w:spacing w:line="320" w:lineRule="exact"/>
                    <w:ind w:left="0" w:lef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1次/</w:t>
                  </w:r>
                  <w:r>
                    <w:rPr>
                      <w:rFonts w:hint="eastAsia" w:cs="Times New Roman"/>
                      <w:color w:val="auto"/>
                      <w:sz w:val="21"/>
                      <w:szCs w:val="21"/>
                      <w:highlight w:val="none"/>
                      <w:u w:val="none"/>
                      <w:lang w:val="en-US" w:eastAsia="zh-CN"/>
                    </w:rPr>
                    <w:t>季度</w:t>
                  </w:r>
                </w:p>
              </w:tc>
            </w:tr>
          </w:tbl>
          <w:p w14:paraId="7A401D00">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val="en-US" w:eastAsia="zh-CN"/>
              </w:rPr>
              <w:t>4.6 废水</w:t>
            </w:r>
          </w:p>
          <w:p w14:paraId="1FEF97EB">
            <w:pPr>
              <w:keepNext w:val="0"/>
              <w:keepLines w:val="0"/>
              <w:pageBreakBefore w:val="0"/>
              <w:widowControl w:val="0"/>
              <w:kinsoku/>
              <w:wordWrap/>
              <w:overflowPunct/>
              <w:topLinePunct w:val="0"/>
              <w:bidi w:val="0"/>
              <w:spacing w:line="480" w:lineRule="exact"/>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本项目废水主要包括生活污水、浆料系统清洗废水、地面冲洗废水和洗车废水。</w:t>
            </w:r>
          </w:p>
          <w:p w14:paraId="173E0291">
            <w:pPr>
              <w:spacing w:line="480" w:lineRule="exact"/>
              <w:ind w:firstLine="480" w:firstLineChars="200"/>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W1.浆料系统清洗废水</w:t>
            </w:r>
          </w:p>
          <w:p w14:paraId="27C191A3">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w:t>
            </w:r>
            <w:r>
              <w:rPr>
                <w:rFonts w:hint="eastAsia" w:cs="Times New Roman"/>
                <w:bCs/>
                <w:color w:val="auto"/>
                <w:sz w:val="24"/>
                <w:szCs w:val="24"/>
                <w:highlight w:val="none"/>
                <w:lang w:val="en-US" w:eastAsia="zh-CN"/>
              </w:rPr>
              <w:t>建设单位</w:t>
            </w:r>
            <w:r>
              <w:rPr>
                <w:rFonts w:hint="eastAsia" w:ascii="Times New Roman" w:hAnsi="Times New Roman" w:eastAsia="宋体" w:cs="Times New Roman"/>
                <w:bCs/>
                <w:color w:val="auto"/>
                <w:sz w:val="24"/>
                <w:szCs w:val="24"/>
                <w:highlight w:val="none"/>
                <w:lang w:val="en-US" w:eastAsia="zh-CN"/>
              </w:rPr>
              <w:t>提供资料，每天工作结束后须对</w:t>
            </w:r>
            <w:r>
              <w:rPr>
                <w:rFonts w:hint="eastAsia" w:cs="Times New Roman"/>
                <w:bCs/>
                <w:color w:val="auto"/>
                <w:sz w:val="24"/>
                <w:szCs w:val="24"/>
                <w:highlight w:val="none"/>
                <w:lang w:val="en-US" w:eastAsia="zh-CN"/>
              </w:rPr>
              <w:t>搅拌桶、制浆机及充填管路</w:t>
            </w:r>
            <w:r>
              <w:rPr>
                <w:rFonts w:hint="eastAsia" w:ascii="Times New Roman" w:hAnsi="Times New Roman" w:eastAsia="宋体" w:cs="Times New Roman"/>
                <w:bCs/>
                <w:color w:val="auto"/>
                <w:sz w:val="24"/>
                <w:szCs w:val="24"/>
                <w:highlight w:val="none"/>
                <w:lang w:val="en-US" w:eastAsia="zh-CN"/>
              </w:rPr>
              <w:t>进行</w:t>
            </w:r>
            <w:r>
              <w:rPr>
                <w:rFonts w:hint="eastAsia" w:cs="Times New Roman"/>
                <w:bCs/>
                <w:color w:val="auto"/>
                <w:sz w:val="24"/>
                <w:szCs w:val="24"/>
                <w:highlight w:val="none"/>
                <w:lang w:val="en-US" w:eastAsia="zh-CN"/>
              </w:rPr>
              <w:t>清洗</w:t>
            </w:r>
            <w:r>
              <w:rPr>
                <w:rFonts w:hint="eastAsia" w:ascii="Times New Roman" w:hAnsi="Times New Roman" w:eastAsia="宋体" w:cs="Times New Roman"/>
                <w:bCs/>
                <w:color w:val="auto"/>
                <w:sz w:val="24"/>
                <w:szCs w:val="24"/>
                <w:highlight w:val="none"/>
                <w:lang w:val="en-US" w:eastAsia="zh-CN"/>
              </w:rPr>
              <w:t>，清洗用水</w:t>
            </w:r>
            <w:r>
              <w:rPr>
                <w:rFonts w:hint="eastAsia" w:cs="Times New Roman"/>
                <w:bCs/>
                <w:color w:val="auto"/>
                <w:sz w:val="24"/>
                <w:szCs w:val="24"/>
                <w:highlight w:val="none"/>
                <w:lang w:val="en-US" w:eastAsia="zh-CN"/>
              </w:rPr>
              <w:t>量为35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d，</w:t>
            </w:r>
            <w:r>
              <w:rPr>
                <w:rFonts w:hint="default" w:ascii="Times New Roman" w:hAnsi="Times New Roman" w:eastAsia="宋体" w:cs="Times New Roman"/>
                <w:color w:val="auto"/>
                <w:spacing w:val="0"/>
                <w:sz w:val="24"/>
                <w:szCs w:val="24"/>
                <w:highlight w:val="none"/>
                <w:lang w:val="en-US" w:eastAsia="zh-CN"/>
              </w:rPr>
              <w:t>产污系数</w:t>
            </w:r>
            <w:r>
              <w:rPr>
                <w:rFonts w:hint="eastAsia" w:ascii="Times New Roman" w:hAnsi="Times New Roman" w:eastAsia="宋体" w:cs="Times New Roman"/>
                <w:color w:val="auto"/>
                <w:spacing w:val="0"/>
                <w:sz w:val="24"/>
                <w:szCs w:val="24"/>
                <w:highlight w:val="none"/>
                <w:lang w:val="en-US" w:eastAsia="zh-CN"/>
              </w:rPr>
              <w:t>按照</w:t>
            </w:r>
            <w:r>
              <w:rPr>
                <w:rFonts w:hint="default" w:ascii="Times New Roman" w:hAnsi="Times New Roman" w:eastAsia="宋体" w:cs="Times New Roman"/>
                <w:color w:val="auto"/>
                <w:spacing w:val="0"/>
                <w:sz w:val="24"/>
                <w:szCs w:val="24"/>
                <w:highlight w:val="none"/>
                <w:lang w:val="en-US" w:eastAsia="zh-CN"/>
              </w:rPr>
              <w:t>0.9计算</w:t>
            </w:r>
            <w:r>
              <w:rPr>
                <w:rFonts w:hint="default" w:ascii="Times New Roman" w:hAnsi="Times New Roman" w:eastAsia="宋体" w:cs="Times New Roman"/>
                <w:color w:val="auto"/>
                <w:spacing w:val="0"/>
                <w:sz w:val="24"/>
                <w:highlight w:val="none"/>
              </w:rPr>
              <w:t>，则</w:t>
            </w:r>
            <w:r>
              <w:rPr>
                <w:rFonts w:hint="eastAsia" w:cs="Times New Roman"/>
                <w:bCs/>
                <w:color w:val="auto"/>
                <w:sz w:val="24"/>
                <w:szCs w:val="24"/>
                <w:highlight w:val="none"/>
                <w:lang w:val="en-US" w:eastAsia="zh-CN"/>
              </w:rPr>
              <w:t>31.5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r>
              <w:rPr>
                <w:rFonts w:hint="eastAsia" w:cs="Times New Roman"/>
                <w:bCs/>
                <w:color w:val="auto"/>
                <w:sz w:val="24"/>
                <w:szCs w:val="24"/>
                <w:highlight w:val="none"/>
                <w:lang w:val="en-US" w:eastAsia="zh-CN"/>
              </w:rPr>
              <w:t>。</w:t>
            </w:r>
            <w:r>
              <w:rPr>
                <w:rFonts w:hint="eastAsia" w:cs="Times New Roman"/>
                <w:bCs/>
                <w:color w:val="auto"/>
                <w:spacing w:val="0"/>
                <w:sz w:val="24"/>
                <w:szCs w:val="24"/>
                <w:highlight w:val="none"/>
                <w:lang w:val="en-US" w:eastAsia="zh-CN"/>
              </w:rPr>
              <w:t>浆料系统清洗废水</w:t>
            </w:r>
            <w:r>
              <w:rPr>
                <w:rFonts w:hint="eastAsia" w:ascii="Times New Roman" w:hAnsi="Times New Roman" w:eastAsia="宋体" w:cs="Times New Roman"/>
                <w:color w:val="auto"/>
                <w:spacing w:val="0"/>
                <w:sz w:val="24"/>
                <w:szCs w:val="24"/>
                <w:highlight w:val="none"/>
                <w:lang w:val="en-US" w:eastAsia="zh-CN"/>
              </w:rPr>
              <w:t>主要污染物为悬浮物，水质较为简单。</w:t>
            </w:r>
            <w:r>
              <w:rPr>
                <w:rFonts w:hint="eastAsia" w:cs="Times New Roman"/>
                <w:bCs/>
                <w:color w:val="auto"/>
                <w:sz w:val="24"/>
                <w:szCs w:val="24"/>
                <w:highlight w:val="none"/>
                <w:lang w:val="en-US" w:eastAsia="zh-CN"/>
              </w:rPr>
              <w:t>待浆料系统</w:t>
            </w:r>
            <w:r>
              <w:rPr>
                <w:rFonts w:hint="eastAsia" w:ascii="Times New Roman" w:hAnsi="Times New Roman" w:eastAsia="宋体" w:cs="Times New Roman"/>
                <w:bCs/>
                <w:color w:val="auto"/>
                <w:sz w:val="24"/>
                <w:szCs w:val="24"/>
                <w:highlight w:val="none"/>
                <w:lang w:val="en-US" w:eastAsia="zh-CN"/>
              </w:rPr>
              <w:t>生产结束后，直接</w:t>
            </w:r>
            <w:r>
              <w:rPr>
                <w:rFonts w:hint="eastAsia" w:cs="Times New Roman"/>
                <w:bCs/>
                <w:color w:val="auto"/>
                <w:sz w:val="24"/>
                <w:szCs w:val="24"/>
                <w:highlight w:val="none"/>
                <w:lang w:val="en-US" w:eastAsia="zh-CN"/>
              </w:rPr>
              <w:t>向</w:t>
            </w:r>
            <w:r>
              <w:rPr>
                <w:rFonts w:hint="eastAsia" w:ascii="Times New Roman" w:hAnsi="Times New Roman" w:eastAsia="宋体" w:cs="Times New Roman"/>
                <w:bCs/>
                <w:color w:val="auto"/>
                <w:sz w:val="24"/>
                <w:szCs w:val="24"/>
                <w:highlight w:val="none"/>
                <w:lang w:val="en-US" w:eastAsia="zh-CN"/>
              </w:rPr>
              <w:t>制浆机</w:t>
            </w:r>
            <w:r>
              <w:rPr>
                <w:rFonts w:hint="eastAsia" w:cs="Times New Roman"/>
                <w:bCs/>
                <w:color w:val="auto"/>
                <w:sz w:val="24"/>
                <w:szCs w:val="24"/>
                <w:highlight w:val="none"/>
                <w:lang w:val="en-US" w:eastAsia="zh-CN"/>
              </w:rPr>
              <w:t>、搅拌桶加水清洗</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清洗废水沿井筒污水管道输送至现有矿井水处理站处理后回用</w:t>
            </w:r>
            <w:r>
              <w:rPr>
                <w:rFonts w:hint="eastAsia" w:ascii="Times New Roman" w:hAnsi="Times New Roman" w:eastAsia="宋体" w:cs="Times New Roman"/>
                <w:bCs/>
                <w:color w:val="auto"/>
                <w:sz w:val="24"/>
                <w:szCs w:val="24"/>
                <w:highlight w:val="none"/>
                <w:lang w:val="en-US" w:eastAsia="zh-CN"/>
              </w:rPr>
              <w:t>。</w:t>
            </w:r>
          </w:p>
          <w:p w14:paraId="4C9BFBF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◆依托矿井水处理站可行性分析</w:t>
            </w:r>
          </w:p>
          <w:p w14:paraId="287F2376">
            <w:pPr>
              <w:spacing w:line="460" w:lineRule="exact"/>
              <w:ind w:firstLine="480" w:firstLineChars="200"/>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赵庄二号井现有矿井水处理站1座，处理能力为9600m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/d，采用调节+混凝+沉淀+石英砂过滤+臭氧氧化消毒+活性炭吸附工艺，处理后的矿井水部分回用于井下洒水，部分达标排放。</w:t>
            </w:r>
          </w:p>
          <w:p w14:paraId="6E7D9FC9">
            <w:pPr>
              <w:spacing w:line="46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根据《晋城煤炭事业部关于赵庄二号井矿井水文地质类型划分结果的批复》，预计赵庄二号井年产量达到设计的120万t/a时，矿井正常涌水量122.25m³/h，最大涌水量188.17m³/h（24h），与设计能力相比有5083.92m3/d的富余能力。本项目</w:t>
            </w:r>
            <w:r>
              <w:rPr>
                <w:rFonts w:hint="eastAsia" w:cs="Times New Roman"/>
                <w:bCs/>
                <w:color w:val="auto"/>
                <w:sz w:val="24"/>
                <w:szCs w:val="24"/>
                <w:highlight w:val="none"/>
                <w:lang w:val="en-US" w:eastAsia="zh-CN"/>
              </w:rPr>
              <w:t>浆料系统清洗废水排放量为31.5</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r>
              <w:rPr>
                <w:rFonts w:hint="default" w:ascii="Times New Roman" w:hAnsi="Times New Roman" w:cs="Times New Roman"/>
                <w:color w:val="auto"/>
                <w:spacing w:val="0"/>
                <w:sz w:val="24"/>
                <w:highlight w:val="none"/>
              </w:rPr>
              <w:t>水量未超过</w:t>
            </w:r>
            <w:r>
              <w:rPr>
                <w:rFonts w:hint="eastAsia" w:cs="Times New Roman"/>
                <w:color w:val="auto"/>
                <w:spacing w:val="0"/>
                <w:sz w:val="24"/>
                <w:highlight w:val="none"/>
                <w:lang w:val="en-US" w:eastAsia="zh-CN"/>
              </w:rPr>
              <w:t>矿井水处理站</w:t>
            </w:r>
            <w:r>
              <w:rPr>
                <w:rFonts w:hint="default" w:ascii="Times New Roman" w:hAnsi="Times New Roman" w:cs="Times New Roman"/>
                <w:color w:val="auto"/>
                <w:spacing w:val="0"/>
                <w:sz w:val="24"/>
                <w:highlight w:val="none"/>
              </w:rPr>
              <w:t>日处理能力富余量</w:t>
            </w:r>
            <w:r>
              <w:rPr>
                <w:rFonts w:hint="eastAsia" w:cs="Times New Roman"/>
                <w:color w:val="auto"/>
                <w:spacing w:val="0"/>
                <w:sz w:val="24"/>
                <w:highlight w:val="none"/>
                <w:lang w:eastAsia="zh-CN"/>
              </w:rPr>
              <w:t>；</w:t>
            </w:r>
            <w:r>
              <w:rPr>
                <w:rFonts w:hint="eastAsia" w:cs="Times New Roman"/>
                <w:bCs/>
                <w:color w:val="auto"/>
                <w:spacing w:val="0"/>
                <w:sz w:val="24"/>
                <w:szCs w:val="24"/>
                <w:highlight w:val="none"/>
                <w:lang w:val="en-US" w:eastAsia="zh-CN"/>
              </w:rPr>
              <w:t>废水</w:t>
            </w:r>
            <w:r>
              <w:rPr>
                <w:rFonts w:hint="eastAsia" w:ascii="Times New Roman" w:hAnsi="Times New Roman" w:eastAsia="宋体" w:cs="Times New Roman"/>
                <w:color w:val="auto"/>
                <w:spacing w:val="0"/>
                <w:sz w:val="24"/>
                <w:szCs w:val="24"/>
                <w:highlight w:val="none"/>
                <w:lang w:val="en-US" w:eastAsia="zh-CN"/>
              </w:rPr>
              <w:t>主要污染物为悬浮物，水质较为简单。</w:t>
            </w:r>
            <w:r>
              <w:rPr>
                <w:rFonts w:hint="default" w:ascii="Times New Roman" w:hAnsi="Times New Roman" w:cs="Times New Roman"/>
                <w:color w:val="auto"/>
                <w:spacing w:val="0"/>
                <w:sz w:val="24"/>
                <w:highlight w:val="none"/>
              </w:rPr>
              <w:t>因此，无论从水质还是水量，</w:t>
            </w:r>
            <w:r>
              <w:rPr>
                <w:rFonts w:hint="eastAsia" w:ascii="Times New Roman" w:hAnsi="Times New Roman" w:cs="Times New Roman"/>
                <w:color w:val="auto"/>
                <w:spacing w:val="0"/>
                <w:sz w:val="24"/>
                <w:highlight w:val="none"/>
                <w:lang w:val="en-US" w:eastAsia="zh-CN"/>
              </w:rPr>
              <w:t>现有矿井水处理站</w:t>
            </w:r>
            <w:r>
              <w:rPr>
                <w:rFonts w:hint="default" w:ascii="Times New Roman" w:hAnsi="Times New Roman" w:cs="Times New Roman"/>
                <w:color w:val="auto"/>
                <w:spacing w:val="0"/>
                <w:sz w:val="24"/>
                <w:highlight w:val="none"/>
              </w:rPr>
              <w:t>都能够接纳本项目</w:t>
            </w:r>
            <w:r>
              <w:rPr>
                <w:rFonts w:hint="eastAsia" w:cs="Times New Roman"/>
                <w:color w:val="auto"/>
                <w:spacing w:val="0"/>
                <w:sz w:val="24"/>
                <w:highlight w:val="none"/>
                <w:lang w:val="en-US" w:eastAsia="zh-CN"/>
              </w:rPr>
              <w:t>废水</w:t>
            </w:r>
            <w:r>
              <w:rPr>
                <w:rFonts w:hint="default" w:ascii="Times New Roman" w:hAnsi="Times New Roman" w:cs="Times New Roman"/>
                <w:color w:val="auto"/>
                <w:spacing w:val="0"/>
                <w:sz w:val="24"/>
                <w:highlight w:val="none"/>
              </w:rPr>
              <w:t>。</w:t>
            </w:r>
          </w:p>
          <w:p w14:paraId="57793D75">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Cs/>
                <w:color w:val="auto"/>
                <w:sz w:val="24"/>
                <w:szCs w:val="24"/>
                <w:highlight w:val="none"/>
                <w:lang w:val="en-US" w:eastAsia="zh-CN"/>
              </w:rPr>
              <w:t>W2.</w:t>
            </w:r>
            <w:r>
              <w:rPr>
                <w:rFonts w:hint="eastAsia" w:cs="Times New Roman"/>
                <w:color w:val="auto"/>
                <w:sz w:val="24"/>
                <w:szCs w:val="24"/>
                <w:highlight w:val="none"/>
                <w:lang w:val="en-US" w:eastAsia="zh-CN"/>
              </w:rPr>
              <w:t>地面冲洗废水</w:t>
            </w:r>
          </w:p>
          <w:p w14:paraId="64CF8030">
            <w:pPr>
              <w:spacing w:line="480" w:lineRule="exact"/>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作业区</w:t>
            </w:r>
            <w:r>
              <w:rPr>
                <w:rFonts w:hint="eastAsia" w:ascii="Times New Roman" w:hAnsi="Times New Roman" w:eastAsia="宋体" w:cs="Times New Roman"/>
                <w:color w:val="auto"/>
                <w:sz w:val="24"/>
                <w:szCs w:val="24"/>
                <w:highlight w:val="none"/>
                <w:lang w:val="en-US" w:eastAsia="zh-CN"/>
              </w:rPr>
              <w:t>地面需每天冲洗</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冲洗地面用水量</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产污系数</w:t>
            </w:r>
            <w:r>
              <w:rPr>
                <w:rFonts w:hint="eastAsia" w:ascii="Times New Roman" w:hAnsi="Times New Roman" w:eastAsia="宋体" w:cs="Times New Roman"/>
                <w:color w:val="auto"/>
                <w:spacing w:val="0"/>
                <w:sz w:val="24"/>
                <w:szCs w:val="24"/>
                <w:highlight w:val="none"/>
                <w:lang w:val="en-US" w:eastAsia="zh-CN"/>
              </w:rPr>
              <w:t>按照</w:t>
            </w:r>
            <w:r>
              <w:rPr>
                <w:rFonts w:hint="default" w:ascii="Times New Roman" w:hAnsi="Times New Roman" w:eastAsia="宋体" w:cs="Times New Roman"/>
                <w:color w:val="auto"/>
                <w:spacing w:val="0"/>
                <w:sz w:val="24"/>
                <w:szCs w:val="24"/>
                <w:highlight w:val="none"/>
                <w:lang w:val="en-US" w:eastAsia="zh-CN"/>
              </w:rPr>
              <w:t>0.9计算</w:t>
            </w:r>
            <w:r>
              <w:rPr>
                <w:rFonts w:hint="default" w:ascii="Times New Roman" w:hAnsi="Times New Roman" w:eastAsia="宋体" w:cs="Times New Roman"/>
                <w:color w:val="auto"/>
                <w:spacing w:val="0"/>
                <w:sz w:val="24"/>
                <w:highlight w:val="none"/>
              </w:rPr>
              <w:t>，则废水</w:t>
            </w:r>
            <w:r>
              <w:rPr>
                <w:rFonts w:hint="eastAsia" w:ascii="Times New Roman" w:hAnsi="Times New Roman" w:eastAsia="宋体" w:cs="Times New Roman"/>
                <w:color w:val="auto"/>
                <w:spacing w:val="0"/>
                <w:sz w:val="24"/>
                <w:highlight w:val="none"/>
                <w:lang w:val="en-US" w:eastAsia="zh-CN"/>
              </w:rPr>
              <w:t>产生</w:t>
            </w:r>
            <w:r>
              <w:rPr>
                <w:rFonts w:hint="default" w:ascii="Times New Roman" w:hAnsi="Times New Roman" w:eastAsia="宋体" w:cs="Times New Roman"/>
                <w:color w:val="auto"/>
                <w:spacing w:val="0"/>
                <w:sz w:val="24"/>
                <w:highlight w:val="none"/>
              </w:rPr>
              <w:t>量为</w:t>
            </w:r>
            <w:r>
              <w:rPr>
                <w:rFonts w:hint="eastAsia" w:ascii="Times New Roman" w:hAnsi="Times New Roman" w:eastAsia="宋体" w:cs="Times New Roman"/>
                <w:color w:val="auto"/>
                <w:spacing w:val="0"/>
                <w:sz w:val="24"/>
                <w:highlight w:val="none"/>
                <w:lang w:val="en-US" w:eastAsia="zh-CN"/>
              </w:rPr>
              <w:t>0.675</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d</w:t>
            </w:r>
            <w:r>
              <w:rPr>
                <w:rFonts w:hint="eastAsia" w:ascii="Times New Roman" w:hAnsi="Times New Roman" w:eastAsia="宋体" w:cs="Times New Roman"/>
                <w:color w:val="auto"/>
                <w:spacing w:val="0"/>
                <w:sz w:val="24"/>
                <w:highlight w:val="none"/>
                <w:lang w:val="en-US" w:eastAsia="zh-CN"/>
              </w:rPr>
              <w:t>。</w:t>
            </w:r>
            <w:r>
              <w:rPr>
                <w:rFonts w:hint="eastAsia" w:cs="Times New Roman"/>
                <w:bCs/>
                <w:color w:val="auto"/>
                <w:spacing w:val="0"/>
                <w:sz w:val="24"/>
                <w:szCs w:val="24"/>
                <w:highlight w:val="none"/>
                <w:lang w:val="en-US" w:eastAsia="zh-CN"/>
              </w:rPr>
              <w:t>地面冲洗废水</w:t>
            </w:r>
            <w:r>
              <w:rPr>
                <w:rFonts w:hint="eastAsia" w:ascii="Times New Roman" w:hAnsi="Times New Roman" w:eastAsia="宋体" w:cs="Times New Roman"/>
                <w:color w:val="auto"/>
                <w:spacing w:val="0"/>
                <w:sz w:val="24"/>
                <w:szCs w:val="24"/>
                <w:highlight w:val="none"/>
                <w:lang w:val="en-US" w:eastAsia="zh-CN"/>
              </w:rPr>
              <w:t>主要污染物为悬浮物，水质较为简单</w:t>
            </w:r>
            <w:r>
              <w:rPr>
                <w:rFonts w:hint="eastAsia" w:cs="Times New Roman"/>
                <w:bCs/>
                <w:color w:val="auto"/>
                <w:sz w:val="24"/>
                <w:szCs w:val="24"/>
                <w:highlight w:val="none"/>
                <w:lang w:val="en-US" w:eastAsia="zh-CN"/>
              </w:rPr>
              <w:t>。本次评价要求在制浆车间外建设1座沉淀池，容积为6m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，废水经车间内排水渠导流至沉淀池，经沉淀处理后全部回用于生产，不外排。</w:t>
            </w:r>
          </w:p>
          <w:p w14:paraId="4A17B53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W3.洗车废水</w:t>
            </w:r>
          </w:p>
          <w:p w14:paraId="61590E4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eastAsia"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每天冲洗车辆约</w:t>
            </w:r>
            <w:r>
              <w:rPr>
                <w:rFonts w:hint="eastAsia" w:cs="Times New Roman"/>
                <w:bCs/>
                <w:color w:val="auto"/>
                <w:sz w:val="24"/>
                <w:highlight w:val="none"/>
                <w:lang w:val="en-US" w:eastAsia="zh-CN"/>
              </w:rPr>
              <w:t>66</w:t>
            </w:r>
            <w:r>
              <w:rPr>
                <w:rFonts w:hint="default" w:ascii="Times New Roman" w:hAnsi="Times New Roman" w:eastAsia="宋体" w:cs="Times New Roman"/>
                <w:bCs/>
                <w:color w:val="auto"/>
                <w:sz w:val="24"/>
                <w:highlight w:val="none"/>
              </w:rPr>
              <w:t>辆次，</w:t>
            </w:r>
            <w:r>
              <w:rPr>
                <w:rFonts w:hint="eastAsia" w:ascii="Times New Roman" w:hAnsi="Times New Roman" w:eastAsia="宋体" w:cs="Times New Roman"/>
                <w:bCs/>
                <w:color w:val="auto"/>
                <w:sz w:val="24"/>
                <w:highlight w:val="none"/>
                <w:lang w:val="en-US" w:eastAsia="zh-CN"/>
              </w:rPr>
              <w:t>洗车</w:t>
            </w:r>
            <w:r>
              <w:rPr>
                <w:rFonts w:hint="default" w:ascii="Times New Roman" w:hAnsi="Times New Roman" w:eastAsia="宋体" w:cs="Times New Roman"/>
                <w:bCs/>
                <w:color w:val="auto"/>
                <w:sz w:val="24"/>
                <w:highlight w:val="none"/>
              </w:rPr>
              <w:t>用水量约为</w:t>
            </w:r>
            <w:r>
              <w:rPr>
                <w:rFonts w:hint="eastAsia" w:ascii="Times New Roman" w:hAnsi="Times New Roman" w:eastAsia="宋体" w:cs="Times New Roman"/>
                <w:bCs/>
                <w:color w:val="auto"/>
                <w:sz w:val="24"/>
                <w:highlight w:val="none"/>
                <w:lang w:val="en-US" w:eastAsia="zh-CN"/>
              </w:rPr>
              <w:t>3.</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/d</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废水产生量为</w:t>
            </w:r>
            <w:r>
              <w:rPr>
                <w:rFonts w:hint="eastAsia" w:cs="Times New Roman"/>
                <w:bCs/>
                <w:color w:val="auto"/>
                <w:sz w:val="24"/>
                <w:highlight w:val="none"/>
                <w:lang w:val="en-US" w:eastAsia="zh-CN"/>
              </w:rPr>
              <w:t>2.64</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/d</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eastAsia="zh-CN"/>
              </w:rPr>
              <w:t>洗车废水主要污染物为SS</w:t>
            </w:r>
            <w:r>
              <w:rPr>
                <w:rFonts w:hint="default" w:ascii="Times New Roman" w:hAnsi="Times New Roman" w:eastAsia="宋体" w:cs="Times New Roman"/>
                <w:bCs/>
                <w:color w:val="auto"/>
                <w:sz w:val="24"/>
                <w:highlight w:val="none"/>
                <w:lang w:val="en-US" w:eastAsia="zh-CN"/>
              </w:rPr>
              <w:t>和石油类</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洗车</w:t>
            </w:r>
            <w:r>
              <w:rPr>
                <w:rFonts w:hint="default" w:ascii="Times New Roman" w:hAnsi="Times New Roman" w:eastAsia="宋体" w:cs="Times New Roman"/>
                <w:bCs/>
                <w:color w:val="auto"/>
                <w:sz w:val="24"/>
                <w:highlight w:val="none"/>
              </w:rPr>
              <w:t>废水经</w:t>
            </w:r>
            <w:r>
              <w:rPr>
                <w:rFonts w:hint="eastAsia" w:cs="Times New Roman"/>
                <w:bCs/>
                <w:color w:val="auto"/>
                <w:sz w:val="24"/>
                <w:highlight w:val="none"/>
                <w:lang w:eastAsia="zh-CN"/>
              </w:rPr>
              <w:t>三级</w:t>
            </w:r>
            <w:r>
              <w:rPr>
                <w:rFonts w:hint="default" w:ascii="Times New Roman" w:hAnsi="Times New Roman" w:eastAsia="宋体" w:cs="Times New Roman"/>
                <w:bCs/>
                <w:color w:val="auto"/>
                <w:sz w:val="24"/>
                <w:highlight w:val="none"/>
              </w:rPr>
              <w:t>沉淀池沉淀处理后，回用至</w:t>
            </w:r>
            <w:r>
              <w:rPr>
                <w:rFonts w:hint="default" w:ascii="Times New Roman" w:hAnsi="Times New Roman" w:eastAsia="宋体" w:cs="Times New Roman"/>
                <w:bCs/>
                <w:color w:val="auto"/>
                <w:sz w:val="24"/>
                <w:highlight w:val="none"/>
                <w:lang w:val="en-US" w:eastAsia="zh-CN"/>
              </w:rPr>
              <w:t>洗车</w:t>
            </w:r>
            <w:r>
              <w:rPr>
                <w:rFonts w:hint="default" w:ascii="Times New Roman" w:hAnsi="Times New Roman" w:eastAsia="宋体" w:cs="Times New Roman"/>
                <w:bCs/>
                <w:color w:val="auto"/>
                <w:sz w:val="24"/>
                <w:highlight w:val="none"/>
              </w:rPr>
              <w:t>工序，</w:t>
            </w:r>
            <w:r>
              <w:rPr>
                <w:rFonts w:hint="eastAsia" w:cs="Times New Roman"/>
                <w:bCs/>
                <w:color w:val="auto"/>
                <w:sz w:val="24"/>
                <w:highlight w:val="none"/>
                <w:lang w:val="en-US" w:eastAsia="zh-CN"/>
              </w:rPr>
              <w:t>循环使用</w:t>
            </w:r>
            <w:r>
              <w:rPr>
                <w:rFonts w:hint="default" w:ascii="Times New Roman" w:hAnsi="Times New Roman" w:eastAsia="宋体" w:cs="Times New Roman"/>
                <w:bCs/>
                <w:color w:val="auto"/>
                <w:sz w:val="24"/>
                <w:highlight w:val="none"/>
              </w:rPr>
              <w:t>，</w:t>
            </w:r>
            <w:r>
              <w:rPr>
                <w:rFonts w:hint="eastAsia" w:cs="Times New Roman"/>
                <w:bCs/>
                <w:color w:val="auto"/>
                <w:sz w:val="24"/>
                <w:highlight w:val="none"/>
                <w:lang w:eastAsia="zh-CN"/>
              </w:rPr>
              <w:t>不外排</w:t>
            </w:r>
            <w:r>
              <w:rPr>
                <w:rFonts w:hint="default" w:ascii="Times New Roman" w:hAnsi="Times New Roman" w:eastAsia="宋体" w:cs="Times New Roman"/>
                <w:bCs/>
                <w:color w:val="auto"/>
                <w:sz w:val="24"/>
                <w:highlight w:val="none"/>
                <w:lang w:eastAsia="zh-CN"/>
              </w:rPr>
              <w:t>。</w:t>
            </w:r>
          </w:p>
          <w:p w14:paraId="6FFE8A8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eastAsia" w:cs="Times New Roman"/>
                <w:bCs/>
                <w:color w:val="auto"/>
                <w:sz w:val="24"/>
                <w:highlight w:val="none"/>
                <w:lang w:eastAsia="zh-CN"/>
              </w:rPr>
              <w:t>根据长治市大气污染防治工作领导组办公室文件《关于进一步加强工业企业污染治理的通知》（长气防办</w:t>
            </w:r>
            <w:r>
              <w:rPr>
                <w:rFonts w:hint="eastAsia" w:cs="Times New Roman"/>
                <w:bCs/>
                <w:color w:val="auto"/>
                <w:sz w:val="24"/>
                <w:highlight w:val="none"/>
                <w:lang w:val="en-US" w:eastAsia="zh-CN"/>
              </w:rPr>
              <w:t>[</w:t>
            </w:r>
            <w:r>
              <w:rPr>
                <w:rFonts w:hint="eastAsia" w:cs="Times New Roman"/>
                <w:bCs/>
                <w:color w:val="auto"/>
                <w:sz w:val="24"/>
                <w:highlight w:val="none"/>
                <w:lang w:eastAsia="zh-CN"/>
              </w:rPr>
              <w:t>2023</w:t>
            </w:r>
            <w:r>
              <w:rPr>
                <w:rFonts w:hint="eastAsia" w:cs="Times New Roman"/>
                <w:bCs/>
                <w:color w:val="auto"/>
                <w:sz w:val="24"/>
                <w:highlight w:val="none"/>
                <w:lang w:val="en-US" w:eastAsia="zh-CN"/>
              </w:rPr>
              <w:t>]</w:t>
            </w:r>
            <w:r>
              <w:rPr>
                <w:rFonts w:hint="eastAsia" w:cs="Times New Roman"/>
                <w:bCs/>
                <w:color w:val="auto"/>
                <w:sz w:val="24"/>
                <w:highlight w:val="none"/>
                <w:lang w:eastAsia="zh-CN"/>
              </w:rPr>
              <w:t>6号），本次评价要求</w:t>
            </w:r>
            <w:r>
              <w:rPr>
                <w:rFonts w:hint="default" w:ascii="Times New Roman" w:hAnsi="Times New Roman" w:eastAsia="宋体" w:cs="Times New Roman"/>
                <w:bCs/>
                <w:color w:val="auto"/>
                <w:sz w:val="24"/>
                <w:highlight w:val="none"/>
                <w:lang w:eastAsia="zh-CN"/>
              </w:rPr>
              <w:t>在厂区</w:t>
            </w:r>
            <w:r>
              <w:rPr>
                <w:rFonts w:hint="eastAsia" w:cs="Times New Roman"/>
                <w:bCs/>
                <w:color w:val="auto"/>
                <w:sz w:val="24"/>
                <w:highlight w:val="none"/>
                <w:lang w:eastAsia="zh-CN"/>
              </w:rPr>
              <w:t>出入口</w:t>
            </w:r>
            <w:r>
              <w:rPr>
                <w:rFonts w:hint="default" w:ascii="Times New Roman" w:hAnsi="Times New Roman" w:eastAsia="宋体" w:cs="Times New Roman"/>
                <w:bCs/>
                <w:color w:val="auto"/>
                <w:sz w:val="24"/>
                <w:highlight w:val="none"/>
                <w:lang w:eastAsia="zh-CN"/>
              </w:rPr>
              <w:t>处</w:t>
            </w:r>
            <w:r>
              <w:rPr>
                <w:rFonts w:hint="eastAsia" w:cs="Times New Roman"/>
                <w:bCs/>
                <w:color w:val="auto"/>
                <w:sz w:val="24"/>
                <w:highlight w:val="none"/>
                <w:lang w:eastAsia="zh-CN"/>
              </w:rPr>
              <w:t>设置</w:t>
            </w:r>
            <w:r>
              <w:rPr>
                <w:rFonts w:hint="eastAsia" w:cs="Times New Roman"/>
                <w:bCs/>
                <w:color w:val="auto"/>
                <w:sz w:val="24"/>
                <w:highlight w:val="none"/>
                <w:lang w:val="en-US" w:eastAsia="zh-CN"/>
              </w:rPr>
              <w:t>1座</w:t>
            </w:r>
            <w:r>
              <w:rPr>
                <w:rFonts w:hint="eastAsia" w:cs="Times New Roman"/>
                <w:bCs/>
                <w:color w:val="auto"/>
                <w:sz w:val="24"/>
                <w:highlight w:val="none"/>
                <w:lang w:eastAsia="zh-CN"/>
              </w:rPr>
              <w:t>洗车平台</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eastAsia="zh-CN"/>
              </w:rPr>
              <w:t>平台</w:t>
            </w:r>
            <w:r>
              <w:rPr>
                <w:rFonts w:hint="default" w:ascii="Times New Roman" w:hAnsi="Times New Roman" w:eastAsia="宋体" w:cs="Times New Roman"/>
                <w:bCs/>
                <w:color w:val="auto"/>
                <w:sz w:val="24"/>
                <w:highlight w:val="none"/>
                <w:lang w:eastAsia="zh-CN"/>
              </w:rPr>
              <w:t>包括高压冲洗区域、风干区、抖车区。清洗车辆驶入既定位置</w:t>
            </w:r>
            <w:r>
              <w:rPr>
                <w:rFonts w:hint="eastAsia" w:cs="Times New Roman"/>
                <w:bCs/>
                <w:color w:val="auto"/>
                <w:sz w:val="24"/>
                <w:highlight w:val="none"/>
                <w:lang w:eastAsia="zh-CN"/>
              </w:rPr>
              <w:t>进行</w:t>
            </w:r>
            <w:r>
              <w:rPr>
                <w:rFonts w:hint="default" w:ascii="Times New Roman" w:hAnsi="Times New Roman" w:eastAsia="宋体" w:cs="Times New Roman"/>
                <w:bCs/>
                <w:color w:val="auto"/>
                <w:sz w:val="24"/>
                <w:highlight w:val="none"/>
                <w:lang w:eastAsia="zh-CN"/>
              </w:rPr>
              <w:t>清洗（时间可调），清洗完毕原地控水后通过风干区域，即可完成冲洗。洗车平台冬季防冻措施：使用彩钢板搭建全封闭彩钢房，配备两台空气能专用于洗车平台供暖</w:t>
            </w:r>
            <w:r>
              <w:rPr>
                <w:rFonts w:hint="eastAsia" w:ascii="Times New Roman" w:hAnsi="Times New Roman" w:eastAsia="宋体" w:cs="Times New Roman"/>
                <w:bCs/>
                <w:color w:val="auto"/>
                <w:sz w:val="24"/>
                <w:highlight w:val="none"/>
                <w:lang w:eastAsia="zh-CN"/>
              </w:rPr>
              <w:t>。</w:t>
            </w:r>
          </w:p>
          <w:p w14:paraId="4D01233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eastAsia" w:cs="Times New Roman"/>
                <w:bCs/>
                <w:color w:val="auto"/>
                <w:sz w:val="24"/>
                <w:highlight w:val="none"/>
                <w:lang w:eastAsia="zh-CN"/>
              </w:rPr>
              <w:t>洗车平台主要由</w:t>
            </w:r>
            <w:r>
              <w:rPr>
                <w:rFonts w:hint="default" w:ascii="Times New Roman" w:hAnsi="Times New Roman" w:eastAsia="宋体" w:cs="Times New Roman"/>
                <w:bCs/>
                <w:color w:val="auto"/>
                <w:sz w:val="24"/>
                <w:highlight w:val="none"/>
                <w:lang w:eastAsia="zh-CN"/>
              </w:rPr>
              <w:t>龙门架钢构、水泵、管路、喷头及控制系统等</w:t>
            </w:r>
            <w:r>
              <w:rPr>
                <w:rFonts w:hint="eastAsia" w:cs="Times New Roman"/>
                <w:bCs/>
                <w:color w:val="auto"/>
                <w:sz w:val="24"/>
                <w:highlight w:val="none"/>
                <w:lang w:eastAsia="zh-CN"/>
              </w:rPr>
              <w:t>组成，侧</w:t>
            </w:r>
            <w:r>
              <w:rPr>
                <w:rFonts w:hint="default" w:ascii="Times New Roman" w:hAnsi="Times New Roman" w:eastAsia="宋体" w:cs="Times New Roman"/>
                <w:bCs/>
                <w:color w:val="auto"/>
                <w:sz w:val="24"/>
                <w:highlight w:val="none"/>
                <w:lang w:eastAsia="zh-CN"/>
              </w:rPr>
              <w:t>下方设</w:t>
            </w:r>
            <w:r>
              <w:rPr>
                <w:rFonts w:hint="eastAsia" w:ascii="Times New Roman" w:hAnsi="Times New Roman" w:eastAsia="宋体" w:cs="Times New Roman"/>
                <w:bCs/>
                <w:color w:val="auto"/>
                <w:sz w:val="24"/>
                <w:highlight w:val="none"/>
                <w:lang w:val="en-US" w:eastAsia="zh-CN"/>
              </w:rPr>
              <w:t>1座</w:t>
            </w:r>
            <w:r>
              <w:rPr>
                <w:rFonts w:hint="default" w:ascii="Times New Roman" w:hAnsi="Times New Roman" w:eastAsia="宋体" w:cs="Times New Roman"/>
                <w:bCs/>
                <w:color w:val="auto"/>
                <w:sz w:val="24"/>
                <w:highlight w:val="none"/>
                <w:lang w:eastAsia="zh-CN"/>
              </w:rPr>
              <w:t>收集池</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27m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1座</w:t>
            </w:r>
            <w:r>
              <w:rPr>
                <w:rFonts w:hint="default" w:ascii="Times New Roman" w:hAnsi="Times New Roman" w:eastAsia="宋体" w:cs="Times New Roman"/>
                <w:bCs/>
                <w:color w:val="auto"/>
                <w:sz w:val="24"/>
                <w:highlight w:val="none"/>
                <w:lang w:eastAsia="zh-CN"/>
              </w:rPr>
              <w:t>沉淀池</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27m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和</w:t>
            </w:r>
            <w:r>
              <w:rPr>
                <w:rFonts w:hint="eastAsia" w:ascii="Times New Roman" w:hAnsi="Times New Roman" w:eastAsia="宋体" w:cs="Times New Roman"/>
                <w:bCs/>
                <w:color w:val="auto"/>
                <w:sz w:val="24"/>
                <w:highlight w:val="none"/>
                <w:lang w:val="en-US" w:eastAsia="zh-CN"/>
              </w:rPr>
              <w:t>1座</w:t>
            </w:r>
            <w:r>
              <w:rPr>
                <w:rFonts w:hint="default" w:ascii="Times New Roman" w:hAnsi="Times New Roman" w:eastAsia="宋体" w:cs="Times New Roman"/>
                <w:bCs/>
                <w:color w:val="auto"/>
                <w:sz w:val="24"/>
                <w:highlight w:val="none"/>
                <w:lang w:eastAsia="zh-CN"/>
              </w:rPr>
              <w:t>清水池</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27m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总容积81m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w:t>
            </w:r>
            <w:r>
              <w:rPr>
                <w:rFonts w:hint="default" w:ascii="Times New Roman" w:hAnsi="Times New Roman" w:eastAsia="宋体" w:cs="Times New Roman"/>
                <w:bCs/>
                <w:color w:val="auto"/>
                <w:sz w:val="24"/>
                <w:highlight w:val="none"/>
                <w:lang w:eastAsia="zh-CN"/>
              </w:rPr>
              <w:t>洗车</w:t>
            </w:r>
            <w:r>
              <w:rPr>
                <w:rFonts w:hint="eastAsia" w:ascii="Times New Roman" w:hAnsi="Times New Roman" w:eastAsia="宋体" w:cs="Times New Roman"/>
                <w:bCs/>
                <w:color w:val="auto"/>
                <w:sz w:val="24"/>
                <w:highlight w:val="none"/>
                <w:lang w:eastAsia="zh-CN"/>
              </w:rPr>
              <w:t>平台</w:t>
            </w:r>
            <w:r>
              <w:rPr>
                <w:rFonts w:hint="default" w:ascii="Times New Roman" w:hAnsi="Times New Roman" w:eastAsia="宋体" w:cs="Times New Roman"/>
                <w:bCs/>
                <w:color w:val="auto"/>
                <w:sz w:val="24"/>
                <w:highlight w:val="none"/>
                <w:lang w:eastAsia="zh-CN"/>
              </w:rPr>
              <w:t>尺寸为长20m，宽5.0m，</w:t>
            </w:r>
            <w:r>
              <w:rPr>
                <w:rFonts w:hint="eastAsia" w:ascii="Times New Roman" w:hAnsi="Times New Roman" w:eastAsia="宋体" w:cs="Times New Roman"/>
                <w:bCs/>
                <w:color w:val="auto"/>
                <w:sz w:val="24"/>
                <w:highlight w:val="none"/>
                <w:lang w:eastAsia="zh-CN"/>
              </w:rPr>
              <w:t>设置</w:t>
            </w:r>
            <w:r>
              <w:rPr>
                <w:rFonts w:hint="default" w:ascii="Times New Roman" w:hAnsi="Times New Roman" w:eastAsia="宋体" w:cs="Times New Roman"/>
                <w:bCs/>
                <w:color w:val="auto"/>
                <w:sz w:val="24"/>
                <w:highlight w:val="none"/>
                <w:lang w:eastAsia="zh-CN"/>
              </w:rPr>
              <w:t>排水沟接至收集池。运输车辆在冲洗时，洗车废水经排水沟进入收集池，再经溢流口进入沉淀池，沉淀池的上层清水经溢流口流入清水池</w:t>
            </w:r>
            <w:r>
              <w:rPr>
                <w:rFonts w:hint="eastAsia" w:ascii="Times New Roman" w:hAnsi="Times New Roman" w:eastAsia="宋体" w:cs="Times New Roman"/>
                <w:bCs/>
                <w:color w:val="auto"/>
                <w:sz w:val="24"/>
                <w:highlight w:val="none"/>
                <w:lang w:eastAsia="zh-CN"/>
              </w:rPr>
              <w:t>循环使用</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eastAsia="zh-CN"/>
              </w:rPr>
              <w:t>可保证废水循环利用，</w:t>
            </w:r>
            <w:r>
              <w:rPr>
                <w:rFonts w:hint="default" w:ascii="Times New Roman" w:hAnsi="Times New Roman" w:eastAsia="宋体" w:cs="Times New Roman"/>
                <w:bCs/>
                <w:color w:val="auto"/>
                <w:sz w:val="24"/>
                <w:highlight w:val="none"/>
                <w:lang w:eastAsia="zh-CN"/>
              </w:rPr>
              <w:t>损耗部分适当补给。</w:t>
            </w:r>
          </w:p>
          <w:p w14:paraId="50BF855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eastAsia="zh-CN"/>
              </w:rPr>
              <w:t>洗车平台参数见表</w:t>
            </w:r>
            <w:r>
              <w:rPr>
                <w:rFonts w:hint="eastAsia" w:cs="Times New Roman"/>
                <w:bCs/>
                <w:color w:val="auto"/>
                <w:sz w:val="24"/>
                <w:highlight w:val="none"/>
                <w:lang w:val="en-US" w:eastAsia="zh-CN"/>
              </w:rPr>
              <w:t>4.6-1。</w:t>
            </w:r>
          </w:p>
          <w:p w14:paraId="6FBCD8BF">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eastAsia" w:ascii="Times New Roman" w:hAnsi="Times New Roman" w:eastAsia="黑体" w:cs="Times New Roman"/>
                <w:b w:val="0"/>
                <w:bCs w:val="0"/>
                <w:color w:val="auto"/>
                <w:kern w:val="2"/>
                <w:sz w:val="21"/>
                <w:szCs w:val="21"/>
                <w:highlight w:val="none"/>
                <w:lang w:val="en-US" w:eastAsia="zh-CN" w:bidi="ar-SA"/>
              </w:rPr>
              <w:t>表4.6-1  洗车平台参数表</w:t>
            </w:r>
          </w:p>
          <w:tbl>
            <w:tblPr>
              <w:tblStyle w:val="25"/>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537"/>
              <w:gridCol w:w="984"/>
              <w:gridCol w:w="4576"/>
            </w:tblGrid>
            <w:tr w14:paraId="6D923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noWrap w:val="0"/>
                  <w:vAlign w:val="center"/>
                </w:tcPr>
                <w:p w14:paraId="4666CB3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序号</w:t>
                  </w:r>
                </w:p>
              </w:tc>
              <w:tc>
                <w:tcPr>
                  <w:tcW w:w="1537" w:type="dxa"/>
                  <w:tcBorders>
                    <w:tl2br w:val="nil"/>
                    <w:tr2bl w:val="nil"/>
                  </w:tcBorders>
                  <w:noWrap w:val="0"/>
                  <w:vAlign w:val="center"/>
                </w:tcPr>
                <w:p w14:paraId="0D7757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项目</w:t>
                  </w:r>
                </w:p>
              </w:tc>
              <w:tc>
                <w:tcPr>
                  <w:tcW w:w="984" w:type="dxa"/>
                  <w:tcBorders>
                    <w:tl2br w:val="nil"/>
                    <w:tr2bl w:val="nil"/>
                  </w:tcBorders>
                  <w:noWrap w:val="0"/>
                  <w:vAlign w:val="center"/>
                </w:tcPr>
                <w:p w14:paraId="09D6669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单位</w:t>
                  </w:r>
                </w:p>
              </w:tc>
              <w:tc>
                <w:tcPr>
                  <w:tcW w:w="4576" w:type="dxa"/>
                  <w:tcBorders>
                    <w:tl2br w:val="nil"/>
                    <w:tr2bl w:val="nil"/>
                  </w:tcBorders>
                  <w:noWrap w:val="0"/>
                  <w:vAlign w:val="center"/>
                </w:tcPr>
                <w:p w14:paraId="4082447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参数</w:t>
                  </w:r>
                </w:p>
              </w:tc>
            </w:tr>
            <w:tr w14:paraId="11F22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noWrap w:val="0"/>
                  <w:vAlign w:val="center"/>
                </w:tcPr>
                <w:p w14:paraId="4D21433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1</w:t>
                  </w:r>
                </w:p>
              </w:tc>
              <w:tc>
                <w:tcPr>
                  <w:tcW w:w="1537" w:type="dxa"/>
                  <w:tcBorders>
                    <w:tl2br w:val="nil"/>
                    <w:tr2bl w:val="nil"/>
                  </w:tcBorders>
                  <w:noWrap w:val="0"/>
                  <w:vAlign w:val="center"/>
                </w:tcPr>
                <w:p w14:paraId="1C48B9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适用车型</w:t>
                  </w:r>
                </w:p>
              </w:tc>
              <w:tc>
                <w:tcPr>
                  <w:tcW w:w="984" w:type="dxa"/>
                  <w:tcBorders>
                    <w:tl2br w:val="nil"/>
                    <w:tr2bl w:val="nil"/>
                  </w:tcBorders>
                  <w:noWrap w:val="0"/>
                  <w:vAlign w:val="center"/>
                </w:tcPr>
                <w:p w14:paraId="15DCAB5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w:t>
                  </w:r>
                </w:p>
              </w:tc>
              <w:tc>
                <w:tcPr>
                  <w:tcW w:w="4576" w:type="dxa"/>
                  <w:tcBorders>
                    <w:tl2br w:val="nil"/>
                    <w:tr2bl w:val="nil"/>
                  </w:tcBorders>
                  <w:noWrap w:val="0"/>
                  <w:vAlign w:val="center"/>
                </w:tcPr>
                <w:p w14:paraId="21C94D3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渣土矿产粉运输车辆、混凝土罐车、轮式装载机等工程车辆</w:t>
                  </w:r>
                </w:p>
              </w:tc>
            </w:tr>
            <w:tr w14:paraId="429D6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169508C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2</w:t>
                  </w:r>
                </w:p>
              </w:tc>
              <w:tc>
                <w:tcPr>
                  <w:tcW w:w="1537" w:type="dxa"/>
                  <w:tcBorders>
                    <w:tl2br w:val="nil"/>
                    <w:tr2bl w:val="nil"/>
                  </w:tcBorders>
                  <w:noWrap w:val="0"/>
                  <w:vAlign w:val="center"/>
                </w:tcPr>
                <w:p w14:paraId="6B92CD4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启动方式</w:t>
                  </w:r>
                </w:p>
              </w:tc>
              <w:tc>
                <w:tcPr>
                  <w:tcW w:w="984" w:type="dxa"/>
                  <w:tcBorders>
                    <w:tl2br w:val="nil"/>
                    <w:tr2bl w:val="nil"/>
                  </w:tcBorders>
                  <w:noWrap w:val="0"/>
                  <w:vAlign w:val="center"/>
                </w:tcPr>
                <w:p w14:paraId="2F1988D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w:t>
                  </w:r>
                </w:p>
              </w:tc>
              <w:tc>
                <w:tcPr>
                  <w:tcW w:w="4576" w:type="dxa"/>
                  <w:tcBorders>
                    <w:tl2br w:val="nil"/>
                    <w:tr2bl w:val="nil"/>
                  </w:tcBorders>
                  <w:noWrap w:val="0"/>
                  <w:vAlign w:val="center"/>
                </w:tcPr>
                <w:p w14:paraId="45B2F0F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光电感应</w:t>
                  </w:r>
                </w:p>
              </w:tc>
            </w:tr>
            <w:tr w14:paraId="3587A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351031F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3</w:t>
                  </w:r>
                </w:p>
              </w:tc>
              <w:tc>
                <w:tcPr>
                  <w:tcW w:w="1537" w:type="dxa"/>
                  <w:tcBorders>
                    <w:tl2br w:val="nil"/>
                    <w:tr2bl w:val="nil"/>
                  </w:tcBorders>
                  <w:noWrap w:val="0"/>
                  <w:vAlign w:val="center"/>
                </w:tcPr>
                <w:p w14:paraId="7B9C90C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冲洗压力</w:t>
                  </w:r>
                </w:p>
              </w:tc>
              <w:tc>
                <w:tcPr>
                  <w:tcW w:w="984" w:type="dxa"/>
                  <w:tcBorders>
                    <w:tl2br w:val="nil"/>
                    <w:tr2bl w:val="nil"/>
                  </w:tcBorders>
                  <w:noWrap w:val="0"/>
                  <w:vAlign w:val="center"/>
                </w:tcPr>
                <w:p w14:paraId="008DE5C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MPa</w:t>
                  </w:r>
                </w:p>
              </w:tc>
              <w:tc>
                <w:tcPr>
                  <w:tcW w:w="4576" w:type="dxa"/>
                  <w:tcBorders>
                    <w:tl2br w:val="nil"/>
                    <w:tr2bl w:val="nil"/>
                  </w:tcBorders>
                  <w:noWrap w:val="0"/>
                  <w:vAlign w:val="center"/>
                </w:tcPr>
                <w:p w14:paraId="3F5DD9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0.4~0.5</w:t>
                  </w:r>
                </w:p>
              </w:tc>
            </w:tr>
            <w:tr w14:paraId="33B26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5C36AA3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4</w:t>
                  </w:r>
                </w:p>
              </w:tc>
              <w:tc>
                <w:tcPr>
                  <w:tcW w:w="1537" w:type="dxa"/>
                  <w:tcBorders>
                    <w:tl2br w:val="nil"/>
                    <w:tr2bl w:val="nil"/>
                  </w:tcBorders>
                  <w:noWrap w:val="0"/>
                  <w:vAlign w:val="center"/>
                </w:tcPr>
                <w:p w14:paraId="1E5E154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冲洗时间</w:t>
                  </w:r>
                </w:p>
              </w:tc>
              <w:tc>
                <w:tcPr>
                  <w:tcW w:w="984" w:type="dxa"/>
                  <w:tcBorders>
                    <w:tl2br w:val="nil"/>
                    <w:tr2bl w:val="nil"/>
                  </w:tcBorders>
                  <w:noWrap w:val="0"/>
                  <w:vAlign w:val="center"/>
                </w:tcPr>
                <w:p w14:paraId="3D51506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s</w:t>
                  </w:r>
                </w:p>
              </w:tc>
              <w:tc>
                <w:tcPr>
                  <w:tcW w:w="4576" w:type="dxa"/>
                  <w:tcBorders>
                    <w:tl2br w:val="nil"/>
                    <w:tr2bl w:val="nil"/>
                  </w:tcBorders>
                  <w:noWrap w:val="0"/>
                  <w:vAlign w:val="center"/>
                </w:tcPr>
                <w:p w14:paraId="699FF6B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40~50（按车速可调）</w:t>
                  </w:r>
                </w:p>
              </w:tc>
            </w:tr>
            <w:tr w14:paraId="43849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202FE68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5</w:t>
                  </w:r>
                </w:p>
              </w:tc>
              <w:tc>
                <w:tcPr>
                  <w:tcW w:w="1537" w:type="dxa"/>
                  <w:tcBorders>
                    <w:tl2br w:val="nil"/>
                    <w:tr2bl w:val="nil"/>
                  </w:tcBorders>
                  <w:noWrap w:val="0"/>
                  <w:vAlign w:val="center"/>
                </w:tcPr>
                <w:p w14:paraId="7D5BFD3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冲洗水泵流量</w:t>
                  </w:r>
                </w:p>
              </w:tc>
              <w:tc>
                <w:tcPr>
                  <w:tcW w:w="984" w:type="dxa"/>
                  <w:tcBorders>
                    <w:tl2br w:val="nil"/>
                    <w:tr2bl w:val="nil"/>
                  </w:tcBorders>
                  <w:noWrap w:val="0"/>
                  <w:vAlign w:val="center"/>
                </w:tcPr>
                <w:p w14:paraId="0534218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m</w:t>
                  </w:r>
                  <w:r>
                    <w:rPr>
                      <w:rFonts w:hint="eastAsia" w:ascii="Times New Roman" w:hAnsi="Times New Roman" w:eastAsia="宋体" w:cs="Times New Roman"/>
                      <w:b w:val="0"/>
                      <w:bCs w:val="0"/>
                      <w:color w:val="auto"/>
                      <w:kern w:val="0"/>
                      <w:szCs w:val="21"/>
                      <w:highlight w:val="none"/>
                      <w:vertAlign w:val="superscript"/>
                      <w:lang w:val="en-US" w:eastAsia="zh-CN"/>
                    </w:rPr>
                    <w:t>3</w:t>
                  </w:r>
                  <w:r>
                    <w:rPr>
                      <w:rFonts w:hint="eastAsia" w:ascii="Times New Roman" w:hAnsi="Times New Roman" w:eastAsia="宋体" w:cs="Times New Roman"/>
                      <w:b w:val="0"/>
                      <w:bCs w:val="0"/>
                      <w:color w:val="auto"/>
                      <w:kern w:val="0"/>
                      <w:szCs w:val="21"/>
                      <w:highlight w:val="none"/>
                      <w:lang w:val="en-US" w:eastAsia="zh-CN"/>
                    </w:rPr>
                    <w:t>/h</w:t>
                  </w:r>
                </w:p>
              </w:tc>
              <w:tc>
                <w:tcPr>
                  <w:tcW w:w="4576" w:type="dxa"/>
                  <w:tcBorders>
                    <w:tl2br w:val="nil"/>
                    <w:tr2bl w:val="nil"/>
                  </w:tcBorders>
                  <w:noWrap w:val="0"/>
                  <w:vAlign w:val="center"/>
                </w:tcPr>
                <w:p w14:paraId="0632DFA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潜污泵，30</w:t>
                  </w:r>
                </w:p>
              </w:tc>
            </w:tr>
            <w:tr w14:paraId="62FB9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00FB153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6</w:t>
                  </w:r>
                </w:p>
              </w:tc>
              <w:tc>
                <w:tcPr>
                  <w:tcW w:w="1537" w:type="dxa"/>
                  <w:tcBorders>
                    <w:tl2br w:val="nil"/>
                    <w:tr2bl w:val="nil"/>
                  </w:tcBorders>
                  <w:noWrap w:val="0"/>
                  <w:vAlign w:val="center"/>
                </w:tcPr>
                <w:p w14:paraId="500ABF6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冲洗耗水量</w:t>
                  </w:r>
                </w:p>
              </w:tc>
              <w:tc>
                <w:tcPr>
                  <w:tcW w:w="984" w:type="dxa"/>
                  <w:tcBorders>
                    <w:tl2br w:val="nil"/>
                    <w:tr2bl w:val="nil"/>
                  </w:tcBorders>
                  <w:noWrap w:val="0"/>
                  <w:vAlign w:val="center"/>
                </w:tcPr>
                <w:p w14:paraId="324E0E3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L/辆</w:t>
                  </w:r>
                </w:p>
              </w:tc>
              <w:tc>
                <w:tcPr>
                  <w:tcW w:w="4576" w:type="dxa"/>
                  <w:tcBorders>
                    <w:tl2br w:val="nil"/>
                    <w:tr2bl w:val="nil"/>
                  </w:tcBorders>
                  <w:noWrap w:val="0"/>
                  <w:vAlign w:val="center"/>
                </w:tcPr>
                <w:p w14:paraId="0545A9F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cs="Times New Roman"/>
                      <w:b w:val="0"/>
                      <w:bCs w:val="0"/>
                      <w:color w:val="auto"/>
                      <w:kern w:val="0"/>
                      <w:szCs w:val="21"/>
                      <w:highlight w:val="none"/>
                      <w:lang w:val="en-US" w:eastAsia="zh-CN"/>
                    </w:rPr>
                    <w:t>40</w:t>
                  </w:r>
                  <w:r>
                    <w:rPr>
                      <w:rFonts w:hint="eastAsia" w:ascii="Times New Roman" w:hAnsi="Times New Roman" w:eastAsia="宋体" w:cs="Times New Roman"/>
                      <w:b w:val="0"/>
                      <w:bCs w:val="0"/>
                      <w:color w:val="auto"/>
                      <w:kern w:val="0"/>
                      <w:szCs w:val="21"/>
                      <w:highlight w:val="none"/>
                      <w:lang w:val="en-US" w:eastAsia="zh-CN"/>
                    </w:rPr>
                    <w:t>~</w:t>
                  </w:r>
                  <w:r>
                    <w:rPr>
                      <w:rFonts w:hint="default" w:ascii="Times New Roman" w:hAnsi="Times New Roman" w:eastAsia="宋体" w:cs="Times New Roman"/>
                      <w:b w:val="0"/>
                      <w:bCs w:val="0"/>
                      <w:color w:val="auto"/>
                      <w:kern w:val="0"/>
                      <w:szCs w:val="21"/>
                      <w:highlight w:val="none"/>
                      <w:lang w:val="en-US" w:eastAsia="zh-CN"/>
                    </w:rPr>
                    <w:t>60（循环水）</w:t>
                  </w:r>
                </w:p>
              </w:tc>
            </w:tr>
            <w:tr w14:paraId="274B9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1A735A7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7</w:t>
                  </w:r>
                </w:p>
              </w:tc>
              <w:tc>
                <w:tcPr>
                  <w:tcW w:w="1537" w:type="dxa"/>
                  <w:tcBorders>
                    <w:tl2br w:val="nil"/>
                    <w:tr2bl w:val="nil"/>
                  </w:tcBorders>
                  <w:noWrap w:val="0"/>
                  <w:vAlign w:val="center"/>
                </w:tcPr>
                <w:p w14:paraId="5F11C45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电器总功率</w:t>
                  </w:r>
                </w:p>
              </w:tc>
              <w:tc>
                <w:tcPr>
                  <w:tcW w:w="984" w:type="dxa"/>
                  <w:tcBorders>
                    <w:tl2br w:val="nil"/>
                    <w:tr2bl w:val="nil"/>
                  </w:tcBorders>
                  <w:noWrap w:val="0"/>
                  <w:vAlign w:val="center"/>
                </w:tcPr>
                <w:p w14:paraId="10ADC2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kw</w:t>
                  </w:r>
                </w:p>
              </w:tc>
              <w:tc>
                <w:tcPr>
                  <w:tcW w:w="4576" w:type="dxa"/>
                  <w:tcBorders>
                    <w:tl2br w:val="nil"/>
                    <w:tr2bl w:val="nil"/>
                  </w:tcBorders>
                  <w:noWrap w:val="0"/>
                  <w:vAlign w:val="center"/>
                </w:tcPr>
                <w:p w14:paraId="0FFA957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15</w:t>
                  </w:r>
                </w:p>
              </w:tc>
            </w:tr>
            <w:tr w14:paraId="10707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0" w:type="dxa"/>
                  <w:tcBorders>
                    <w:tl2br w:val="nil"/>
                    <w:tr2bl w:val="nil"/>
                  </w:tcBorders>
                  <w:shd w:val="clear" w:color="auto" w:fill="auto"/>
                  <w:noWrap w:val="0"/>
                  <w:vAlign w:val="center"/>
                </w:tcPr>
                <w:p w14:paraId="3B42004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Cs w:val="21"/>
                      <w:highlight w:val="none"/>
                      <w:lang w:val="en-US" w:eastAsia="zh-CN"/>
                    </w:rPr>
                    <w:t>8</w:t>
                  </w:r>
                </w:p>
              </w:tc>
              <w:tc>
                <w:tcPr>
                  <w:tcW w:w="1537" w:type="dxa"/>
                  <w:tcBorders>
                    <w:tl2br w:val="nil"/>
                    <w:tr2bl w:val="nil"/>
                  </w:tcBorders>
                  <w:noWrap w:val="0"/>
                  <w:vAlign w:val="center"/>
                </w:tcPr>
                <w:p w14:paraId="173F04C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控制选择</w:t>
                  </w:r>
                </w:p>
              </w:tc>
              <w:tc>
                <w:tcPr>
                  <w:tcW w:w="984" w:type="dxa"/>
                  <w:tcBorders>
                    <w:tl2br w:val="nil"/>
                    <w:tr2bl w:val="nil"/>
                  </w:tcBorders>
                  <w:noWrap w:val="0"/>
                  <w:vAlign w:val="center"/>
                </w:tcPr>
                <w:p w14:paraId="51EB1F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w:t>
                  </w:r>
                </w:p>
              </w:tc>
              <w:tc>
                <w:tcPr>
                  <w:tcW w:w="4576" w:type="dxa"/>
                  <w:tcBorders>
                    <w:tl2br w:val="nil"/>
                    <w:tr2bl w:val="nil"/>
                  </w:tcBorders>
                  <w:noWrap w:val="0"/>
                  <w:vAlign w:val="center"/>
                </w:tcPr>
                <w:p w14:paraId="14F0FCB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自动/手动</w:t>
                  </w:r>
                </w:p>
              </w:tc>
            </w:tr>
          </w:tbl>
          <w:p w14:paraId="5010D1FC">
            <w:pPr>
              <w:keepNext w:val="0"/>
              <w:keepLines w:val="0"/>
              <w:pageBreakBefore w:val="0"/>
              <w:widowControl w:val="0"/>
              <w:kinsoku/>
              <w:wordWrap/>
              <w:overflowPunct/>
              <w:topLinePunct w:val="0"/>
              <w:bidi w:val="0"/>
              <w:spacing w:line="480" w:lineRule="exact"/>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洗车平台收集池容积为27m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，洗车</w:t>
            </w:r>
            <w:r>
              <w:rPr>
                <w:rFonts w:hint="eastAsia" w:ascii="Times New Roman" w:hAnsi="Times New Roman" w:eastAsia="宋体" w:cs="Times New Roman"/>
                <w:bCs/>
                <w:color w:val="auto"/>
                <w:sz w:val="24"/>
                <w:highlight w:val="none"/>
                <w:lang w:val="en-US" w:eastAsia="zh-CN"/>
              </w:rPr>
              <w:t>废水产生量为</w:t>
            </w:r>
            <w:r>
              <w:rPr>
                <w:rFonts w:hint="eastAsia" w:cs="Times New Roman"/>
                <w:bCs/>
                <w:color w:val="auto"/>
                <w:sz w:val="24"/>
                <w:highlight w:val="none"/>
                <w:lang w:val="en-US" w:eastAsia="zh-CN"/>
              </w:rPr>
              <w:t>2.64</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/d，配套收集池可收纳约</w:t>
            </w:r>
            <w:r>
              <w:rPr>
                <w:rFonts w:hint="eastAsia" w:cs="Times New Roman"/>
                <w:bCs/>
                <w:color w:val="auto"/>
                <w:sz w:val="24"/>
                <w:highlight w:val="none"/>
                <w:lang w:val="en-US" w:eastAsia="zh-CN"/>
              </w:rPr>
              <w:t>10</w:t>
            </w:r>
            <w:r>
              <w:rPr>
                <w:rFonts w:hint="eastAsia" w:ascii="Times New Roman" w:hAnsi="Times New Roman" w:eastAsia="宋体" w:cs="Times New Roman"/>
                <w:bCs/>
                <w:color w:val="auto"/>
                <w:sz w:val="24"/>
                <w:highlight w:val="none"/>
                <w:lang w:val="en-US" w:eastAsia="zh-CN"/>
              </w:rPr>
              <w:t>天的废水，因此，洗车平台收集池设置合理。</w:t>
            </w:r>
          </w:p>
          <w:p w14:paraId="14B993B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W4.</w:t>
            </w:r>
            <w:r>
              <w:rPr>
                <w:rFonts w:hint="default" w:ascii="Times New Roman" w:hAnsi="Times New Roman" w:eastAsia="宋体" w:cs="Times New Roman"/>
                <w:bCs/>
                <w:color w:val="auto"/>
                <w:sz w:val="24"/>
                <w:szCs w:val="24"/>
                <w:highlight w:val="none"/>
                <w:lang w:val="en-US" w:eastAsia="zh-CN"/>
              </w:rPr>
              <w:t>生活</w:t>
            </w:r>
            <w:r>
              <w:rPr>
                <w:rFonts w:hint="eastAsia" w:ascii="Times New Roman" w:hAnsi="Times New Roman" w:eastAsia="宋体" w:cs="Times New Roman"/>
                <w:bCs/>
                <w:color w:val="auto"/>
                <w:sz w:val="24"/>
                <w:szCs w:val="24"/>
                <w:highlight w:val="none"/>
                <w:lang w:val="en-US" w:eastAsia="zh-CN"/>
              </w:rPr>
              <w:t>污水</w:t>
            </w:r>
          </w:p>
          <w:p w14:paraId="108C0A2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本项目劳动定员</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生活用水量为</w:t>
            </w:r>
            <w:r>
              <w:rPr>
                <w:rFonts w:hint="eastAsia" w:ascii="Times New Roman" w:hAnsi="Times New Roman"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产污系数按0.8计，生活污水产生量为</w:t>
            </w:r>
            <w:r>
              <w:rPr>
                <w:rFonts w:hint="eastAsia" w:ascii="Times New Roman" w:hAnsi="Times New Roman" w:cs="Times New Roman"/>
                <w:color w:val="auto"/>
                <w:sz w:val="24"/>
                <w:szCs w:val="24"/>
                <w:highlight w:val="none"/>
                <w:lang w:val="en-US" w:eastAsia="zh-CN"/>
              </w:rPr>
              <w:t>0.56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rPr>
              <w:t>生活污水</w:t>
            </w:r>
            <w:r>
              <w:rPr>
                <w:rFonts w:hint="eastAsia" w:ascii="Times New Roman" w:hAnsi="Times New Roman" w:eastAsia="宋体" w:cs="Times New Roman"/>
                <w:color w:val="auto"/>
                <w:spacing w:val="0"/>
                <w:sz w:val="24"/>
                <w:szCs w:val="24"/>
                <w:highlight w:val="none"/>
                <w:lang w:val="en-US" w:eastAsia="zh-CN"/>
              </w:rPr>
              <w:t>主要</w:t>
            </w:r>
            <w:r>
              <w:rPr>
                <w:rFonts w:hint="default" w:ascii="Times New Roman" w:hAnsi="Times New Roman" w:eastAsia="宋体" w:cs="Times New Roman"/>
                <w:color w:val="auto"/>
                <w:spacing w:val="0"/>
                <w:sz w:val="24"/>
                <w:szCs w:val="24"/>
                <w:highlight w:val="none"/>
              </w:rPr>
              <w:t>为职工</w:t>
            </w:r>
            <w:r>
              <w:rPr>
                <w:rFonts w:hint="eastAsia" w:ascii="Times New Roman" w:hAnsi="Times New Roman" w:eastAsia="宋体" w:cs="Times New Roman"/>
                <w:color w:val="auto"/>
                <w:spacing w:val="0"/>
                <w:sz w:val="24"/>
                <w:szCs w:val="24"/>
                <w:highlight w:val="none"/>
                <w:lang w:val="en-US" w:eastAsia="zh-CN"/>
              </w:rPr>
              <w:t>日常</w:t>
            </w:r>
            <w:r>
              <w:rPr>
                <w:rFonts w:hint="default" w:ascii="Times New Roman" w:hAnsi="Times New Roman" w:eastAsia="宋体" w:cs="Times New Roman"/>
                <w:color w:val="auto"/>
                <w:spacing w:val="0"/>
                <w:sz w:val="24"/>
                <w:szCs w:val="24"/>
                <w:highlight w:val="none"/>
              </w:rPr>
              <w:t>洗漱废水，</w:t>
            </w:r>
            <w:r>
              <w:rPr>
                <w:rFonts w:hint="eastAsia" w:ascii="Times New Roman" w:hAnsi="Times New Roman" w:eastAsia="宋体" w:cs="Times New Roman"/>
                <w:color w:val="auto"/>
                <w:spacing w:val="0"/>
                <w:sz w:val="24"/>
                <w:szCs w:val="24"/>
                <w:highlight w:val="none"/>
                <w:lang w:val="en-US" w:eastAsia="zh-CN"/>
              </w:rPr>
              <w:t>水质</w:t>
            </w:r>
            <w:r>
              <w:rPr>
                <w:rFonts w:hint="eastAsia" w:cs="Times New Roman"/>
                <w:color w:val="auto"/>
                <w:spacing w:val="0"/>
                <w:sz w:val="24"/>
                <w:szCs w:val="24"/>
                <w:highlight w:val="none"/>
                <w:lang w:val="en-US" w:eastAsia="zh-CN"/>
              </w:rPr>
              <w:t>较为</w:t>
            </w:r>
            <w:r>
              <w:rPr>
                <w:rFonts w:hint="eastAsia" w:ascii="Times New Roman" w:hAnsi="Times New Roman" w:eastAsia="宋体" w:cs="Times New Roman"/>
                <w:color w:val="auto"/>
                <w:spacing w:val="0"/>
                <w:sz w:val="24"/>
                <w:szCs w:val="24"/>
                <w:highlight w:val="none"/>
                <w:lang w:val="en-US" w:eastAsia="zh-CN"/>
              </w:rPr>
              <w:t>简单，</w:t>
            </w:r>
            <w:r>
              <w:rPr>
                <w:rFonts w:hint="eastAsia" w:cs="Times New Roman"/>
                <w:color w:val="auto"/>
                <w:spacing w:val="0"/>
                <w:sz w:val="24"/>
                <w:szCs w:val="24"/>
                <w:highlight w:val="none"/>
                <w:lang w:eastAsia="zh-CN"/>
              </w:rPr>
              <w:t>用于厂区洒水抑尘</w:t>
            </w:r>
            <w:r>
              <w:rPr>
                <w:rFonts w:hint="default" w:ascii="Times New Roman" w:hAnsi="Times New Roman" w:eastAsia="宋体" w:cs="Times New Roman"/>
                <w:color w:val="auto"/>
                <w:spacing w:val="0"/>
                <w:sz w:val="24"/>
                <w:szCs w:val="24"/>
                <w:highlight w:val="none"/>
              </w:rPr>
              <w:t>，不外排</w:t>
            </w:r>
            <w:r>
              <w:rPr>
                <w:rFonts w:hint="default" w:ascii="Times New Roman" w:hAnsi="Times New Roman" w:eastAsia="宋体" w:cs="Times New Roman"/>
                <w:color w:val="auto"/>
                <w:sz w:val="24"/>
                <w:szCs w:val="24"/>
                <w:highlight w:val="none"/>
              </w:rPr>
              <w:t>。</w:t>
            </w:r>
          </w:p>
          <w:p w14:paraId="27C6B14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pacing w:val="0"/>
                <w:sz w:val="24"/>
                <w:szCs w:val="24"/>
                <w:highlight w:val="none"/>
                <w:lang w:val="en-US" w:eastAsia="zh-CN"/>
              </w:rPr>
            </w:pPr>
            <w:r>
              <w:rPr>
                <w:rFonts w:hint="eastAsia" w:cs="Times New Roman"/>
                <w:bCs/>
                <w:color w:val="auto"/>
                <w:sz w:val="24"/>
                <w:szCs w:val="24"/>
                <w:highlight w:val="none"/>
                <w:lang w:val="en-US" w:eastAsia="zh-CN"/>
              </w:rPr>
              <w:t>W5.</w:t>
            </w:r>
            <w:r>
              <w:rPr>
                <w:rFonts w:hint="default" w:ascii="Times New Roman" w:hAnsi="Times New Roman" w:eastAsia="宋体" w:cs="Times New Roman"/>
                <w:b w:val="0"/>
                <w:bCs w:val="0"/>
                <w:color w:val="auto"/>
                <w:spacing w:val="0"/>
                <w:sz w:val="24"/>
                <w:szCs w:val="24"/>
                <w:highlight w:val="none"/>
                <w:lang w:val="en-US" w:eastAsia="zh-CN"/>
              </w:rPr>
              <w:t>初期雨水</w:t>
            </w:r>
          </w:p>
          <w:p w14:paraId="67BBD800">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对于初期雨水，评价按</w:t>
            </w:r>
            <w:r>
              <w:rPr>
                <w:rFonts w:hint="eastAsia" w:ascii="Times New Roman" w:hAnsi="Times New Roman" w:eastAsia="宋体" w:cs="Times New Roman"/>
                <w:bCs/>
                <w:color w:val="auto"/>
                <w:spacing w:val="0"/>
                <w:kern w:val="0"/>
                <w:sz w:val="24"/>
                <w:szCs w:val="24"/>
                <w:highlight w:val="none"/>
              </w:rPr>
              <w:t>暴雨强度公式</w:t>
            </w:r>
            <w:r>
              <w:rPr>
                <w:rFonts w:hint="eastAsia" w:ascii="Times New Roman" w:hAnsi="Times New Roman" w:eastAsia="宋体" w:cs="Times New Roman"/>
                <w:color w:val="auto"/>
                <w:spacing w:val="0"/>
                <w:kern w:val="0"/>
                <w:sz w:val="24"/>
                <w:szCs w:val="24"/>
                <w:highlight w:val="none"/>
              </w:rPr>
              <w:t>计算：</w:t>
            </w:r>
          </w:p>
          <w:p w14:paraId="11D598EE">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q=3340(1+1.43lgP)/(t+15.8)</w:t>
            </w:r>
            <w:r>
              <w:rPr>
                <w:rFonts w:hint="eastAsia" w:ascii="Times New Roman" w:hAnsi="Times New Roman" w:eastAsia="宋体" w:cs="Times New Roman"/>
                <w:color w:val="auto"/>
                <w:spacing w:val="0"/>
                <w:kern w:val="0"/>
                <w:sz w:val="24"/>
                <w:szCs w:val="24"/>
                <w:highlight w:val="none"/>
                <w:vertAlign w:val="superscript"/>
              </w:rPr>
              <w:t>0.</w:t>
            </w:r>
            <w:r>
              <w:rPr>
                <w:rFonts w:ascii="Times New Roman" w:hAnsi="Times New Roman" w:eastAsia="宋体" w:cs="Times New Roman"/>
                <w:color w:val="auto"/>
                <w:spacing w:val="0"/>
                <w:kern w:val="0"/>
                <w:sz w:val="24"/>
                <w:szCs w:val="24"/>
                <w:highlight w:val="none"/>
                <w:vertAlign w:val="superscript"/>
              </w:rPr>
              <w:t>93</w:t>
            </w:r>
          </w:p>
          <w:p w14:paraId="3AD67FC9">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式中：</w:t>
            </w:r>
            <w:r>
              <w:rPr>
                <w:rFonts w:ascii="Times New Roman" w:hAnsi="Times New Roman" w:eastAsia="宋体" w:cs="Times New Roman"/>
                <w:color w:val="auto"/>
                <w:spacing w:val="0"/>
                <w:kern w:val="0"/>
                <w:sz w:val="24"/>
                <w:szCs w:val="24"/>
                <w:highlight w:val="none"/>
              </w:rPr>
              <w:t>q—</w:t>
            </w:r>
            <w:r>
              <w:rPr>
                <w:rFonts w:hint="eastAsia" w:ascii="Times New Roman" w:hAnsi="Times New Roman" w:eastAsia="宋体" w:cs="Times New Roman"/>
                <w:color w:val="auto"/>
                <w:spacing w:val="0"/>
                <w:kern w:val="0"/>
                <w:sz w:val="24"/>
                <w:szCs w:val="24"/>
                <w:highlight w:val="none"/>
              </w:rPr>
              <w:t>设计暴雨强度，</w:t>
            </w:r>
            <w:r>
              <w:rPr>
                <w:rFonts w:ascii="Times New Roman" w:hAnsi="Times New Roman" w:eastAsia="宋体" w:cs="Times New Roman"/>
                <w:color w:val="auto"/>
                <w:spacing w:val="0"/>
                <w:kern w:val="0"/>
                <w:sz w:val="24"/>
                <w:szCs w:val="24"/>
                <w:highlight w:val="none"/>
              </w:rPr>
              <w:t>L/s·ha</w:t>
            </w:r>
            <w:r>
              <w:rPr>
                <w:rFonts w:hint="eastAsia" w:ascii="Times New Roman" w:hAnsi="Times New Roman" w:eastAsia="宋体" w:cs="Times New Roman"/>
                <w:color w:val="auto"/>
                <w:spacing w:val="0"/>
                <w:kern w:val="0"/>
                <w:sz w:val="24"/>
                <w:szCs w:val="24"/>
                <w:highlight w:val="none"/>
              </w:rPr>
              <w:t>；</w:t>
            </w:r>
          </w:p>
          <w:p w14:paraId="7A8E91BD">
            <w:pPr>
              <w:keepNext w:val="0"/>
              <w:keepLines w:val="0"/>
              <w:pageBreakBefore w:val="0"/>
              <w:widowControl w:val="0"/>
              <w:kinsoku/>
              <w:wordWrap/>
              <w:overflowPunct/>
              <w:topLinePunct w:val="0"/>
              <w:autoSpaceDE/>
              <w:autoSpaceDN/>
              <w:bidi w:val="0"/>
              <w:adjustRightInd w:val="0"/>
              <w:snapToGrid w:val="0"/>
              <w:spacing w:line="480" w:lineRule="atLeast"/>
              <w:ind w:firstLine="1200" w:firstLineChars="500"/>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P—</w:t>
            </w:r>
            <w:r>
              <w:rPr>
                <w:rFonts w:hint="eastAsia" w:ascii="Times New Roman" w:hAnsi="Times New Roman" w:eastAsia="宋体" w:cs="Times New Roman"/>
                <w:color w:val="auto"/>
                <w:spacing w:val="0"/>
                <w:kern w:val="0"/>
                <w:sz w:val="24"/>
                <w:szCs w:val="24"/>
                <w:highlight w:val="none"/>
              </w:rPr>
              <w:t>重现期，取</w:t>
            </w:r>
            <w:r>
              <w:rPr>
                <w:rFonts w:ascii="Times New Roman" w:hAnsi="Times New Roman" w:eastAsia="宋体" w:cs="Times New Roman"/>
                <w:color w:val="auto"/>
                <w:spacing w:val="0"/>
                <w:kern w:val="0"/>
                <w:sz w:val="24"/>
                <w:szCs w:val="24"/>
                <w:highlight w:val="none"/>
              </w:rPr>
              <w:t>2</w:t>
            </w:r>
            <w:r>
              <w:rPr>
                <w:rFonts w:hint="eastAsia" w:ascii="Times New Roman" w:hAnsi="Times New Roman" w:eastAsia="宋体" w:cs="Times New Roman"/>
                <w:color w:val="auto"/>
                <w:spacing w:val="0"/>
                <w:kern w:val="0"/>
                <w:sz w:val="24"/>
                <w:szCs w:val="24"/>
                <w:highlight w:val="none"/>
                <w:lang w:val="en-US" w:eastAsia="zh-CN"/>
              </w:rPr>
              <w:t>a</w:t>
            </w:r>
            <w:r>
              <w:rPr>
                <w:rFonts w:hint="eastAsia" w:ascii="Times New Roman" w:hAnsi="Times New Roman" w:eastAsia="宋体" w:cs="Times New Roman"/>
                <w:color w:val="auto"/>
                <w:spacing w:val="0"/>
                <w:kern w:val="0"/>
                <w:sz w:val="24"/>
                <w:szCs w:val="24"/>
                <w:highlight w:val="none"/>
              </w:rPr>
              <w:t>；</w:t>
            </w:r>
          </w:p>
          <w:p w14:paraId="786D3A05">
            <w:pPr>
              <w:keepNext w:val="0"/>
              <w:keepLines w:val="0"/>
              <w:pageBreakBefore w:val="0"/>
              <w:widowControl w:val="0"/>
              <w:kinsoku/>
              <w:wordWrap/>
              <w:overflowPunct/>
              <w:topLinePunct w:val="0"/>
              <w:autoSpaceDE/>
              <w:autoSpaceDN/>
              <w:bidi w:val="0"/>
              <w:adjustRightInd w:val="0"/>
              <w:snapToGrid w:val="0"/>
              <w:spacing w:line="480" w:lineRule="atLeast"/>
              <w:ind w:firstLine="1200" w:firstLineChars="500"/>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t—</w:t>
            </w:r>
            <w:r>
              <w:rPr>
                <w:rFonts w:hint="eastAsia" w:ascii="Times New Roman" w:hAnsi="Times New Roman" w:eastAsia="宋体" w:cs="Times New Roman"/>
                <w:color w:val="auto"/>
                <w:spacing w:val="0"/>
                <w:kern w:val="0"/>
                <w:sz w:val="24"/>
                <w:szCs w:val="24"/>
                <w:highlight w:val="none"/>
              </w:rPr>
              <w:t>降雨时间，取</w:t>
            </w:r>
            <w:r>
              <w:rPr>
                <w:rFonts w:ascii="Times New Roman" w:hAnsi="Times New Roman" w:eastAsia="宋体" w:cs="Times New Roman"/>
                <w:color w:val="auto"/>
                <w:spacing w:val="0"/>
                <w:kern w:val="0"/>
                <w:sz w:val="24"/>
                <w:szCs w:val="24"/>
                <w:highlight w:val="none"/>
              </w:rPr>
              <w:t>15</w:t>
            </w:r>
            <w:r>
              <w:rPr>
                <w:rFonts w:hint="eastAsia" w:ascii="Times New Roman" w:hAnsi="Times New Roman" w:eastAsia="宋体" w:cs="Times New Roman"/>
                <w:color w:val="auto"/>
                <w:spacing w:val="0"/>
                <w:kern w:val="0"/>
                <w:sz w:val="24"/>
                <w:szCs w:val="24"/>
                <w:highlight w:val="none"/>
                <w:lang w:val="en-US" w:eastAsia="zh-CN"/>
              </w:rPr>
              <w:t>min</w:t>
            </w:r>
            <w:r>
              <w:rPr>
                <w:rFonts w:hint="eastAsia" w:ascii="Times New Roman" w:hAnsi="Times New Roman" w:eastAsia="宋体" w:cs="Times New Roman"/>
                <w:color w:val="auto"/>
                <w:spacing w:val="0"/>
                <w:kern w:val="0"/>
                <w:sz w:val="24"/>
                <w:szCs w:val="24"/>
                <w:highlight w:val="none"/>
              </w:rPr>
              <w:t>；</w:t>
            </w:r>
          </w:p>
          <w:p w14:paraId="6157EEDC">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经计算得暴雨强度为</w:t>
            </w:r>
            <w:r>
              <w:rPr>
                <w:rFonts w:hint="eastAsia" w:cs="Times New Roman"/>
                <w:color w:val="auto"/>
                <w:spacing w:val="0"/>
                <w:kern w:val="0"/>
                <w:sz w:val="24"/>
                <w:szCs w:val="24"/>
                <w:highlight w:val="none"/>
                <w:lang w:val="en-US" w:eastAsia="zh-CN"/>
              </w:rPr>
              <w:t>197.19</w:t>
            </w:r>
            <w:r>
              <w:rPr>
                <w:rFonts w:ascii="Times New Roman" w:hAnsi="Times New Roman" w:eastAsia="宋体" w:cs="Times New Roman"/>
                <w:color w:val="auto"/>
                <w:spacing w:val="0"/>
                <w:kern w:val="0"/>
                <w:sz w:val="24"/>
                <w:szCs w:val="24"/>
                <w:highlight w:val="none"/>
              </w:rPr>
              <w:t>L/s·ha</w:t>
            </w:r>
            <w:r>
              <w:rPr>
                <w:rFonts w:hint="eastAsia" w:ascii="Times New Roman" w:hAnsi="Times New Roman" w:eastAsia="宋体" w:cs="Times New Roman"/>
                <w:color w:val="auto"/>
                <w:spacing w:val="0"/>
                <w:kern w:val="0"/>
                <w:sz w:val="24"/>
                <w:szCs w:val="24"/>
                <w:highlight w:val="none"/>
              </w:rPr>
              <w:t>。</w:t>
            </w:r>
          </w:p>
          <w:p w14:paraId="7F70B1F3">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初期雨水汇水量：</w:t>
            </w:r>
          </w:p>
          <w:p w14:paraId="0E9EBCA3">
            <w:pPr>
              <w:keepNext w:val="0"/>
              <w:keepLines w:val="0"/>
              <w:pageBreakBefore w:val="0"/>
              <w:widowControl w:val="0"/>
              <w:kinsoku/>
              <w:wordWrap/>
              <w:overflowPunct/>
              <w:topLinePunct w:val="0"/>
              <w:autoSpaceDE/>
              <w:autoSpaceDN/>
              <w:bidi w:val="0"/>
              <w:adjustRightInd w:val="0"/>
              <w:snapToGrid w:val="0"/>
              <w:spacing w:line="480" w:lineRule="atLeast"/>
              <w:jc w:val="center"/>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Q=Ψq Ft</w:t>
            </w:r>
          </w:p>
          <w:p w14:paraId="67234B24">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式中：</w:t>
            </w:r>
            <w:r>
              <w:rPr>
                <w:rFonts w:ascii="Times New Roman" w:hAnsi="Times New Roman" w:eastAsia="宋体" w:cs="Times New Roman"/>
                <w:color w:val="auto"/>
                <w:spacing w:val="0"/>
                <w:kern w:val="0"/>
                <w:sz w:val="24"/>
                <w:szCs w:val="24"/>
                <w:highlight w:val="none"/>
              </w:rPr>
              <w:t>Q—</w:t>
            </w:r>
            <w:r>
              <w:rPr>
                <w:rFonts w:hint="eastAsia" w:ascii="Times New Roman" w:hAnsi="Times New Roman" w:eastAsia="宋体" w:cs="Times New Roman"/>
                <w:color w:val="auto"/>
                <w:spacing w:val="0"/>
                <w:kern w:val="0"/>
                <w:sz w:val="24"/>
                <w:szCs w:val="24"/>
                <w:highlight w:val="none"/>
              </w:rPr>
              <w:t>初期雨水汇水量，</w:t>
            </w:r>
            <w:r>
              <w:rPr>
                <w:rFonts w:ascii="Times New Roman" w:hAnsi="Times New Roman" w:eastAsia="宋体" w:cs="Times New Roman"/>
                <w:color w:val="auto"/>
                <w:spacing w:val="0"/>
                <w:kern w:val="0"/>
                <w:sz w:val="24"/>
                <w:szCs w:val="24"/>
                <w:highlight w:val="none"/>
              </w:rPr>
              <w:t>m</w:t>
            </w:r>
            <w:r>
              <w:rPr>
                <w:rFonts w:ascii="Times New Roman" w:hAnsi="Times New Roman" w:eastAsia="宋体" w:cs="Times New Roman"/>
                <w:color w:val="auto"/>
                <w:spacing w:val="0"/>
                <w:kern w:val="0"/>
                <w:sz w:val="24"/>
                <w:szCs w:val="24"/>
                <w:highlight w:val="none"/>
                <w:vertAlign w:val="superscript"/>
              </w:rPr>
              <w:t>3</w:t>
            </w:r>
            <w:r>
              <w:rPr>
                <w:rFonts w:hint="eastAsia" w:ascii="Times New Roman" w:hAnsi="Times New Roman" w:eastAsia="宋体" w:cs="Times New Roman"/>
                <w:color w:val="auto"/>
                <w:spacing w:val="0"/>
                <w:kern w:val="0"/>
                <w:sz w:val="24"/>
                <w:szCs w:val="24"/>
                <w:highlight w:val="none"/>
              </w:rPr>
              <w:t>；</w:t>
            </w:r>
          </w:p>
          <w:p w14:paraId="339CFEBD">
            <w:pPr>
              <w:keepNext w:val="0"/>
              <w:keepLines w:val="0"/>
              <w:pageBreakBefore w:val="0"/>
              <w:widowControl w:val="0"/>
              <w:kinsoku/>
              <w:wordWrap/>
              <w:overflowPunct/>
              <w:topLinePunct w:val="0"/>
              <w:autoSpaceDE/>
              <w:autoSpaceDN/>
              <w:bidi w:val="0"/>
              <w:adjustRightInd w:val="0"/>
              <w:snapToGrid w:val="0"/>
              <w:spacing w:line="480" w:lineRule="atLeast"/>
              <w:ind w:firstLine="1200" w:firstLineChars="500"/>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Ψ—</w:t>
            </w:r>
            <w:r>
              <w:rPr>
                <w:rFonts w:hint="eastAsia" w:ascii="Times New Roman" w:hAnsi="Times New Roman" w:eastAsia="宋体" w:cs="Times New Roman"/>
                <w:color w:val="auto"/>
                <w:spacing w:val="0"/>
                <w:kern w:val="0"/>
                <w:sz w:val="24"/>
                <w:szCs w:val="24"/>
                <w:highlight w:val="none"/>
              </w:rPr>
              <w:t>径流系数，取</w:t>
            </w:r>
            <w:r>
              <w:rPr>
                <w:rFonts w:ascii="Times New Roman" w:hAnsi="Times New Roman" w:eastAsia="宋体" w:cs="Times New Roman"/>
                <w:color w:val="auto"/>
                <w:spacing w:val="0"/>
                <w:kern w:val="0"/>
                <w:sz w:val="24"/>
                <w:szCs w:val="24"/>
                <w:highlight w:val="none"/>
              </w:rPr>
              <w:t>0.9</w:t>
            </w:r>
            <w:r>
              <w:rPr>
                <w:rFonts w:hint="eastAsia" w:ascii="Times New Roman" w:hAnsi="Times New Roman" w:eastAsia="宋体" w:cs="Times New Roman"/>
                <w:color w:val="auto"/>
                <w:spacing w:val="0"/>
                <w:kern w:val="0"/>
                <w:sz w:val="24"/>
                <w:szCs w:val="24"/>
                <w:highlight w:val="none"/>
              </w:rPr>
              <w:t>；</w:t>
            </w:r>
          </w:p>
          <w:p w14:paraId="11B38707">
            <w:pPr>
              <w:keepNext w:val="0"/>
              <w:keepLines w:val="0"/>
              <w:pageBreakBefore w:val="0"/>
              <w:widowControl w:val="0"/>
              <w:kinsoku/>
              <w:wordWrap/>
              <w:overflowPunct/>
              <w:topLinePunct w:val="0"/>
              <w:autoSpaceDE/>
              <w:autoSpaceDN/>
              <w:bidi w:val="0"/>
              <w:adjustRightInd w:val="0"/>
              <w:snapToGrid w:val="0"/>
              <w:spacing w:line="480" w:lineRule="atLeast"/>
              <w:ind w:firstLine="1200" w:firstLineChars="500"/>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F—</w:t>
            </w:r>
            <w:r>
              <w:rPr>
                <w:rFonts w:hint="eastAsia" w:ascii="Times New Roman" w:hAnsi="Times New Roman" w:eastAsia="宋体" w:cs="Times New Roman"/>
                <w:color w:val="auto"/>
                <w:spacing w:val="0"/>
                <w:kern w:val="0"/>
                <w:sz w:val="24"/>
                <w:szCs w:val="24"/>
                <w:highlight w:val="none"/>
              </w:rPr>
              <w:t>汇水面积，</w:t>
            </w:r>
            <w:r>
              <w:rPr>
                <w:rFonts w:ascii="Times New Roman" w:hAnsi="Times New Roman" w:eastAsia="宋体" w:cs="Times New Roman"/>
                <w:color w:val="auto"/>
                <w:spacing w:val="0"/>
                <w:kern w:val="0"/>
                <w:sz w:val="24"/>
                <w:szCs w:val="24"/>
                <w:highlight w:val="none"/>
              </w:rPr>
              <w:t>m</w:t>
            </w:r>
            <w:r>
              <w:rPr>
                <w:rFonts w:ascii="Times New Roman" w:hAnsi="Times New Roman" w:eastAsia="宋体" w:cs="Times New Roman"/>
                <w:color w:val="auto"/>
                <w:spacing w:val="0"/>
                <w:kern w:val="0"/>
                <w:sz w:val="24"/>
                <w:szCs w:val="24"/>
                <w:highlight w:val="none"/>
                <w:vertAlign w:val="superscript"/>
              </w:rPr>
              <w:t>2</w:t>
            </w:r>
            <w:r>
              <w:rPr>
                <w:rFonts w:hint="eastAsia" w:ascii="Times New Roman" w:hAnsi="Times New Roman" w:eastAsia="宋体" w:cs="Times New Roman"/>
                <w:color w:val="auto"/>
                <w:spacing w:val="0"/>
                <w:kern w:val="0"/>
                <w:sz w:val="24"/>
                <w:szCs w:val="24"/>
                <w:highlight w:val="none"/>
              </w:rPr>
              <w:t>，取</w:t>
            </w:r>
            <w:r>
              <w:rPr>
                <w:rFonts w:hint="eastAsia" w:cs="Times New Roman"/>
                <w:color w:val="auto"/>
                <w:spacing w:val="0"/>
                <w:kern w:val="0"/>
                <w:sz w:val="24"/>
                <w:szCs w:val="24"/>
                <w:highlight w:val="none"/>
                <w:lang w:val="en-US" w:eastAsia="zh-CN"/>
              </w:rPr>
              <w:t>40</w:t>
            </w:r>
            <w:r>
              <w:rPr>
                <w:rFonts w:hint="eastAsia" w:ascii="Times New Roman" w:hAnsi="Times New Roman" w:eastAsia="宋体" w:cs="Times New Roman"/>
                <w:color w:val="auto"/>
                <w:spacing w:val="0"/>
                <w:kern w:val="0"/>
                <w:sz w:val="24"/>
                <w:szCs w:val="24"/>
                <w:highlight w:val="none"/>
                <w:lang w:val="en-US" w:eastAsia="zh-CN"/>
              </w:rPr>
              <w:t>00</w:t>
            </w:r>
            <w:r>
              <w:rPr>
                <w:rFonts w:ascii="Times New Roman" w:hAnsi="Times New Roman" w:eastAsia="宋体" w:cs="Times New Roman"/>
                <w:color w:val="auto"/>
                <w:spacing w:val="0"/>
                <w:kern w:val="0"/>
                <w:sz w:val="24"/>
                <w:szCs w:val="24"/>
                <w:highlight w:val="none"/>
              </w:rPr>
              <w:t>m</w:t>
            </w:r>
            <w:r>
              <w:rPr>
                <w:rFonts w:ascii="Times New Roman" w:hAnsi="Times New Roman" w:eastAsia="宋体" w:cs="Times New Roman"/>
                <w:color w:val="auto"/>
                <w:spacing w:val="0"/>
                <w:kern w:val="0"/>
                <w:sz w:val="24"/>
                <w:szCs w:val="24"/>
                <w:highlight w:val="none"/>
                <w:vertAlign w:val="superscript"/>
              </w:rPr>
              <w:t>2</w:t>
            </w:r>
            <w:r>
              <w:rPr>
                <w:rFonts w:hint="eastAsia" w:ascii="Times New Roman" w:hAnsi="Times New Roman" w:eastAsia="宋体" w:cs="Times New Roman"/>
                <w:color w:val="auto"/>
                <w:spacing w:val="0"/>
                <w:kern w:val="0"/>
                <w:sz w:val="24"/>
                <w:szCs w:val="24"/>
                <w:highlight w:val="none"/>
              </w:rPr>
              <w:t>；</w:t>
            </w:r>
          </w:p>
          <w:p w14:paraId="0EEA3057">
            <w:pPr>
              <w:keepNext w:val="0"/>
              <w:keepLines w:val="0"/>
              <w:pageBreakBefore w:val="0"/>
              <w:widowControl w:val="0"/>
              <w:kinsoku/>
              <w:wordWrap/>
              <w:overflowPunct/>
              <w:topLinePunct w:val="0"/>
              <w:autoSpaceDE/>
              <w:autoSpaceDN/>
              <w:bidi w:val="0"/>
              <w:adjustRightInd w:val="0"/>
              <w:snapToGrid w:val="0"/>
              <w:spacing w:line="480" w:lineRule="atLeast"/>
              <w:ind w:firstLine="1200" w:firstLineChars="500"/>
              <w:textAlignment w:val="auto"/>
              <w:rPr>
                <w:rFonts w:ascii="Times New Roman" w:hAnsi="Times New Roman" w:eastAsia="宋体" w:cs="Times New Roman"/>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t—</w:t>
            </w:r>
            <w:r>
              <w:rPr>
                <w:rFonts w:hint="eastAsia" w:ascii="Times New Roman" w:hAnsi="Times New Roman" w:eastAsia="宋体" w:cs="Times New Roman"/>
                <w:color w:val="auto"/>
                <w:spacing w:val="0"/>
                <w:kern w:val="0"/>
                <w:sz w:val="24"/>
                <w:szCs w:val="24"/>
                <w:highlight w:val="none"/>
              </w:rPr>
              <w:t>集水时间，</w:t>
            </w:r>
            <w:r>
              <w:rPr>
                <w:rFonts w:ascii="Times New Roman" w:hAnsi="Times New Roman" w:eastAsia="宋体" w:cs="Times New Roman"/>
                <w:color w:val="auto"/>
                <w:spacing w:val="0"/>
                <w:kern w:val="0"/>
                <w:sz w:val="24"/>
                <w:szCs w:val="24"/>
                <w:highlight w:val="none"/>
              </w:rPr>
              <w:t>15</w:t>
            </w:r>
            <w:r>
              <w:rPr>
                <w:rFonts w:hint="eastAsia" w:ascii="Times New Roman" w:hAnsi="Times New Roman" w:eastAsia="宋体" w:cs="Times New Roman"/>
                <w:color w:val="auto"/>
                <w:spacing w:val="0"/>
                <w:kern w:val="0"/>
                <w:sz w:val="24"/>
                <w:szCs w:val="24"/>
                <w:highlight w:val="none"/>
                <w:lang w:val="en-US" w:eastAsia="zh-CN"/>
              </w:rPr>
              <w:t>min</w:t>
            </w:r>
            <w:r>
              <w:rPr>
                <w:rFonts w:hint="eastAsia" w:ascii="Times New Roman" w:hAnsi="Times New Roman" w:eastAsia="宋体" w:cs="Times New Roman"/>
                <w:color w:val="auto"/>
                <w:spacing w:val="0"/>
                <w:kern w:val="0"/>
                <w:sz w:val="24"/>
                <w:szCs w:val="24"/>
                <w:highlight w:val="none"/>
              </w:rPr>
              <w:t>。</w:t>
            </w:r>
          </w:p>
          <w:p w14:paraId="4FA119B8">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ascii="Times New Roman" w:hAnsi="Times New Roman" w:eastAsia="宋体" w:cs="Times New Roman"/>
                <w:color w:val="auto"/>
                <w:spacing w:val="0"/>
                <w:kern w:val="0"/>
                <w:sz w:val="24"/>
                <w:szCs w:val="24"/>
                <w:highlight w:val="none"/>
              </w:rPr>
            </w:pPr>
            <w:r>
              <w:rPr>
                <w:rFonts w:hint="eastAsia" w:ascii="Times New Roman" w:hAnsi="Times New Roman" w:eastAsia="宋体" w:cs="Times New Roman"/>
                <w:color w:val="auto"/>
                <w:spacing w:val="0"/>
                <w:kern w:val="0"/>
                <w:sz w:val="24"/>
                <w:szCs w:val="24"/>
                <w:highlight w:val="none"/>
              </w:rPr>
              <w:t>经计算，厂区初期雨水量为</w:t>
            </w:r>
            <w:r>
              <w:rPr>
                <w:rFonts w:hint="eastAsia" w:cs="Times New Roman"/>
                <w:color w:val="auto"/>
                <w:spacing w:val="0"/>
                <w:kern w:val="0"/>
                <w:sz w:val="24"/>
                <w:szCs w:val="24"/>
                <w:highlight w:val="none"/>
                <w:lang w:val="en-US" w:eastAsia="zh-CN"/>
              </w:rPr>
              <w:t>63.89</w:t>
            </w:r>
            <w:r>
              <w:rPr>
                <w:rFonts w:ascii="Times New Roman" w:hAnsi="Times New Roman" w:eastAsia="宋体" w:cs="Times New Roman"/>
                <w:color w:val="auto"/>
                <w:spacing w:val="0"/>
                <w:kern w:val="0"/>
                <w:sz w:val="24"/>
                <w:szCs w:val="24"/>
                <w:highlight w:val="none"/>
              </w:rPr>
              <w:t>m</w:t>
            </w:r>
            <w:r>
              <w:rPr>
                <w:rFonts w:hint="eastAsia" w:ascii="Times New Roman" w:hAnsi="Times New Roman" w:eastAsia="宋体" w:cs="Times New Roman"/>
                <w:color w:val="auto"/>
                <w:spacing w:val="0"/>
                <w:kern w:val="0"/>
                <w:sz w:val="24"/>
                <w:szCs w:val="24"/>
                <w:highlight w:val="none"/>
                <w:vertAlign w:val="superscript"/>
                <w:lang w:val="en-US" w:eastAsia="zh-CN"/>
              </w:rPr>
              <w:t>3</w:t>
            </w:r>
            <w:r>
              <w:rPr>
                <w:rFonts w:hint="eastAsia" w:ascii="Times New Roman" w:hAnsi="Times New Roman" w:eastAsia="宋体" w:cs="Times New Roman"/>
                <w:color w:val="auto"/>
                <w:spacing w:val="0"/>
                <w:kern w:val="0"/>
                <w:sz w:val="24"/>
                <w:szCs w:val="24"/>
                <w:highlight w:val="none"/>
              </w:rPr>
              <w:t>。</w:t>
            </w:r>
          </w:p>
          <w:p w14:paraId="6CE1BD23">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ascii="Times New Roman" w:hAnsi="Times New Roman" w:eastAsia="宋体" w:cs="Times New Roman"/>
                <w:color w:val="auto"/>
                <w:spacing w:val="0"/>
                <w:kern w:val="21"/>
                <w:sz w:val="24"/>
                <w:szCs w:val="24"/>
                <w:highlight w:val="none"/>
              </w:rPr>
            </w:pPr>
            <w:r>
              <w:rPr>
                <w:rFonts w:hint="eastAsia" w:ascii="Times New Roman" w:hAnsi="Times New Roman" w:eastAsia="宋体" w:cs="Times New Roman"/>
                <w:color w:val="auto"/>
                <w:spacing w:val="0"/>
                <w:kern w:val="0"/>
                <w:sz w:val="24"/>
                <w:szCs w:val="24"/>
                <w:highlight w:val="none"/>
                <w:lang w:val="en-US" w:eastAsia="zh-CN"/>
              </w:rPr>
              <w:t>本次评价</w:t>
            </w:r>
            <w:r>
              <w:rPr>
                <w:rFonts w:hint="eastAsia" w:ascii="Times New Roman" w:hAnsi="Times New Roman" w:eastAsia="宋体" w:cs="Times New Roman"/>
                <w:color w:val="auto"/>
                <w:spacing w:val="0"/>
                <w:kern w:val="0"/>
                <w:sz w:val="24"/>
                <w:szCs w:val="24"/>
                <w:highlight w:val="none"/>
              </w:rPr>
              <w:t>拟在</w:t>
            </w:r>
            <w:r>
              <w:rPr>
                <w:rFonts w:ascii="Times New Roman" w:hAnsi="Times New Roman" w:eastAsia="宋体" w:cs="Times New Roman"/>
                <w:color w:val="auto"/>
                <w:spacing w:val="0"/>
                <w:kern w:val="0"/>
                <w:sz w:val="24"/>
                <w:szCs w:val="24"/>
                <w:highlight w:val="none"/>
              </w:rPr>
              <w:t>厂区</w:t>
            </w:r>
            <w:r>
              <w:rPr>
                <w:rFonts w:hint="eastAsia" w:ascii="Times New Roman" w:hAnsi="Times New Roman" w:eastAsia="宋体" w:cs="Times New Roman"/>
                <w:color w:val="auto"/>
                <w:spacing w:val="0"/>
                <w:kern w:val="0"/>
                <w:sz w:val="24"/>
                <w:szCs w:val="24"/>
                <w:highlight w:val="none"/>
                <w:lang w:val="en-US" w:eastAsia="zh-CN"/>
              </w:rPr>
              <w:t>地势最低处</w:t>
            </w:r>
            <w:r>
              <w:rPr>
                <w:rFonts w:hint="eastAsia" w:ascii="Times New Roman" w:hAnsi="Times New Roman" w:eastAsia="宋体" w:cs="Times New Roman"/>
                <w:color w:val="auto"/>
                <w:spacing w:val="0"/>
                <w:kern w:val="0"/>
                <w:sz w:val="24"/>
                <w:szCs w:val="24"/>
                <w:highlight w:val="none"/>
              </w:rPr>
              <w:t>建设</w:t>
            </w:r>
            <w:r>
              <w:rPr>
                <w:rFonts w:hint="eastAsia" w:ascii="Times New Roman" w:hAnsi="Times New Roman" w:eastAsia="宋体" w:cs="Times New Roman"/>
                <w:color w:val="auto"/>
                <w:spacing w:val="0"/>
                <w:kern w:val="0"/>
                <w:sz w:val="24"/>
                <w:szCs w:val="24"/>
                <w:highlight w:val="none"/>
                <w:lang w:val="en-US" w:eastAsia="zh-CN"/>
              </w:rPr>
              <w:t>1座</w:t>
            </w:r>
            <w:r>
              <w:rPr>
                <w:rFonts w:hint="eastAsia" w:ascii="Times New Roman" w:hAnsi="Times New Roman" w:eastAsia="宋体" w:cs="Times New Roman"/>
                <w:color w:val="auto"/>
                <w:spacing w:val="0"/>
                <w:kern w:val="0"/>
                <w:sz w:val="24"/>
                <w:szCs w:val="24"/>
                <w:highlight w:val="none"/>
              </w:rPr>
              <w:t>初期雨水收集池，</w:t>
            </w:r>
            <w:r>
              <w:rPr>
                <w:rFonts w:hint="eastAsia" w:ascii="Times New Roman" w:hAnsi="Times New Roman" w:eastAsia="宋体" w:cs="Times New Roman"/>
                <w:color w:val="auto"/>
                <w:spacing w:val="0"/>
                <w:kern w:val="0"/>
                <w:sz w:val="24"/>
                <w:szCs w:val="24"/>
                <w:highlight w:val="none"/>
                <w:lang w:val="en-US" w:eastAsia="zh-CN"/>
              </w:rPr>
              <w:t>尺寸：9m×4m×3.5m，容积为126m</w:t>
            </w:r>
            <w:r>
              <w:rPr>
                <w:rFonts w:hint="eastAsia" w:ascii="Times New Roman" w:hAnsi="Times New Roman" w:eastAsia="宋体" w:cs="Times New Roman"/>
                <w:color w:val="auto"/>
                <w:spacing w:val="0"/>
                <w:kern w:val="0"/>
                <w:sz w:val="24"/>
                <w:szCs w:val="24"/>
                <w:highlight w:val="none"/>
                <w:vertAlign w:val="superscript"/>
                <w:lang w:val="en-US" w:eastAsia="zh-CN"/>
              </w:rPr>
              <w:t>3</w:t>
            </w:r>
            <w:r>
              <w:rPr>
                <w:rFonts w:hint="eastAsia" w:cs="Times New Roman"/>
                <w:color w:val="auto"/>
                <w:spacing w:val="0"/>
                <w:kern w:val="0"/>
                <w:sz w:val="24"/>
                <w:szCs w:val="24"/>
                <w:highlight w:val="none"/>
                <w:lang w:val="en-US" w:eastAsia="zh-CN"/>
              </w:rPr>
              <w:t>&gt;63.89</w:t>
            </w:r>
            <w:r>
              <w:rPr>
                <w:rFonts w:ascii="Times New Roman" w:hAnsi="Times New Roman" w:eastAsia="宋体" w:cs="Times New Roman"/>
                <w:color w:val="auto"/>
                <w:spacing w:val="0"/>
                <w:kern w:val="0"/>
                <w:sz w:val="24"/>
                <w:szCs w:val="24"/>
                <w:highlight w:val="none"/>
              </w:rPr>
              <w:t>m</w:t>
            </w:r>
            <w:r>
              <w:rPr>
                <w:rFonts w:hint="eastAsia" w:ascii="Times New Roman" w:hAnsi="Times New Roman" w:eastAsia="宋体" w:cs="Times New Roman"/>
                <w:color w:val="auto"/>
                <w:spacing w:val="0"/>
                <w:kern w:val="0"/>
                <w:sz w:val="24"/>
                <w:szCs w:val="24"/>
                <w:highlight w:val="none"/>
                <w:vertAlign w:val="superscript"/>
                <w:lang w:val="en-US" w:eastAsia="zh-CN"/>
              </w:rPr>
              <w:t>3</w:t>
            </w:r>
            <w:r>
              <w:rPr>
                <w:rFonts w:hint="eastAsia" w:cs="Times New Roman"/>
                <w:color w:val="auto"/>
                <w:spacing w:val="0"/>
                <w:kern w:val="0"/>
                <w:sz w:val="24"/>
                <w:szCs w:val="24"/>
                <w:highlight w:val="none"/>
                <w:lang w:val="en-US" w:eastAsia="zh-CN"/>
              </w:rPr>
              <w:t>，初期雨水收集池容积大于初期雨水量，可满足初期雨水收纳要求，设置合理。</w:t>
            </w:r>
            <w:r>
              <w:rPr>
                <w:rFonts w:hint="eastAsia" w:ascii="Times New Roman" w:hAnsi="Times New Roman" w:eastAsia="宋体" w:cs="Times New Roman"/>
                <w:color w:val="auto"/>
                <w:spacing w:val="0"/>
                <w:kern w:val="0"/>
                <w:sz w:val="24"/>
                <w:szCs w:val="24"/>
                <w:highlight w:val="none"/>
              </w:rPr>
              <w:t>将初期雨水收集进入初期雨水收集池，以防止含污染物较高的初期（</w:t>
            </w:r>
            <w:r>
              <w:rPr>
                <w:rFonts w:hint="eastAsia" w:ascii="Times New Roman" w:hAnsi="Times New Roman" w:eastAsia="宋体" w:cs="Times New Roman"/>
                <w:color w:val="auto"/>
                <w:spacing w:val="0"/>
                <w:kern w:val="0"/>
                <w:sz w:val="24"/>
                <w:szCs w:val="24"/>
                <w:highlight w:val="none"/>
                <w:lang w:val="en-US" w:eastAsia="zh-CN"/>
              </w:rPr>
              <w:t>前</w:t>
            </w:r>
            <w:r>
              <w:rPr>
                <w:rFonts w:hint="eastAsia" w:ascii="Times New Roman" w:hAnsi="Times New Roman" w:eastAsia="宋体" w:cs="Times New Roman"/>
                <w:color w:val="auto"/>
                <w:spacing w:val="0"/>
                <w:kern w:val="0"/>
                <w:sz w:val="24"/>
                <w:szCs w:val="24"/>
                <w:highlight w:val="none"/>
              </w:rPr>
              <w:t>十五分钟）雨水对地表</w:t>
            </w:r>
            <w:r>
              <w:rPr>
                <w:rFonts w:hint="eastAsia" w:ascii="Times New Roman" w:hAnsi="Times New Roman" w:eastAsia="宋体" w:cs="Times New Roman"/>
                <w:color w:val="auto"/>
                <w:spacing w:val="0"/>
                <w:kern w:val="21"/>
                <w:sz w:val="24"/>
                <w:szCs w:val="24"/>
                <w:highlight w:val="none"/>
              </w:rPr>
              <w:t>水造成污染，收集</w:t>
            </w:r>
            <w:r>
              <w:rPr>
                <w:rFonts w:hint="eastAsia" w:ascii="Times New Roman" w:hAnsi="Times New Roman" w:eastAsia="宋体" w:cs="Times New Roman"/>
                <w:color w:val="auto"/>
                <w:spacing w:val="0"/>
                <w:kern w:val="21"/>
                <w:sz w:val="24"/>
                <w:szCs w:val="24"/>
                <w:highlight w:val="none"/>
                <w:lang w:val="en-US" w:eastAsia="zh-CN"/>
              </w:rPr>
              <w:t>初期雨水经沉淀后回用于厂区洒水抑尘</w:t>
            </w:r>
            <w:r>
              <w:rPr>
                <w:rFonts w:hint="eastAsia" w:cs="Times New Roman"/>
                <w:color w:val="auto"/>
                <w:spacing w:val="0"/>
                <w:kern w:val="21"/>
                <w:sz w:val="24"/>
                <w:szCs w:val="24"/>
                <w:highlight w:val="none"/>
                <w:lang w:val="en-US" w:eastAsia="zh-CN"/>
              </w:rPr>
              <w:t>，不外排</w:t>
            </w:r>
            <w:r>
              <w:rPr>
                <w:rFonts w:hint="eastAsia" w:ascii="Times New Roman" w:hAnsi="Times New Roman" w:eastAsia="宋体" w:cs="Times New Roman"/>
                <w:color w:val="auto"/>
                <w:spacing w:val="0"/>
                <w:kern w:val="21"/>
                <w:sz w:val="24"/>
                <w:szCs w:val="24"/>
                <w:highlight w:val="none"/>
              </w:rPr>
              <w:t>。</w:t>
            </w:r>
          </w:p>
          <w:p w14:paraId="4C56A87B">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cs="Times New Roman"/>
                <w:b w:val="0"/>
                <w:bCs w:val="0"/>
                <w:color w:val="auto"/>
                <w:sz w:val="24"/>
                <w:szCs w:val="20"/>
                <w:highlight w:val="none"/>
                <w:lang w:val="en-US" w:eastAsia="zh-CN"/>
              </w:rPr>
            </w:pPr>
          </w:p>
          <w:p w14:paraId="310A2CF5">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cs="Times New Roman"/>
                <w:b w:val="0"/>
                <w:bCs w:val="0"/>
                <w:color w:val="auto"/>
                <w:sz w:val="24"/>
                <w:szCs w:val="20"/>
                <w:highlight w:val="none"/>
                <w:lang w:val="en-US" w:eastAsia="zh-CN"/>
              </w:rPr>
            </w:pPr>
          </w:p>
          <w:p w14:paraId="27DC947B">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cs="Times New Roman"/>
                <w:b w:val="0"/>
                <w:bCs w:val="0"/>
                <w:color w:val="auto"/>
                <w:sz w:val="24"/>
                <w:szCs w:val="20"/>
                <w:highlight w:val="none"/>
                <w:lang w:val="en-US" w:eastAsia="zh-CN"/>
              </w:rPr>
            </w:pPr>
          </w:p>
          <w:p w14:paraId="63E70BA2">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cs="Times New Roman"/>
                <w:b w:val="0"/>
                <w:bCs w:val="0"/>
                <w:color w:val="auto"/>
                <w:sz w:val="24"/>
                <w:szCs w:val="20"/>
                <w:highlight w:val="none"/>
                <w:lang w:val="en-US" w:eastAsia="zh-CN"/>
              </w:rPr>
            </w:pPr>
          </w:p>
          <w:p w14:paraId="448B70EC">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eastAsia" w:cs="Times New Roman"/>
                <w:b w:val="0"/>
                <w:bCs w:val="0"/>
                <w:color w:val="auto"/>
                <w:sz w:val="24"/>
                <w:szCs w:val="20"/>
                <w:highlight w:val="none"/>
                <w:lang w:val="en-US" w:eastAsia="zh-CN"/>
              </w:rPr>
            </w:pPr>
          </w:p>
          <w:p w14:paraId="47E8941F">
            <w:pPr>
              <w:keepNext w:val="0"/>
              <w:keepLines w:val="0"/>
              <w:pageBreakBefore w:val="0"/>
              <w:widowControl w:val="0"/>
              <w:kinsoku/>
              <w:wordWrap/>
              <w:overflowPunct/>
              <w:topLinePunct w:val="0"/>
              <w:autoSpaceDE/>
              <w:autoSpaceDN/>
              <w:bidi w:val="0"/>
              <w:adjustRightInd w:val="0"/>
              <w:snapToGrid w:val="0"/>
              <w:spacing w:line="480" w:lineRule="atLeast"/>
              <w:ind w:firstLine="480" w:firstLineChars="200"/>
              <w:textAlignment w:val="auto"/>
              <w:rPr>
                <w:rFonts w:hint="default" w:ascii="Times New Roman" w:hAnsi="Times New Roman" w:eastAsia="宋体" w:cs="Times New Roman"/>
                <w:b w:val="0"/>
                <w:bCs w:val="0"/>
                <w:color w:val="auto"/>
                <w:sz w:val="24"/>
                <w:szCs w:val="20"/>
                <w:highlight w:val="none"/>
                <w:lang w:val="en-US" w:eastAsia="zh-CN"/>
              </w:rPr>
            </w:pPr>
          </w:p>
        </w:tc>
      </w:tr>
    </w:tbl>
    <w:p w14:paraId="69E31E83">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451"/>
      </w:tblGrid>
      <w:tr w14:paraId="15B5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7" w:hRule="atLeast"/>
        </w:trPr>
        <w:tc>
          <w:tcPr>
            <w:tcW w:w="777" w:type="dxa"/>
            <w:noWrap w:val="0"/>
            <w:vAlign w:val="center"/>
          </w:tcPr>
          <w:p w14:paraId="53CCE00B">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w:t>
            </w:r>
          </w:p>
          <w:p w14:paraId="4DCE0E8A">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期环</w:t>
            </w:r>
          </w:p>
          <w:p w14:paraId="0063F66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境影</w:t>
            </w:r>
          </w:p>
          <w:p w14:paraId="3882CB0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响和</w:t>
            </w:r>
          </w:p>
          <w:p w14:paraId="485E045F">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保护</w:t>
            </w:r>
          </w:p>
          <w:p w14:paraId="4AD2861D">
            <w:pPr>
              <w:jc w:val="center"/>
              <w:rPr>
                <w:rFonts w:hint="default"/>
                <w:color w:val="auto"/>
                <w:highlight w:val="none"/>
                <w:vertAlign w:val="baseline"/>
              </w:rPr>
            </w:pPr>
            <w:r>
              <w:rPr>
                <w:rFonts w:hint="default" w:ascii="Times New Roman" w:hAnsi="Times New Roman" w:eastAsia="宋体" w:cs="Times New Roman"/>
                <w:bCs/>
                <w:color w:val="auto"/>
                <w:szCs w:val="21"/>
                <w:highlight w:val="none"/>
              </w:rPr>
              <w:t>措施</w:t>
            </w:r>
          </w:p>
        </w:tc>
        <w:tc>
          <w:tcPr>
            <w:tcW w:w="12451" w:type="dxa"/>
            <w:noWrap w:val="0"/>
            <w:vAlign w:val="top"/>
          </w:tcPr>
          <w:p w14:paraId="6A6092A2">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4.7 噪声</w:t>
            </w:r>
          </w:p>
          <w:p w14:paraId="5CE5EA9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1.噪声源强分析</w:t>
            </w:r>
          </w:p>
          <w:p w14:paraId="4BB9024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pacing w:val="0"/>
                <w:sz w:val="24"/>
                <w:highlight w:val="none"/>
                <w:lang w:val="en-US" w:eastAsia="zh-CN"/>
              </w:rPr>
              <w:t>本项目主要噪声源强见表4.7-1、表4.7-2。</w:t>
            </w:r>
          </w:p>
          <w:p w14:paraId="0B36E551">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spacing w:val="0"/>
                <w:kern w:val="2"/>
                <w:sz w:val="21"/>
                <w:szCs w:val="21"/>
                <w:highlight w:val="none"/>
                <w:lang w:val="en-US" w:eastAsia="zh-CN" w:bidi="ar-SA"/>
              </w:rPr>
            </w:pPr>
            <w:r>
              <w:rPr>
                <w:rFonts w:hint="default" w:ascii="Times New Roman" w:hAnsi="Times New Roman" w:eastAsia="黑体" w:cs="Times New Roman"/>
                <w:b w:val="0"/>
                <w:bCs w:val="0"/>
                <w:color w:val="auto"/>
                <w:spacing w:val="0"/>
                <w:kern w:val="2"/>
                <w:sz w:val="21"/>
                <w:szCs w:val="21"/>
                <w:highlight w:val="none"/>
                <w:lang w:val="en-US" w:eastAsia="zh-CN" w:bidi="ar-SA"/>
              </w:rPr>
              <w:t>表4</w:t>
            </w:r>
            <w:r>
              <w:rPr>
                <w:rFonts w:hint="eastAsia" w:ascii="Times New Roman" w:hAnsi="Times New Roman" w:eastAsia="黑体" w:cs="Times New Roman"/>
                <w:b w:val="0"/>
                <w:bCs w:val="0"/>
                <w:color w:val="auto"/>
                <w:spacing w:val="0"/>
                <w:kern w:val="2"/>
                <w:sz w:val="21"/>
                <w:szCs w:val="21"/>
                <w:highlight w:val="none"/>
                <w:lang w:val="en-US" w:eastAsia="zh-CN" w:bidi="ar-SA"/>
              </w:rPr>
              <w:t>.7-1</w:t>
            </w:r>
            <w:r>
              <w:rPr>
                <w:rFonts w:hint="default" w:ascii="Times New Roman" w:hAnsi="Times New Roman" w:eastAsia="黑体" w:cs="Times New Roman"/>
                <w:b w:val="0"/>
                <w:bCs w:val="0"/>
                <w:color w:val="auto"/>
                <w:spacing w:val="0"/>
                <w:kern w:val="2"/>
                <w:sz w:val="21"/>
                <w:szCs w:val="21"/>
                <w:highlight w:val="none"/>
                <w:lang w:val="en-US" w:eastAsia="zh-CN" w:bidi="ar-SA"/>
              </w:rPr>
              <w:t xml:space="preserve">  室内噪声源源强调查清单</w:t>
            </w:r>
          </w:p>
          <w:tbl>
            <w:tblPr>
              <w:tblStyle w:val="24"/>
              <w:tblW w:w="492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4"/>
              <w:gridCol w:w="1498"/>
              <w:gridCol w:w="713"/>
              <w:gridCol w:w="787"/>
              <w:gridCol w:w="1013"/>
              <w:gridCol w:w="621"/>
              <w:gridCol w:w="621"/>
              <w:gridCol w:w="623"/>
              <w:gridCol w:w="722"/>
              <w:gridCol w:w="788"/>
              <w:gridCol w:w="703"/>
              <w:gridCol w:w="900"/>
              <w:gridCol w:w="815"/>
              <w:gridCol w:w="889"/>
            </w:tblGrid>
            <w:tr w14:paraId="5908B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 w:type="pct"/>
                  <w:vMerge w:val="restart"/>
                  <w:noWrap w:val="0"/>
                  <w:vAlign w:val="center"/>
                </w:tcPr>
                <w:p w14:paraId="2C5C012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序号</w:t>
                  </w:r>
                </w:p>
              </w:tc>
              <w:tc>
                <w:tcPr>
                  <w:tcW w:w="367" w:type="pct"/>
                  <w:vMerge w:val="restart"/>
                  <w:noWrap w:val="0"/>
                  <w:vAlign w:val="center"/>
                </w:tcPr>
                <w:p w14:paraId="6561AFE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建筑物</w:t>
                  </w:r>
                  <w:r>
                    <w:rPr>
                      <w:rFonts w:ascii="Times New Roman" w:hAnsi="Times New Roman" w:eastAsia="宋体" w:cs="Times New Roman"/>
                      <w:color w:val="auto"/>
                      <w:spacing w:val="0"/>
                      <w:sz w:val="21"/>
                      <w:szCs w:val="21"/>
                      <w:highlight w:val="none"/>
                    </w:rPr>
                    <w:t>名称</w:t>
                  </w:r>
                </w:p>
              </w:tc>
              <w:tc>
                <w:tcPr>
                  <w:tcW w:w="622" w:type="pct"/>
                  <w:vMerge w:val="restart"/>
                  <w:noWrap w:val="0"/>
                  <w:vAlign w:val="center"/>
                </w:tcPr>
                <w:p w14:paraId="678AE60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声源</w:t>
                  </w:r>
                  <w:r>
                    <w:rPr>
                      <w:rFonts w:ascii="Times New Roman" w:hAnsi="Times New Roman" w:eastAsia="宋体" w:cs="Times New Roman"/>
                      <w:color w:val="auto"/>
                      <w:spacing w:val="0"/>
                      <w:sz w:val="21"/>
                      <w:szCs w:val="21"/>
                      <w:highlight w:val="none"/>
                    </w:rPr>
                    <w:t>名称</w:t>
                  </w:r>
                </w:p>
              </w:tc>
              <w:tc>
                <w:tcPr>
                  <w:tcW w:w="296" w:type="pct"/>
                  <w:vMerge w:val="restart"/>
                  <w:noWrap w:val="0"/>
                  <w:vAlign w:val="center"/>
                </w:tcPr>
                <w:p w14:paraId="0C3D7F2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数量（台/套）</w:t>
                  </w:r>
                </w:p>
              </w:tc>
              <w:tc>
                <w:tcPr>
                  <w:tcW w:w="326" w:type="pct"/>
                  <w:vMerge w:val="restart"/>
                  <w:noWrap w:val="0"/>
                  <w:vAlign w:val="center"/>
                </w:tcPr>
                <w:p w14:paraId="74CB3E2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声功率级</w:t>
                  </w:r>
                  <w:r>
                    <w:rPr>
                      <w:rFonts w:ascii="Times New Roman" w:hAnsi="Times New Roman" w:eastAsia="宋体" w:cs="Times New Roman"/>
                      <w:color w:val="auto"/>
                      <w:spacing w:val="0"/>
                      <w:sz w:val="21"/>
                      <w:szCs w:val="21"/>
                      <w:highlight w:val="none"/>
                    </w:rPr>
                    <w:t>dB</w:t>
                  </w:r>
                  <w:r>
                    <w:rPr>
                      <w:rFonts w:hint="eastAsia" w:ascii="Times New Roman" w:hAnsi="Times New Roman" w:eastAsia="宋体" w:cs="Times New Roman"/>
                      <w:color w:val="auto"/>
                      <w:spacing w:val="0"/>
                      <w:sz w:val="21"/>
                      <w:szCs w:val="21"/>
                      <w:highlight w:val="none"/>
                    </w:rPr>
                    <w:t>(</w:t>
                  </w:r>
                  <w:r>
                    <w:rPr>
                      <w:rFonts w:ascii="Times New Roman" w:hAnsi="Times New Roman" w:eastAsia="宋体" w:cs="Times New Roman"/>
                      <w:color w:val="auto"/>
                      <w:spacing w:val="0"/>
                      <w:sz w:val="21"/>
                      <w:szCs w:val="21"/>
                      <w:highlight w:val="none"/>
                    </w:rPr>
                    <w:t>A</w:t>
                  </w:r>
                  <w:r>
                    <w:rPr>
                      <w:rFonts w:hint="eastAsia" w:ascii="Times New Roman" w:hAnsi="Times New Roman" w:eastAsia="宋体" w:cs="Times New Roman"/>
                      <w:color w:val="auto"/>
                      <w:spacing w:val="0"/>
                      <w:sz w:val="21"/>
                      <w:szCs w:val="21"/>
                      <w:highlight w:val="none"/>
                    </w:rPr>
                    <w:t>)</w:t>
                  </w:r>
                </w:p>
              </w:tc>
              <w:tc>
                <w:tcPr>
                  <w:tcW w:w="420" w:type="pct"/>
                  <w:vMerge w:val="restart"/>
                  <w:noWrap w:val="0"/>
                  <w:vAlign w:val="center"/>
                </w:tcPr>
                <w:p w14:paraId="27A8048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声源</w:t>
                  </w:r>
                  <w:r>
                    <w:rPr>
                      <w:rFonts w:ascii="Times New Roman" w:hAnsi="Times New Roman" w:eastAsia="宋体" w:cs="Times New Roman"/>
                      <w:color w:val="auto"/>
                      <w:spacing w:val="0"/>
                      <w:sz w:val="21"/>
                      <w:szCs w:val="21"/>
                      <w:highlight w:val="none"/>
                    </w:rPr>
                    <w:t>控制措施</w:t>
                  </w:r>
                </w:p>
              </w:tc>
              <w:tc>
                <w:tcPr>
                  <w:tcW w:w="774" w:type="pct"/>
                  <w:gridSpan w:val="3"/>
                  <w:noWrap w:val="0"/>
                  <w:vAlign w:val="center"/>
                </w:tcPr>
                <w:p w14:paraId="05767D2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空间</w:t>
                  </w:r>
                  <w:r>
                    <w:rPr>
                      <w:rFonts w:ascii="Times New Roman" w:hAnsi="Times New Roman" w:eastAsia="宋体" w:cs="Times New Roman"/>
                      <w:color w:val="auto"/>
                      <w:spacing w:val="0"/>
                      <w:sz w:val="21"/>
                      <w:szCs w:val="21"/>
                      <w:highlight w:val="none"/>
                    </w:rPr>
                    <w:t>相对位置</w:t>
                  </w:r>
                  <w:r>
                    <w:rPr>
                      <w:rFonts w:hint="eastAsia" w:ascii="Times New Roman" w:hAnsi="Times New Roman" w:eastAsia="宋体" w:cs="Times New Roman"/>
                      <w:color w:val="auto"/>
                      <w:spacing w:val="0"/>
                      <w:sz w:val="21"/>
                      <w:szCs w:val="21"/>
                      <w:highlight w:val="none"/>
                    </w:rPr>
                    <w:t>/m</w:t>
                  </w:r>
                </w:p>
              </w:tc>
              <w:tc>
                <w:tcPr>
                  <w:tcW w:w="299" w:type="pct"/>
                  <w:vMerge w:val="restart"/>
                  <w:noWrap w:val="0"/>
                  <w:vAlign w:val="center"/>
                </w:tcPr>
                <w:p w14:paraId="70335B9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距</w:t>
                  </w:r>
                  <w:r>
                    <w:rPr>
                      <w:rFonts w:ascii="Times New Roman" w:hAnsi="Times New Roman" w:eastAsia="宋体" w:cs="Times New Roman"/>
                      <w:color w:val="auto"/>
                      <w:spacing w:val="0"/>
                      <w:sz w:val="21"/>
                      <w:szCs w:val="21"/>
                      <w:highlight w:val="none"/>
                    </w:rPr>
                    <w:t>室内边界距离</w:t>
                  </w:r>
                  <w:r>
                    <w:rPr>
                      <w:rFonts w:hint="eastAsia" w:ascii="Times New Roman" w:hAnsi="Times New Roman" w:eastAsia="宋体" w:cs="Times New Roman"/>
                      <w:color w:val="auto"/>
                      <w:spacing w:val="0"/>
                      <w:sz w:val="21"/>
                      <w:szCs w:val="21"/>
                      <w:highlight w:val="none"/>
                    </w:rPr>
                    <w:t>/m</w:t>
                  </w:r>
                </w:p>
              </w:tc>
              <w:tc>
                <w:tcPr>
                  <w:tcW w:w="327" w:type="pct"/>
                  <w:vMerge w:val="restart"/>
                  <w:noWrap w:val="0"/>
                  <w:vAlign w:val="center"/>
                </w:tcPr>
                <w:p w14:paraId="705156F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室内</w:t>
                  </w:r>
                  <w:r>
                    <w:rPr>
                      <w:rFonts w:ascii="Times New Roman" w:hAnsi="Times New Roman" w:eastAsia="宋体" w:cs="Times New Roman"/>
                      <w:color w:val="auto"/>
                      <w:spacing w:val="0"/>
                      <w:sz w:val="21"/>
                      <w:szCs w:val="21"/>
                      <w:highlight w:val="none"/>
                    </w:rPr>
                    <w:t>边界声级</w:t>
                  </w:r>
                  <w:r>
                    <w:rPr>
                      <w:rFonts w:hint="eastAsia" w:ascii="Times New Roman" w:hAnsi="Times New Roman" w:eastAsia="宋体" w:cs="Times New Roman"/>
                      <w:color w:val="auto"/>
                      <w:spacing w:val="0"/>
                      <w:sz w:val="21"/>
                      <w:szCs w:val="21"/>
                      <w:highlight w:val="none"/>
                    </w:rPr>
                    <w:t>d</w:t>
                  </w:r>
                  <w:r>
                    <w:rPr>
                      <w:rFonts w:ascii="Times New Roman" w:hAnsi="Times New Roman" w:eastAsia="宋体" w:cs="Times New Roman"/>
                      <w:color w:val="auto"/>
                      <w:spacing w:val="0"/>
                      <w:sz w:val="21"/>
                      <w:szCs w:val="21"/>
                      <w:highlight w:val="none"/>
                    </w:rPr>
                    <w:t>B</w:t>
                  </w:r>
                  <w:r>
                    <w:rPr>
                      <w:rFonts w:hint="eastAsia" w:ascii="Times New Roman" w:hAnsi="Times New Roman" w:eastAsia="宋体" w:cs="Times New Roman"/>
                      <w:color w:val="auto"/>
                      <w:spacing w:val="0"/>
                      <w:sz w:val="21"/>
                      <w:szCs w:val="21"/>
                      <w:highlight w:val="none"/>
                    </w:rPr>
                    <w:t>(</w:t>
                  </w:r>
                  <w:r>
                    <w:rPr>
                      <w:rFonts w:ascii="Times New Roman" w:hAnsi="Times New Roman" w:eastAsia="宋体" w:cs="Times New Roman"/>
                      <w:color w:val="auto"/>
                      <w:spacing w:val="0"/>
                      <w:sz w:val="21"/>
                      <w:szCs w:val="21"/>
                      <w:highlight w:val="none"/>
                    </w:rPr>
                    <w:t>A</w:t>
                  </w:r>
                  <w:r>
                    <w:rPr>
                      <w:rFonts w:hint="eastAsia" w:ascii="Times New Roman" w:hAnsi="Times New Roman" w:eastAsia="宋体" w:cs="Times New Roman"/>
                      <w:color w:val="auto"/>
                      <w:spacing w:val="0"/>
                      <w:sz w:val="21"/>
                      <w:szCs w:val="21"/>
                      <w:highlight w:val="none"/>
                    </w:rPr>
                    <w:t>)</w:t>
                  </w:r>
                </w:p>
              </w:tc>
              <w:tc>
                <w:tcPr>
                  <w:tcW w:w="292" w:type="pct"/>
                  <w:vMerge w:val="restart"/>
                  <w:noWrap w:val="0"/>
                  <w:vAlign w:val="center"/>
                </w:tcPr>
                <w:p w14:paraId="1364292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运行</w:t>
                  </w:r>
                  <w:r>
                    <w:rPr>
                      <w:rFonts w:ascii="Times New Roman" w:hAnsi="Times New Roman" w:eastAsia="宋体" w:cs="Times New Roman"/>
                      <w:color w:val="auto"/>
                      <w:spacing w:val="0"/>
                      <w:sz w:val="21"/>
                      <w:szCs w:val="21"/>
                      <w:highlight w:val="none"/>
                    </w:rPr>
                    <w:t>时段</w:t>
                  </w:r>
                </w:p>
              </w:tc>
              <w:tc>
                <w:tcPr>
                  <w:tcW w:w="373" w:type="pct"/>
                  <w:vMerge w:val="restart"/>
                  <w:noWrap w:val="0"/>
                  <w:vAlign w:val="center"/>
                </w:tcPr>
                <w:p w14:paraId="3FEFAE5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建筑物</w:t>
                  </w:r>
                  <w:r>
                    <w:rPr>
                      <w:rFonts w:ascii="Times New Roman" w:hAnsi="Times New Roman" w:eastAsia="宋体" w:cs="Times New Roman"/>
                      <w:color w:val="auto"/>
                      <w:spacing w:val="0"/>
                      <w:sz w:val="21"/>
                      <w:szCs w:val="21"/>
                      <w:highlight w:val="none"/>
                    </w:rPr>
                    <w:t>插入损失</w:t>
                  </w:r>
                  <w:r>
                    <w:rPr>
                      <w:rFonts w:hint="eastAsia" w:ascii="Times New Roman" w:hAnsi="Times New Roman" w:eastAsia="宋体" w:cs="Times New Roman"/>
                      <w:color w:val="auto"/>
                      <w:spacing w:val="0"/>
                      <w:sz w:val="21"/>
                      <w:szCs w:val="21"/>
                      <w:highlight w:val="none"/>
                    </w:rPr>
                    <w:t>d</w:t>
                  </w:r>
                  <w:r>
                    <w:rPr>
                      <w:rFonts w:ascii="Times New Roman" w:hAnsi="Times New Roman" w:eastAsia="宋体" w:cs="Times New Roman"/>
                      <w:color w:val="auto"/>
                      <w:spacing w:val="0"/>
                      <w:sz w:val="21"/>
                      <w:szCs w:val="21"/>
                      <w:highlight w:val="none"/>
                    </w:rPr>
                    <w:t>B</w:t>
                  </w:r>
                  <w:r>
                    <w:rPr>
                      <w:rFonts w:hint="eastAsia" w:ascii="Times New Roman" w:hAnsi="Times New Roman" w:eastAsia="宋体" w:cs="Times New Roman"/>
                      <w:color w:val="auto"/>
                      <w:spacing w:val="0"/>
                      <w:sz w:val="21"/>
                      <w:szCs w:val="21"/>
                      <w:highlight w:val="none"/>
                    </w:rPr>
                    <w:t>(</w:t>
                  </w:r>
                  <w:r>
                    <w:rPr>
                      <w:rFonts w:ascii="Times New Roman" w:hAnsi="Times New Roman" w:eastAsia="宋体" w:cs="Times New Roman"/>
                      <w:color w:val="auto"/>
                      <w:spacing w:val="0"/>
                      <w:sz w:val="21"/>
                      <w:szCs w:val="21"/>
                      <w:highlight w:val="none"/>
                    </w:rPr>
                    <w:t>A)</w:t>
                  </w:r>
                </w:p>
              </w:tc>
              <w:tc>
                <w:tcPr>
                  <w:tcW w:w="707" w:type="pct"/>
                  <w:gridSpan w:val="2"/>
                  <w:noWrap w:val="0"/>
                  <w:vAlign w:val="center"/>
                </w:tcPr>
                <w:p w14:paraId="651EA5A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建筑物</w:t>
                  </w:r>
                  <w:r>
                    <w:rPr>
                      <w:rFonts w:ascii="Times New Roman" w:hAnsi="Times New Roman" w:eastAsia="宋体" w:cs="Times New Roman"/>
                      <w:color w:val="auto"/>
                      <w:spacing w:val="0"/>
                      <w:sz w:val="21"/>
                      <w:szCs w:val="21"/>
                      <w:highlight w:val="none"/>
                    </w:rPr>
                    <w:t>外噪声</w:t>
                  </w:r>
                </w:p>
              </w:tc>
            </w:tr>
            <w:tr w14:paraId="5F40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 w:type="pct"/>
                  <w:vMerge w:val="continue"/>
                  <w:noWrap w:val="0"/>
                  <w:vAlign w:val="center"/>
                </w:tcPr>
                <w:p w14:paraId="7954E8C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67" w:type="pct"/>
                  <w:vMerge w:val="continue"/>
                  <w:noWrap w:val="0"/>
                  <w:vAlign w:val="center"/>
                </w:tcPr>
                <w:p w14:paraId="22C423C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622" w:type="pct"/>
                  <w:vMerge w:val="continue"/>
                  <w:noWrap w:val="0"/>
                  <w:vAlign w:val="center"/>
                </w:tcPr>
                <w:p w14:paraId="4A03ACE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96" w:type="pct"/>
                  <w:vMerge w:val="continue"/>
                  <w:noWrap w:val="0"/>
                  <w:vAlign w:val="center"/>
                </w:tcPr>
                <w:p w14:paraId="514295E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26" w:type="pct"/>
                  <w:vMerge w:val="continue"/>
                  <w:noWrap w:val="0"/>
                  <w:vAlign w:val="center"/>
                </w:tcPr>
                <w:p w14:paraId="42F5169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420" w:type="pct"/>
                  <w:vMerge w:val="continue"/>
                  <w:noWrap w:val="0"/>
                  <w:vAlign w:val="center"/>
                </w:tcPr>
                <w:p w14:paraId="19FA8A4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58" w:type="pct"/>
                  <w:noWrap w:val="0"/>
                  <w:vAlign w:val="center"/>
                </w:tcPr>
                <w:p w14:paraId="3EF63C3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X</w:t>
                  </w:r>
                </w:p>
              </w:tc>
              <w:tc>
                <w:tcPr>
                  <w:tcW w:w="258" w:type="pct"/>
                  <w:noWrap w:val="0"/>
                  <w:vAlign w:val="center"/>
                </w:tcPr>
                <w:p w14:paraId="1685A7F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Y</w:t>
                  </w:r>
                </w:p>
              </w:tc>
              <w:tc>
                <w:tcPr>
                  <w:tcW w:w="258" w:type="pct"/>
                  <w:noWrap w:val="0"/>
                  <w:vAlign w:val="center"/>
                </w:tcPr>
                <w:p w14:paraId="107A156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Z</w:t>
                  </w:r>
                </w:p>
              </w:tc>
              <w:tc>
                <w:tcPr>
                  <w:tcW w:w="299" w:type="pct"/>
                  <w:vMerge w:val="continue"/>
                  <w:noWrap w:val="0"/>
                  <w:vAlign w:val="center"/>
                </w:tcPr>
                <w:p w14:paraId="2E5BF81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27" w:type="pct"/>
                  <w:vMerge w:val="continue"/>
                  <w:noWrap w:val="0"/>
                  <w:vAlign w:val="center"/>
                </w:tcPr>
                <w:p w14:paraId="0C832A8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92" w:type="pct"/>
                  <w:vMerge w:val="continue"/>
                  <w:noWrap w:val="0"/>
                  <w:vAlign w:val="center"/>
                </w:tcPr>
                <w:p w14:paraId="7ED08A4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73" w:type="pct"/>
                  <w:vMerge w:val="continue"/>
                  <w:noWrap w:val="0"/>
                  <w:vAlign w:val="center"/>
                </w:tcPr>
                <w:p w14:paraId="07056AC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38" w:type="pct"/>
                  <w:noWrap w:val="0"/>
                  <w:vAlign w:val="center"/>
                </w:tcPr>
                <w:p w14:paraId="61BBAF2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声压级dB(A)</w:t>
                  </w:r>
                </w:p>
              </w:tc>
              <w:tc>
                <w:tcPr>
                  <w:tcW w:w="369" w:type="pct"/>
                  <w:noWrap w:val="0"/>
                  <w:vAlign w:val="center"/>
                </w:tcPr>
                <w:p w14:paraId="33F62B3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rPr>
                    <w:t>建筑物</w:t>
                  </w:r>
                  <w:r>
                    <w:rPr>
                      <w:rFonts w:ascii="Times New Roman" w:hAnsi="Times New Roman" w:eastAsia="宋体" w:cs="Times New Roman"/>
                      <w:color w:val="auto"/>
                      <w:spacing w:val="0"/>
                      <w:sz w:val="21"/>
                      <w:szCs w:val="21"/>
                      <w:highlight w:val="none"/>
                    </w:rPr>
                    <w:t>外距离</w:t>
                  </w:r>
                  <w:r>
                    <w:rPr>
                      <w:rFonts w:hint="eastAsia"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m</w:t>
                  </w:r>
                </w:p>
              </w:tc>
            </w:tr>
            <w:tr w14:paraId="29B18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9" w:type="pct"/>
                  <w:noWrap w:val="0"/>
                  <w:vAlign w:val="center"/>
                </w:tcPr>
                <w:p w14:paraId="2796894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c>
                <w:tcPr>
                  <w:tcW w:w="367" w:type="pct"/>
                  <w:noWrap w:val="0"/>
                  <w:vAlign w:val="center"/>
                </w:tcPr>
                <w:p w14:paraId="448653A0">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r>
                    <w:rPr>
                      <w:rFonts w:hint="eastAsia" w:ascii="Calibri" w:hAnsi="Calibri" w:cs="Times New Roman"/>
                      <w:color w:val="auto"/>
                      <w:spacing w:val="0"/>
                      <w:kern w:val="0"/>
                      <w:sz w:val="21"/>
                      <w:szCs w:val="21"/>
                      <w:highlight w:val="none"/>
                      <w:lang w:val="en-US" w:eastAsia="zh-CN"/>
                    </w:rPr>
                    <w:t>储矸棚</w:t>
                  </w:r>
                </w:p>
              </w:tc>
              <w:tc>
                <w:tcPr>
                  <w:tcW w:w="622" w:type="pct"/>
                  <w:shd w:val="clear" w:color="auto" w:fill="auto"/>
                  <w:noWrap w:val="0"/>
                  <w:vAlign w:val="center"/>
                </w:tcPr>
                <w:p w14:paraId="55A4C7E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除尘风机</w:t>
                  </w:r>
                </w:p>
              </w:tc>
              <w:tc>
                <w:tcPr>
                  <w:tcW w:w="296" w:type="pct"/>
                  <w:noWrap w:val="0"/>
                  <w:vAlign w:val="center"/>
                </w:tcPr>
                <w:p w14:paraId="77EC456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noWrap w:val="0"/>
                  <w:vAlign w:val="center"/>
                </w:tcPr>
                <w:p w14:paraId="0052280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420" w:type="pct"/>
                  <w:vMerge w:val="restart"/>
                  <w:noWrap w:val="0"/>
                  <w:vAlign w:val="center"/>
                </w:tcPr>
                <w:p w14:paraId="20F925E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rPr>
                  </w:pPr>
                  <w:r>
                    <w:rPr>
                      <w:rFonts w:hint="eastAsia" w:ascii="Times New Roman" w:hAnsi="Times New Roman" w:eastAsia="宋体" w:cs="Times New Roman"/>
                      <w:color w:val="auto"/>
                      <w:spacing w:val="0"/>
                      <w:sz w:val="21"/>
                      <w:szCs w:val="21"/>
                      <w:highlight w:val="none"/>
                    </w:rPr>
                    <w:t>低噪声设备；</w:t>
                  </w:r>
                  <w:r>
                    <w:rPr>
                      <w:rFonts w:hint="eastAsia" w:ascii="Times New Roman" w:hAnsi="Times New Roman" w:eastAsia="宋体" w:cs="Times New Roman"/>
                      <w:color w:val="auto"/>
                      <w:spacing w:val="0"/>
                      <w:sz w:val="21"/>
                      <w:szCs w:val="21"/>
                      <w:highlight w:val="none"/>
                      <w:lang w:val="en-US" w:eastAsia="zh-CN"/>
                    </w:rPr>
                    <w:t>基础</w:t>
                  </w:r>
                  <w:r>
                    <w:rPr>
                      <w:rFonts w:hint="eastAsia" w:ascii="Times New Roman" w:hAnsi="Times New Roman" w:eastAsia="宋体" w:cs="Times New Roman"/>
                      <w:color w:val="auto"/>
                      <w:spacing w:val="0"/>
                      <w:sz w:val="21"/>
                      <w:szCs w:val="21"/>
                      <w:highlight w:val="none"/>
                    </w:rPr>
                    <w:t>减振；</w:t>
                  </w:r>
                  <w:r>
                    <w:rPr>
                      <w:rFonts w:hint="eastAsia" w:ascii="Times New Roman" w:hAnsi="Times New Roman" w:eastAsia="宋体" w:cs="Times New Roman"/>
                      <w:color w:val="auto"/>
                      <w:spacing w:val="0"/>
                      <w:sz w:val="21"/>
                      <w:szCs w:val="21"/>
                      <w:highlight w:val="none"/>
                      <w:lang w:val="en-US" w:eastAsia="zh-CN"/>
                    </w:rPr>
                    <w:t>风机出口安装消声器</w:t>
                  </w:r>
                </w:p>
              </w:tc>
              <w:tc>
                <w:tcPr>
                  <w:tcW w:w="258" w:type="pct"/>
                  <w:noWrap w:val="0"/>
                  <w:vAlign w:val="center"/>
                </w:tcPr>
                <w:p w14:paraId="1569053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w:t>
                  </w:r>
                </w:p>
              </w:tc>
              <w:tc>
                <w:tcPr>
                  <w:tcW w:w="258" w:type="pct"/>
                  <w:noWrap w:val="0"/>
                  <w:vAlign w:val="center"/>
                </w:tcPr>
                <w:p w14:paraId="3D51A0E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22</w:t>
                  </w:r>
                </w:p>
              </w:tc>
              <w:tc>
                <w:tcPr>
                  <w:tcW w:w="258" w:type="pct"/>
                  <w:noWrap w:val="0"/>
                  <w:vAlign w:val="center"/>
                </w:tcPr>
                <w:p w14:paraId="0BA030A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299" w:type="pct"/>
                  <w:noWrap w:val="0"/>
                  <w:vAlign w:val="center"/>
                </w:tcPr>
                <w:p w14:paraId="7578123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27" w:type="pct"/>
                  <w:noWrap w:val="0"/>
                  <w:vAlign w:val="center"/>
                </w:tcPr>
                <w:p w14:paraId="464C089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75.73</w:t>
                  </w:r>
                </w:p>
              </w:tc>
              <w:tc>
                <w:tcPr>
                  <w:tcW w:w="292" w:type="pct"/>
                  <w:vMerge w:val="restart"/>
                  <w:noWrap w:val="0"/>
                  <w:vAlign w:val="center"/>
                </w:tcPr>
                <w:p w14:paraId="3E45334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eastAsia="宋体"/>
                      <w:color w:val="auto"/>
                      <w:spacing w:val="0"/>
                      <w:sz w:val="21"/>
                      <w:szCs w:val="21"/>
                      <w:highlight w:val="none"/>
                      <w:lang w:val="en-US" w:eastAsia="zh-CN"/>
                    </w:rPr>
                    <w:t>8:00~18:00</w:t>
                  </w:r>
                </w:p>
              </w:tc>
              <w:tc>
                <w:tcPr>
                  <w:tcW w:w="373" w:type="pct"/>
                  <w:noWrap w:val="0"/>
                  <w:vAlign w:val="center"/>
                </w:tcPr>
                <w:p w14:paraId="6B92C4D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38" w:type="pct"/>
                  <w:noWrap w:val="0"/>
                  <w:vAlign w:val="center"/>
                </w:tcPr>
                <w:p w14:paraId="3B41E1D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55.73</w:t>
                  </w:r>
                </w:p>
              </w:tc>
              <w:tc>
                <w:tcPr>
                  <w:tcW w:w="369" w:type="pct"/>
                  <w:noWrap w:val="0"/>
                  <w:vAlign w:val="center"/>
                </w:tcPr>
                <w:p w14:paraId="4FE41F8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14:paraId="29E9C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9" w:type="pct"/>
                  <w:noWrap w:val="0"/>
                  <w:vAlign w:val="center"/>
                </w:tcPr>
                <w:p w14:paraId="6BC8822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2</w:t>
                  </w:r>
                </w:p>
              </w:tc>
              <w:tc>
                <w:tcPr>
                  <w:tcW w:w="367" w:type="pct"/>
                  <w:vMerge w:val="restart"/>
                  <w:noWrap w:val="0"/>
                  <w:vAlign w:val="center"/>
                </w:tcPr>
                <w:p w14:paraId="3AE1C068">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r>
                    <w:rPr>
                      <w:rFonts w:hint="eastAsia" w:ascii="Calibri" w:hAnsi="Calibri" w:eastAsia="宋体" w:cs="Times New Roman"/>
                      <w:color w:val="auto"/>
                      <w:spacing w:val="0"/>
                      <w:kern w:val="0"/>
                      <w:sz w:val="21"/>
                      <w:szCs w:val="21"/>
                      <w:highlight w:val="none"/>
                      <w:lang w:val="en-US" w:eastAsia="zh-CN"/>
                    </w:rPr>
                    <w:t>制浆</w:t>
                  </w:r>
                </w:p>
                <w:p w14:paraId="557C1B38">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r>
                    <w:rPr>
                      <w:rFonts w:hint="eastAsia" w:ascii="Calibri" w:hAnsi="Calibri" w:eastAsia="宋体" w:cs="Times New Roman"/>
                      <w:color w:val="auto"/>
                      <w:spacing w:val="0"/>
                      <w:kern w:val="0"/>
                      <w:sz w:val="21"/>
                      <w:szCs w:val="21"/>
                      <w:highlight w:val="none"/>
                      <w:lang w:val="en-US" w:eastAsia="zh-CN"/>
                    </w:rPr>
                    <w:t>车间</w:t>
                  </w:r>
                </w:p>
              </w:tc>
              <w:tc>
                <w:tcPr>
                  <w:tcW w:w="622" w:type="pct"/>
                  <w:shd w:val="clear" w:color="auto" w:fill="auto"/>
                  <w:noWrap w:val="0"/>
                  <w:vAlign w:val="center"/>
                </w:tcPr>
                <w:p w14:paraId="36FD1C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高速制浆机</w:t>
                  </w:r>
                </w:p>
              </w:tc>
              <w:tc>
                <w:tcPr>
                  <w:tcW w:w="296" w:type="pct"/>
                  <w:noWrap w:val="0"/>
                  <w:vAlign w:val="center"/>
                </w:tcPr>
                <w:p w14:paraId="0F180E1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noWrap w:val="0"/>
                  <w:vAlign w:val="center"/>
                </w:tcPr>
                <w:p w14:paraId="286B9ED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75</w:t>
                  </w:r>
                </w:p>
              </w:tc>
              <w:tc>
                <w:tcPr>
                  <w:tcW w:w="420" w:type="pct"/>
                  <w:vMerge w:val="continue"/>
                  <w:noWrap w:val="0"/>
                  <w:vAlign w:val="center"/>
                </w:tcPr>
                <w:p w14:paraId="349E32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rPr>
                  </w:pPr>
                </w:p>
              </w:tc>
              <w:tc>
                <w:tcPr>
                  <w:tcW w:w="258" w:type="pct"/>
                  <w:noWrap w:val="0"/>
                  <w:vAlign w:val="center"/>
                </w:tcPr>
                <w:p w14:paraId="32FFD94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1D15509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22</w:t>
                  </w:r>
                </w:p>
              </w:tc>
              <w:tc>
                <w:tcPr>
                  <w:tcW w:w="258" w:type="pct"/>
                  <w:noWrap w:val="0"/>
                  <w:vAlign w:val="center"/>
                </w:tcPr>
                <w:p w14:paraId="4162A1A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w:t>
                  </w:r>
                </w:p>
              </w:tc>
              <w:tc>
                <w:tcPr>
                  <w:tcW w:w="299" w:type="pct"/>
                  <w:noWrap w:val="0"/>
                  <w:vAlign w:val="center"/>
                </w:tcPr>
                <w:p w14:paraId="7C5A32F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2777585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65.51</w:t>
                  </w:r>
                </w:p>
              </w:tc>
              <w:tc>
                <w:tcPr>
                  <w:tcW w:w="292" w:type="pct"/>
                  <w:vMerge w:val="continue"/>
                  <w:noWrap w:val="0"/>
                  <w:vAlign w:val="center"/>
                </w:tcPr>
                <w:p w14:paraId="5DE8F6A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73" w:type="pct"/>
                  <w:noWrap w:val="0"/>
                  <w:vAlign w:val="center"/>
                </w:tcPr>
                <w:p w14:paraId="23D477C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38" w:type="pct"/>
                  <w:noWrap w:val="0"/>
                  <w:vAlign w:val="center"/>
                </w:tcPr>
                <w:p w14:paraId="50677EC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45.51</w:t>
                  </w:r>
                </w:p>
              </w:tc>
              <w:tc>
                <w:tcPr>
                  <w:tcW w:w="369" w:type="pct"/>
                  <w:noWrap w:val="0"/>
                  <w:vAlign w:val="center"/>
                </w:tcPr>
                <w:p w14:paraId="2C6CDCD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14:paraId="60673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9" w:type="pct"/>
                  <w:noWrap w:val="0"/>
                  <w:vAlign w:val="center"/>
                </w:tcPr>
                <w:p w14:paraId="7267C7C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3</w:t>
                  </w:r>
                </w:p>
              </w:tc>
              <w:tc>
                <w:tcPr>
                  <w:tcW w:w="367" w:type="pct"/>
                  <w:vMerge w:val="continue"/>
                  <w:noWrap w:val="0"/>
                  <w:vAlign w:val="center"/>
                </w:tcPr>
                <w:p w14:paraId="3F8B7003">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00226FD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高速制浆机</w:t>
                  </w:r>
                </w:p>
              </w:tc>
              <w:tc>
                <w:tcPr>
                  <w:tcW w:w="296" w:type="pct"/>
                  <w:noWrap w:val="0"/>
                  <w:vAlign w:val="center"/>
                </w:tcPr>
                <w:p w14:paraId="5FD49AA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noWrap w:val="0"/>
                  <w:vAlign w:val="center"/>
                </w:tcPr>
                <w:p w14:paraId="7503C0C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420" w:type="pct"/>
                  <w:vMerge w:val="continue"/>
                  <w:noWrap w:val="0"/>
                  <w:vAlign w:val="center"/>
                </w:tcPr>
                <w:p w14:paraId="143E12D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rPr>
                  </w:pPr>
                </w:p>
              </w:tc>
              <w:tc>
                <w:tcPr>
                  <w:tcW w:w="258" w:type="pct"/>
                  <w:noWrap w:val="0"/>
                  <w:vAlign w:val="center"/>
                </w:tcPr>
                <w:p w14:paraId="4E70680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4550EF0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258" w:type="pct"/>
                  <w:noWrap w:val="0"/>
                  <w:vAlign w:val="center"/>
                </w:tcPr>
                <w:p w14:paraId="4AB7DA9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w:t>
                  </w:r>
                </w:p>
              </w:tc>
              <w:tc>
                <w:tcPr>
                  <w:tcW w:w="299" w:type="pct"/>
                  <w:noWrap w:val="0"/>
                  <w:vAlign w:val="center"/>
                </w:tcPr>
                <w:p w14:paraId="5A5E9CA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3AFB4DB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65.51</w:t>
                  </w:r>
                </w:p>
              </w:tc>
              <w:tc>
                <w:tcPr>
                  <w:tcW w:w="292" w:type="pct"/>
                  <w:vMerge w:val="continue"/>
                  <w:noWrap w:val="0"/>
                  <w:vAlign w:val="center"/>
                </w:tcPr>
                <w:p w14:paraId="57B3ECA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73" w:type="pct"/>
                  <w:noWrap w:val="0"/>
                  <w:vAlign w:val="center"/>
                </w:tcPr>
                <w:p w14:paraId="342468D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20</w:t>
                  </w:r>
                </w:p>
              </w:tc>
              <w:tc>
                <w:tcPr>
                  <w:tcW w:w="338" w:type="pct"/>
                  <w:noWrap w:val="0"/>
                  <w:vAlign w:val="center"/>
                </w:tcPr>
                <w:p w14:paraId="3A2BE65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45.51</w:t>
                  </w:r>
                </w:p>
              </w:tc>
              <w:tc>
                <w:tcPr>
                  <w:tcW w:w="369" w:type="pct"/>
                  <w:noWrap w:val="0"/>
                  <w:vAlign w:val="center"/>
                </w:tcPr>
                <w:p w14:paraId="09DDAFC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53DCD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 w:type="pct"/>
                  <w:noWrap w:val="0"/>
                  <w:vAlign w:val="center"/>
                </w:tcPr>
                <w:p w14:paraId="7458836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4</w:t>
                  </w:r>
                </w:p>
              </w:tc>
              <w:tc>
                <w:tcPr>
                  <w:tcW w:w="367" w:type="pct"/>
                  <w:vMerge w:val="continue"/>
                  <w:noWrap w:val="0"/>
                  <w:vAlign w:val="center"/>
                </w:tcPr>
                <w:p w14:paraId="6FBDF3B9">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1CCC6B4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低速搅拌桶</w:t>
                  </w:r>
                </w:p>
              </w:tc>
              <w:tc>
                <w:tcPr>
                  <w:tcW w:w="296" w:type="pct"/>
                  <w:noWrap w:val="0"/>
                  <w:vAlign w:val="center"/>
                </w:tcPr>
                <w:p w14:paraId="3BD9C7A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noWrap w:val="0"/>
                  <w:vAlign w:val="center"/>
                </w:tcPr>
                <w:p w14:paraId="6F6FDA7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75</w:t>
                  </w:r>
                </w:p>
              </w:tc>
              <w:tc>
                <w:tcPr>
                  <w:tcW w:w="420" w:type="pct"/>
                  <w:vMerge w:val="continue"/>
                  <w:noWrap w:val="0"/>
                  <w:vAlign w:val="center"/>
                </w:tcPr>
                <w:p w14:paraId="7B7EBF1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4DE7F1E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365904D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25</w:t>
                  </w:r>
                </w:p>
              </w:tc>
              <w:tc>
                <w:tcPr>
                  <w:tcW w:w="258" w:type="pct"/>
                  <w:noWrap w:val="0"/>
                  <w:vAlign w:val="center"/>
                </w:tcPr>
                <w:p w14:paraId="53B559A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299" w:type="pct"/>
                  <w:noWrap w:val="0"/>
                  <w:vAlign w:val="center"/>
                </w:tcPr>
                <w:p w14:paraId="04063FE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24DC511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65.51</w:t>
                  </w:r>
                </w:p>
              </w:tc>
              <w:tc>
                <w:tcPr>
                  <w:tcW w:w="292" w:type="pct"/>
                  <w:vMerge w:val="continue"/>
                  <w:noWrap w:val="0"/>
                  <w:vAlign w:val="center"/>
                </w:tcPr>
                <w:p w14:paraId="4B6206D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73" w:type="pct"/>
                  <w:noWrap w:val="0"/>
                  <w:vAlign w:val="center"/>
                </w:tcPr>
                <w:p w14:paraId="0EFF5C5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20</w:t>
                  </w:r>
                </w:p>
              </w:tc>
              <w:tc>
                <w:tcPr>
                  <w:tcW w:w="338" w:type="pct"/>
                  <w:noWrap w:val="0"/>
                  <w:vAlign w:val="center"/>
                </w:tcPr>
                <w:p w14:paraId="5B8DB34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45.51</w:t>
                  </w:r>
                </w:p>
              </w:tc>
              <w:tc>
                <w:tcPr>
                  <w:tcW w:w="369" w:type="pct"/>
                  <w:noWrap w:val="0"/>
                  <w:vAlign w:val="center"/>
                </w:tcPr>
                <w:p w14:paraId="72B3D50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0B7F8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 w:type="pct"/>
                  <w:noWrap w:val="0"/>
                  <w:vAlign w:val="center"/>
                </w:tcPr>
                <w:p w14:paraId="7729123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5</w:t>
                  </w:r>
                </w:p>
              </w:tc>
              <w:tc>
                <w:tcPr>
                  <w:tcW w:w="367" w:type="pct"/>
                  <w:vMerge w:val="continue"/>
                  <w:noWrap w:val="0"/>
                  <w:vAlign w:val="center"/>
                </w:tcPr>
                <w:p w14:paraId="354F1C43">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6FAE3F1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添加剂搅拌桶</w:t>
                  </w:r>
                </w:p>
              </w:tc>
              <w:tc>
                <w:tcPr>
                  <w:tcW w:w="296" w:type="pct"/>
                  <w:noWrap w:val="0"/>
                  <w:vAlign w:val="center"/>
                </w:tcPr>
                <w:p w14:paraId="6B171EB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noWrap w:val="0"/>
                  <w:vAlign w:val="center"/>
                </w:tcPr>
                <w:p w14:paraId="4B42FBD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420" w:type="pct"/>
                  <w:vMerge w:val="continue"/>
                  <w:noWrap w:val="0"/>
                  <w:vAlign w:val="center"/>
                </w:tcPr>
                <w:p w14:paraId="0E80BDF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247AAC9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75D9212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258" w:type="pct"/>
                  <w:noWrap w:val="0"/>
                  <w:vAlign w:val="center"/>
                </w:tcPr>
                <w:p w14:paraId="3B248D1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299" w:type="pct"/>
                  <w:noWrap w:val="0"/>
                  <w:vAlign w:val="center"/>
                </w:tcPr>
                <w:p w14:paraId="4939BDA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66AB9B4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65.51</w:t>
                  </w:r>
                </w:p>
              </w:tc>
              <w:tc>
                <w:tcPr>
                  <w:tcW w:w="292" w:type="pct"/>
                  <w:vMerge w:val="continue"/>
                  <w:noWrap w:val="0"/>
                  <w:vAlign w:val="center"/>
                </w:tcPr>
                <w:p w14:paraId="364F2CF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431F684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20</w:t>
                  </w:r>
                </w:p>
              </w:tc>
              <w:tc>
                <w:tcPr>
                  <w:tcW w:w="338" w:type="pct"/>
                  <w:noWrap w:val="0"/>
                  <w:vAlign w:val="center"/>
                </w:tcPr>
                <w:p w14:paraId="6B5854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45.51</w:t>
                  </w:r>
                </w:p>
              </w:tc>
              <w:tc>
                <w:tcPr>
                  <w:tcW w:w="369" w:type="pct"/>
                  <w:noWrap w:val="0"/>
                  <w:vAlign w:val="center"/>
                </w:tcPr>
                <w:p w14:paraId="4DA8755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72F6B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 w:type="pct"/>
                  <w:noWrap w:val="0"/>
                  <w:vAlign w:val="center"/>
                </w:tcPr>
                <w:p w14:paraId="7E0C61A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6</w:t>
                  </w:r>
                </w:p>
              </w:tc>
              <w:tc>
                <w:tcPr>
                  <w:tcW w:w="367" w:type="pct"/>
                  <w:vMerge w:val="continue"/>
                  <w:noWrap w:val="0"/>
                  <w:vAlign w:val="center"/>
                </w:tcPr>
                <w:p w14:paraId="223A02BF">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0D8FDDB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添加剂搅拌桶</w:t>
                  </w:r>
                </w:p>
              </w:tc>
              <w:tc>
                <w:tcPr>
                  <w:tcW w:w="296" w:type="pct"/>
                  <w:noWrap w:val="0"/>
                  <w:vAlign w:val="center"/>
                </w:tcPr>
                <w:p w14:paraId="4274BA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26" w:type="pct"/>
                  <w:noWrap w:val="0"/>
                  <w:vAlign w:val="center"/>
                </w:tcPr>
                <w:p w14:paraId="03130C5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420" w:type="pct"/>
                  <w:vMerge w:val="continue"/>
                  <w:noWrap w:val="0"/>
                  <w:vAlign w:val="center"/>
                </w:tcPr>
                <w:p w14:paraId="3E89594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63D85B2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96</w:t>
                  </w:r>
                </w:p>
              </w:tc>
              <w:tc>
                <w:tcPr>
                  <w:tcW w:w="258" w:type="pct"/>
                  <w:noWrap w:val="0"/>
                  <w:vAlign w:val="center"/>
                </w:tcPr>
                <w:p w14:paraId="14B5947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10</w:t>
                  </w:r>
                </w:p>
              </w:tc>
              <w:tc>
                <w:tcPr>
                  <w:tcW w:w="258" w:type="pct"/>
                  <w:noWrap w:val="0"/>
                  <w:vAlign w:val="center"/>
                </w:tcPr>
                <w:p w14:paraId="1846BF7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w:t>
                  </w:r>
                </w:p>
              </w:tc>
              <w:tc>
                <w:tcPr>
                  <w:tcW w:w="299" w:type="pct"/>
                  <w:noWrap w:val="0"/>
                  <w:vAlign w:val="center"/>
                </w:tcPr>
                <w:p w14:paraId="3298FE4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27" w:type="pct"/>
                  <w:noWrap w:val="0"/>
                  <w:vAlign w:val="center"/>
                </w:tcPr>
                <w:p w14:paraId="408191E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65.51</w:t>
                  </w:r>
                </w:p>
              </w:tc>
              <w:tc>
                <w:tcPr>
                  <w:tcW w:w="292" w:type="pct"/>
                  <w:vMerge w:val="continue"/>
                  <w:noWrap w:val="0"/>
                  <w:vAlign w:val="center"/>
                </w:tcPr>
                <w:p w14:paraId="0F3BE67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3AA51E2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20</w:t>
                  </w:r>
                </w:p>
              </w:tc>
              <w:tc>
                <w:tcPr>
                  <w:tcW w:w="338" w:type="pct"/>
                  <w:noWrap w:val="0"/>
                  <w:vAlign w:val="center"/>
                </w:tcPr>
                <w:p w14:paraId="09A621C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45.51</w:t>
                  </w:r>
                </w:p>
              </w:tc>
              <w:tc>
                <w:tcPr>
                  <w:tcW w:w="369" w:type="pct"/>
                  <w:noWrap w:val="0"/>
                  <w:vAlign w:val="center"/>
                </w:tcPr>
                <w:p w14:paraId="0D2B1EF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14:paraId="7F8A0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 w:type="pct"/>
                  <w:noWrap w:val="0"/>
                  <w:vAlign w:val="center"/>
                </w:tcPr>
                <w:p w14:paraId="5F024E7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w:t>
                  </w:r>
                </w:p>
              </w:tc>
              <w:tc>
                <w:tcPr>
                  <w:tcW w:w="367" w:type="pct"/>
                  <w:vMerge w:val="continue"/>
                  <w:noWrap w:val="0"/>
                  <w:vAlign w:val="center"/>
                </w:tcPr>
                <w:p w14:paraId="5E713011">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27CDE5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1#水泵</w:t>
                  </w:r>
                </w:p>
              </w:tc>
              <w:tc>
                <w:tcPr>
                  <w:tcW w:w="296" w:type="pct"/>
                  <w:shd w:val="clear" w:color="auto" w:fill="auto"/>
                  <w:noWrap w:val="0"/>
                  <w:vAlign w:val="center"/>
                </w:tcPr>
                <w:p w14:paraId="1061886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shd w:val="clear" w:color="auto" w:fill="auto"/>
                  <w:noWrap w:val="0"/>
                  <w:vAlign w:val="center"/>
                </w:tcPr>
                <w:p w14:paraId="34AA98B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420" w:type="pct"/>
                  <w:vMerge w:val="continue"/>
                  <w:noWrap w:val="0"/>
                  <w:vAlign w:val="center"/>
                </w:tcPr>
                <w:p w14:paraId="03D07E7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58DD7CB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517FBB5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28</w:t>
                  </w:r>
                </w:p>
              </w:tc>
              <w:tc>
                <w:tcPr>
                  <w:tcW w:w="258" w:type="pct"/>
                  <w:noWrap w:val="0"/>
                  <w:vAlign w:val="center"/>
                </w:tcPr>
                <w:p w14:paraId="203F7FE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99" w:type="pct"/>
                  <w:noWrap w:val="0"/>
                  <w:vAlign w:val="center"/>
                </w:tcPr>
                <w:p w14:paraId="410186C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067ACC4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70.51</w:t>
                  </w:r>
                </w:p>
              </w:tc>
              <w:tc>
                <w:tcPr>
                  <w:tcW w:w="292" w:type="pct"/>
                  <w:vMerge w:val="continue"/>
                  <w:noWrap w:val="0"/>
                  <w:vAlign w:val="center"/>
                </w:tcPr>
                <w:p w14:paraId="5FF21C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650B017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338" w:type="pct"/>
                  <w:noWrap w:val="0"/>
                  <w:vAlign w:val="center"/>
                </w:tcPr>
                <w:p w14:paraId="7AB3A51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50.51</w:t>
                  </w:r>
                </w:p>
              </w:tc>
              <w:tc>
                <w:tcPr>
                  <w:tcW w:w="369" w:type="pct"/>
                  <w:noWrap w:val="0"/>
                  <w:vAlign w:val="center"/>
                </w:tcPr>
                <w:p w14:paraId="6F4AA30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r>
            <w:tr w14:paraId="52F3E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 w:type="pct"/>
                  <w:noWrap w:val="0"/>
                  <w:vAlign w:val="center"/>
                </w:tcPr>
                <w:p w14:paraId="7A0DBAF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w:t>
                  </w:r>
                </w:p>
              </w:tc>
              <w:tc>
                <w:tcPr>
                  <w:tcW w:w="367" w:type="pct"/>
                  <w:vMerge w:val="continue"/>
                  <w:noWrap w:val="0"/>
                  <w:vAlign w:val="center"/>
                </w:tcPr>
                <w:p w14:paraId="0B30236D">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585D5DC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2#水泵</w:t>
                  </w:r>
                </w:p>
              </w:tc>
              <w:tc>
                <w:tcPr>
                  <w:tcW w:w="296" w:type="pct"/>
                  <w:shd w:val="clear" w:color="auto" w:fill="auto"/>
                  <w:noWrap w:val="0"/>
                  <w:vAlign w:val="center"/>
                </w:tcPr>
                <w:p w14:paraId="06A4A40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shd w:val="clear" w:color="auto" w:fill="auto"/>
                  <w:noWrap w:val="0"/>
                  <w:vAlign w:val="center"/>
                </w:tcPr>
                <w:p w14:paraId="107E509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420" w:type="pct"/>
                  <w:vMerge w:val="continue"/>
                  <w:noWrap w:val="0"/>
                  <w:vAlign w:val="center"/>
                </w:tcPr>
                <w:p w14:paraId="48E8CA8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354E55E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0FCC8C8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19</w:t>
                  </w:r>
                </w:p>
              </w:tc>
              <w:tc>
                <w:tcPr>
                  <w:tcW w:w="258" w:type="pct"/>
                  <w:noWrap w:val="0"/>
                  <w:vAlign w:val="center"/>
                </w:tcPr>
                <w:p w14:paraId="3929210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99" w:type="pct"/>
                  <w:noWrap w:val="0"/>
                  <w:vAlign w:val="center"/>
                </w:tcPr>
                <w:p w14:paraId="0F2CBB5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157B9EB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70.51</w:t>
                  </w:r>
                </w:p>
              </w:tc>
              <w:tc>
                <w:tcPr>
                  <w:tcW w:w="292" w:type="pct"/>
                  <w:vMerge w:val="continue"/>
                  <w:noWrap w:val="0"/>
                  <w:vAlign w:val="center"/>
                </w:tcPr>
                <w:p w14:paraId="02EE2AE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6BDB3F3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338" w:type="pct"/>
                  <w:noWrap w:val="0"/>
                  <w:vAlign w:val="center"/>
                </w:tcPr>
                <w:p w14:paraId="50F525D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50.51</w:t>
                  </w:r>
                </w:p>
              </w:tc>
              <w:tc>
                <w:tcPr>
                  <w:tcW w:w="369" w:type="pct"/>
                  <w:noWrap w:val="0"/>
                  <w:vAlign w:val="center"/>
                </w:tcPr>
                <w:p w14:paraId="4FCC784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r>
            <w:tr w14:paraId="5A04B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 w:type="pct"/>
                  <w:noWrap w:val="0"/>
                  <w:vAlign w:val="center"/>
                </w:tcPr>
                <w:p w14:paraId="658D22A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9</w:t>
                  </w:r>
                </w:p>
              </w:tc>
              <w:tc>
                <w:tcPr>
                  <w:tcW w:w="367" w:type="pct"/>
                  <w:vMerge w:val="continue"/>
                  <w:noWrap w:val="0"/>
                  <w:vAlign w:val="center"/>
                </w:tcPr>
                <w:p w14:paraId="13A78DD5">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518F98D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3#水泵</w:t>
                  </w:r>
                </w:p>
              </w:tc>
              <w:tc>
                <w:tcPr>
                  <w:tcW w:w="296" w:type="pct"/>
                  <w:shd w:val="clear" w:color="auto" w:fill="auto"/>
                  <w:noWrap w:val="0"/>
                  <w:vAlign w:val="center"/>
                </w:tcPr>
                <w:p w14:paraId="07423EE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shd w:val="clear" w:color="auto" w:fill="auto"/>
                  <w:noWrap w:val="0"/>
                  <w:vAlign w:val="center"/>
                </w:tcPr>
                <w:p w14:paraId="325A88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420" w:type="pct"/>
                  <w:vMerge w:val="continue"/>
                  <w:noWrap w:val="0"/>
                  <w:vAlign w:val="center"/>
                </w:tcPr>
                <w:p w14:paraId="121FFA9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1AE00E3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258" w:type="pct"/>
                  <w:noWrap w:val="0"/>
                  <w:vAlign w:val="center"/>
                </w:tcPr>
                <w:p w14:paraId="1F2D5A1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58" w:type="pct"/>
                  <w:noWrap w:val="0"/>
                  <w:vAlign w:val="center"/>
                </w:tcPr>
                <w:p w14:paraId="1706C52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99" w:type="pct"/>
                  <w:noWrap w:val="0"/>
                  <w:vAlign w:val="center"/>
                </w:tcPr>
                <w:p w14:paraId="69F30FB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06CA341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70.51</w:t>
                  </w:r>
                </w:p>
              </w:tc>
              <w:tc>
                <w:tcPr>
                  <w:tcW w:w="292" w:type="pct"/>
                  <w:vMerge w:val="continue"/>
                  <w:noWrap w:val="0"/>
                  <w:vAlign w:val="center"/>
                </w:tcPr>
                <w:p w14:paraId="094698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66439A2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338" w:type="pct"/>
                  <w:noWrap w:val="0"/>
                  <w:vAlign w:val="center"/>
                </w:tcPr>
                <w:p w14:paraId="2D8ADE6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50.51</w:t>
                  </w:r>
                </w:p>
              </w:tc>
              <w:tc>
                <w:tcPr>
                  <w:tcW w:w="369" w:type="pct"/>
                  <w:noWrap w:val="0"/>
                  <w:vAlign w:val="center"/>
                </w:tcPr>
                <w:p w14:paraId="3C5A7C8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r>
            <w:tr w14:paraId="54D46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 w:type="pct"/>
                  <w:noWrap w:val="0"/>
                  <w:vAlign w:val="center"/>
                </w:tcPr>
                <w:p w14:paraId="198895A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10</w:t>
                  </w:r>
                </w:p>
              </w:tc>
              <w:tc>
                <w:tcPr>
                  <w:tcW w:w="367" w:type="pct"/>
                  <w:vMerge w:val="continue"/>
                  <w:noWrap w:val="0"/>
                  <w:vAlign w:val="center"/>
                </w:tcPr>
                <w:p w14:paraId="5E0F0EDF">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3795EE0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空压机</w:t>
                  </w:r>
                </w:p>
              </w:tc>
              <w:tc>
                <w:tcPr>
                  <w:tcW w:w="296" w:type="pct"/>
                  <w:shd w:val="clear" w:color="auto" w:fill="auto"/>
                  <w:noWrap w:val="0"/>
                  <w:vAlign w:val="center"/>
                </w:tcPr>
                <w:p w14:paraId="264EF0F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shd w:val="clear" w:color="auto" w:fill="auto"/>
                  <w:noWrap w:val="0"/>
                  <w:vAlign w:val="center"/>
                </w:tcPr>
                <w:p w14:paraId="1074A2A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90</w:t>
                  </w:r>
                </w:p>
              </w:tc>
              <w:tc>
                <w:tcPr>
                  <w:tcW w:w="420" w:type="pct"/>
                  <w:vMerge w:val="continue"/>
                  <w:noWrap w:val="0"/>
                  <w:vAlign w:val="center"/>
                </w:tcPr>
                <w:p w14:paraId="47BEB67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0CC15EE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94</w:t>
                  </w:r>
                </w:p>
              </w:tc>
              <w:tc>
                <w:tcPr>
                  <w:tcW w:w="258" w:type="pct"/>
                  <w:noWrap w:val="0"/>
                  <w:vAlign w:val="center"/>
                </w:tcPr>
                <w:p w14:paraId="3D918D4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w:t>
                  </w:r>
                </w:p>
              </w:tc>
              <w:tc>
                <w:tcPr>
                  <w:tcW w:w="258" w:type="pct"/>
                  <w:noWrap w:val="0"/>
                  <w:vAlign w:val="center"/>
                </w:tcPr>
                <w:p w14:paraId="09238F8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299" w:type="pct"/>
                  <w:noWrap w:val="0"/>
                  <w:vAlign w:val="center"/>
                </w:tcPr>
                <w:p w14:paraId="3551423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0A452F1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80.51</w:t>
                  </w:r>
                </w:p>
              </w:tc>
              <w:tc>
                <w:tcPr>
                  <w:tcW w:w="292" w:type="pct"/>
                  <w:vMerge w:val="continue"/>
                  <w:noWrap w:val="0"/>
                  <w:vAlign w:val="center"/>
                </w:tcPr>
                <w:p w14:paraId="07FCF10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73" w:type="pct"/>
                  <w:noWrap w:val="0"/>
                  <w:vAlign w:val="center"/>
                </w:tcPr>
                <w:p w14:paraId="6B44517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38" w:type="pct"/>
                  <w:noWrap w:val="0"/>
                  <w:vAlign w:val="center"/>
                </w:tcPr>
                <w:p w14:paraId="17DC45E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60.51</w:t>
                  </w:r>
                </w:p>
              </w:tc>
              <w:tc>
                <w:tcPr>
                  <w:tcW w:w="369" w:type="pct"/>
                  <w:noWrap w:val="0"/>
                  <w:vAlign w:val="center"/>
                </w:tcPr>
                <w:p w14:paraId="6491CA5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14:paraId="718A2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 w:type="pct"/>
                  <w:noWrap w:val="0"/>
                  <w:vAlign w:val="center"/>
                </w:tcPr>
                <w:p w14:paraId="5FD30EA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11</w:t>
                  </w:r>
                </w:p>
              </w:tc>
              <w:tc>
                <w:tcPr>
                  <w:tcW w:w="367" w:type="pct"/>
                  <w:vMerge w:val="continue"/>
                  <w:noWrap w:val="0"/>
                  <w:vAlign w:val="center"/>
                </w:tcPr>
                <w:p w14:paraId="12B36A93">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22" w:type="pct"/>
                  <w:shd w:val="clear" w:color="auto" w:fill="auto"/>
                  <w:noWrap w:val="0"/>
                  <w:vAlign w:val="center"/>
                </w:tcPr>
                <w:p w14:paraId="338FD35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除尘风机</w:t>
                  </w:r>
                </w:p>
              </w:tc>
              <w:tc>
                <w:tcPr>
                  <w:tcW w:w="296" w:type="pct"/>
                  <w:shd w:val="clear" w:color="auto" w:fill="auto"/>
                  <w:noWrap w:val="0"/>
                  <w:vAlign w:val="center"/>
                </w:tcPr>
                <w:p w14:paraId="76CD951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6" w:type="pct"/>
                  <w:shd w:val="clear" w:color="auto" w:fill="auto"/>
                  <w:noWrap w:val="0"/>
                  <w:vAlign w:val="center"/>
                </w:tcPr>
                <w:p w14:paraId="437D0A9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420" w:type="pct"/>
                  <w:vMerge w:val="continue"/>
                  <w:noWrap w:val="0"/>
                  <w:vAlign w:val="center"/>
                </w:tcPr>
                <w:p w14:paraId="7038D82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58" w:type="pct"/>
                  <w:noWrap w:val="0"/>
                  <w:vAlign w:val="center"/>
                </w:tcPr>
                <w:p w14:paraId="50186AD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103</w:t>
                  </w:r>
                </w:p>
              </w:tc>
              <w:tc>
                <w:tcPr>
                  <w:tcW w:w="258" w:type="pct"/>
                  <w:noWrap w:val="0"/>
                  <w:vAlign w:val="center"/>
                </w:tcPr>
                <w:p w14:paraId="7D643E0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28</w:t>
                  </w:r>
                </w:p>
              </w:tc>
              <w:tc>
                <w:tcPr>
                  <w:tcW w:w="258" w:type="pct"/>
                  <w:noWrap w:val="0"/>
                  <w:vAlign w:val="center"/>
                </w:tcPr>
                <w:p w14:paraId="28374A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99" w:type="pct"/>
                  <w:noWrap w:val="0"/>
                  <w:vAlign w:val="center"/>
                </w:tcPr>
                <w:p w14:paraId="4D38E05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27" w:type="pct"/>
                  <w:noWrap w:val="0"/>
                  <w:vAlign w:val="center"/>
                </w:tcPr>
                <w:p w14:paraId="7035145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70.51</w:t>
                  </w:r>
                </w:p>
              </w:tc>
              <w:tc>
                <w:tcPr>
                  <w:tcW w:w="292" w:type="pct"/>
                  <w:vMerge w:val="continue"/>
                  <w:noWrap w:val="0"/>
                  <w:vAlign w:val="center"/>
                </w:tcPr>
                <w:p w14:paraId="03A6107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73" w:type="pct"/>
                  <w:noWrap w:val="0"/>
                  <w:vAlign w:val="center"/>
                </w:tcPr>
                <w:p w14:paraId="20A90ED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20</w:t>
                  </w:r>
                </w:p>
              </w:tc>
              <w:tc>
                <w:tcPr>
                  <w:tcW w:w="338" w:type="pct"/>
                  <w:noWrap w:val="0"/>
                  <w:vAlign w:val="center"/>
                </w:tcPr>
                <w:p w14:paraId="1908029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50.51</w:t>
                  </w:r>
                </w:p>
              </w:tc>
              <w:tc>
                <w:tcPr>
                  <w:tcW w:w="369" w:type="pct"/>
                  <w:noWrap w:val="0"/>
                  <w:vAlign w:val="center"/>
                </w:tcPr>
                <w:p w14:paraId="6F9A35D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r>
          </w:tbl>
          <w:p w14:paraId="285EB185">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spacing w:val="0"/>
                <w:kern w:val="2"/>
                <w:sz w:val="21"/>
                <w:szCs w:val="21"/>
                <w:highlight w:val="none"/>
                <w:lang w:val="en-US" w:eastAsia="zh-CN" w:bidi="ar-SA"/>
              </w:rPr>
            </w:pPr>
            <w:r>
              <w:rPr>
                <w:rFonts w:hint="default" w:ascii="Times New Roman" w:hAnsi="Times New Roman" w:eastAsia="黑体" w:cs="Times New Roman"/>
                <w:b w:val="0"/>
                <w:bCs w:val="0"/>
                <w:color w:val="auto"/>
                <w:spacing w:val="0"/>
                <w:kern w:val="2"/>
                <w:sz w:val="21"/>
                <w:szCs w:val="21"/>
                <w:highlight w:val="none"/>
                <w:lang w:val="en-US" w:eastAsia="zh-CN" w:bidi="ar-SA"/>
              </w:rPr>
              <w:t>表4</w:t>
            </w:r>
            <w:r>
              <w:rPr>
                <w:rFonts w:hint="eastAsia" w:ascii="Times New Roman" w:hAnsi="Times New Roman" w:eastAsia="黑体" w:cs="Times New Roman"/>
                <w:b w:val="0"/>
                <w:bCs w:val="0"/>
                <w:color w:val="auto"/>
                <w:spacing w:val="0"/>
                <w:kern w:val="2"/>
                <w:sz w:val="21"/>
                <w:szCs w:val="21"/>
                <w:highlight w:val="none"/>
                <w:lang w:val="en-US" w:eastAsia="zh-CN" w:bidi="ar-SA"/>
              </w:rPr>
              <w:t>.7-2</w:t>
            </w:r>
            <w:r>
              <w:rPr>
                <w:rFonts w:hint="default" w:ascii="Times New Roman" w:hAnsi="Times New Roman" w:eastAsia="黑体" w:cs="Times New Roman"/>
                <w:b w:val="0"/>
                <w:bCs w:val="0"/>
                <w:color w:val="auto"/>
                <w:spacing w:val="0"/>
                <w:kern w:val="2"/>
                <w:sz w:val="21"/>
                <w:szCs w:val="21"/>
                <w:highlight w:val="none"/>
                <w:lang w:val="en-US" w:eastAsia="zh-CN" w:bidi="ar-SA"/>
              </w:rPr>
              <w:t xml:space="preserve">  </w:t>
            </w:r>
            <w:r>
              <w:rPr>
                <w:rFonts w:hint="eastAsia" w:ascii="Times New Roman" w:hAnsi="Times New Roman" w:eastAsia="黑体" w:cs="Times New Roman"/>
                <w:b w:val="0"/>
                <w:bCs w:val="0"/>
                <w:color w:val="auto"/>
                <w:spacing w:val="0"/>
                <w:kern w:val="2"/>
                <w:sz w:val="21"/>
                <w:szCs w:val="21"/>
                <w:highlight w:val="none"/>
                <w:lang w:val="en-US" w:eastAsia="zh-CN" w:bidi="ar-SA"/>
              </w:rPr>
              <w:t>室外</w:t>
            </w:r>
            <w:r>
              <w:rPr>
                <w:rFonts w:hint="default" w:ascii="Times New Roman" w:hAnsi="Times New Roman" w:eastAsia="黑体" w:cs="Times New Roman"/>
                <w:b w:val="0"/>
                <w:bCs w:val="0"/>
                <w:color w:val="auto"/>
                <w:spacing w:val="0"/>
                <w:kern w:val="2"/>
                <w:sz w:val="21"/>
                <w:szCs w:val="21"/>
                <w:highlight w:val="none"/>
                <w:lang w:val="en-US" w:eastAsia="zh-CN" w:bidi="ar-SA"/>
              </w:rPr>
              <w:t>噪声源源强调查清单</w:t>
            </w:r>
          </w:p>
          <w:tbl>
            <w:tblPr>
              <w:tblStyle w:val="24"/>
              <w:tblW w:w="492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662"/>
              <w:gridCol w:w="1216"/>
              <w:gridCol w:w="1216"/>
              <w:gridCol w:w="1221"/>
              <w:gridCol w:w="1806"/>
              <w:gridCol w:w="2991"/>
              <w:gridCol w:w="1199"/>
            </w:tblGrid>
            <w:tr w14:paraId="331ED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300" w:type="pct"/>
                  <w:vMerge w:val="restart"/>
                  <w:noWrap w:val="0"/>
                  <w:vAlign w:val="center"/>
                </w:tcPr>
                <w:p w14:paraId="172A7CB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序号</w:t>
                  </w:r>
                </w:p>
              </w:tc>
              <w:tc>
                <w:tcPr>
                  <w:tcW w:w="690" w:type="pct"/>
                  <w:vMerge w:val="restart"/>
                  <w:noWrap w:val="0"/>
                  <w:vAlign w:val="center"/>
                </w:tcPr>
                <w:p w14:paraId="4E42B91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声源</w:t>
                  </w:r>
                  <w:r>
                    <w:rPr>
                      <w:rFonts w:ascii="Times New Roman" w:hAnsi="Times New Roman" w:eastAsia="宋体" w:cs="Times New Roman"/>
                      <w:color w:val="auto"/>
                      <w:spacing w:val="0"/>
                      <w:sz w:val="21"/>
                      <w:szCs w:val="21"/>
                      <w:highlight w:val="none"/>
                    </w:rPr>
                    <w:t>名称</w:t>
                  </w:r>
                </w:p>
              </w:tc>
              <w:tc>
                <w:tcPr>
                  <w:tcW w:w="1517" w:type="pct"/>
                  <w:gridSpan w:val="3"/>
                  <w:noWrap w:val="0"/>
                  <w:vAlign w:val="center"/>
                </w:tcPr>
                <w:p w14:paraId="70DCC1F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空间</w:t>
                  </w:r>
                  <w:r>
                    <w:rPr>
                      <w:rFonts w:ascii="Times New Roman" w:hAnsi="Times New Roman" w:eastAsia="宋体" w:cs="Times New Roman"/>
                      <w:color w:val="auto"/>
                      <w:spacing w:val="0"/>
                      <w:sz w:val="21"/>
                      <w:szCs w:val="21"/>
                      <w:highlight w:val="none"/>
                    </w:rPr>
                    <w:t>相对位置</w:t>
                  </w:r>
                  <w:r>
                    <w:rPr>
                      <w:rFonts w:hint="eastAsia" w:ascii="Times New Roman" w:hAnsi="Times New Roman" w:eastAsia="宋体" w:cs="Times New Roman"/>
                      <w:color w:val="auto"/>
                      <w:spacing w:val="0"/>
                      <w:sz w:val="21"/>
                      <w:szCs w:val="21"/>
                      <w:highlight w:val="none"/>
                    </w:rPr>
                    <w:t>/m</w:t>
                  </w:r>
                </w:p>
              </w:tc>
              <w:tc>
                <w:tcPr>
                  <w:tcW w:w="750" w:type="pct"/>
                  <w:noWrap w:val="0"/>
                  <w:vAlign w:val="center"/>
                </w:tcPr>
                <w:p w14:paraId="099A2F4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rPr>
                    <w:t>声源</w:t>
                  </w:r>
                  <w:r>
                    <w:rPr>
                      <w:rFonts w:ascii="Times New Roman" w:hAnsi="Times New Roman" w:eastAsia="宋体" w:cs="Times New Roman"/>
                      <w:color w:val="auto"/>
                      <w:spacing w:val="0"/>
                      <w:sz w:val="21"/>
                      <w:szCs w:val="21"/>
                      <w:highlight w:val="none"/>
                    </w:rPr>
                    <w:t>源强</w:t>
                  </w:r>
                </w:p>
              </w:tc>
              <w:tc>
                <w:tcPr>
                  <w:tcW w:w="1242" w:type="pct"/>
                  <w:vMerge w:val="restart"/>
                  <w:noWrap w:val="0"/>
                  <w:vAlign w:val="center"/>
                </w:tcPr>
                <w:p w14:paraId="355B4D2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声源控制措施</w:t>
                  </w:r>
                </w:p>
              </w:tc>
              <w:tc>
                <w:tcPr>
                  <w:tcW w:w="498" w:type="pct"/>
                  <w:vMerge w:val="restart"/>
                  <w:noWrap w:val="0"/>
                  <w:vAlign w:val="center"/>
                </w:tcPr>
                <w:p w14:paraId="009D342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运行时段</w:t>
                  </w:r>
                </w:p>
              </w:tc>
            </w:tr>
            <w:tr w14:paraId="2C10E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continue"/>
                  <w:noWrap w:val="0"/>
                  <w:vAlign w:val="center"/>
                </w:tcPr>
                <w:p w14:paraId="1AF423A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690" w:type="pct"/>
                  <w:vMerge w:val="continue"/>
                  <w:noWrap w:val="0"/>
                  <w:vAlign w:val="center"/>
                </w:tcPr>
                <w:p w14:paraId="1A4F9FA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505" w:type="pct"/>
                  <w:noWrap w:val="0"/>
                  <w:vAlign w:val="center"/>
                </w:tcPr>
                <w:p w14:paraId="02DFE1C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X</w:t>
                  </w:r>
                </w:p>
              </w:tc>
              <w:tc>
                <w:tcPr>
                  <w:tcW w:w="505" w:type="pct"/>
                  <w:noWrap w:val="0"/>
                  <w:vAlign w:val="center"/>
                </w:tcPr>
                <w:p w14:paraId="4D7768F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Y</w:t>
                  </w:r>
                </w:p>
              </w:tc>
              <w:tc>
                <w:tcPr>
                  <w:tcW w:w="507" w:type="pct"/>
                  <w:noWrap w:val="0"/>
                  <w:vAlign w:val="center"/>
                </w:tcPr>
                <w:p w14:paraId="363307D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Z</w:t>
                  </w:r>
                </w:p>
              </w:tc>
              <w:tc>
                <w:tcPr>
                  <w:tcW w:w="750" w:type="pct"/>
                  <w:noWrap w:val="0"/>
                  <w:vAlign w:val="center"/>
                </w:tcPr>
                <w:p w14:paraId="0B3AD99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声功率级</w:t>
                  </w:r>
                  <w:r>
                    <w:rPr>
                      <w:rFonts w:ascii="Times New Roman" w:hAnsi="Times New Roman" w:eastAsia="宋体" w:cs="Times New Roman"/>
                      <w:color w:val="auto"/>
                      <w:spacing w:val="0"/>
                      <w:sz w:val="21"/>
                      <w:szCs w:val="21"/>
                      <w:highlight w:val="none"/>
                    </w:rPr>
                    <w:t>dB</w:t>
                  </w:r>
                  <w:r>
                    <w:rPr>
                      <w:rFonts w:hint="eastAsia" w:ascii="Times New Roman" w:hAnsi="Times New Roman" w:eastAsia="宋体" w:cs="Times New Roman"/>
                      <w:color w:val="auto"/>
                      <w:spacing w:val="0"/>
                      <w:sz w:val="21"/>
                      <w:szCs w:val="21"/>
                      <w:highlight w:val="none"/>
                    </w:rPr>
                    <w:t>(</w:t>
                  </w:r>
                  <w:r>
                    <w:rPr>
                      <w:rFonts w:ascii="Times New Roman" w:hAnsi="Times New Roman" w:eastAsia="宋体" w:cs="Times New Roman"/>
                      <w:color w:val="auto"/>
                      <w:spacing w:val="0"/>
                      <w:sz w:val="21"/>
                      <w:szCs w:val="21"/>
                      <w:highlight w:val="none"/>
                    </w:rPr>
                    <w:t>A</w:t>
                  </w:r>
                  <w:r>
                    <w:rPr>
                      <w:rFonts w:hint="eastAsia" w:ascii="Times New Roman" w:hAnsi="Times New Roman" w:eastAsia="宋体" w:cs="Times New Roman"/>
                      <w:color w:val="auto"/>
                      <w:spacing w:val="0"/>
                      <w:sz w:val="21"/>
                      <w:szCs w:val="21"/>
                      <w:highlight w:val="none"/>
                    </w:rPr>
                    <w:t>)</w:t>
                  </w:r>
                </w:p>
              </w:tc>
              <w:tc>
                <w:tcPr>
                  <w:tcW w:w="1242" w:type="pct"/>
                  <w:vMerge w:val="continue"/>
                  <w:noWrap w:val="0"/>
                  <w:vAlign w:val="center"/>
                </w:tcPr>
                <w:p w14:paraId="1EBE0E7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498" w:type="pct"/>
                  <w:vMerge w:val="continue"/>
                  <w:noWrap w:val="0"/>
                  <w:vAlign w:val="center"/>
                </w:tcPr>
                <w:p w14:paraId="7DA12EB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r>
            <w:tr w14:paraId="5BF68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5C584A8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690" w:type="pct"/>
                  <w:noWrap w:val="0"/>
                  <w:vAlign w:val="center"/>
                </w:tcPr>
                <w:p w14:paraId="7435D7C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1#螺旋输送机</w:t>
                  </w:r>
                </w:p>
              </w:tc>
              <w:tc>
                <w:tcPr>
                  <w:tcW w:w="505" w:type="pct"/>
                  <w:noWrap w:val="0"/>
                  <w:vAlign w:val="center"/>
                </w:tcPr>
                <w:p w14:paraId="38034E6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93</w:t>
                  </w:r>
                </w:p>
              </w:tc>
              <w:tc>
                <w:tcPr>
                  <w:tcW w:w="505" w:type="pct"/>
                  <w:noWrap w:val="0"/>
                  <w:vAlign w:val="center"/>
                </w:tcPr>
                <w:p w14:paraId="235ABB2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28</w:t>
                  </w:r>
                </w:p>
              </w:tc>
              <w:tc>
                <w:tcPr>
                  <w:tcW w:w="507" w:type="pct"/>
                  <w:noWrap w:val="0"/>
                  <w:vAlign w:val="center"/>
                </w:tcPr>
                <w:p w14:paraId="7639B1C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15</w:t>
                  </w:r>
                </w:p>
              </w:tc>
              <w:tc>
                <w:tcPr>
                  <w:tcW w:w="750" w:type="pct"/>
                  <w:noWrap w:val="0"/>
                  <w:vAlign w:val="center"/>
                </w:tcPr>
                <w:p w14:paraId="0DB375B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1242" w:type="pct"/>
                  <w:vMerge w:val="restart"/>
                  <w:noWrap w:val="0"/>
                  <w:vAlign w:val="center"/>
                </w:tcPr>
                <w:p w14:paraId="2F504D4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rPr>
                    <w:t>减振</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风机</w:t>
                  </w:r>
                  <w:r>
                    <w:rPr>
                      <w:rFonts w:ascii="Times New Roman" w:cs="Times New Roman"/>
                      <w:color w:val="auto"/>
                      <w:sz w:val="21"/>
                      <w:szCs w:val="21"/>
                      <w:highlight w:val="none"/>
                    </w:rPr>
                    <w:t>出口安装消声器</w:t>
                  </w:r>
                  <w:r>
                    <w:rPr>
                      <w:rFonts w:hint="eastAsia"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定期维护</w:t>
                  </w:r>
                </w:p>
              </w:tc>
              <w:tc>
                <w:tcPr>
                  <w:tcW w:w="498" w:type="pct"/>
                  <w:vMerge w:val="restart"/>
                  <w:noWrap w:val="0"/>
                  <w:vAlign w:val="center"/>
                </w:tcPr>
                <w:p w14:paraId="126E226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eastAsia="宋体"/>
                      <w:color w:val="auto"/>
                      <w:spacing w:val="0"/>
                      <w:sz w:val="21"/>
                      <w:szCs w:val="21"/>
                      <w:highlight w:val="none"/>
                      <w:lang w:val="en-US" w:eastAsia="zh-CN"/>
                    </w:rPr>
                    <w:t>8:00~18:00</w:t>
                  </w:r>
                </w:p>
              </w:tc>
            </w:tr>
            <w:tr w14:paraId="18A24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680A07D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p>
              </w:tc>
              <w:tc>
                <w:tcPr>
                  <w:tcW w:w="690" w:type="pct"/>
                  <w:noWrap w:val="0"/>
                  <w:vAlign w:val="center"/>
                </w:tcPr>
                <w:p w14:paraId="20306A4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2#螺旋输送机</w:t>
                  </w:r>
                </w:p>
              </w:tc>
              <w:tc>
                <w:tcPr>
                  <w:tcW w:w="505" w:type="pct"/>
                  <w:noWrap w:val="0"/>
                  <w:vAlign w:val="center"/>
                </w:tcPr>
                <w:p w14:paraId="59BD068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505" w:type="pct"/>
                  <w:noWrap w:val="0"/>
                  <w:vAlign w:val="center"/>
                </w:tcPr>
                <w:p w14:paraId="7240E4C3">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25</w:t>
                  </w:r>
                </w:p>
              </w:tc>
              <w:tc>
                <w:tcPr>
                  <w:tcW w:w="507" w:type="pct"/>
                  <w:noWrap w:val="0"/>
                  <w:vAlign w:val="center"/>
                </w:tcPr>
                <w:p w14:paraId="6D3FE22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750" w:type="pct"/>
                  <w:noWrap w:val="0"/>
                  <w:vAlign w:val="center"/>
                </w:tcPr>
                <w:p w14:paraId="7C08702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70</w:t>
                  </w:r>
                </w:p>
              </w:tc>
              <w:tc>
                <w:tcPr>
                  <w:tcW w:w="1242" w:type="pct"/>
                  <w:vMerge w:val="continue"/>
                  <w:noWrap w:val="0"/>
                  <w:vAlign w:val="center"/>
                </w:tcPr>
                <w:p w14:paraId="0F18779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0D38827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5C5B4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3025C9E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w:t>
                  </w:r>
                </w:p>
              </w:tc>
              <w:tc>
                <w:tcPr>
                  <w:tcW w:w="690" w:type="pct"/>
                  <w:noWrap w:val="0"/>
                  <w:vAlign w:val="center"/>
                </w:tcPr>
                <w:p w14:paraId="44D2DE2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3#螺旋输送机</w:t>
                  </w:r>
                </w:p>
              </w:tc>
              <w:tc>
                <w:tcPr>
                  <w:tcW w:w="505" w:type="pct"/>
                  <w:noWrap w:val="0"/>
                  <w:vAlign w:val="center"/>
                </w:tcPr>
                <w:p w14:paraId="79DA4E7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505" w:type="pct"/>
                  <w:noWrap w:val="0"/>
                  <w:vAlign w:val="center"/>
                </w:tcPr>
                <w:p w14:paraId="539E96F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22</w:t>
                  </w:r>
                </w:p>
              </w:tc>
              <w:tc>
                <w:tcPr>
                  <w:tcW w:w="507" w:type="pct"/>
                  <w:noWrap w:val="0"/>
                  <w:vAlign w:val="center"/>
                </w:tcPr>
                <w:p w14:paraId="483AB43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750" w:type="pct"/>
                  <w:noWrap w:val="0"/>
                  <w:vAlign w:val="center"/>
                </w:tcPr>
                <w:p w14:paraId="065BB4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70</w:t>
                  </w:r>
                </w:p>
              </w:tc>
              <w:tc>
                <w:tcPr>
                  <w:tcW w:w="1242" w:type="pct"/>
                  <w:vMerge w:val="continue"/>
                  <w:noWrap w:val="0"/>
                  <w:vAlign w:val="center"/>
                </w:tcPr>
                <w:p w14:paraId="275C1F9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3612F83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2D3AB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7727192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w:t>
                  </w:r>
                </w:p>
              </w:tc>
              <w:tc>
                <w:tcPr>
                  <w:tcW w:w="690" w:type="pct"/>
                  <w:noWrap w:val="0"/>
                  <w:vAlign w:val="center"/>
                </w:tcPr>
                <w:p w14:paraId="531CA64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4#螺旋输送机</w:t>
                  </w:r>
                </w:p>
              </w:tc>
              <w:tc>
                <w:tcPr>
                  <w:tcW w:w="505" w:type="pct"/>
                  <w:noWrap w:val="0"/>
                  <w:vAlign w:val="center"/>
                </w:tcPr>
                <w:p w14:paraId="2C102F0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505" w:type="pct"/>
                  <w:noWrap w:val="0"/>
                  <w:vAlign w:val="center"/>
                </w:tcPr>
                <w:p w14:paraId="4B4943F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19</w:t>
                  </w:r>
                </w:p>
              </w:tc>
              <w:tc>
                <w:tcPr>
                  <w:tcW w:w="507" w:type="pct"/>
                  <w:noWrap w:val="0"/>
                  <w:vAlign w:val="center"/>
                </w:tcPr>
                <w:p w14:paraId="2A57C22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750" w:type="pct"/>
                  <w:noWrap w:val="0"/>
                  <w:vAlign w:val="center"/>
                </w:tcPr>
                <w:p w14:paraId="51C89D1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70</w:t>
                  </w:r>
                </w:p>
              </w:tc>
              <w:tc>
                <w:tcPr>
                  <w:tcW w:w="1242" w:type="pct"/>
                  <w:vMerge w:val="continue"/>
                  <w:noWrap w:val="0"/>
                  <w:vAlign w:val="center"/>
                </w:tcPr>
                <w:p w14:paraId="72C36988">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79584D3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195B9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415BA70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5</w:t>
                  </w:r>
                </w:p>
              </w:tc>
              <w:tc>
                <w:tcPr>
                  <w:tcW w:w="690" w:type="pct"/>
                  <w:noWrap w:val="0"/>
                  <w:vAlign w:val="center"/>
                </w:tcPr>
                <w:p w14:paraId="64C613B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5#螺旋输送机</w:t>
                  </w:r>
                </w:p>
              </w:tc>
              <w:tc>
                <w:tcPr>
                  <w:tcW w:w="505" w:type="pct"/>
                  <w:noWrap w:val="0"/>
                  <w:vAlign w:val="center"/>
                </w:tcPr>
                <w:p w14:paraId="37569F0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505" w:type="pct"/>
                  <w:noWrap w:val="0"/>
                  <w:vAlign w:val="center"/>
                </w:tcPr>
                <w:p w14:paraId="39B7F59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507" w:type="pct"/>
                  <w:noWrap w:val="0"/>
                  <w:vAlign w:val="center"/>
                </w:tcPr>
                <w:p w14:paraId="29CEC60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750" w:type="pct"/>
                  <w:noWrap w:val="0"/>
                  <w:vAlign w:val="center"/>
                </w:tcPr>
                <w:p w14:paraId="552C9DB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70</w:t>
                  </w:r>
                </w:p>
              </w:tc>
              <w:tc>
                <w:tcPr>
                  <w:tcW w:w="1242" w:type="pct"/>
                  <w:vMerge w:val="continue"/>
                  <w:noWrap w:val="0"/>
                  <w:vAlign w:val="center"/>
                </w:tcPr>
                <w:p w14:paraId="3D61FB7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1D0333A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353C7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53B93F9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6</w:t>
                  </w:r>
                </w:p>
              </w:tc>
              <w:tc>
                <w:tcPr>
                  <w:tcW w:w="690" w:type="pct"/>
                  <w:noWrap w:val="0"/>
                  <w:vAlign w:val="center"/>
                </w:tcPr>
                <w:p w14:paraId="7BAA62B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6#螺旋输送机</w:t>
                  </w:r>
                </w:p>
              </w:tc>
              <w:tc>
                <w:tcPr>
                  <w:tcW w:w="505" w:type="pct"/>
                  <w:noWrap w:val="0"/>
                  <w:vAlign w:val="center"/>
                </w:tcPr>
                <w:p w14:paraId="4D2294E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505" w:type="pct"/>
                  <w:noWrap w:val="0"/>
                  <w:vAlign w:val="center"/>
                </w:tcPr>
                <w:p w14:paraId="4E57D25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w:t>
                  </w:r>
                </w:p>
              </w:tc>
              <w:tc>
                <w:tcPr>
                  <w:tcW w:w="507" w:type="pct"/>
                  <w:noWrap w:val="0"/>
                  <w:vAlign w:val="center"/>
                </w:tcPr>
                <w:p w14:paraId="3DF3AD2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750" w:type="pct"/>
                  <w:noWrap w:val="0"/>
                  <w:vAlign w:val="center"/>
                </w:tcPr>
                <w:p w14:paraId="581265A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70</w:t>
                  </w:r>
                </w:p>
              </w:tc>
              <w:tc>
                <w:tcPr>
                  <w:tcW w:w="1242" w:type="pct"/>
                  <w:vMerge w:val="continue"/>
                  <w:noWrap w:val="0"/>
                  <w:vAlign w:val="center"/>
                </w:tcPr>
                <w:p w14:paraId="6BB5D53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7196B40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1103C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0F854AE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7</w:t>
                  </w:r>
                </w:p>
              </w:tc>
              <w:tc>
                <w:tcPr>
                  <w:tcW w:w="690" w:type="pct"/>
                  <w:noWrap w:val="0"/>
                  <w:vAlign w:val="center"/>
                </w:tcPr>
                <w:p w14:paraId="175EFA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05F21A5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7B88644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28</w:t>
                  </w:r>
                </w:p>
              </w:tc>
              <w:tc>
                <w:tcPr>
                  <w:tcW w:w="507" w:type="pct"/>
                  <w:noWrap w:val="0"/>
                  <w:vAlign w:val="center"/>
                </w:tcPr>
                <w:p w14:paraId="39BC4AC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4704E2B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04B687D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7B5BE26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7928D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6C273C3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8</w:t>
                  </w:r>
                </w:p>
              </w:tc>
              <w:tc>
                <w:tcPr>
                  <w:tcW w:w="690" w:type="pct"/>
                  <w:noWrap w:val="0"/>
                  <w:vAlign w:val="center"/>
                </w:tcPr>
                <w:p w14:paraId="0D20B1A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2B90EAB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5469DA1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507" w:type="pct"/>
                  <w:noWrap w:val="0"/>
                  <w:vAlign w:val="center"/>
                </w:tcPr>
                <w:p w14:paraId="27A66C5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0B3915E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5DCFD53C">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64789327">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07A52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0321568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9</w:t>
                  </w:r>
                </w:p>
              </w:tc>
              <w:tc>
                <w:tcPr>
                  <w:tcW w:w="690" w:type="pct"/>
                  <w:noWrap w:val="0"/>
                  <w:vAlign w:val="center"/>
                </w:tcPr>
                <w:p w14:paraId="6434ACC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276D116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1A6939A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22</w:t>
                  </w:r>
                </w:p>
              </w:tc>
              <w:tc>
                <w:tcPr>
                  <w:tcW w:w="507" w:type="pct"/>
                  <w:noWrap w:val="0"/>
                  <w:vAlign w:val="center"/>
                </w:tcPr>
                <w:p w14:paraId="45C4447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0C54B19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2BD7A61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735DBE7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5D1F9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77347DA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10</w:t>
                  </w:r>
                </w:p>
              </w:tc>
              <w:tc>
                <w:tcPr>
                  <w:tcW w:w="690" w:type="pct"/>
                  <w:noWrap w:val="0"/>
                  <w:vAlign w:val="center"/>
                </w:tcPr>
                <w:p w14:paraId="1D55E6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0788A742">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520D5B49">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19</w:t>
                  </w:r>
                </w:p>
              </w:tc>
              <w:tc>
                <w:tcPr>
                  <w:tcW w:w="507" w:type="pct"/>
                  <w:noWrap w:val="0"/>
                  <w:vAlign w:val="center"/>
                </w:tcPr>
                <w:p w14:paraId="765123B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61AE28F1">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2636DCE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3F8FECD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3DB2A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1FF4FB56">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w:t>
                  </w:r>
                </w:p>
              </w:tc>
              <w:tc>
                <w:tcPr>
                  <w:tcW w:w="690" w:type="pct"/>
                  <w:noWrap w:val="0"/>
                  <w:vAlign w:val="center"/>
                </w:tcPr>
                <w:p w14:paraId="3C7A1A5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2E2BC9A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080739E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16</w:t>
                  </w:r>
                </w:p>
              </w:tc>
              <w:tc>
                <w:tcPr>
                  <w:tcW w:w="507" w:type="pct"/>
                  <w:noWrap w:val="0"/>
                  <w:vAlign w:val="center"/>
                </w:tcPr>
                <w:p w14:paraId="332E625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47FE4DC4">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29E7D7CF">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5CF242ED">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6EB3C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noWrap w:val="0"/>
                  <w:vAlign w:val="center"/>
                </w:tcPr>
                <w:p w14:paraId="27D9989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690" w:type="pct"/>
                  <w:noWrap w:val="0"/>
                  <w:vAlign w:val="center"/>
                </w:tcPr>
                <w:p w14:paraId="4707C61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6</w:t>
                  </w:r>
                  <w:r>
                    <w:rPr>
                      <w:rFonts w:hint="eastAsia" w:ascii="Times New Roman" w:hAnsi="Times New Roman" w:eastAsia="宋体" w:cs="Times New Roman"/>
                      <w:color w:val="auto"/>
                      <w:spacing w:val="0"/>
                      <w:kern w:val="2"/>
                      <w:sz w:val="21"/>
                      <w:szCs w:val="21"/>
                      <w:highlight w:val="none"/>
                      <w:lang w:val="en-US" w:eastAsia="zh-CN" w:bidi="ar-SA"/>
                    </w:rPr>
                    <w:t>#除尘风机</w:t>
                  </w:r>
                </w:p>
              </w:tc>
              <w:tc>
                <w:tcPr>
                  <w:tcW w:w="505" w:type="pct"/>
                  <w:noWrap w:val="0"/>
                  <w:vAlign w:val="center"/>
                </w:tcPr>
                <w:p w14:paraId="417196BA">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91</w:t>
                  </w:r>
                </w:p>
              </w:tc>
              <w:tc>
                <w:tcPr>
                  <w:tcW w:w="505" w:type="pct"/>
                  <w:noWrap w:val="0"/>
                  <w:vAlign w:val="center"/>
                </w:tcPr>
                <w:p w14:paraId="1DD4DB05">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13</w:t>
                  </w:r>
                </w:p>
              </w:tc>
              <w:tc>
                <w:tcPr>
                  <w:tcW w:w="507" w:type="pct"/>
                  <w:noWrap w:val="0"/>
                  <w:vAlign w:val="center"/>
                </w:tcPr>
                <w:p w14:paraId="78E82B0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750" w:type="pct"/>
                  <w:noWrap w:val="0"/>
                  <w:vAlign w:val="center"/>
                </w:tcPr>
                <w:p w14:paraId="5C01DC1B">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80</w:t>
                  </w:r>
                </w:p>
              </w:tc>
              <w:tc>
                <w:tcPr>
                  <w:tcW w:w="1242" w:type="pct"/>
                  <w:vMerge w:val="continue"/>
                  <w:noWrap w:val="0"/>
                  <w:vAlign w:val="center"/>
                </w:tcPr>
                <w:p w14:paraId="3BB6BE1E">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98" w:type="pct"/>
                  <w:vMerge w:val="continue"/>
                  <w:noWrap w:val="0"/>
                  <w:vAlign w:val="center"/>
                </w:tcPr>
                <w:p w14:paraId="28A53490">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bl>
          <w:p w14:paraId="61F2F5DD">
            <w:pPr>
              <w:pStyle w:val="6"/>
              <w:rPr>
                <w:rFonts w:hint="eastAsia"/>
                <w:color w:val="auto"/>
                <w:highlight w:val="none"/>
                <w:lang w:val="en-US" w:eastAsia="zh-CN"/>
              </w:rPr>
            </w:pPr>
          </w:p>
          <w:p w14:paraId="66070F2C">
            <w:pPr>
              <w:pStyle w:val="6"/>
              <w:rPr>
                <w:rFonts w:hint="eastAsia"/>
                <w:color w:val="auto"/>
                <w:highlight w:val="none"/>
                <w:lang w:val="en-US" w:eastAsia="zh-CN"/>
              </w:rPr>
            </w:pPr>
          </w:p>
          <w:p w14:paraId="134A3892">
            <w:pPr>
              <w:pStyle w:val="6"/>
              <w:rPr>
                <w:rFonts w:hint="eastAsia"/>
                <w:color w:val="auto"/>
                <w:highlight w:val="none"/>
                <w:lang w:val="en-US" w:eastAsia="zh-CN"/>
              </w:rPr>
            </w:pPr>
          </w:p>
          <w:p w14:paraId="4A1C2566">
            <w:pPr>
              <w:pStyle w:val="6"/>
              <w:rPr>
                <w:rFonts w:hint="eastAsia"/>
                <w:color w:val="auto"/>
                <w:highlight w:val="none"/>
                <w:lang w:val="en-US" w:eastAsia="zh-CN"/>
              </w:rPr>
            </w:pPr>
          </w:p>
          <w:p w14:paraId="13DF2C88">
            <w:pPr>
              <w:pStyle w:val="6"/>
              <w:rPr>
                <w:rFonts w:hint="eastAsia"/>
                <w:color w:val="auto"/>
                <w:highlight w:val="none"/>
                <w:lang w:val="en-US" w:eastAsia="zh-CN"/>
              </w:rPr>
            </w:pPr>
          </w:p>
          <w:p w14:paraId="2920D4BF">
            <w:pPr>
              <w:pStyle w:val="6"/>
              <w:rPr>
                <w:rFonts w:hint="eastAsia"/>
                <w:color w:val="auto"/>
                <w:highlight w:val="none"/>
                <w:lang w:val="en-US" w:eastAsia="zh-CN"/>
              </w:rPr>
            </w:pPr>
          </w:p>
          <w:p w14:paraId="385F8A23">
            <w:pPr>
              <w:pStyle w:val="6"/>
              <w:rPr>
                <w:rFonts w:hint="eastAsia"/>
                <w:color w:val="auto"/>
                <w:highlight w:val="none"/>
                <w:lang w:val="en-US" w:eastAsia="zh-CN"/>
              </w:rPr>
            </w:pPr>
          </w:p>
          <w:p w14:paraId="3CBD114F">
            <w:pPr>
              <w:pStyle w:val="6"/>
              <w:rPr>
                <w:rFonts w:hint="eastAsia"/>
                <w:color w:val="auto"/>
                <w:highlight w:val="none"/>
                <w:lang w:val="en-US" w:eastAsia="zh-CN"/>
              </w:rPr>
            </w:pPr>
          </w:p>
          <w:p w14:paraId="16E344D6">
            <w:pPr>
              <w:pStyle w:val="6"/>
              <w:rPr>
                <w:rFonts w:hint="eastAsia"/>
                <w:color w:val="auto"/>
                <w:highlight w:val="none"/>
                <w:lang w:val="en-US" w:eastAsia="zh-CN"/>
              </w:rPr>
            </w:pPr>
          </w:p>
          <w:p w14:paraId="7238A0B9">
            <w:pPr>
              <w:pStyle w:val="6"/>
              <w:rPr>
                <w:rFonts w:hint="eastAsia"/>
                <w:color w:val="auto"/>
                <w:highlight w:val="none"/>
                <w:lang w:val="en-US" w:eastAsia="zh-CN"/>
              </w:rPr>
            </w:pPr>
          </w:p>
          <w:p w14:paraId="2447CF1E">
            <w:pPr>
              <w:pStyle w:val="6"/>
              <w:rPr>
                <w:rFonts w:hint="eastAsia"/>
                <w:color w:val="auto"/>
                <w:highlight w:val="none"/>
                <w:lang w:val="en-US" w:eastAsia="zh-CN"/>
              </w:rPr>
            </w:pPr>
          </w:p>
          <w:p w14:paraId="43D37BC2">
            <w:pPr>
              <w:pStyle w:val="6"/>
              <w:rPr>
                <w:rFonts w:hint="eastAsia"/>
                <w:color w:val="auto"/>
                <w:highlight w:val="none"/>
                <w:lang w:val="en-US" w:eastAsia="zh-CN"/>
              </w:rPr>
            </w:pPr>
          </w:p>
          <w:p w14:paraId="46EFA834">
            <w:pPr>
              <w:pStyle w:val="6"/>
              <w:rPr>
                <w:rFonts w:hint="eastAsia"/>
                <w:color w:val="auto"/>
                <w:highlight w:val="none"/>
                <w:lang w:val="en-US" w:eastAsia="zh-CN"/>
              </w:rPr>
            </w:pPr>
          </w:p>
          <w:p w14:paraId="500844EA">
            <w:pPr>
              <w:pStyle w:val="6"/>
              <w:rPr>
                <w:rFonts w:hint="eastAsia"/>
                <w:color w:val="auto"/>
                <w:highlight w:val="none"/>
                <w:lang w:val="en-US" w:eastAsia="zh-CN"/>
              </w:rPr>
            </w:pPr>
          </w:p>
          <w:p w14:paraId="7FCF31C1">
            <w:pPr>
              <w:pStyle w:val="6"/>
              <w:rPr>
                <w:rFonts w:hint="eastAsia"/>
                <w:color w:val="auto"/>
                <w:highlight w:val="none"/>
                <w:lang w:val="en-US" w:eastAsia="zh-CN"/>
              </w:rPr>
            </w:pPr>
          </w:p>
          <w:p w14:paraId="151078AD">
            <w:pPr>
              <w:pStyle w:val="6"/>
              <w:rPr>
                <w:rFonts w:hint="eastAsia"/>
                <w:color w:val="auto"/>
                <w:highlight w:val="none"/>
                <w:lang w:val="en-US" w:eastAsia="zh-CN"/>
              </w:rPr>
            </w:pPr>
          </w:p>
          <w:p w14:paraId="2625598F">
            <w:pPr>
              <w:pStyle w:val="6"/>
              <w:rPr>
                <w:rFonts w:hint="eastAsia"/>
                <w:color w:val="auto"/>
                <w:highlight w:val="none"/>
                <w:lang w:val="en-US" w:eastAsia="zh-CN"/>
              </w:rPr>
            </w:pPr>
          </w:p>
          <w:p w14:paraId="0EC344B1">
            <w:pPr>
              <w:pStyle w:val="6"/>
              <w:rPr>
                <w:rFonts w:hint="eastAsia"/>
                <w:color w:val="auto"/>
                <w:highlight w:val="none"/>
                <w:lang w:val="en-US" w:eastAsia="zh-CN"/>
              </w:rPr>
            </w:pPr>
          </w:p>
          <w:p w14:paraId="54A5529E">
            <w:pPr>
              <w:pStyle w:val="6"/>
              <w:rPr>
                <w:rFonts w:hint="eastAsia"/>
                <w:color w:val="auto"/>
                <w:highlight w:val="none"/>
                <w:lang w:val="en-US" w:eastAsia="zh-CN"/>
              </w:rPr>
            </w:pPr>
          </w:p>
          <w:p w14:paraId="42AEA999">
            <w:pPr>
              <w:pStyle w:val="6"/>
              <w:rPr>
                <w:rFonts w:hint="eastAsia"/>
                <w:color w:val="auto"/>
                <w:highlight w:val="none"/>
                <w:lang w:val="en-US" w:eastAsia="zh-CN"/>
              </w:rPr>
            </w:pPr>
          </w:p>
          <w:p w14:paraId="3834517B">
            <w:pPr>
              <w:pStyle w:val="6"/>
              <w:rPr>
                <w:rFonts w:hint="eastAsia"/>
                <w:color w:val="auto"/>
                <w:highlight w:val="none"/>
                <w:lang w:val="en-US" w:eastAsia="zh-CN"/>
              </w:rPr>
            </w:pPr>
          </w:p>
          <w:p w14:paraId="74B02C00">
            <w:pPr>
              <w:pStyle w:val="6"/>
              <w:rPr>
                <w:rFonts w:hint="eastAsia"/>
                <w:color w:val="auto"/>
                <w:highlight w:val="none"/>
                <w:lang w:val="en-US" w:eastAsia="zh-CN"/>
              </w:rPr>
            </w:pPr>
          </w:p>
          <w:p w14:paraId="26A7B220">
            <w:pPr>
              <w:pStyle w:val="6"/>
              <w:rPr>
                <w:rFonts w:hint="default"/>
                <w:color w:val="auto"/>
                <w:highlight w:val="none"/>
                <w:lang w:val="en-US" w:eastAsia="zh-CN"/>
              </w:rPr>
            </w:pPr>
          </w:p>
        </w:tc>
      </w:tr>
    </w:tbl>
    <w:p w14:paraId="7B704F96">
      <w:pPr>
        <w:pStyle w:val="21"/>
        <w:rPr>
          <w:rFonts w:hint="default"/>
          <w:color w:val="auto"/>
          <w:highlight w:val="none"/>
        </w:rPr>
        <w:sectPr>
          <w:pgSz w:w="16840" w:h="11907" w:orient="landscape"/>
          <w:pgMar w:top="1531" w:right="1701" w:bottom="1417" w:left="2127"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344"/>
      </w:tblGrid>
      <w:tr w14:paraId="4F59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noWrap w:val="0"/>
            <w:vAlign w:val="center"/>
          </w:tcPr>
          <w:p w14:paraId="59010EA1">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运营</w:t>
            </w:r>
          </w:p>
          <w:p w14:paraId="679056D4">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期环</w:t>
            </w:r>
          </w:p>
          <w:p w14:paraId="204E8404">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境影</w:t>
            </w:r>
          </w:p>
          <w:p w14:paraId="60C1ACFC">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响和</w:t>
            </w:r>
          </w:p>
          <w:p w14:paraId="3D389939">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保护</w:t>
            </w:r>
          </w:p>
          <w:p w14:paraId="0F5FE1E4">
            <w:pPr>
              <w:pStyle w:val="21"/>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color w:val="auto"/>
                <w:highlight w:val="none"/>
                <w:vertAlign w:val="baseline"/>
              </w:rPr>
            </w:pPr>
            <w:r>
              <w:rPr>
                <w:rFonts w:hint="default"/>
                <w:color w:val="auto"/>
                <w:highlight w:val="none"/>
                <w:vertAlign w:val="baseline"/>
              </w:rPr>
              <w:t>措施</w:t>
            </w:r>
          </w:p>
        </w:tc>
        <w:tc>
          <w:tcPr>
            <w:tcW w:w="8344" w:type="dxa"/>
            <w:noWrap w:val="0"/>
            <w:vAlign w:val="center"/>
          </w:tcPr>
          <w:p w14:paraId="6BDE4933">
            <w:pPr>
              <w:spacing w:line="46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噪声预测</w:t>
            </w:r>
          </w:p>
          <w:p w14:paraId="12CED036">
            <w:pPr>
              <w:spacing w:line="46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strike w:val="0"/>
                <w:dstrike w:val="0"/>
                <w:color w:val="auto"/>
                <w:sz w:val="24"/>
                <w:highlight w:val="none"/>
                <w:lang w:val="en-US" w:eastAsia="zh-CN"/>
              </w:rPr>
              <w:t>《环境影响评价技术导则 声环境》（HJ2.4-2021）</w:t>
            </w:r>
            <w:r>
              <w:rPr>
                <w:rFonts w:hint="eastAsia" w:ascii="Times New Roman" w:hAnsi="Times New Roman" w:eastAsia="宋体" w:cs="Times New Roman"/>
                <w:color w:val="auto"/>
                <w:sz w:val="24"/>
                <w:highlight w:val="none"/>
                <w:lang w:val="en-US" w:eastAsia="zh-CN"/>
              </w:rPr>
              <w:t>的技术要求，本次评价采取导则上推荐模式。</w:t>
            </w:r>
          </w:p>
          <w:p w14:paraId="5379DD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（1）预测点A声级</w:t>
            </w:r>
            <w:r>
              <w:rPr>
                <w:rFonts w:ascii="Cambria Math" w:hAnsi="Cambria Math" w:eastAsia="宋体" w:cs="Cambria Math"/>
                <w:bCs/>
                <w:color w:val="auto"/>
                <w:sz w:val="24"/>
                <w:szCs w:val="24"/>
                <w:highlight w:val="none"/>
              </w:rPr>
              <w:t>𝐿</w:t>
            </w:r>
            <w:r>
              <w:rPr>
                <w:rFonts w:ascii="Cambria Math" w:hAnsi="Cambria Math" w:eastAsia="宋体" w:cs="Cambria Math"/>
                <w:bCs/>
                <w:color w:val="auto"/>
                <w:sz w:val="24"/>
                <w:szCs w:val="24"/>
                <w:highlight w:val="none"/>
                <w:vertAlign w:val="subscript"/>
              </w:rPr>
              <w:t>𝐴</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rPr>
              <w:t>)计算公式：</w:t>
            </w:r>
          </w:p>
          <w:p w14:paraId="50C1458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eastAsia="zh-CN"/>
              </w:rPr>
            </w:pPr>
            <w:r>
              <w:rPr>
                <w:rFonts w:ascii="Times New Roman" w:hAnsi="Times New Roman" w:eastAsia="宋体" w:cs="Times New Roman"/>
                <w:color w:val="auto"/>
                <w:sz w:val="24"/>
                <w:szCs w:val="24"/>
                <w:highlight w:val="none"/>
              </w:rPr>
              <w:drawing>
                <wp:anchor distT="0" distB="0" distL="114300" distR="114300" simplePos="0" relativeHeight="251659264" behindDoc="0" locked="0" layoutInCell="1" allowOverlap="1">
                  <wp:simplePos x="0" y="0"/>
                  <wp:positionH relativeFrom="column">
                    <wp:posOffset>1341755</wp:posOffset>
                  </wp:positionH>
                  <wp:positionV relativeFrom="paragraph">
                    <wp:posOffset>47625</wp:posOffset>
                  </wp:positionV>
                  <wp:extent cx="1889760" cy="501015"/>
                  <wp:effectExtent l="0" t="0" r="15240" b="13335"/>
                  <wp:wrapNone/>
                  <wp:docPr id="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11"/>
                          <pic:cNvPicPr>
                            <a:picLocks noChangeAspect="1"/>
                          </pic:cNvPicPr>
                        </pic:nvPicPr>
                        <pic:blipFill>
                          <a:blip r:embed="rId30"/>
                          <a:stretch>
                            <a:fillRect/>
                          </a:stretch>
                        </pic:blipFill>
                        <pic:spPr>
                          <a:xfrm>
                            <a:off x="0" y="0"/>
                            <a:ext cx="1889760" cy="501015"/>
                          </a:xfrm>
                          <a:prstGeom prst="rect">
                            <a:avLst/>
                          </a:prstGeom>
                          <a:noFill/>
                          <a:ln>
                            <a:noFill/>
                          </a:ln>
                        </pic:spPr>
                      </pic:pic>
                    </a:graphicData>
                  </a:graphic>
                </wp:anchor>
              </w:drawing>
            </w:r>
          </w:p>
          <w:p w14:paraId="3C4D2D6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eastAsia="zh-CN"/>
              </w:rPr>
            </w:pPr>
          </w:p>
          <w:p w14:paraId="03BE111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式中：</w:t>
            </w:r>
            <w:r>
              <w:rPr>
                <w:rFonts w:ascii="Cambria Math" w:hAnsi="Cambria Math" w:eastAsia="宋体" w:cs="Cambria Math"/>
                <w:bCs/>
                <w:color w:val="auto"/>
                <w:sz w:val="24"/>
                <w:szCs w:val="24"/>
                <w:highlight w:val="none"/>
              </w:rPr>
              <w:t>𝐿</w:t>
            </w:r>
            <w:r>
              <w:rPr>
                <w:rFonts w:ascii="Cambria Math" w:hAnsi="Cambria Math" w:eastAsia="宋体" w:cs="Cambria Math"/>
                <w:bCs/>
                <w:color w:val="auto"/>
                <w:sz w:val="24"/>
                <w:szCs w:val="24"/>
                <w:highlight w:val="none"/>
                <w:vertAlign w:val="subscript"/>
              </w:rPr>
              <w:t>𝐴</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rPr>
              <w:t>)—距声源r处的A声级，dB（A）；</w:t>
            </w:r>
          </w:p>
          <w:p w14:paraId="5D64EDC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 xml:space="preserve">      </w:t>
            </w:r>
            <w:r>
              <w:rPr>
                <w:rFonts w:ascii="Cambria Math" w:hAnsi="Cambria Math" w:eastAsia="宋体" w:cs="Cambria Math"/>
                <w:bCs/>
                <w:color w:val="auto"/>
                <w:sz w:val="24"/>
                <w:szCs w:val="24"/>
                <w:highlight w:val="none"/>
              </w:rPr>
              <w:t>𝐿</w:t>
            </w:r>
            <w:r>
              <w:rPr>
                <w:rFonts w:ascii="Cambria Math" w:hAnsi="Cambria Math" w:eastAsia="宋体" w:cs="Cambria Math"/>
                <w:bCs/>
                <w:color w:val="auto"/>
                <w:sz w:val="24"/>
                <w:szCs w:val="24"/>
                <w:highlight w:val="none"/>
                <w:vertAlign w:val="subscript"/>
              </w:rPr>
              <w:t>𝑝𝑖</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rPr>
              <w:t>)—预测点（r）处，第i倍频带声压级，dB；</w:t>
            </w:r>
          </w:p>
          <w:p w14:paraId="7BD3F02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 xml:space="preserve">      ∆</w:t>
            </w:r>
            <w:r>
              <w:rPr>
                <w:rFonts w:ascii="Cambria Math" w:hAnsi="Cambria Math" w:eastAsia="宋体" w:cs="Cambria Math"/>
                <w:bCs/>
                <w:color w:val="auto"/>
                <w:sz w:val="24"/>
                <w:szCs w:val="24"/>
                <w:highlight w:val="none"/>
              </w:rPr>
              <w:t>𝐿𝑖</w:t>
            </w:r>
            <w:r>
              <w:rPr>
                <w:rFonts w:ascii="Times New Roman" w:hAnsi="Times New Roman" w:eastAsia="宋体" w:cs="Times New Roman"/>
                <w:bCs/>
                <w:color w:val="auto"/>
                <w:sz w:val="24"/>
                <w:szCs w:val="24"/>
                <w:highlight w:val="none"/>
              </w:rPr>
              <w:t>—第i倍频带的A计权网络修正值，dB；</w:t>
            </w:r>
          </w:p>
          <w:p w14:paraId="7ECE3C8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只考虑几何发散衰减时，按以下计算公式：</w:t>
            </w:r>
          </w:p>
          <w:p w14:paraId="08878FEF">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drawing>
                <wp:inline distT="0" distB="0" distL="114300" distR="114300">
                  <wp:extent cx="1475740" cy="323850"/>
                  <wp:effectExtent l="0" t="0" r="10160" b="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31"/>
                          <a:stretch>
                            <a:fillRect/>
                          </a:stretch>
                        </pic:blipFill>
                        <pic:spPr>
                          <a:xfrm>
                            <a:off x="0" y="0"/>
                            <a:ext cx="1475740" cy="323850"/>
                          </a:xfrm>
                          <a:prstGeom prst="rect">
                            <a:avLst/>
                          </a:prstGeom>
                          <a:noFill/>
                          <a:ln>
                            <a:noFill/>
                          </a:ln>
                        </pic:spPr>
                      </pic:pic>
                    </a:graphicData>
                  </a:graphic>
                </wp:inline>
              </w:drawing>
            </w:r>
          </w:p>
          <w:p w14:paraId="72F30FB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式中：</w:t>
            </w:r>
            <w:r>
              <w:rPr>
                <w:rFonts w:ascii="Cambria Math" w:hAnsi="Cambria Math" w:eastAsia="宋体" w:cs="Cambria Math"/>
                <w:bCs/>
                <w:color w:val="auto"/>
                <w:sz w:val="24"/>
                <w:szCs w:val="24"/>
                <w:highlight w:val="none"/>
              </w:rPr>
              <w:t>𝐿</w:t>
            </w:r>
            <w:r>
              <w:rPr>
                <w:rFonts w:ascii="Cambria Math" w:hAnsi="Cambria Math" w:eastAsia="宋体" w:cs="Cambria Math"/>
                <w:bCs/>
                <w:color w:val="auto"/>
                <w:sz w:val="24"/>
                <w:szCs w:val="24"/>
                <w:highlight w:val="none"/>
                <w:vertAlign w:val="subscript"/>
              </w:rPr>
              <w:t>𝐴</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rPr>
              <w:t>)—距声源r处的A声级，dB（A）；</w:t>
            </w:r>
          </w:p>
          <w:p w14:paraId="7B377EF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 xml:space="preserve">      </w:t>
            </w:r>
            <w:r>
              <w:rPr>
                <w:rFonts w:ascii="Cambria Math" w:hAnsi="Cambria Math" w:eastAsia="宋体" w:cs="Cambria Math"/>
                <w:bCs/>
                <w:color w:val="auto"/>
                <w:sz w:val="24"/>
                <w:szCs w:val="24"/>
                <w:highlight w:val="none"/>
              </w:rPr>
              <w:t>𝐿</w:t>
            </w:r>
            <w:r>
              <w:rPr>
                <w:rFonts w:ascii="Times New Roman" w:hAnsi="Times New Roman" w:eastAsia="宋体" w:cs="Cambria Math"/>
                <w:bCs/>
                <w:color w:val="auto"/>
                <w:sz w:val="24"/>
                <w:szCs w:val="24"/>
                <w:highlight w:val="none"/>
                <w:vertAlign w:val="subscript"/>
              </w:rPr>
              <w:t>A</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Cambria Math"/>
                <w:bCs/>
                <w:color w:val="auto"/>
                <w:sz w:val="24"/>
                <w:szCs w:val="24"/>
                <w:highlight w:val="none"/>
                <w:vertAlign w:val="subscript"/>
              </w:rPr>
              <w:t>0</w:t>
            </w:r>
            <w:r>
              <w:rPr>
                <w:rFonts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rPr>
              <w:t>参考位置</w:t>
            </w:r>
            <w:r>
              <w:rPr>
                <w:rFonts w:ascii="Times New Roman" w:hAnsi="Times New Roman" w:eastAsia="宋体" w:cs="Times New Roman"/>
                <w:bCs/>
                <w:i/>
                <w:iCs/>
                <w:color w:val="auto"/>
                <w:sz w:val="24"/>
                <w:szCs w:val="24"/>
                <w:highlight w:val="none"/>
              </w:rPr>
              <w:t>r</w:t>
            </w:r>
            <w:r>
              <w:rPr>
                <w:rFonts w:ascii="Times New Roman" w:hAnsi="Times New Roman" w:eastAsia="宋体" w:cs="Times New Roman"/>
                <w:bCs/>
                <w:color w:val="auto"/>
                <w:sz w:val="24"/>
                <w:szCs w:val="24"/>
                <w:highlight w:val="none"/>
                <w:vertAlign w:val="subscript"/>
              </w:rPr>
              <w:t>0</w:t>
            </w:r>
            <w:r>
              <w:rPr>
                <w:rFonts w:hint="eastAsia" w:ascii="Times New Roman" w:hAnsi="Times New Roman" w:eastAsia="宋体" w:cs="Times New Roman"/>
                <w:bCs/>
                <w:color w:val="auto"/>
                <w:sz w:val="24"/>
                <w:szCs w:val="24"/>
                <w:highlight w:val="none"/>
              </w:rPr>
              <w:t>处的</w:t>
            </w:r>
            <w:r>
              <w:rPr>
                <w:rFonts w:ascii="Times New Roman" w:hAnsi="Times New Roman" w:eastAsia="宋体" w:cs="Times New Roman"/>
                <w:bCs/>
                <w:color w:val="auto"/>
                <w:sz w:val="24"/>
                <w:szCs w:val="24"/>
                <w:highlight w:val="none"/>
              </w:rPr>
              <w:t>A</w:t>
            </w:r>
            <w:r>
              <w:rPr>
                <w:rFonts w:hint="eastAsia" w:ascii="Times New Roman" w:hAnsi="Times New Roman" w:eastAsia="宋体" w:cs="Times New Roman"/>
                <w:bCs/>
                <w:color w:val="auto"/>
                <w:sz w:val="24"/>
                <w:szCs w:val="24"/>
                <w:highlight w:val="none"/>
              </w:rPr>
              <w:t>声级，</w:t>
            </w:r>
            <w:r>
              <w:rPr>
                <w:rFonts w:ascii="Times New Roman" w:hAnsi="Times New Roman" w:eastAsia="宋体" w:cs="Times New Roman"/>
                <w:bCs/>
                <w:color w:val="auto"/>
                <w:sz w:val="24"/>
                <w:szCs w:val="24"/>
                <w:highlight w:val="none"/>
              </w:rPr>
              <w:t>dB(A)</w:t>
            </w:r>
            <w:r>
              <w:rPr>
                <w:rFonts w:hint="eastAsia" w:ascii="Times New Roman" w:hAnsi="Times New Roman" w:eastAsia="宋体" w:cs="Times New Roman"/>
                <w:bCs/>
                <w:color w:val="auto"/>
                <w:sz w:val="24"/>
                <w:szCs w:val="24"/>
                <w:highlight w:val="none"/>
              </w:rPr>
              <w:t>；</w:t>
            </w:r>
          </w:p>
          <w:p w14:paraId="2B16F13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 xml:space="preserve"> </w:t>
            </w:r>
            <w:r>
              <w:rPr>
                <w:rFonts w:hint="eastAsia" w:ascii="Times New Roman" w:hAnsi="Times New Roman" w:eastAsia="宋体" w:cs="Times New Roman"/>
                <w:bCs/>
                <w:color w:val="auto"/>
                <w:sz w:val="24"/>
                <w:szCs w:val="24"/>
                <w:highlight w:val="none"/>
                <w:lang w:val="en-US" w:eastAsia="zh-CN"/>
              </w:rPr>
              <w:t xml:space="preserve">     </w:t>
            </w:r>
            <w:r>
              <w:rPr>
                <w:rFonts w:ascii="Cambria Math" w:hAnsi="Cambria Math" w:eastAsia="宋体" w:cs="Cambria Math"/>
                <w:bCs/>
                <w:color w:val="auto"/>
                <w:sz w:val="24"/>
                <w:szCs w:val="24"/>
                <w:highlight w:val="none"/>
              </w:rPr>
              <w:t>𝐴</w:t>
            </w:r>
            <w:r>
              <w:rPr>
                <w:rFonts w:ascii="Cambria Math" w:hAnsi="Cambria Math" w:eastAsia="宋体" w:cs="Cambria Math"/>
                <w:bCs/>
                <w:color w:val="auto"/>
                <w:sz w:val="24"/>
                <w:szCs w:val="24"/>
                <w:highlight w:val="none"/>
                <w:vertAlign w:val="subscript"/>
              </w:rPr>
              <w:t>𝑑𝑖𝑣</w:t>
            </w:r>
            <w:r>
              <w:rPr>
                <w:rFonts w:ascii="Times New Roman" w:hAnsi="Times New Roman" w:eastAsia="宋体" w:cs="Times New Roman"/>
                <w:bCs/>
                <w:color w:val="auto"/>
                <w:sz w:val="24"/>
                <w:szCs w:val="24"/>
                <w:highlight w:val="none"/>
              </w:rPr>
              <w:t>—几何发散引起的衰减，dB；</w:t>
            </w:r>
            <w:r>
              <w:rPr>
                <w:rFonts w:ascii="Cambria Math" w:hAnsi="Cambria Math" w:eastAsia="宋体" w:cs="Cambria Math"/>
                <w:bCs/>
                <w:color w:val="auto"/>
                <w:sz w:val="24"/>
                <w:szCs w:val="24"/>
                <w:highlight w:val="none"/>
              </w:rPr>
              <w:t>𝐴</w:t>
            </w:r>
            <w:r>
              <w:rPr>
                <w:rFonts w:ascii="Cambria Math" w:hAnsi="Cambria Math" w:eastAsia="宋体" w:cs="Cambria Math"/>
                <w:bCs/>
                <w:color w:val="auto"/>
                <w:sz w:val="24"/>
                <w:szCs w:val="24"/>
                <w:highlight w:val="none"/>
                <w:vertAlign w:val="subscript"/>
              </w:rPr>
              <w:t>𝑑𝑖𝑣</w:t>
            </w:r>
            <w:r>
              <w:rPr>
                <w:rFonts w:ascii="Times New Roman" w:hAnsi="Times New Roman" w:eastAsia="宋体" w:cs="Times New Roman"/>
                <w:bCs/>
                <w:color w:val="auto"/>
                <w:sz w:val="24"/>
                <w:szCs w:val="24"/>
                <w:highlight w:val="none"/>
              </w:rPr>
              <w:t xml:space="preserve"> = 20 log</w:t>
            </w:r>
            <w:r>
              <w:rPr>
                <w:rFonts w:hint="eastAsia"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rPr>
              <w:t>/</w:t>
            </w:r>
            <w:r>
              <w:rPr>
                <w:rFonts w:ascii="Cambria Math" w:hAnsi="Cambria Math" w:eastAsia="宋体" w:cs="Cambria Math"/>
                <w:bCs/>
                <w:color w:val="auto"/>
                <w:sz w:val="24"/>
                <w:szCs w:val="24"/>
                <w:highlight w:val="none"/>
              </w:rPr>
              <w:t>𝑟</w:t>
            </w:r>
            <w:r>
              <w:rPr>
                <w:rFonts w:ascii="Times New Roman" w:hAnsi="Times New Roman" w:eastAsia="宋体" w:cs="Times New Roman"/>
                <w:bCs/>
                <w:color w:val="auto"/>
                <w:sz w:val="24"/>
                <w:szCs w:val="24"/>
                <w:highlight w:val="none"/>
                <w:vertAlign w:val="subscript"/>
              </w:rPr>
              <w:t>0</w:t>
            </w:r>
            <w:r>
              <w:rPr>
                <w:rFonts w:hint="eastAsia" w:ascii="Times New Roman" w:hAnsi="Times New Roman" w:eastAsia="宋体" w:cs="Times New Roman"/>
                <w:bCs/>
                <w:color w:val="auto"/>
                <w:sz w:val="24"/>
                <w:szCs w:val="24"/>
                <w:highlight w:val="none"/>
              </w:rPr>
              <w:t>）</w:t>
            </w:r>
            <w:r>
              <w:rPr>
                <w:rFonts w:ascii="Times New Roman" w:hAnsi="Times New Roman" w:eastAsia="宋体" w:cs="Times New Roman"/>
                <w:bCs/>
                <w:color w:val="auto"/>
                <w:sz w:val="24"/>
                <w:szCs w:val="24"/>
                <w:highlight w:val="none"/>
              </w:rPr>
              <w:t>；</w:t>
            </w:r>
          </w:p>
          <w:p w14:paraId="4A78A20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drawing>
                <wp:anchor distT="0" distB="0" distL="114300" distR="114300" simplePos="0" relativeHeight="251660288" behindDoc="0" locked="0" layoutInCell="1" allowOverlap="1">
                  <wp:simplePos x="0" y="0"/>
                  <wp:positionH relativeFrom="column">
                    <wp:posOffset>798195</wp:posOffset>
                  </wp:positionH>
                  <wp:positionV relativeFrom="paragraph">
                    <wp:posOffset>598170</wp:posOffset>
                  </wp:positionV>
                  <wp:extent cx="2976245" cy="628015"/>
                  <wp:effectExtent l="0" t="0" r="14605" b="635"/>
                  <wp:wrapNone/>
                  <wp:docPr id="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12"/>
                          <pic:cNvPicPr>
                            <a:picLocks noChangeAspect="1"/>
                          </pic:cNvPicPr>
                        </pic:nvPicPr>
                        <pic:blipFill>
                          <a:blip r:embed="rId32"/>
                          <a:stretch>
                            <a:fillRect/>
                          </a:stretch>
                        </pic:blipFill>
                        <pic:spPr>
                          <a:xfrm>
                            <a:off x="0" y="0"/>
                            <a:ext cx="2976245" cy="628015"/>
                          </a:xfrm>
                          <a:prstGeom prst="rect">
                            <a:avLst/>
                          </a:prstGeom>
                          <a:noFill/>
                          <a:ln>
                            <a:noFill/>
                          </a:ln>
                        </pic:spPr>
                      </pic:pic>
                    </a:graphicData>
                  </a:graphic>
                </wp:anchor>
              </w:drawing>
            </w:r>
            <w:r>
              <w:rPr>
                <w:rFonts w:hint="eastAsia" w:ascii="Times New Roman" w:hAnsi="Times New Roman" w:eastAsia="宋体" w:cs="Times New Roman"/>
                <w:bCs/>
                <w:color w:val="auto"/>
                <w:sz w:val="24"/>
                <w:szCs w:val="24"/>
                <w:highlight w:val="none"/>
              </w:rPr>
              <w:t>（2）噪声贡献值采用导则附录B工业噪声预测计算模型（B.6）式计算，公式如下：</w:t>
            </w:r>
          </w:p>
          <w:p w14:paraId="2B226D5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color w:val="auto"/>
                <w:sz w:val="24"/>
                <w:szCs w:val="24"/>
                <w:highlight w:val="none"/>
              </w:rPr>
            </w:pPr>
          </w:p>
          <w:p w14:paraId="70759D7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p>
          <w:p w14:paraId="4F716AC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式中：L</w:t>
            </w:r>
            <w:r>
              <w:rPr>
                <w:rFonts w:ascii="Times New Roman" w:hAnsi="Times New Roman" w:eastAsia="宋体" w:cs="Times New Roman"/>
                <w:bCs/>
                <w:color w:val="auto"/>
                <w:sz w:val="24"/>
                <w:szCs w:val="24"/>
                <w:highlight w:val="none"/>
                <w:vertAlign w:val="subscript"/>
              </w:rPr>
              <w:t>eqg</w:t>
            </w:r>
            <w:r>
              <w:rPr>
                <w:rFonts w:ascii="Times New Roman" w:hAnsi="Times New Roman" w:eastAsia="宋体" w:cs="Times New Roman"/>
                <w:bCs/>
                <w:color w:val="auto"/>
                <w:sz w:val="24"/>
                <w:szCs w:val="24"/>
                <w:highlight w:val="none"/>
              </w:rPr>
              <w:t>—建设项目声源在预测点产生的噪声贡献值，dB；</w:t>
            </w:r>
          </w:p>
          <w:p w14:paraId="657A1E0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 xml:space="preserve"> </w:t>
            </w:r>
            <w:r>
              <w:rPr>
                <w:rFonts w:hint="eastAsia" w:ascii="Times New Roman" w:hAnsi="Times New Roman" w:eastAsia="宋体" w:cs="Times New Roman"/>
                <w:bCs/>
                <w:color w:val="auto"/>
                <w:sz w:val="24"/>
                <w:szCs w:val="24"/>
                <w:highlight w:val="none"/>
                <w:lang w:val="en-US" w:eastAsia="zh-CN"/>
              </w:rPr>
              <w:t xml:space="preserve">     </w:t>
            </w:r>
            <w:r>
              <w:rPr>
                <w:rFonts w:ascii="Cambria Math" w:hAnsi="Cambria Math" w:eastAsia="宋体" w:cs="Cambria Math"/>
                <w:bCs/>
                <w:color w:val="auto"/>
                <w:sz w:val="24"/>
                <w:szCs w:val="24"/>
                <w:highlight w:val="none"/>
              </w:rPr>
              <w:t>𝑇</w:t>
            </w:r>
            <w:r>
              <w:rPr>
                <w:rFonts w:ascii="Times New Roman" w:hAnsi="Times New Roman" w:eastAsia="宋体" w:cs="Times New Roman"/>
                <w:bCs/>
                <w:color w:val="auto"/>
                <w:sz w:val="24"/>
                <w:szCs w:val="24"/>
                <w:highlight w:val="none"/>
              </w:rPr>
              <w:t>—用于计算等效声级的时间，s；</w:t>
            </w:r>
          </w:p>
          <w:p w14:paraId="0F4D53FF">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N—室外声源个数；</w:t>
            </w:r>
          </w:p>
          <w:p w14:paraId="023E0D76">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t</w:t>
            </w:r>
            <w:r>
              <w:rPr>
                <w:rFonts w:ascii="Times New Roman" w:hAnsi="Times New Roman" w:eastAsia="宋体" w:cs="Times New Roman"/>
                <w:bCs/>
                <w:color w:val="auto"/>
                <w:sz w:val="24"/>
                <w:szCs w:val="24"/>
                <w:highlight w:val="none"/>
                <w:vertAlign w:val="subscript"/>
              </w:rPr>
              <w:t>i</w:t>
            </w:r>
            <w:r>
              <w:rPr>
                <w:rFonts w:ascii="Times New Roman" w:hAnsi="Times New Roman" w:eastAsia="宋体" w:cs="Times New Roman"/>
                <w:bCs/>
                <w:color w:val="auto"/>
                <w:sz w:val="24"/>
                <w:szCs w:val="24"/>
                <w:highlight w:val="none"/>
              </w:rPr>
              <w:t>—在T时间内i声源工作时间，s；</w:t>
            </w:r>
          </w:p>
          <w:p w14:paraId="26F99D0C">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M—等效室外声源个数；</w:t>
            </w:r>
          </w:p>
          <w:p w14:paraId="62DA5BCB">
            <w:pPr>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firstLine="1200" w:firstLineChars="5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ascii="Times New Roman" w:hAnsi="Times New Roman" w:eastAsia="宋体" w:cs="Times New Roman"/>
                <w:bCs/>
                <w:color w:val="auto"/>
                <w:sz w:val="24"/>
                <w:szCs w:val="24"/>
                <w:highlight w:val="none"/>
              </w:rPr>
              <w:t>t</w:t>
            </w:r>
            <w:r>
              <w:rPr>
                <w:rFonts w:ascii="Times New Roman" w:hAnsi="Times New Roman" w:eastAsia="宋体" w:cs="Times New Roman"/>
                <w:bCs/>
                <w:color w:val="auto"/>
                <w:sz w:val="24"/>
                <w:szCs w:val="24"/>
                <w:highlight w:val="none"/>
                <w:vertAlign w:val="subscript"/>
              </w:rPr>
              <w:t>j</w:t>
            </w:r>
            <w:r>
              <w:rPr>
                <w:rFonts w:ascii="Times New Roman" w:hAnsi="Times New Roman" w:eastAsia="宋体" w:cs="Times New Roman"/>
                <w:bCs/>
                <w:color w:val="auto"/>
                <w:sz w:val="24"/>
                <w:szCs w:val="24"/>
                <w:highlight w:val="none"/>
              </w:rPr>
              <w:t>—在T时间内j声源工作时间，s。</w:t>
            </w:r>
          </w:p>
          <w:p w14:paraId="324955C3">
            <w:pPr>
              <w:pageBreakBefore w:val="0"/>
              <w:widowControl w:val="0"/>
              <w:kinsoku/>
              <w:wordWrap/>
              <w:overflowPunct/>
              <w:topLinePunct w:val="0"/>
              <w:autoSpaceDE/>
              <w:autoSpaceDN/>
              <w:bidi w:val="0"/>
              <w:adjustRightInd w:val="0"/>
              <w:snapToGrid w:val="0"/>
              <w:spacing w:before="0" w:after="0" w:line="480" w:lineRule="exact"/>
              <w:ind w:left="0" w:leftChars="0" w:firstLine="496" w:firstLineChars="200"/>
              <w:jc w:val="both"/>
              <w:textAlignment w:val="auto"/>
              <w:rPr>
                <w:rFonts w:hint="default"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厂界</w:t>
            </w:r>
            <w:r>
              <w:rPr>
                <w:rFonts w:hint="default" w:ascii="Times New Roman" w:hAnsi="Times New Roman" w:eastAsia="宋体" w:cs="Times New Roman"/>
                <w:color w:val="auto"/>
                <w:spacing w:val="4"/>
                <w:kern w:val="2"/>
                <w:sz w:val="24"/>
                <w:szCs w:val="24"/>
                <w:highlight w:val="none"/>
                <w:lang w:val="en-US" w:eastAsia="zh-CN" w:bidi="ar-SA"/>
              </w:rPr>
              <w:t>噪声预测结果见表</w:t>
            </w:r>
            <w:r>
              <w:rPr>
                <w:rFonts w:hint="eastAsia" w:ascii="Times New Roman" w:hAnsi="Times New Roman" w:eastAsia="宋体" w:cs="Times New Roman"/>
                <w:color w:val="auto"/>
                <w:spacing w:val="4"/>
                <w:kern w:val="2"/>
                <w:sz w:val="24"/>
                <w:szCs w:val="24"/>
                <w:highlight w:val="none"/>
                <w:lang w:val="en-US" w:eastAsia="zh-CN" w:bidi="ar-SA"/>
              </w:rPr>
              <w:t>4.7-</w:t>
            </w:r>
            <w:r>
              <w:rPr>
                <w:rFonts w:hint="eastAsia" w:cs="Times New Roman"/>
                <w:color w:val="auto"/>
                <w:spacing w:val="4"/>
                <w:kern w:val="2"/>
                <w:sz w:val="24"/>
                <w:szCs w:val="24"/>
                <w:highlight w:val="none"/>
                <w:lang w:val="en-US" w:eastAsia="zh-CN" w:bidi="ar-SA"/>
              </w:rPr>
              <w:t>3</w:t>
            </w:r>
            <w:r>
              <w:rPr>
                <w:rFonts w:hint="default" w:ascii="Times New Roman" w:hAnsi="Times New Roman" w:eastAsia="宋体" w:cs="Times New Roman"/>
                <w:color w:val="auto"/>
                <w:spacing w:val="4"/>
                <w:kern w:val="2"/>
                <w:sz w:val="24"/>
                <w:szCs w:val="24"/>
                <w:highlight w:val="none"/>
                <w:lang w:val="en-US" w:eastAsia="zh-CN" w:bidi="ar-SA"/>
              </w:rPr>
              <w:t>。</w:t>
            </w:r>
          </w:p>
          <w:p w14:paraId="227C52CC">
            <w:pPr>
              <w:keepNext w:val="0"/>
              <w:keepLines w:val="0"/>
              <w:pageBreakBefore w:val="0"/>
              <w:widowControl w:val="0"/>
              <w:kinsoku/>
              <w:wordWrap/>
              <w:overflowPunct/>
              <w:topLinePunct w:val="0"/>
              <w:autoSpaceDE/>
              <w:autoSpaceDN/>
              <w:bidi w:val="0"/>
              <w:adjustRightInd w:val="0"/>
              <w:snapToGrid w:val="0"/>
              <w:spacing w:line="480" w:lineRule="exact"/>
              <w:ind w:firstLine="2730" w:firstLineChars="1300"/>
              <w:jc w:val="both"/>
              <w:textAlignment w:val="auto"/>
              <w:rPr>
                <w:rFonts w:hint="default" w:ascii="Times New Roman" w:hAnsi="Times New Roman" w:eastAsia="黑体" w:cs="Times New Roman"/>
                <w:b w:val="0"/>
                <w:bCs w:val="0"/>
                <w:color w:val="auto"/>
                <w:kern w:val="2"/>
                <w:sz w:val="21"/>
                <w:szCs w:val="21"/>
                <w:highlight w:val="none"/>
                <w:lang w:val="en-US" w:eastAsia="zh-CN" w:bidi="ar-SA"/>
              </w:rPr>
            </w:pPr>
          </w:p>
          <w:p w14:paraId="21370628">
            <w:pPr>
              <w:keepNext w:val="0"/>
              <w:keepLines w:val="0"/>
              <w:pageBreakBefore w:val="0"/>
              <w:widowControl w:val="0"/>
              <w:kinsoku/>
              <w:wordWrap/>
              <w:overflowPunct/>
              <w:topLinePunct w:val="0"/>
              <w:autoSpaceDE/>
              <w:autoSpaceDN/>
              <w:bidi w:val="0"/>
              <w:adjustRightInd w:val="0"/>
              <w:snapToGrid w:val="0"/>
              <w:spacing w:line="480" w:lineRule="exact"/>
              <w:ind w:firstLine="2730" w:firstLineChars="1300"/>
              <w:jc w:val="both"/>
              <w:textAlignment w:val="auto"/>
              <w:rPr>
                <w:rFonts w:hint="default" w:ascii="Times New Roman" w:hAnsi="Times New Roman" w:eastAsia="黑体" w:cs="Times New Roman"/>
                <w:b w:val="0"/>
                <w:bCs w:val="0"/>
                <w:color w:val="auto"/>
                <w:kern w:val="2"/>
                <w:sz w:val="21"/>
                <w:szCs w:val="21"/>
                <w:highlight w:val="none"/>
                <w:lang w:val="en-US" w:eastAsia="zh-CN" w:bidi="ar-SA"/>
              </w:rPr>
            </w:pPr>
          </w:p>
          <w:p w14:paraId="3C42B889">
            <w:pPr>
              <w:keepNext w:val="0"/>
              <w:keepLines w:val="0"/>
              <w:pageBreakBefore w:val="0"/>
              <w:widowControl w:val="0"/>
              <w:kinsoku/>
              <w:wordWrap/>
              <w:overflowPunct/>
              <w:topLinePunct w:val="0"/>
              <w:autoSpaceDE/>
              <w:autoSpaceDN/>
              <w:bidi w:val="0"/>
              <w:adjustRightInd w:val="0"/>
              <w:snapToGrid w:val="0"/>
              <w:spacing w:line="480" w:lineRule="exact"/>
              <w:ind w:firstLine="2730" w:firstLineChars="1300"/>
              <w:jc w:val="both"/>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.7-3</w:t>
            </w:r>
            <w:r>
              <w:rPr>
                <w:rFonts w:hint="default" w:ascii="Times New Roman" w:hAnsi="Times New Roman" w:eastAsia="黑体" w:cs="Times New Roman"/>
                <w:b w:val="0"/>
                <w:bCs w:val="0"/>
                <w:color w:val="auto"/>
                <w:kern w:val="2"/>
                <w:sz w:val="21"/>
                <w:szCs w:val="21"/>
                <w:highlight w:val="none"/>
                <w:lang w:val="en-US" w:eastAsia="zh-CN" w:bidi="ar-SA"/>
              </w:rPr>
              <w:t xml:space="preserve">  环境噪声预测结果            单位：dB（A）</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autofit"/>
              <w:tblCellMar>
                <w:top w:w="0" w:type="dxa"/>
                <w:left w:w="108" w:type="dxa"/>
                <w:bottom w:w="0" w:type="dxa"/>
                <w:right w:w="108" w:type="dxa"/>
              </w:tblCellMar>
            </w:tblPr>
            <w:tblGrid>
              <w:gridCol w:w="761"/>
              <w:gridCol w:w="982"/>
              <w:gridCol w:w="1032"/>
              <w:gridCol w:w="1032"/>
              <w:gridCol w:w="1032"/>
              <w:gridCol w:w="1032"/>
              <w:gridCol w:w="1032"/>
              <w:gridCol w:w="1034"/>
            </w:tblGrid>
            <w:tr w14:paraId="5E798255">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1743" w:type="dxa"/>
                  <w:gridSpan w:val="2"/>
                  <w:vMerge w:val="restart"/>
                  <w:tcBorders>
                    <w:tl2br w:val="nil"/>
                    <w:tr2bl w:val="nil"/>
                  </w:tcBorders>
                  <w:noWrap w:val="0"/>
                  <w:vAlign w:val="center"/>
                </w:tcPr>
                <w:p w14:paraId="018FD9EC">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监测点位</w:t>
                  </w:r>
                </w:p>
              </w:tc>
              <w:tc>
                <w:tcPr>
                  <w:tcW w:w="2064" w:type="dxa"/>
                  <w:gridSpan w:val="2"/>
                  <w:tcBorders>
                    <w:tl2br w:val="nil"/>
                    <w:tr2bl w:val="nil"/>
                  </w:tcBorders>
                  <w:noWrap w:val="0"/>
                  <w:vAlign w:val="center"/>
                </w:tcPr>
                <w:p w14:paraId="7AB59046">
                  <w:pPr>
                    <w:keepNext w:val="0"/>
                    <w:keepLines w:val="0"/>
                    <w:pageBreakBefore w:val="0"/>
                    <w:kinsoku/>
                    <w:wordWrap/>
                    <w:overflowPunct/>
                    <w:topLinePunct w:val="0"/>
                    <w:bidi w:val="0"/>
                    <w:adjustRightInd w:val="0"/>
                    <w:snapToGrid w:val="0"/>
                    <w:spacing w:line="320" w:lineRule="exact"/>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贡献值</w:t>
                  </w:r>
                </w:p>
              </w:tc>
              <w:tc>
                <w:tcPr>
                  <w:tcW w:w="2064" w:type="dxa"/>
                  <w:gridSpan w:val="2"/>
                  <w:tcBorders>
                    <w:tl2br w:val="nil"/>
                    <w:tr2bl w:val="nil"/>
                  </w:tcBorders>
                  <w:noWrap w:val="0"/>
                  <w:vAlign w:val="center"/>
                </w:tcPr>
                <w:p w14:paraId="1222958C">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现状值</w:t>
                  </w:r>
                </w:p>
              </w:tc>
              <w:tc>
                <w:tcPr>
                  <w:tcW w:w="2066" w:type="dxa"/>
                  <w:gridSpan w:val="2"/>
                  <w:tcBorders>
                    <w:tl2br w:val="nil"/>
                    <w:tr2bl w:val="nil"/>
                  </w:tcBorders>
                  <w:noWrap w:val="0"/>
                  <w:vAlign w:val="center"/>
                </w:tcPr>
                <w:p w14:paraId="2ABDA4BA">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叠加值</w:t>
                  </w:r>
                </w:p>
              </w:tc>
            </w:tr>
            <w:tr w14:paraId="603FC050">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1743" w:type="dxa"/>
                  <w:gridSpan w:val="2"/>
                  <w:vMerge w:val="continue"/>
                  <w:tcBorders>
                    <w:tl2br w:val="nil"/>
                    <w:tr2bl w:val="nil"/>
                  </w:tcBorders>
                  <w:noWrap w:val="0"/>
                  <w:vAlign w:val="center"/>
                </w:tcPr>
                <w:p w14:paraId="33257695">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p>
              </w:tc>
              <w:tc>
                <w:tcPr>
                  <w:tcW w:w="1032" w:type="dxa"/>
                  <w:tcBorders>
                    <w:tl2br w:val="nil"/>
                    <w:tr2bl w:val="nil"/>
                  </w:tcBorders>
                  <w:noWrap w:val="0"/>
                  <w:vAlign w:val="center"/>
                </w:tcPr>
                <w:p w14:paraId="218C3D90">
                  <w:pPr>
                    <w:keepNext w:val="0"/>
                    <w:keepLines w:val="0"/>
                    <w:pageBreakBefore w:val="0"/>
                    <w:kinsoku/>
                    <w:wordWrap/>
                    <w:overflowPunct/>
                    <w:topLinePunct w:val="0"/>
                    <w:bidi w:val="0"/>
                    <w:adjustRightInd w:val="0"/>
                    <w:snapToGrid w:val="0"/>
                    <w:spacing w:line="32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昼间</w:t>
                  </w:r>
                </w:p>
              </w:tc>
              <w:tc>
                <w:tcPr>
                  <w:tcW w:w="1032" w:type="dxa"/>
                  <w:tcBorders>
                    <w:tl2br w:val="nil"/>
                    <w:tr2bl w:val="nil"/>
                  </w:tcBorders>
                  <w:noWrap w:val="0"/>
                  <w:vAlign w:val="center"/>
                </w:tcPr>
                <w:p w14:paraId="3EBDAD11">
                  <w:pPr>
                    <w:keepNext w:val="0"/>
                    <w:keepLines w:val="0"/>
                    <w:pageBreakBefore w:val="0"/>
                    <w:kinsoku/>
                    <w:wordWrap/>
                    <w:overflowPunct/>
                    <w:topLinePunct w:val="0"/>
                    <w:bidi w:val="0"/>
                    <w:adjustRightInd w:val="0"/>
                    <w:snapToGrid w:val="0"/>
                    <w:spacing w:line="32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夜间</w:t>
                  </w:r>
                </w:p>
              </w:tc>
              <w:tc>
                <w:tcPr>
                  <w:tcW w:w="1032" w:type="dxa"/>
                  <w:tcBorders>
                    <w:tl2br w:val="nil"/>
                    <w:tr2bl w:val="nil"/>
                  </w:tcBorders>
                  <w:noWrap w:val="0"/>
                  <w:vAlign w:val="center"/>
                </w:tcPr>
                <w:p w14:paraId="370636A7">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昼间</w:t>
                  </w:r>
                </w:p>
              </w:tc>
              <w:tc>
                <w:tcPr>
                  <w:tcW w:w="1032" w:type="dxa"/>
                  <w:tcBorders>
                    <w:tl2br w:val="nil"/>
                    <w:tr2bl w:val="nil"/>
                  </w:tcBorders>
                  <w:noWrap w:val="0"/>
                  <w:vAlign w:val="center"/>
                </w:tcPr>
                <w:p w14:paraId="0FCE628D">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夜间</w:t>
                  </w:r>
                </w:p>
              </w:tc>
              <w:tc>
                <w:tcPr>
                  <w:tcW w:w="1032" w:type="dxa"/>
                  <w:tcBorders>
                    <w:tl2br w:val="nil"/>
                    <w:tr2bl w:val="nil"/>
                  </w:tcBorders>
                  <w:noWrap w:val="0"/>
                  <w:vAlign w:val="center"/>
                </w:tcPr>
                <w:p w14:paraId="2C1AAB36">
                  <w:pPr>
                    <w:keepNext w:val="0"/>
                    <w:keepLines w:val="0"/>
                    <w:pageBreakBefore w:val="0"/>
                    <w:kinsoku/>
                    <w:wordWrap/>
                    <w:overflowPunct/>
                    <w:topLinePunct w:val="0"/>
                    <w:bidi w:val="0"/>
                    <w:adjustRightInd w:val="0"/>
                    <w:snapToGrid w:val="0"/>
                    <w:spacing w:line="32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昼间</w:t>
                  </w:r>
                </w:p>
              </w:tc>
              <w:tc>
                <w:tcPr>
                  <w:tcW w:w="1034" w:type="dxa"/>
                  <w:tcBorders>
                    <w:tl2br w:val="nil"/>
                    <w:tr2bl w:val="nil"/>
                  </w:tcBorders>
                  <w:noWrap w:val="0"/>
                  <w:vAlign w:val="center"/>
                </w:tcPr>
                <w:p w14:paraId="2124411B">
                  <w:pPr>
                    <w:keepNext w:val="0"/>
                    <w:keepLines w:val="0"/>
                    <w:pageBreakBefore w:val="0"/>
                    <w:kinsoku/>
                    <w:wordWrap/>
                    <w:overflowPunct/>
                    <w:topLinePunct w:val="0"/>
                    <w:bidi w:val="0"/>
                    <w:adjustRightInd w:val="0"/>
                    <w:snapToGrid w:val="0"/>
                    <w:spacing w:line="32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夜间</w:t>
                  </w:r>
                </w:p>
              </w:tc>
            </w:tr>
            <w:tr w14:paraId="64EED459">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61" w:type="dxa"/>
                  <w:vMerge w:val="restart"/>
                  <w:tcBorders>
                    <w:tl2br w:val="nil"/>
                    <w:tr2bl w:val="nil"/>
                  </w:tcBorders>
                  <w:noWrap w:val="0"/>
                  <w:vAlign w:val="center"/>
                </w:tcPr>
                <w:p w14:paraId="3932C5F1">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982" w:type="dxa"/>
                  <w:tcBorders>
                    <w:tl2br w:val="nil"/>
                    <w:tr2bl w:val="nil"/>
                  </w:tcBorders>
                  <w:noWrap w:val="0"/>
                  <w:vAlign w:val="center"/>
                </w:tcPr>
                <w:p w14:paraId="79A067DA">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1#（</w:t>
                  </w:r>
                  <w:r>
                    <w:rPr>
                      <w:rFonts w:hint="eastAsia" w:ascii="Times New Roman" w:hAnsi="Times New Roman" w:eastAsia="宋体" w:cs="Times New Roman"/>
                      <w:color w:val="auto"/>
                      <w:spacing w:val="0"/>
                      <w:szCs w:val="21"/>
                      <w:highlight w:val="none"/>
                      <w:lang w:val="en-US" w:eastAsia="zh-CN"/>
                    </w:rPr>
                    <w:t>北</w:t>
                  </w:r>
                  <w:r>
                    <w:rPr>
                      <w:rFonts w:hint="default" w:ascii="Times New Roman" w:hAnsi="Times New Roman" w:eastAsia="宋体" w:cs="Times New Roman"/>
                      <w:color w:val="auto"/>
                      <w:spacing w:val="0"/>
                      <w:szCs w:val="21"/>
                      <w:highlight w:val="none"/>
                    </w:rPr>
                    <w:t>）</w:t>
                  </w:r>
                </w:p>
              </w:tc>
              <w:tc>
                <w:tcPr>
                  <w:tcW w:w="1032" w:type="dxa"/>
                  <w:tcBorders>
                    <w:tl2br w:val="nil"/>
                    <w:tr2bl w:val="nil"/>
                  </w:tcBorders>
                  <w:noWrap w:val="0"/>
                  <w:vAlign w:val="center"/>
                </w:tcPr>
                <w:p w14:paraId="4480A822">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43.37</w:t>
                  </w:r>
                </w:p>
              </w:tc>
              <w:tc>
                <w:tcPr>
                  <w:tcW w:w="1032" w:type="dxa"/>
                  <w:tcBorders>
                    <w:tl2br w:val="nil"/>
                    <w:tr2bl w:val="nil"/>
                  </w:tcBorders>
                  <w:noWrap w:val="0"/>
                  <w:vAlign w:val="center"/>
                </w:tcPr>
                <w:p w14:paraId="01551620">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032" w:type="dxa"/>
                  <w:tcBorders>
                    <w:tl2br w:val="nil"/>
                    <w:tr2bl w:val="nil"/>
                  </w:tcBorders>
                  <w:noWrap w:val="0"/>
                  <w:vAlign w:val="center"/>
                </w:tcPr>
                <w:p w14:paraId="1D91697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56.8</w:t>
                  </w:r>
                </w:p>
              </w:tc>
              <w:tc>
                <w:tcPr>
                  <w:tcW w:w="1032" w:type="dxa"/>
                  <w:tcBorders>
                    <w:tl2br w:val="nil"/>
                    <w:tr2bl w:val="nil"/>
                  </w:tcBorders>
                  <w:noWrap w:val="0"/>
                  <w:vAlign w:val="center"/>
                </w:tcPr>
                <w:p w14:paraId="7A2342F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45.7</w:t>
                  </w:r>
                </w:p>
              </w:tc>
              <w:tc>
                <w:tcPr>
                  <w:tcW w:w="1032" w:type="dxa"/>
                  <w:tcBorders>
                    <w:tl2br w:val="nil"/>
                    <w:tr2bl w:val="nil"/>
                  </w:tcBorders>
                  <w:noWrap w:val="0"/>
                  <w:vAlign w:val="center"/>
                </w:tcPr>
                <w:p w14:paraId="7FF3E173">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56.99</w:t>
                  </w:r>
                </w:p>
              </w:tc>
              <w:tc>
                <w:tcPr>
                  <w:tcW w:w="1034" w:type="dxa"/>
                  <w:tcBorders>
                    <w:tl2br w:val="nil"/>
                    <w:tr2bl w:val="nil"/>
                  </w:tcBorders>
                  <w:noWrap w:val="0"/>
                  <w:vAlign w:val="center"/>
                </w:tcPr>
                <w:p w14:paraId="2DD04E8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45.7</w:t>
                  </w:r>
                </w:p>
              </w:tc>
            </w:tr>
            <w:tr w14:paraId="7F78880D">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61" w:type="dxa"/>
                  <w:vMerge w:val="continue"/>
                  <w:tcBorders>
                    <w:tl2br w:val="nil"/>
                    <w:tr2bl w:val="nil"/>
                  </w:tcBorders>
                  <w:noWrap w:val="0"/>
                  <w:vAlign w:val="center"/>
                </w:tcPr>
                <w:p w14:paraId="56975CE9">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p>
              </w:tc>
              <w:tc>
                <w:tcPr>
                  <w:tcW w:w="982" w:type="dxa"/>
                  <w:tcBorders>
                    <w:tl2br w:val="nil"/>
                    <w:tr2bl w:val="nil"/>
                  </w:tcBorders>
                  <w:noWrap w:val="0"/>
                  <w:vAlign w:val="center"/>
                </w:tcPr>
                <w:p w14:paraId="2F8568D0">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2#（</w:t>
                  </w:r>
                  <w:r>
                    <w:rPr>
                      <w:rFonts w:hint="eastAsia" w:ascii="Times New Roman" w:hAnsi="Times New Roman" w:eastAsia="宋体" w:cs="Times New Roman"/>
                      <w:color w:val="auto"/>
                      <w:spacing w:val="0"/>
                      <w:szCs w:val="21"/>
                      <w:highlight w:val="none"/>
                      <w:lang w:val="en-US" w:eastAsia="zh-CN"/>
                    </w:rPr>
                    <w:t>东</w:t>
                  </w:r>
                  <w:r>
                    <w:rPr>
                      <w:rFonts w:hint="default" w:ascii="Times New Roman" w:hAnsi="Times New Roman" w:eastAsia="宋体" w:cs="Times New Roman"/>
                      <w:color w:val="auto"/>
                      <w:spacing w:val="0"/>
                      <w:szCs w:val="21"/>
                      <w:highlight w:val="none"/>
                    </w:rPr>
                    <w:t>）</w:t>
                  </w:r>
                </w:p>
              </w:tc>
              <w:tc>
                <w:tcPr>
                  <w:tcW w:w="1032" w:type="dxa"/>
                  <w:tcBorders>
                    <w:tl2br w:val="nil"/>
                    <w:tr2bl w:val="nil"/>
                  </w:tcBorders>
                  <w:noWrap w:val="0"/>
                  <w:vAlign w:val="center"/>
                </w:tcPr>
                <w:p w14:paraId="3EDA4155">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50.61</w:t>
                  </w:r>
                </w:p>
              </w:tc>
              <w:tc>
                <w:tcPr>
                  <w:tcW w:w="1032" w:type="dxa"/>
                  <w:tcBorders>
                    <w:tl2br w:val="nil"/>
                    <w:tr2bl w:val="nil"/>
                  </w:tcBorders>
                  <w:noWrap w:val="0"/>
                  <w:vAlign w:val="center"/>
                </w:tcPr>
                <w:p w14:paraId="2B297507">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032" w:type="dxa"/>
                  <w:tcBorders>
                    <w:tl2br w:val="nil"/>
                    <w:tr2bl w:val="nil"/>
                  </w:tcBorders>
                  <w:noWrap w:val="0"/>
                  <w:vAlign w:val="center"/>
                </w:tcPr>
                <w:p w14:paraId="058A5D3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57.9</w:t>
                  </w:r>
                </w:p>
              </w:tc>
              <w:tc>
                <w:tcPr>
                  <w:tcW w:w="1032" w:type="dxa"/>
                  <w:tcBorders>
                    <w:tl2br w:val="nil"/>
                    <w:tr2bl w:val="nil"/>
                  </w:tcBorders>
                  <w:noWrap w:val="0"/>
                  <w:vAlign w:val="center"/>
                </w:tcPr>
                <w:p w14:paraId="157F421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46.7</w:t>
                  </w:r>
                </w:p>
              </w:tc>
              <w:tc>
                <w:tcPr>
                  <w:tcW w:w="1032" w:type="dxa"/>
                  <w:tcBorders>
                    <w:tl2br w:val="nil"/>
                    <w:tr2bl w:val="nil"/>
                  </w:tcBorders>
                  <w:noWrap w:val="0"/>
                  <w:vAlign w:val="center"/>
                </w:tcPr>
                <w:p w14:paraId="34CD4C6D">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58.64</w:t>
                  </w:r>
                </w:p>
              </w:tc>
              <w:tc>
                <w:tcPr>
                  <w:tcW w:w="1034" w:type="dxa"/>
                  <w:tcBorders>
                    <w:tl2br w:val="nil"/>
                    <w:tr2bl w:val="nil"/>
                  </w:tcBorders>
                  <w:noWrap w:val="0"/>
                  <w:vAlign w:val="center"/>
                </w:tcPr>
                <w:p w14:paraId="5D737C1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46.7</w:t>
                  </w:r>
                </w:p>
              </w:tc>
            </w:tr>
            <w:tr w14:paraId="4A42FFF6">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61" w:type="dxa"/>
                  <w:vMerge w:val="continue"/>
                  <w:tcBorders>
                    <w:tl2br w:val="nil"/>
                    <w:tr2bl w:val="nil"/>
                  </w:tcBorders>
                  <w:noWrap w:val="0"/>
                  <w:vAlign w:val="center"/>
                </w:tcPr>
                <w:p w14:paraId="4BB194EA">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p>
              </w:tc>
              <w:tc>
                <w:tcPr>
                  <w:tcW w:w="982" w:type="dxa"/>
                  <w:tcBorders>
                    <w:tl2br w:val="nil"/>
                    <w:tr2bl w:val="nil"/>
                  </w:tcBorders>
                  <w:noWrap w:val="0"/>
                  <w:vAlign w:val="center"/>
                </w:tcPr>
                <w:p w14:paraId="14078634">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3#（</w:t>
                  </w:r>
                  <w:r>
                    <w:rPr>
                      <w:rFonts w:hint="eastAsia" w:ascii="Times New Roman" w:hAnsi="Times New Roman" w:eastAsia="宋体" w:cs="Times New Roman"/>
                      <w:color w:val="auto"/>
                      <w:spacing w:val="0"/>
                      <w:szCs w:val="21"/>
                      <w:highlight w:val="none"/>
                      <w:lang w:val="en-US" w:eastAsia="zh-CN"/>
                    </w:rPr>
                    <w:t>南</w:t>
                  </w:r>
                  <w:r>
                    <w:rPr>
                      <w:rFonts w:hint="default" w:ascii="Times New Roman" w:hAnsi="Times New Roman" w:eastAsia="宋体" w:cs="Times New Roman"/>
                      <w:color w:val="auto"/>
                      <w:spacing w:val="0"/>
                      <w:szCs w:val="21"/>
                      <w:highlight w:val="none"/>
                    </w:rPr>
                    <w:t>）</w:t>
                  </w:r>
                </w:p>
              </w:tc>
              <w:tc>
                <w:tcPr>
                  <w:tcW w:w="1032" w:type="dxa"/>
                  <w:tcBorders>
                    <w:tl2br w:val="nil"/>
                    <w:tr2bl w:val="nil"/>
                  </w:tcBorders>
                  <w:noWrap w:val="0"/>
                  <w:vAlign w:val="center"/>
                </w:tcPr>
                <w:p w14:paraId="775E6C0F">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47.00</w:t>
                  </w:r>
                </w:p>
              </w:tc>
              <w:tc>
                <w:tcPr>
                  <w:tcW w:w="1032" w:type="dxa"/>
                  <w:tcBorders>
                    <w:tl2br w:val="nil"/>
                    <w:tr2bl w:val="nil"/>
                  </w:tcBorders>
                  <w:noWrap w:val="0"/>
                  <w:vAlign w:val="center"/>
                </w:tcPr>
                <w:p w14:paraId="2C7B89AA">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032" w:type="dxa"/>
                  <w:tcBorders>
                    <w:tl2br w:val="nil"/>
                    <w:tr2bl w:val="nil"/>
                  </w:tcBorders>
                  <w:noWrap w:val="0"/>
                  <w:vAlign w:val="center"/>
                </w:tcPr>
                <w:p w14:paraId="6FBF0B8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56.5</w:t>
                  </w:r>
                </w:p>
              </w:tc>
              <w:tc>
                <w:tcPr>
                  <w:tcW w:w="1032" w:type="dxa"/>
                  <w:tcBorders>
                    <w:tl2br w:val="nil"/>
                    <w:tr2bl w:val="nil"/>
                  </w:tcBorders>
                  <w:noWrap w:val="0"/>
                  <w:vAlign w:val="center"/>
                </w:tcPr>
                <w:p w14:paraId="3862C56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43.9</w:t>
                  </w:r>
                </w:p>
              </w:tc>
              <w:tc>
                <w:tcPr>
                  <w:tcW w:w="1032" w:type="dxa"/>
                  <w:tcBorders>
                    <w:tl2br w:val="nil"/>
                    <w:tr2bl w:val="nil"/>
                  </w:tcBorders>
                  <w:noWrap w:val="0"/>
                  <w:vAlign w:val="center"/>
                </w:tcPr>
                <w:p w14:paraId="1B9FBB5E">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56.96</w:t>
                  </w:r>
                </w:p>
              </w:tc>
              <w:tc>
                <w:tcPr>
                  <w:tcW w:w="1034" w:type="dxa"/>
                  <w:tcBorders>
                    <w:tl2br w:val="nil"/>
                    <w:tr2bl w:val="nil"/>
                  </w:tcBorders>
                  <w:noWrap w:val="0"/>
                  <w:vAlign w:val="center"/>
                </w:tcPr>
                <w:p w14:paraId="24ACDF7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43.9</w:t>
                  </w:r>
                </w:p>
              </w:tc>
            </w:tr>
            <w:tr w14:paraId="0BB54B71">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761" w:type="dxa"/>
                  <w:vMerge w:val="continue"/>
                  <w:tcBorders>
                    <w:tl2br w:val="nil"/>
                    <w:tr2bl w:val="nil"/>
                  </w:tcBorders>
                  <w:noWrap w:val="0"/>
                  <w:vAlign w:val="center"/>
                </w:tcPr>
                <w:p w14:paraId="198FA72A">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rPr>
                  </w:pPr>
                </w:p>
              </w:tc>
              <w:tc>
                <w:tcPr>
                  <w:tcW w:w="982" w:type="dxa"/>
                  <w:tcBorders>
                    <w:tl2br w:val="nil"/>
                    <w:tr2bl w:val="nil"/>
                  </w:tcBorders>
                  <w:noWrap w:val="0"/>
                  <w:vAlign w:val="center"/>
                </w:tcPr>
                <w:p w14:paraId="0D970CF2">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4#（</w:t>
                  </w:r>
                  <w:r>
                    <w:rPr>
                      <w:rFonts w:hint="eastAsia" w:ascii="Times New Roman" w:hAnsi="Times New Roman" w:eastAsia="宋体" w:cs="Times New Roman"/>
                      <w:color w:val="auto"/>
                      <w:spacing w:val="0"/>
                      <w:szCs w:val="21"/>
                      <w:highlight w:val="none"/>
                      <w:lang w:val="en-US" w:eastAsia="zh-CN"/>
                    </w:rPr>
                    <w:t>西</w:t>
                  </w:r>
                  <w:r>
                    <w:rPr>
                      <w:rFonts w:hint="default" w:ascii="Times New Roman" w:hAnsi="Times New Roman" w:eastAsia="宋体" w:cs="Times New Roman"/>
                      <w:color w:val="auto"/>
                      <w:spacing w:val="0"/>
                      <w:szCs w:val="21"/>
                      <w:highlight w:val="none"/>
                    </w:rPr>
                    <w:t>）</w:t>
                  </w:r>
                </w:p>
              </w:tc>
              <w:tc>
                <w:tcPr>
                  <w:tcW w:w="1032" w:type="dxa"/>
                  <w:tcBorders>
                    <w:tl2br w:val="nil"/>
                    <w:tr2bl w:val="nil"/>
                  </w:tcBorders>
                  <w:noWrap w:val="0"/>
                  <w:vAlign w:val="center"/>
                </w:tcPr>
                <w:p w14:paraId="461B27CE">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32.00</w:t>
                  </w:r>
                </w:p>
              </w:tc>
              <w:tc>
                <w:tcPr>
                  <w:tcW w:w="1032" w:type="dxa"/>
                  <w:tcBorders>
                    <w:tl2br w:val="nil"/>
                    <w:tr2bl w:val="nil"/>
                  </w:tcBorders>
                  <w:noWrap w:val="0"/>
                  <w:vAlign w:val="center"/>
                </w:tcPr>
                <w:p w14:paraId="342F614D">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032" w:type="dxa"/>
                  <w:tcBorders>
                    <w:tl2br w:val="nil"/>
                    <w:tr2bl w:val="nil"/>
                  </w:tcBorders>
                  <w:noWrap w:val="0"/>
                  <w:vAlign w:val="center"/>
                </w:tcPr>
                <w:p w14:paraId="550138A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57.6</w:t>
                  </w:r>
                </w:p>
              </w:tc>
              <w:tc>
                <w:tcPr>
                  <w:tcW w:w="1032" w:type="dxa"/>
                  <w:tcBorders>
                    <w:tl2br w:val="nil"/>
                    <w:tr2bl w:val="nil"/>
                  </w:tcBorders>
                  <w:noWrap w:val="0"/>
                  <w:vAlign w:val="center"/>
                </w:tcPr>
                <w:p w14:paraId="0B3DAA3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45.3</w:t>
                  </w:r>
                </w:p>
              </w:tc>
              <w:tc>
                <w:tcPr>
                  <w:tcW w:w="1032" w:type="dxa"/>
                  <w:tcBorders>
                    <w:tl2br w:val="nil"/>
                    <w:tr2bl w:val="nil"/>
                  </w:tcBorders>
                  <w:noWrap w:val="0"/>
                  <w:vAlign w:val="center"/>
                </w:tcPr>
                <w:p w14:paraId="78D46287">
                  <w:pPr>
                    <w:keepNext w:val="0"/>
                    <w:keepLines w:val="0"/>
                    <w:pageBreakBefore w:val="0"/>
                    <w:kinsoku/>
                    <w:wordWrap/>
                    <w:overflowPunct/>
                    <w:topLinePunct w:val="0"/>
                    <w:bidi w:val="0"/>
                    <w:adjustRightInd w:val="0"/>
                    <w:snapToGrid w:val="0"/>
                    <w:spacing w:line="320" w:lineRule="exact"/>
                    <w:jc w:val="center"/>
                    <w:textAlignment w:val="baseline"/>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57.61</w:t>
                  </w:r>
                </w:p>
              </w:tc>
              <w:tc>
                <w:tcPr>
                  <w:tcW w:w="1034" w:type="dxa"/>
                  <w:tcBorders>
                    <w:tl2br w:val="nil"/>
                    <w:tr2bl w:val="nil"/>
                  </w:tcBorders>
                  <w:noWrap w:val="0"/>
                  <w:vAlign w:val="center"/>
                </w:tcPr>
                <w:p w14:paraId="624C027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45.3</w:t>
                  </w:r>
                </w:p>
              </w:tc>
            </w:tr>
          </w:tbl>
          <w:p w14:paraId="24B15333">
            <w:pPr>
              <w:pageBreakBefore w:val="0"/>
              <w:widowControl w:val="0"/>
              <w:kinsoku/>
              <w:wordWrap/>
              <w:overflowPunct/>
              <w:topLinePunct w:val="0"/>
              <w:autoSpaceDE/>
              <w:autoSpaceDN/>
              <w:bidi w:val="0"/>
              <w:adjustRightInd w:val="0"/>
              <w:snapToGrid w:val="0"/>
              <w:spacing w:before="0" w:after="0" w:line="480" w:lineRule="exact"/>
              <w:ind w:left="0" w:leftChars="0" w:firstLine="496" w:firstLineChars="200"/>
              <w:jc w:val="both"/>
              <w:textAlignment w:val="auto"/>
              <w:rPr>
                <w:rFonts w:hint="default"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本项目噪声现状值引用</w:t>
            </w:r>
            <w:r>
              <w:rPr>
                <w:rFonts w:hint="default" w:ascii="Times New Roman" w:hAnsi="Times New Roman" w:eastAsia="宋体" w:cs="Times New Roman"/>
                <w:color w:val="auto"/>
                <w:spacing w:val="0"/>
                <w:kern w:val="21"/>
                <w:sz w:val="24"/>
                <w:szCs w:val="24"/>
                <w:highlight w:val="none"/>
                <w:lang w:val="en-US" w:eastAsia="zh-CN"/>
              </w:rPr>
              <w:t>《山西晋煤集团赵庄煤业有限责任公司赵庄二号井“三下”近水平厚煤层安全高效充填开采关键技术与应用研究项目环境影响报告书》中</w:t>
            </w:r>
            <w:r>
              <w:rPr>
                <w:rFonts w:hint="eastAsia" w:ascii="Times New Roman" w:hAnsi="Times New Roman" w:eastAsia="宋体" w:cs="Times New Roman"/>
                <w:color w:val="auto"/>
                <w:spacing w:val="4"/>
                <w:kern w:val="2"/>
                <w:sz w:val="24"/>
                <w:szCs w:val="24"/>
                <w:highlight w:val="none"/>
                <w:lang w:val="en-US" w:eastAsia="zh-CN" w:bidi="ar-SA"/>
              </w:rPr>
              <w:t>的监测数据，</w:t>
            </w:r>
            <w:r>
              <w:rPr>
                <w:rFonts w:hint="default" w:ascii="Times New Roman" w:hAnsi="Times New Roman" w:eastAsia="宋体" w:cs="Times New Roman"/>
                <w:color w:val="auto"/>
                <w:spacing w:val="4"/>
                <w:kern w:val="2"/>
                <w:sz w:val="24"/>
                <w:szCs w:val="24"/>
                <w:highlight w:val="none"/>
                <w:lang w:val="en-US" w:eastAsia="zh-CN" w:bidi="ar-SA"/>
              </w:rPr>
              <w:t>根据</w:t>
            </w:r>
            <w:r>
              <w:rPr>
                <w:rFonts w:hint="eastAsia" w:ascii="Times New Roman" w:hAnsi="Times New Roman" w:eastAsia="宋体" w:cs="Times New Roman"/>
                <w:color w:val="auto"/>
                <w:spacing w:val="4"/>
                <w:kern w:val="2"/>
                <w:sz w:val="24"/>
                <w:szCs w:val="24"/>
                <w:highlight w:val="none"/>
                <w:lang w:val="en-US" w:eastAsia="zh-CN" w:bidi="ar-SA"/>
              </w:rPr>
              <w:t>以上</w:t>
            </w:r>
            <w:r>
              <w:rPr>
                <w:rFonts w:hint="default" w:ascii="Times New Roman" w:hAnsi="Times New Roman" w:eastAsia="宋体" w:cs="Times New Roman"/>
                <w:color w:val="auto"/>
                <w:spacing w:val="4"/>
                <w:kern w:val="2"/>
                <w:sz w:val="24"/>
                <w:szCs w:val="24"/>
                <w:highlight w:val="none"/>
                <w:lang w:val="en-US" w:eastAsia="zh-CN" w:bidi="ar-SA"/>
              </w:rPr>
              <w:t>预测结果可以看出，厂</w:t>
            </w:r>
            <w:r>
              <w:rPr>
                <w:rFonts w:hint="eastAsia" w:ascii="Times New Roman" w:hAnsi="Times New Roman" w:eastAsia="宋体" w:cs="Times New Roman"/>
                <w:color w:val="auto"/>
                <w:spacing w:val="4"/>
                <w:kern w:val="2"/>
                <w:sz w:val="24"/>
                <w:szCs w:val="24"/>
                <w:highlight w:val="none"/>
                <w:lang w:val="en-US" w:eastAsia="zh-CN" w:bidi="ar-SA"/>
              </w:rPr>
              <w:t>区</w:t>
            </w:r>
            <w:r>
              <w:rPr>
                <w:rFonts w:hint="default" w:ascii="Times New Roman" w:hAnsi="Times New Roman" w:eastAsia="宋体" w:cs="Times New Roman"/>
                <w:color w:val="auto"/>
                <w:spacing w:val="4"/>
                <w:kern w:val="2"/>
                <w:sz w:val="24"/>
                <w:szCs w:val="24"/>
                <w:highlight w:val="none"/>
                <w:lang w:val="en-US" w:eastAsia="zh-CN" w:bidi="ar-SA"/>
              </w:rPr>
              <w:t>各边界噪声</w:t>
            </w:r>
            <w:r>
              <w:rPr>
                <w:rFonts w:hint="eastAsia" w:ascii="Times New Roman" w:hAnsi="Times New Roman" w:eastAsia="宋体" w:cs="Times New Roman"/>
                <w:color w:val="auto"/>
                <w:spacing w:val="4"/>
                <w:kern w:val="2"/>
                <w:sz w:val="24"/>
                <w:szCs w:val="24"/>
                <w:highlight w:val="none"/>
                <w:lang w:val="en-US" w:eastAsia="zh-CN" w:bidi="ar-SA"/>
              </w:rPr>
              <w:t>叠加值</w:t>
            </w:r>
            <w:r>
              <w:rPr>
                <w:rFonts w:hint="default" w:ascii="Times New Roman" w:hAnsi="Times New Roman" w:eastAsia="宋体" w:cs="Times New Roman"/>
                <w:color w:val="auto"/>
                <w:spacing w:val="4"/>
                <w:kern w:val="2"/>
                <w:sz w:val="24"/>
                <w:szCs w:val="24"/>
                <w:highlight w:val="none"/>
                <w:lang w:val="en-US" w:eastAsia="zh-CN" w:bidi="ar-SA"/>
              </w:rPr>
              <w:t>可满足《工业企业厂界环境噪声排放标准》（GB12348-2008）</w:t>
            </w:r>
            <w:r>
              <w:rPr>
                <w:rFonts w:hint="eastAsia" w:ascii="Times New Roman" w:hAnsi="Times New Roman" w:eastAsia="宋体" w:cs="Times New Roman"/>
                <w:color w:val="auto"/>
                <w:spacing w:val="4"/>
                <w:kern w:val="2"/>
                <w:sz w:val="24"/>
                <w:szCs w:val="24"/>
                <w:highlight w:val="none"/>
                <w:lang w:val="en-US" w:eastAsia="zh-CN" w:bidi="ar-SA"/>
              </w:rPr>
              <w:t>2</w:t>
            </w:r>
            <w:r>
              <w:rPr>
                <w:rFonts w:hint="default" w:ascii="Times New Roman" w:hAnsi="Times New Roman" w:eastAsia="宋体" w:cs="Times New Roman"/>
                <w:color w:val="auto"/>
                <w:spacing w:val="4"/>
                <w:kern w:val="2"/>
                <w:sz w:val="24"/>
                <w:szCs w:val="24"/>
                <w:highlight w:val="none"/>
                <w:lang w:val="en-US" w:eastAsia="zh-CN" w:bidi="ar-SA"/>
              </w:rPr>
              <w:t>类标准要求。</w:t>
            </w:r>
          </w:p>
          <w:p w14:paraId="54893F3A">
            <w:pPr>
              <w:spacing w:line="460" w:lineRule="exact"/>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噪声污染防治措施</w:t>
            </w:r>
          </w:p>
          <w:p w14:paraId="7B5ADD44">
            <w:pPr>
              <w:spacing w:line="460" w:lineRule="exact"/>
              <w:ind w:firstLine="480" w:firstLineChars="200"/>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根据本项目的工程和周围环境特征，提出如下治理措施：</w:t>
            </w:r>
          </w:p>
          <w:p w14:paraId="3AC814DA">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加强治理</w:t>
            </w:r>
          </w:p>
          <w:p w14:paraId="759F4DE5">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尽量选用低噪声</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性能好、对</w:t>
            </w:r>
            <w:r>
              <w:rPr>
                <w:rFonts w:hint="default" w:ascii="Times New Roman" w:hAnsi="Times New Roman" w:eastAsia="宋体" w:cs="Times New Roman"/>
                <w:color w:val="auto"/>
                <w:sz w:val="24"/>
                <w:highlight w:val="none"/>
              </w:rPr>
              <w:t>环境影响小的</w:t>
            </w:r>
            <w:r>
              <w:rPr>
                <w:rFonts w:hint="eastAsia" w:ascii="Times New Roman" w:hAnsi="Times New Roman" w:eastAsia="宋体" w:cs="Times New Roman"/>
                <w:color w:val="auto"/>
                <w:sz w:val="24"/>
                <w:highlight w:val="none"/>
                <w:lang w:val="en-US" w:eastAsia="zh-CN"/>
              </w:rPr>
              <w:t>设备</w:t>
            </w:r>
            <w:r>
              <w:rPr>
                <w:rFonts w:hint="default" w:ascii="Times New Roman" w:hAnsi="Times New Roman" w:eastAsia="宋体" w:cs="Times New Roman"/>
                <w:color w:val="auto"/>
                <w:sz w:val="24"/>
                <w:highlight w:val="none"/>
              </w:rPr>
              <w:t>，使本工程运行噪声对环境的影响达到规定标准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将生产设备全部进行室内安装，降低噪声影响；对风机类的噪声设备，出口设置消声器，安装减振装置</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本次评价</w:t>
            </w:r>
            <w:r>
              <w:rPr>
                <w:rFonts w:hint="default" w:ascii="Times New Roman" w:hAnsi="Times New Roman" w:eastAsia="宋体" w:cs="Times New Roman"/>
                <w:color w:val="auto"/>
                <w:sz w:val="24"/>
                <w:highlight w:val="none"/>
              </w:rPr>
              <w:t>要求企业修筑平滑路面，尽量减小路面坡度，</w:t>
            </w:r>
            <w:r>
              <w:rPr>
                <w:rFonts w:hint="eastAsia" w:ascii="Times New Roman" w:hAnsi="Times New Roman" w:eastAsia="宋体" w:cs="Times New Roman"/>
                <w:color w:val="auto"/>
                <w:sz w:val="24"/>
                <w:highlight w:val="none"/>
                <w:lang w:val="en-US" w:eastAsia="zh-CN"/>
              </w:rPr>
              <w:t>以此</w:t>
            </w:r>
            <w:r>
              <w:rPr>
                <w:rFonts w:hint="default" w:ascii="Times New Roman" w:hAnsi="Times New Roman" w:eastAsia="宋体" w:cs="Times New Roman"/>
                <w:color w:val="auto"/>
                <w:sz w:val="24"/>
                <w:highlight w:val="none"/>
              </w:rPr>
              <w:t>减轻车辆在启动及行驶过程发动机轰鸣噪声。运输车辆经过敏感点时要限制车速、减速行驶，夜间要禁止鸣笛。</w:t>
            </w:r>
          </w:p>
          <w:p w14:paraId="7B489FC8">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加强管理</w:t>
            </w:r>
          </w:p>
          <w:p w14:paraId="45B63384">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建立设备定期维护</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14:paraId="37292B41">
            <w:pPr>
              <w:spacing w:line="460" w:lineRule="exact"/>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采取以上措施，厂界噪声可达标排放，噪声对周围环境影响不大</w:t>
            </w:r>
            <w:r>
              <w:rPr>
                <w:rFonts w:hint="default" w:ascii="Times New Roman" w:hAnsi="Times New Roman" w:eastAsia="宋体" w:cs="Times New Roman"/>
                <w:bCs/>
                <w:color w:val="auto"/>
                <w:sz w:val="24"/>
                <w:highlight w:val="none"/>
                <w:lang w:eastAsia="zh-CN"/>
              </w:rPr>
              <w:t>。</w:t>
            </w:r>
          </w:p>
          <w:p w14:paraId="1310613C">
            <w:pPr>
              <w:spacing w:line="46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4.噪声监测计划</w:t>
            </w:r>
          </w:p>
          <w:p w14:paraId="31BDA74D">
            <w:pPr>
              <w:jc w:val="center"/>
              <w:rPr>
                <w:rFonts w:hint="default" w:ascii="Times New Roman" w:hAnsi="Times New Roman" w:eastAsia="黑体" w:cs="Times New Roman"/>
                <w:b w:val="0"/>
                <w:bCs w:val="0"/>
                <w:color w:val="auto"/>
                <w:kern w:val="2"/>
                <w:sz w:val="21"/>
                <w:szCs w:val="21"/>
                <w:highlight w:val="none"/>
                <w:lang w:val="en-US" w:eastAsia="zh-CN" w:bidi="ar-SA"/>
              </w:rPr>
            </w:pPr>
            <w:r>
              <w:rPr>
                <w:rFonts w:hint="eastAsia" w:ascii="Times New Roman" w:hAnsi="Times New Roman" w:eastAsia="黑体" w:cs="Times New Roman"/>
                <w:b w:val="0"/>
                <w:bCs w:val="0"/>
                <w:color w:val="auto"/>
                <w:kern w:val="2"/>
                <w:sz w:val="21"/>
                <w:szCs w:val="21"/>
                <w:highlight w:val="none"/>
                <w:lang w:val="en-US" w:eastAsia="zh-CN" w:bidi="ar-SA"/>
              </w:rPr>
              <w:t>表4.7-4  噪声监测计划一览表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45"/>
              <w:gridCol w:w="2645"/>
              <w:gridCol w:w="2647"/>
            </w:tblGrid>
            <w:tr w14:paraId="2B1B8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645" w:type="dxa"/>
                  <w:tcBorders>
                    <w:tl2br w:val="nil"/>
                    <w:tr2bl w:val="nil"/>
                  </w:tcBorders>
                  <w:noWrap w:val="0"/>
                  <w:vAlign w:val="center"/>
                </w:tcPr>
                <w:p w14:paraId="5B8F676F">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sz w:val="21"/>
                      <w:szCs w:val="21"/>
                      <w:highlight w:val="none"/>
                      <w:u w:val="none"/>
                    </w:rPr>
                    <w:t>监测点位</w:t>
                  </w:r>
                </w:p>
              </w:tc>
              <w:tc>
                <w:tcPr>
                  <w:tcW w:w="2645" w:type="dxa"/>
                  <w:tcBorders>
                    <w:tl2br w:val="nil"/>
                    <w:tr2bl w:val="nil"/>
                  </w:tcBorders>
                  <w:noWrap w:val="0"/>
                  <w:vAlign w:val="center"/>
                </w:tcPr>
                <w:p w14:paraId="322DBCED">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Times New Roman" w:hAnsi="Times New Roman" w:eastAsia="宋体" w:cs="Times New Roman"/>
                      <w:color w:val="auto"/>
                      <w:kern w:val="2"/>
                      <w:sz w:val="21"/>
                      <w:szCs w:val="21"/>
                      <w:highlight w:val="none"/>
                      <w:u w:val="none"/>
                      <w:lang w:eastAsia="zh-CN"/>
                    </w:rPr>
                  </w:pPr>
                  <w:r>
                    <w:rPr>
                      <w:rFonts w:hint="default" w:ascii="Times New Roman" w:hAnsi="Times New Roman" w:eastAsia="宋体" w:cs="Times New Roman"/>
                      <w:color w:val="auto"/>
                      <w:sz w:val="21"/>
                      <w:szCs w:val="21"/>
                      <w:highlight w:val="none"/>
                      <w:u w:val="none"/>
                    </w:rPr>
                    <w:t>监测</w:t>
                  </w:r>
                  <w:r>
                    <w:rPr>
                      <w:rFonts w:hint="eastAsia" w:ascii="Times New Roman" w:hAnsi="Times New Roman" w:eastAsia="宋体" w:cs="Times New Roman"/>
                      <w:color w:val="auto"/>
                      <w:sz w:val="21"/>
                      <w:szCs w:val="21"/>
                      <w:highlight w:val="none"/>
                      <w:u w:val="none"/>
                      <w:lang w:val="en-US" w:eastAsia="zh-CN"/>
                    </w:rPr>
                    <w:t>项目</w:t>
                  </w:r>
                </w:p>
              </w:tc>
              <w:tc>
                <w:tcPr>
                  <w:tcW w:w="2647" w:type="dxa"/>
                  <w:tcBorders>
                    <w:tl2br w:val="nil"/>
                    <w:tr2bl w:val="nil"/>
                  </w:tcBorders>
                  <w:noWrap w:val="0"/>
                  <w:vAlign w:val="center"/>
                </w:tcPr>
                <w:p w14:paraId="66460109">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default" w:ascii="Times New Roman" w:hAnsi="Times New Roman" w:eastAsia="宋体" w:cs="Times New Roman"/>
                      <w:color w:val="auto"/>
                      <w:kern w:val="2"/>
                      <w:sz w:val="21"/>
                      <w:szCs w:val="21"/>
                      <w:highlight w:val="none"/>
                      <w:u w:val="none"/>
                    </w:rPr>
                  </w:pPr>
                  <w:r>
                    <w:rPr>
                      <w:rFonts w:hint="default" w:ascii="Times New Roman" w:hAnsi="Times New Roman" w:eastAsia="宋体" w:cs="Times New Roman"/>
                      <w:color w:val="auto"/>
                      <w:sz w:val="21"/>
                      <w:szCs w:val="21"/>
                      <w:highlight w:val="none"/>
                      <w:u w:val="none"/>
                    </w:rPr>
                    <w:t>监测频次</w:t>
                  </w:r>
                </w:p>
              </w:tc>
            </w:tr>
            <w:tr w14:paraId="0EDE8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tcBorders>
                    <w:tl2br w:val="nil"/>
                    <w:tr2bl w:val="nil"/>
                  </w:tcBorders>
                  <w:noWrap w:val="0"/>
                  <w:vAlign w:val="center"/>
                </w:tcPr>
                <w:p w14:paraId="3CC03C5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厂界</w:t>
                  </w:r>
                  <w:r>
                    <w:rPr>
                      <w:rFonts w:hint="eastAsia" w:ascii="Times New Roman" w:hAnsi="Times New Roman" w:eastAsia="宋体" w:cs="Times New Roman"/>
                      <w:color w:val="auto"/>
                      <w:szCs w:val="21"/>
                      <w:highlight w:val="none"/>
                      <w:lang w:val="en-US" w:eastAsia="zh-CN"/>
                    </w:rPr>
                    <w:t>四周1#-4#</w:t>
                  </w:r>
                </w:p>
              </w:tc>
              <w:tc>
                <w:tcPr>
                  <w:tcW w:w="2645" w:type="dxa"/>
                  <w:tcBorders>
                    <w:tl2br w:val="nil"/>
                    <w:tr2bl w:val="nil"/>
                  </w:tcBorders>
                  <w:noWrap w:val="0"/>
                  <w:vAlign w:val="center"/>
                </w:tcPr>
                <w:p w14:paraId="2B6CF08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等效声级</w:t>
                  </w:r>
                </w:p>
              </w:tc>
              <w:tc>
                <w:tcPr>
                  <w:tcW w:w="2647" w:type="dxa"/>
                  <w:tcBorders>
                    <w:tl2br w:val="nil"/>
                    <w:tr2bl w:val="nil"/>
                  </w:tcBorders>
                  <w:noWrap w:val="0"/>
                  <w:vAlign w:val="center"/>
                </w:tcPr>
                <w:p w14:paraId="4B954F3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1次/季度</w:t>
                  </w:r>
                </w:p>
              </w:tc>
            </w:tr>
          </w:tbl>
          <w:p w14:paraId="3892E7C7">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 xml:space="preserve">4.8 </w:t>
            </w:r>
            <w:r>
              <w:rPr>
                <w:rFonts w:hint="default" w:ascii="Times New Roman" w:hAnsi="Times New Roman" w:eastAsia="宋体" w:cs="Times New Roman"/>
                <w:b/>
                <w:color w:val="auto"/>
                <w:sz w:val="24"/>
                <w:szCs w:val="24"/>
                <w:highlight w:val="none"/>
                <w:lang w:val="en-US" w:eastAsia="zh-CN"/>
              </w:rPr>
              <w:t>固体废物</w:t>
            </w:r>
          </w:p>
          <w:p w14:paraId="5935A0F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1.固体废物产生及利用处置情况</w:t>
            </w:r>
          </w:p>
          <w:p w14:paraId="6D2B0F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本项目固体废物产生及利用处置情况见表4.8-1。</w:t>
            </w:r>
          </w:p>
          <w:p w14:paraId="2DF159E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.8-1</w:t>
            </w:r>
            <w:r>
              <w:rPr>
                <w:rFonts w:hint="default" w:ascii="Times New Roman" w:hAnsi="Times New Roman" w:eastAsia="黑体" w:cs="Times New Roman"/>
                <w:b w:val="0"/>
                <w:bCs w:val="0"/>
                <w:color w:val="auto"/>
                <w:kern w:val="2"/>
                <w:sz w:val="21"/>
                <w:szCs w:val="21"/>
                <w:highlight w:val="none"/>
                <w:lang w:val="en-US" w:eastAsia="zh-CN" w:bidi="ar-SA"/>
              </w:rPr>
              <w:t xml:space="preserve">  固体废物产生情况及利用处置情况表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13"/>
              <w:gridCol w:w="824"/>
              <w:gridCol w:w="809"/>
              <w:gridCol w:w="1113"/>
              <w:gridCol w:w="718"/>
              <w:gridCol w:w="879"/>
              <w:gridCol w:w="737"/>
              <w:gridCol w:w="545"/>
              <w:gridCol w:w="1499"/>
            </w:tblGrid>
            <w:tr w14:paraId="3F387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3" w:type="dxa"/>
                  <w:noWrap w:val="0"/>
                  <w:vAlign w:val="center"/>
                </w:tcPr>
                <w:p w14:paraId="53B730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分类</w:t>
                  </w:r>
                </w:p>
              </w:tc>
              <w:tc>
                <w:tcPr>
                  <w:tcW w:w="907" w:type="dxa"/>
                  <w:noWrap w:val="0"/>
                  <w:vAlign w:val="center"/>
                </w:tcPr>
                <w:p w14:paraId="48F2F73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名称</w:t>
                  </w:r>
                </w:p>
              </w:tc>
              <w:tc>
                <w:tcPr>
                  <w:tcW w:w="860" w:type="dxa"/>
                  <w:noWrap w:val="0"/>
                  <w:vAlign w:val="center"/>
                </w:tcPr>
                <w:p w14:paraId="06CA558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eastAsia="zh-CN"/>
                    </w:rPr>
                  </w:pPr>
                  <w:r>
                    <w:rPr>
                      <w:rFonts w:hint="eastAsia" w:ascii="Times New Roman" w:hAnsi="Times New Roman" w:eastAsia="宋体" w:cs="Times New Roman"/>
                      <w:color w:val="auto"/>
                      <w:spacing w:val="0"/>
                      <w:szCs w:val="21"/>
                      <w:highlight w:val="none"/>
                      <w:lang w:val="en-US" w:eastAsia="zh-CN"/>
                    </w:rPr>
                    <w:t>主要成分</w:t>
                  </w:r>
                </w:p>
              </w:tc>
              <w:tc>
                <w:tcPr>
                  <w:tcW w:w="654" w:type="dxa"/>
                  <w:noWrap w:val="0"/>
                  <w:vAlign w:val="center"/>
                </w:tcPr>
                <w:p w14:paraId="50370E7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代码</w:t>
                  </w:r>
                </w:p>
              </w:tc>
              <w:tc>
                <w:tcPr>
                  <w:tcW w:w="728" w:type="dxa"/>
                  <w:noWrap w:val="0"/>
                  <w:vAlign w:val="center"/>
                </w:tcPr>
                <w:p w14:paraId="5E7FBB4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eastAsia="zh-CN"/>
                    </w:rPr>
                  </w:pPr>
                  <w:r>
                    <w:rPr>
                      <w:rFonts w:hint="default" w:ascii="Times New Roman" w:hAnsi="Times New Roman" w:eastAsia="宋体" w:cs="Times New Roman"/>
                      <w:color w:val="auto"/>
                      <w:spacing w:val="0"/>
                      <w:szCs w:val="21"/>
                      <w:highlight w:val="none"/>
                    </w:rPr>
                    <w:t>产生量</w:t>
                  </w:r>
                  <w:r>
                    <w:rPr>
                      <w:rFonts w:hint="default" w:ascii="Times New Roman" w:hAnsi="Times New Roman" w:eastAsia="宋体" w:cs="Times New Roman"/>
                      <w:color w:val="auto"/>
                      <w:spacing w:val="0"/>
                      <w:szCs w:val="21"/>
                      <w:highlight w:val="none"/>
                      <w:lang w:eastAsia="zh-CN"/>
                    </w:rPr>
                    <w:t>（</w:t>
                  </w:r>
                  <w:r>
                    <w:rPr>
                      <w:rFonts w:hint="default" w:ascii="Times New Roman" w:hAnsi="Times New Roman" w:eastAsia="宋体" w:cs="Times New Roman"/>
                      <w:color w:val="auto"/>
                      <w:spacing w:val="0"/>
                      <w:szCs w:val="21"/>
                      <w:highlight w:val="none"/>
                    </w:rPr>
                    <w:t>t/a</w:t>
                  </w:r>
                  <w:r>
                    <w:rPr>
                      <w:rFonts w:hint="default" w:ascii="Times New Roman" w:hAnsi="Times New Roman" w:eastAsia="宋体" w:cs="Times New Roman"/>
                      <w:color w:val="auto"/>
                      <w:spacing w:val="0"/>
                      <w:szCs w:val="21"/>
                      <w:highlight w:val="none"/>
                      <w:lang w:eastAsia="zh-CN"/>
                    </w:rPr>
                    <w:t>）</w:t>
                  </w:r>
                </w:p>
              </w:tc>
              <w:tc>
                <w:tcPr>
                  <w:tcW w:w="911" w:type="dxa"/>
                  <w:noWrap w:val="0"/>
                  <w:vAlign w:val="center"/>
                </w:tcPr>
                <w:p w14:paraId="55770F6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综合利用量（</w:t>
                  </w:r>
                  <w:r>
                    <w:rPr>
                      <w:rFonts w:hint="default" w:ascii="Times New Roman" w:hAnsi="Times New Roman" w:eastAsia="宋体" w:cs="Times New Roman"/>
                      <w:color w:val="auto"/>
                      <w:spacing w:val="0"/>
                      <w:szCs w:val="21"/>
                      <w:highlight w:val="none"/>
                    </w:rPr>
                    <w:t>t/a</w:t>
                  </w:r>
                  <w:r>
                    <w:rPr>
                      <w:rFonts w:hint="default" w:ascii="Times New Roman" w:hAnsi="Times New Roman" w:eastAsia="宋体" w:cs="Times New Roman"/>
                      <w:color w:val="auto"/>
                      <w:spacing w:val="0"/>
                      <w:szCs w:val="21"/>
                      <w:highlight w:val="none"/>
                      <w:lang w:val="en-US" w:eastAsia="zh-CN"/>
                    </w:rPr>
                    <w:t>）</w:t>
                  </w:r>
                </w:p>
              </w:tc>
              <w:tc>
                <w:tcPr>
                  <w:tcW w:w="750" w:type="dxa"/>
                  <w:noWrap w:val="0"/>
                  <w:vAlign w:val="center"/>
                </w:tcPr>
                <w:p w14:paraId="1D90E6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处置量（</w:t>
                  </w:r>
                  <w:r>
                    <w:rPr>
                      <w:rFonts w:hint="default" w:ascii="Times New Roman" w:hAnsi="Times New Roman" w:eastAsia="宋体" w:cs="Times New Roman"/>
                      <w:color w:val="auto"/>
                      <w:spacing w:val="0"/>
                      <w:szCs w:val="21"/>
                      <w:highlight w:val="none"/>
                    </w:rPr>
                    <w:t>t/a</w:t>
                  </w:r>
                  <w:r>
                    <w:rPr>
                      <w:rFonts w:hint="default" w:ascii="Times New Roman" w:hAnsi="Times New Roman" w:eastAsia="宋体" w:cs="Times New Roman"/>
                      <w:color w:val="auto"/>
                      <w:spacing w:val="0"/>
                      <w:szCs w:val="21"/>
                      <w:highlight w:val="none"/>
                      <w:lang w:val="en-US" w:eastAsia="zh-CN"/>
                    </w:rPr>
                    <w:t>）</w:t>
                  </w:r>
                </w:p>
              </w:tc>
              <w:tc>
                <w:tcPr>
                  <w:tcW w:w="589" w:type="dxa"/>
                  <w:noWrap w:val="0"/>
                  <w:vAlign w:val="center"/>
                </w:tcPr>
                <w:p w14:paraId="5A720EE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产废</w:t>
                  </w:r>
                </w:p>
                <w:p w14:paraId="3FF31E9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周期</w:t>
                  </w:r>
                </w:p>
              </w:tc>
              <w:tc>
                <w:tcPr>
                  <w:tcW w:w="1645" w:type="dxa"/>
                  <w:noWrap w:val="0"/>
                  <w:vAlign w:val="center"/>
                </w:tcPr>
                <w:p w14:paraId="65EA299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综合利用或</w:t>
                  </w:r>
                </w:p>
                <w:p w14:paraId="083065E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处置方式</w:t>
                  </w:r>
                </w:p>
              </w:tc>
            </w:tr>
            <w:tr w14:paraId="6AB1B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1" w:hRule="atLeast"/>
                <w:jc w:val="center"/>
              </w:trPr>
              <w:tc>
                <w:tcPr>
                  <w:tcW w:w="893" w:type="dxa"/>
                  <w:vMerge w:val="restart"/>
                  <w:noWrap w:val="0"/>
                  <w:vAlign w:val="center"/>
                </w:tcPr>
                <w:p w14:paraId="4B59361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一般工业固体废物</w:t>
                  </w:r>
                </w:p>
              </w:tc>
              <w:tc>
                <w:tcPr>
                  <w:tcW w:w="907" w:type="dxa"/>
                  <w:noWrap w:val="0"/>
                  <w:vAlign w:val="center"/>
                </w:tcPr>
                <w:p w14:paraId="5BBA7B7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除尘器除尘灰</w:t>
                  </w:r>
                </w:p>
              </w:tc>
              <w:tc>
                <w:tcPr>
                  <w:tcW w:w="860" w:type="dxa"/>
                  <w:noWrap w:val="0"/>
                  <w:vAlign w:val="center"/>
                </w:tcPr>
                <w:p w14:paraId="3C1E1EF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水泥、矸石</w:t>
                  </w:r>
                </w:p>
              </w:tc>
              <w:tc>
                <w:tcPr>
                  <w:tcW w:w="654" w:type="dxa"/>
                  <w:noWrap w:val="0"/>
                  <w:vAlign w:val="center"/>
                </w:tcPr>
                <w:p w14:paraId="071EE88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900-099-S59</w:t>
                  </w:r>
                </w:p>
              </w:tc>
              <w:tc>
                <w:tcPr>
                  <w:tcW w:w="728" w:type="dxa"/>
                  <w:noWrap w:val="0"/>
                  <w:vAlign w:val="center"/>
                </w:tcPr>
                <w:p w14:paraId="60829FC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51.262</w:t>
                  </w:r>
                </w:p>
              </w:tc>
              <w:tc>
                <w:tcPr>
                  <w:tcW w:w="911" w:type="dxa"/>
                  <w:noWrap w:val="0"/>
                  <w:vAlign w:val="center"/>
                </w:tcPr>
                <w:p w14:paraId="7AB9FD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51.262</w:t>
                  </w:r>
                </w:p>
              </w:tc>
              <w:tc>
                <w:tcPr>
                  <w:tcW w:w="750" w:type="dxa"/>
                  <w:noWrap w:val="0"/>
                  <w:vAlign w:val="center"/>
                </w:tcPr>
                <w:p w14:paraId="6ADD7AA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w:t>
                  </w:r>
                </w:p>
              </w:tc>
              <w:tc>
                <w:tcPr>
                  <w:tcW w:w="589" w:type="dxa"/>
                  <w:noWrap w:val="0"/>
                  <w:vAlign w:val="center"/>
                </w:tcPr>
                <w:p w14:paraId="606A36F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每日</w:t>
                  </w:r>
                </w:p>
              </w:tc>
              <w:tc>
                <w:tcPr>
                  <w:tcW w:w="1645" w:type="dxa"/>
                  <w:noWrap w:val="0"/>
                  <w:vAlign w:val="center"/>
                </w:tcPr>
                <w:p w14:paraId="2DAA2F9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集中收集后回用于搅拌工序</w:t>
                  </w:r>
                </w:p>
              </w:tc>
            </w:tr>
            <w:tr w14:paraId="14172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3" w:type="dxa"/>
                  <w:vMerge w:val="continue"/>
                  <w:noWrap w:val="0"/>
                  <w:vAlign w:val="center"/>
                </w:tcPr>
                <w:p w14:paraId="33FF787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p>
              </w:tc>
              <w:tc>
                <w:tcPr>
                  <w:tcW w:w="907" w:type="dxa"/>
                  <w:noWrap w:val="0"/>
                  <w:vAlign w:val="center"/>
                </w:tcPr>
                <w:p w14:paraId="426B756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沉淀池沉渣</w:t>
                  </w:r>
                </w:p>
              </w:tc>
              <w:tc>
                <w:tcPr>
                  <w:tcW w:w="860" w:type="dxa"/>
                  <w:noWrap w:val="0"/>
                  <w:vAlign w:val="center"/>
                </w:tcPr>
                <w:p w14:paraId="2948448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悬浮物</w:t>
                  </w:r>
                </w:p>
              </w:tc>
              <w:tc>
                <w:tcPr>
                  <w:tcW w:w="654" w:type="dxa"/>
                  <w:noWrap w:val="0"/>
                  <w:vAlign w:val="center"/>
                </w:tcPr>
                <w:p w14:paraId="026058F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900-099-S59</w:t>
                  </w:r>
                </w:p>
              </w:tc>
              <w:tc>
                <w:tcPr>
                  <w:tcW w:w="728" w:type="dxa"/>
                  <w:noWrap w:val="0"/>
                  <w:vAlign w:val="center"/>
                </w:tcPr>
                <w:p w14:paraId="4A3712A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5</w:t>
                  </w:r>
                </w:p>
              </w:tc>
              <w:tc>
                <w:tcPr>
                  <w:tcW w:w="911" w:type="dxa"/>
                  <w:noWrap w:val="0"/>
                  <w:vAlign w:val="center"/>
                </w:tcPr>
                <w:p w14:paraId="65C6936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5</w:t>
                  </w:r>
                </w:p>
              </w:tc>
              <w:tc>
                <w:tcPr>
                  <w:tcW w:w="750" w:type="dxa"/>
                  <w:noWrap w:val="0"/>
                  <w:vAlign w:val="center"/>
                </w:tcPr>
                <w:p w14:paraId="4B1DEB6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w:t>
                  </w:r>
                </w:p>
              </w:tc>
              <w:tc>
                <w:tcPr>
                  <w:tcW w:w="589" w:type="dxa"/>
                  <w:noWrap w:val="0"/>
                  <w:vAlign w:val="center"/>
                </w:tcPr>
                <w:p w14:paraId="7D9627F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每日</w:t>
                  </w:r>
                </w:p>
              </w:tc>
              <w:tc>
                <w:tcPr>
                  <w:tcW w:w="1645" w:type="dxa"/>
                  <w:noWrap w:val="0"/>
                  <w:vAlign w:val="center"/>
                </w:tcPr>
                <w:p w14:paraId="321E914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集中收集后回用于搅拌工序</w:t>
                  </w:r>
                </w:p>
              </w:tc>
            </w:tr>
            <w:tr w14:paraId="6DCB8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3" w:type="dxa"/>
                  <w:vMerge w:val="restart"/>
                  <w:noWrap w:val="0"/>
                  <w:vAlign w:val="center"/>
                </w:tcPr>
                <w:p w14:paraId="6987983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危险废物</w:t>
                  </w:r>
                </w:p>
              </w:tc>
              <w:tc>
                <w:tcPr>
                  <w:tcW w:w="907" w:type="dxa"/>
                  <w:noWrap w:val="0"/>
                  <w:vAlign w:val="center"/>
                </w:tcPr>
                <w:p w14:paraId="77946CD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废矿</w:t>
                  </w:r>
                </w:p>
                <w:p w14:paraId="5DFC1C0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物油</w:t>
                  </w:r>
                </w:p>
              </w:tc>
              <w:tc>
                <w:tcPr>
                  <w:tcW w:w="860" w:type="dxa"/>
                  <w:noWrap w:val="0"/>
                  <w:vAlign w:val="center"/>
                </w:tcPr>
                <w:p w14:paraId="21F58B8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危险废物</w:t>
                  </w:r>
                </w:p>
              </w:tc>
              <w:tc>
                <w:tcPr>
                  <w:tcW w:w="654" w:type="dxa"/>
                  <w:noWrap w:val="0"/>
                  <w:vAlign w:val="center"/>
                </w:tcPr>
                <w:p w14:paraId="4900A0C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900-214-08</w:t>
                  </w:r>
                </w:p>
              </w:tc>
              <w:tc>
                <w:tcPr>
                  <w:tcW w:w="728" w:type="dxa"/>
                  <w:noWrap w:val="0"/>
                  <w:vAlign w:val="center"/>
                </w:tcPr>
                <w:p w14:paraId="35EFCD7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3</w:t>
                  </w:r>
                </w:p>
              </w:tc>
              <w:tc>
                <w:tcPr>
                  <w:tcW w:w="911" w:type="dxa"/>
                  <w:noWrap w:val="0"/>
                  <w:vAlign w:val="center"/>
                </w:tcPr>
                <w:p w14:paraId="7CB036E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750" w:type="dxa"/>
                  <w:noWrap w:val="0"/>
                  <w:vAlign w:val="center"/>
                </w:tcPr>
                <w:p w14:paraId="2340C76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3</w:t>
                  </w:r>
                </w:p>
              </w:tc>
              <w:tc>
                <w:tcPr>
                  <w:tcW w:w="589" w:type="dxa"/>
                  <w:vMerge w:val="restart"/>
                  <w:noWrap w:val="0"/>
                  <w:vAlign w:val="center"/>
                </w:tcPr>
                <w:p w14:paraId="6470D29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每</w:t>
                  </w:r>
                  <w:r>
                    <w:rPr>
                      <w:rFonts w:hint="eastAsia" w:ascii="Times New Roman" w:hAnsi="Times New Roman" w:eastAsia="宋体" w:cs="Times New Roman"/>
                      <w:color w:val="auto"/>
                      <w:spacing w:val="0"/>
                      <w:kern w:val="2"/>
                      <w:sz w:val="21"/>
                      <w:szCs w:val="21"/>
                      <w:highlight w:val="none"/>
                      <w:lang w:val="en-US" w:eastAsia="zh-CN" w:bidi="ar-SA"/>
                    </w:rPr>
                    <w:t>月</w:t>
                  </w:r>
                </w:p>
              </w:tc>
              <w:tc>
                <w:tcPr>
                  <w:tcW w:w="1645" w:type="dxa"/>
                  <w:vMerge w:val="restart"/>
                  <w:noWrap w:val="0"/>
                  <w:vAlign w:val="center"/>
                </w:tcPr>
                <w:p w14:paraId="2777642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暂存于</w:t>
                  </w:r>
                  <w:r>
                    <w:rPr>
                      <w:rFonts w:hint="eastAsia" w:ascii="Times New Roman" w:hAnsi="Times New Roman" w:eastAsia="宋体" w:cs="Times New Roman"/>
                      <w:color w:val="auto"/>
                      <w:spacing w:val="0"/>
                      <w:kern w:val="2"/>
                      <w:sz w:val="21"/>
                      <w:szCs w:val="21"/>
                      <w:highlight w:val="none"/>
                      <w:lang w:val="en-US" w:eastAsia="zh-CN" w:bidi="ar-SA"/>
                    </w:rPr>
                    <w:t>现有</w:t>
                  </w:r>
                  <w:r>
                    <w:rPr>
                      <w:rFonts w:hint="default" w:ascii="Times New Roman" w:hAnsi="Times New Roman" w:eastAsia="宋体" w:cs="Times New Roman"/>
                      <w:color w:val="auto"/>
                      <w:spacing w:val="0"/>
                      <w:kern w:val="2"/>
                      <w:sz w:val="21"/>
                      <w:szCs w:val="21"/>
                      <w:highlight w:val="none"/>
                      <w:lang w:val="en-US" w:eastAsia="zh-CN" w:bidi="ar-SA"/>
                    </w:rPr>
                    <w:t>危险废物贮存库，定期</w:t>
                  </w:r>
                  <w:r>
                    <w:rPr>
                      <w:rFonts w:hint="eastAsia" w:ascii="Times New Roman" w:hAnsi="Times New Roman" w:eastAsia="宋体" w:cs="Times New Roman"/>
                      <w:color w:val="auto"/>
                      <w:spacing w:val="0"/>
                      <w:kern w:val="2"/>
                      <w:sz w:val="21"/>
                      <w:szCs w:val="21"/>
                      <w:highlight w:val="none"/>
                      <w:lang w:val="en-US" w:eastAsia="zh-CN" w:bidi="ar-SA"/>
                    </w:rPr>
                    <w:t>交</w:t>
                  </w:r>
                  <w:r>
                    <w:rPr>
                      <w:rFonts w:hint="default" w:ascii="Times New Roman" w:hAnsi="Times New Roman" w:eastAsia="宋体" w:cs="Times New Roman"/>
                      <w:color w:val="auto"/>
                      <w:spacing w:val="0"/>
                      <w:kern w:val="2"/>
                      <w:sz w:val="21"/>
                      <w:szCs w:val="21"/>
                      <w:highlight w:val="none"/>
                      <w:lang w:val="en-US" w:eastAsia="zh-CN" w:bidi="ar-SA"/>
                    </w:rPr>
                    <w:t>由有资质单位处置</w:t>
                  </w:r>
                </w:p>
              </w:tc>
            </w:tr>
            <w:tr w14:paraId="6DE2C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3" w:type="dxa"/>
                  <w:vMerge w:val="continue"/>
                  <w:noWrap w:val="0"/>
                  <w:vAlign w:val="center"/>
                </w:tcPr>
                <w:p w14:paraId="70EF3D7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0"/>
                      <w:szCs w:val="21"/>
                      <w:highlight w:val="none"/>
                      <w:lang w:val="en-US" w:eastAsia="zh-CN"/>
                    </w:rPr>
                  </w:pPr>
                </w:p>
              </w:tc>
              <w:tc>
                <w:tcPr>
                  <w:tcW w:w="907" w:type="dxa"/>
                  <w:noWrap w:val="0"/>
                  <w:vAlign w:val="center"/>
                </w:tcPr>
                <w:p w14:paraId="6E3ED10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废油桶</w:t>
                  </w:r>
                </w:p>
              </w:tc>
              <w:tc>
                <w:tcPr>
                  <w:tcW w:w="860" w:type="dxa"/>
                  <w:noWrap w:val="0"/>
                  <w:vAlign w:val="center"/>
                </w:tcPr>
                <w:p w14:paraId="7D863BC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危险废物</w:t>
                  </w:r>
                </w:p>
              </w:tc>
              <w:tc>
                <w:tcPr>
                  <w:tcW w:w="654" w:type="dxa"/>
                  <w:noWrap w:val="0"/>
                  <w:vAlign w:val="center"/>
                </w:tcPr>
                <w:p w14:paraId="766F795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900-041-49</w:t>
                  </w:r>
                </w:p>
              </w:tc>
              <w:tc>
                <w:tcPr>
                  <w:tcW w:w="728" w:type="dxa"/>
                  <w:noWrap w:val="0"/>
                  <w:vAlign w:val="center"/>
                </w:tcPr>
                <w:p w14:paraId="04690EF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911" w:type="dxa"/>
                  <w:noWrap w:val="0"/>
                  <w:vAlign w:val="center"/>
                </w:tcPr>
                <w:p w14:paraId="2FAAF55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750" w:type="dxa"/>
                  <w:noWrap w:val="0"/>
                  <w:vAlign w:val="center"/>
                </w:tcPr>
                <w:p w14:paraId="328D3AA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589" w:type="dxa"/>
                  <w:vMerge w:val="continue"/>
                  <w:noWrap w:val="0"/>
                  <w:vAlign w:val="center"/>
                </w:tcPr>
                <w:p w14:paraId="6E78757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1645" w:type="dxa"/>
                  <w:vMerge w:val="continue"/>
                  <w:noWrap w:val="0"/>
                  <w:vAlign w:val="center"/>
                </w:tcPr>
                <w:p w14:paraId="23D3F5B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r>
            <w:tr w14:paraId="2B915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93" w:type="dxa"/>
                  <w:noWrap w:val="0"/>
                  <w:vAlign w:val="center"/>
                </w:tcPr>
                <w:p w14:paraId="78B78E4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Cs w:val="21"/>
                      <w:highlight w:val="none"/>
                      <w:lang w:val="en-US" w:eastAsia="zh-CN"/>
                    </w:rPr>
                    <w:t>职工生活</w:t>
                  </w:r>
                </w:p>
              </w:tc>
              <w:tc>
                <w:tcPr>
                  <w:tcW w:w="907" w:type="dxa"/>
                  <w:noWrap w:val="0"/>
                  <w:vAlign w:val="center"/>
                </w:tcPr>
                <w:p w14:paraId="6DE6092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生活</w:t>
                  </w:r>
                </w:p>
                <w:p w14:paraId="533AC60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垃圾</w:t>
                  </w:r>
                </w:p>
              </w:tc>
              <w:tc>
                <w:tcPr>
                  <w:tcW w:w="860" w:type="dxa"/>
                  <w:noWrap w:val="0"/>
                  <w:vAlign w:val="center"/>
                </w:tcPr>
                <w:p w14:paraId="2847382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w:t>
                  </w:r>
                </w:p>
              </w:tc>
              <w:tc>
                <w:tcPr>
                  <w:tcW w:w="654" w:type="dxa"/>
                  <w:noWrap w:val="0"/>
                  <w:vAlign w:val="center"/>
                </w:tcPr>
                <w:p w14:paraId="2921AAD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Cs w:val="21"/>
                      <w:highlight w:val="none"/>
                      <w:lang w:val="en-US" w:eastAsia="zh-CN"/>
                    </w:rPr>
                    <w:t>900-099-S64</w:t>
                  </w:r>
                </w:p>
              </w:tc>
              <w:tc>
                <w:tcPr>
                  <w:tcW w:w="728" w:type="dxa"/>
                  <w:noWrap w:val="0"/>
                  <w:vAlign w:val="center"/>
                </w:tcPr>
                <w:p w14:paraId="66CCB9B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bCs/>
                      <w:color w:val="auto"/>
                      <w:szCs w:val="21"/>
                      <w:highlight w:val="none"/>
                      <w:lang w:val="en-US" w:eastAsia="zh-CN"/>
                    </w:rPr>
                    <w:t>1.65</w:t>
                  </w:r>
                </w:p>
              </w:tc>
              <w:tc>
                <w:tcPr>
                  <w:tcW w:w="911" w:type="dxa"/>
                  <w:noWrap w:val="0"/>
                  <w:vAlign w:val="center"/>
                </w:tcPr>
                <w:p w14:paraId="2D2735F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750" w:type="dxa"/>
                  <w:noWrap w:val="0"/>
                  <w:vAlign w:val="center"/>
                </w:tcPr>
                <w:p w14:paraId="61DC192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bCs/>
                      <w:color w:val="auto"/>
                      <w:szCs w:val="21"/>
                      <w:highlight w:val="none"/>
                      <w:lang w:val="en-US" w:eastAsia="zh-CN"/>
                    </w:rPr>
                    <w:t>1.65</w:t>
                  </w:r>
                </w:p>
              </w:tc>
              <w:tc>
                <w:tcPr>
                  <w:tcW w:w="589" w:type="dxa"/>
                  <w:noWrap w:val="0"/>
                  <w:vAlign w:val="center"/>
                </w:tcPr>
                <w:p w14:paraId="2DDAAC4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每日</w:t>
                  </w:r>
                </w:p>
              </w:tc>
              <w:tc>
                <w:tcPr>
                  <w:tcW w:w="1645" w:type="dxa"/>
                  <w:noWrap w:val="0"/>
                  <w:vAlign w:val="center"/>
                </w:tcPr>
                <w:p w14:paraId="2B07007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集中收集后</w:t>
                  </w:r>
                  <w:r>
                    <w:rPr>
                      <w:rFonts w:hint="eastAsia" w:ascii="Times New Roman" w:hAnsi="Times New Roman" w:eastAsia="宋体" w:cs="Times New Roman"/>
                      <w:color w:val="auto"/>
                      <w:spacing w:val="0"/>
                      <w:kern w:val="2"/>
                      <w:sz w:val="21"/>
                      <w:szCs w:val="21"/>
                      <w:highlight w:val="none"/>
                      <w:lang w:val="en-US" w:eastAsia="zh-CN" w:bidi="ar-SA"/>
                    </w:rPr>
                    <w:t>由环卫部门统一处置</w:t>
                  </w:r>
                </w:p>
              </w:tc>
            </w:tr>
          </w:tbl>
          <w:p w14:paraId="70B991AC">
            <w:pPr>
              <w:spacing w:line="440" w:lineRule="atLeast"/>
              <w:ind w:firstLine="480" w:firstLineChars="200"/>
              <w:rPr>
                <w:rFonts w:hint="default" w:ascii="Times New Roman" w:hAnsi="Times New Roman" w:cs="Times New Roman"/>
                <w:bCs/>
                <w:color w:val="auto"/>
                <w:sz w:val="24"/>
                <w:highlight w:val="none"/>
                <w:lang w:val="en-US" w:eastAsia="zh-CN"/>
              </w:rPr>
            </w:pPr>
            <w:r>
              <w:rPr>
                <w:rFonts w:hint="eastAsia" w:cs="Times New Roman"/>
                <w:bCs/>
                <w:color w:val="auto"/>
                <w:sz w:val="24"/>
                <w:highlight w:val="none"/>
                <w:lang w:val="en-US" w:eastAsia="zh-CN"/>
              </w:rPr>
              <w:t>S1.</w:t>
            </w:r>
            <w:r>
              <w:rPr>
                <w:rFonts w:hint="eastAsia" w:ascii="Times New Roman" w:hAnsi="Times New Roman" w:cs="Times New Roman"/>
                <w:bCs/>
                <w:color w:val="auto"/>
                <w:sz w:val="24"/>
                <w:highlight w:val="none"/>
                <w:lang w:val="en-US" w:eastAsia="zh-CN"/>
              </w:rPr>
              <w:t>除尘器除尘灰</w:t>
            </w:r>
          </w:p>
          <w:p w14:paraId="535352D4">
            <w:pPr>
              <w:spacing w:line="440" w:lineRule="atLeast"/>
              <w:ind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本项目袋式除尘器产生除尘灰量为</w:t>
            </w:r>
            <w:r>
              <w:rPr>
                <w:rFonts w:hint="eastAsia" w:cs="Times New Roman"/>
                <w:bCs/>
                <w:color w:val="auto"/>
                <w:sz w:val="24"/>
                <w:highlight w:val="none"/>
                <w:lang w:val="en-US" w:eastAsia="zh-CN"/>
              </w:rPr>
              <w:t>51.262</w:t>
            </w:r>
            <w:r>
              <w:rPr>
                <w:rFonts w:hint="eastAsia" w:ascii="Times New Roman" w:hAnsi="Times New Roman" w:cs="Times New Roman"/>
                <w:bCs/>
                <w:color w:val="auto"/>
                <w:sz w:val="24"/>
                <w:highlight w:val="none"/>
                <w:lang w:val="en-US" w:eastAsia="zh-CN"/>
              </w:rPr>
              <w:t>t/a，集中收集后回用于搅拌工序。</w:t>
            </w:r>
          </w:p>
          <w:p w14:paraId="3A04DAC1">
            <w:pPr>
              <w:spacing w:line="440" w:lineRule="atLeast"/>
              <w:ind w:firstLine="480" w:firstLineChars="200"/>
              <w:rPr>
                <w:rFonts w:hint="default" w:ascii="Times New Roman" w:hAnsi="Times New Roman" w:cs="Times New Roman"/>
                <w:bCs/>
                <w:color w:val="auto"/>
                <w:sz w:val="24"/>
                <w:highlight w:val="none"/>
                <w:lang w:val="en-US" w:eastAsia="zh-CN"/>
              </w:rPr>
            </w:pPr>
            <w:r>
              <w:rPr>
                <w:rFonts w:hint="eastAsia" w:cs="Times New Roman"/>
                <w:bCs/>
                <w:color w:val="auto"/>
                <w:sz w:val="24"/>
                <w:highlight w:val="none"/>
                <w:lang w:val="en-US" w:eastAsia="zh-CN"/>
              </w:rPr>
              <w:t>S2.沉淀池沉渣</w:t>
            </w:r>
          </w:p>
          <w:p w14:paraId="5B6C64CB">
            <w:pPr>
              <w:spacing w:line="440" w:lineRule="atLeast"/>
              <w:ind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s="Times New Roman"/>
                <w:bCs/>
                <w:color w:val="auto"/>
                <w:sz w:val="24"/>
                <w:szCs w:val="24"/>
                <w:highlight w:val="none"/>
                <w:lang w:val="en-US" w:eastAsia="zh-CN"/>
              </w:rPr>
              <w:t>地面冲洗废水</w:t>
            </w:r>
            <w:r>
              <w:rPr>
                <w:rFonts w:hint="default" w:ascii="Times New Roman" w:hAnsi="Times New Roman" w:eastAsia="宋体" w:cs="Times New Roman"/>
                <w:color w:val="auto"/>
                <w:sz w:val="24"/>
                <w:highlight w:val="none"/>
                <w:lang w:val="en-US" w:eastAsia="zh-CN"/>
              </w:rPr>
              <w:t>汇入沉淀池沉淀出渣，</w:t>
            </w:r>
            <w:r>
              <w:rPr>
                <w:rFonts w:hint="default" w:ascii="Times New Roman" w:hAnsi="Times New Roman" w:cs="Times New Roman"/>
                <w:bCs/>
                <w:color w:val="auto"/>
                <w:sz w:val="24"/>
                <w:highlight w:val="none"/>
                <w:lang w:val="en-US" w:eastAsia="zh-CN"/>
              </w:rPr>
              <w:t>类比</w:t>
            </w:r>
            <w:r>
              <w:rPr>
                <w:rFonts w:hint="eastAsia" w:cs="Times New Roman"/>
                <w:bCs/>
                <w:color w:val="auto"/>
                <w:sz w:val="24"/>
                <w:highlight w:val="none"/>
                <w:lang w:val="en-US" w:eastAsia="zh-CN"/>
              </w:rPr>
              <w:t>同类型企业</w:t>
            </w:r>
            <w:r>
              <w:rPr>
                <w:rFonts w:hint="default" w:ascii="Times New Roman" w:hAnsi="Times New Roman" w:cs="Times New Roman"/>
                <w:bCs/>
                <w:color w:val="auto"/>
                <w:sz w:val="24"/>
                <w:highlight w:val="none"/>
                <w:lang w:val="en-US" w:eastAsia="zh-CN"/>
              </w:rPr>
              <w:t>，本项目废水沉淀过程产生沉淀物约</w:t>
            </w:r>
            <w:r>
              <w:rPr>
                <w:rFonts w:hint="eastAsia" w:cs="Times New Roman"/>
                <w:bCs/>
                <w:color w:val="auto"/>
                <w:sz w:val="24"/>
                <w:highlight w:val="none"/>
                <w:lang w:val="en-US" w:eastAsia="zh-CN"/>
              </w:rPr>
              <w:t>5</w:t>
            </w:r>
            <w:r>
              <w:rPr>
                <w:rFonts w:hint="default" w:ascii="Times New Roman" w:hAnsi="Times New Roman" w:cs="Times New Roman"/>
                <w:bCs/>
                <w:color w:val="auto"/>
                <w:sz w:val="24"/>
                <w:highlight w:val="none"/>
                <w:lang w:val="en-US" w:eastAsia="zh-CN"/>
              </w:rPr>
              <w:t>t/a，</w:t>
            </w:r>
            <w:r>
              <w:rPr>
                <w:rFonts w:hint="eastAsia" w:ascii="Times New Roman" w:hAnsi="Times New Roman" w:cs="Times New Roman"/>
                <w:color w:val="auto"/>
                <w:sz w:val="24"/>
                <w:highlight w:val="none"/>
                <w:lang w:val="en-US" w:eastAsia="zh-CN"/>
              </w:rPr>
              <w:t>集中收集后</w:t>
            </w:r>
            <w:r>
              <w:rPr>
                <w:rFonts w:hint="default" w:ascii="Times New Roman" w:hAnsi="Times New Roman" w:cs="Times New Roman"/>
                <w:bCs/>
                <w:color w:val="auto"/>
                <w:sz w:val="24"/>
                <w:highlight w:val="none"/>
                <w:lang w:val="en-US" w:eastAsia="zh-CN"/>
              </w:rPr>
              <w:t>回用于搅拌工序。</w:t>
            </w:r>
          </w:p>
          <w:p w14:paraId="0B198A4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S3.</w:t>
            </w:r>
            <w:r>
              <w:rPr>
                <w:rFonts w:hint="default" w:ascii="Times New Roman" w:hAnsi="Times New Roman" w:eastAsia="宋体" w:cs="Times New Roman"/>
                <w:bCs/>
                <w:color w:val="auto"/>
                <w:sz w:val="24"/>
                <w:highlight w:val="none"/>
                <w:lang w:val="en-US" w:eastAsia="zh-CN"/>
              </w:rPr>
              <w:t>废矿物油</w:t>
            </w:r>
            <w:r>
              <w:rPr>
                <w:rFonts w:hint="eastAsia" w:ascii="Times New Roman" w:hAnsi="Times New Roman" w:eastAsia="宋体" w:cs="Times New Roman"/>
                <w:bCs/>
                <w:color w:val="auto"/>
                <w:sz w:val="24"/>
                <w:highlight w:val="none"/>
                <w:lang w:val="en-US" w:eastAsia="zh-CN"/>
              </w:rPr>
              <w:t>、废油桶</w:t>
            </w:r>
          </w:p>
          <w:p w14:paraId="688D590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本项目生产过程各设备</w:t>
            </w:r>
            <w:r>
              <w:rPr>
                <w:rFonts w:hint="eastAsia" w:ascii="Times New Roman" w:hAnsi="Times New Roman" w:eastAsia="宋体" w:cs="Times New Roman"/>
                <w:bCs/>
                <w:color w:val="auto"/>
                <w:sz w:val="24"/>
                <w:highlight w:val="none"/>
                <w:lang w:val="en-US" w:eastAsia="zh-CN"/>
              </w:rPr>
              <w:t>需维修保养，在此过程中</w:t>
            </w:r>
            <w:r>
              <w:rPr>
                <w:rFonts w:hint="default" w:ascii="Times New Roman" w:hAnsi="Times New Roman" w:eastAsia="宋体" w:cs="Times New Roman"/>
                <w:bCs/>
                <w:color w:val="auto"/>
                <w:sz w:val="24"/>
                <w:highlight w:val="none"/>
                <w:lang w:val="en-US" w:eastAsia="zh-CN"/>
              </w:rPr>
              <w:t>会产生少量废矿物油</w:t>
            </w:r>
            <w:r>
              <w:rPr>
                <w:rFonts w:hint="eastAsia" w:ascii="Times New Roman" w:hAnsi="Times New Roman" w:eastAsia="宋体" w:cs="Times New Roman"/>
                <w:bCs/>
                <w:color w:val="auto"/>
                <w:sz w:val="24"/>
                <w:highlight w:val="none"/>
                <w:lang w:val="en-US" w:eastAsia="zh-CN"/>
              </w:rPr>
              <w:t>及废油桶</w:t>
            </w:r>
            <w:r>
              <w:rPr>
                <w:rFonts w:hint="default" w:ascii="Times New Roman" w:hAnsi="Times New Roman" w:eastAsia="宋体" w:cs="Times New Roman"/>
                <w:bCs/>
                <w:color w:val="auto"/>
                <w:sz w:val="24"/>
                <w:highlight w:val="none"/>
                <w:lang w:val="en-US" w:eastAsia="zh-CN"/>
              </w:rPr>
              <w:t>，按照《国家危险废物名录》（202</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年版），废矿物油</w:t>
            </w:r>
            <w:r>
              <w:rPr>
                <w:rFonts w:hint="eastAsia" w:ascii="Times New Roman" w:hAnsi="Times New Roman" w:eastAsia="宋体" w:cs="Times New Roman"/>
                <w:bCs/>
                <w:color w:val="auto"/>
                <w:sz w:val="24"/>
                <w:highlight w:val="none"/>
                <w:lang w:val="en-US" w:eastAsia="zh-CN"/>
              </w:rPr>
              <w:t>、废油桶</w:t>
            </w:r>
            <w:r>
              <w:rPr>
                <w:rFonts w:hint="default" w:ascii="Times New Roman" w:hAnsi="Times New Roman" w:eastAsia="宋体" w:cs="Times New Roman"/>
                <w:bCs/>
                <w:color w:val="auto"/>
                <w:sz w:val="24"/>
                <w:highlight w:val="none"/>
                <w:lang w:val="en-US" w:eastAsia="zh-CN"/>
              </w:rPr>
              <w:t>属于危险废物，废矿物油产生量约为</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val="en-US" w:eastAsia="zh-CN"/>
              </w:rPr>
              <w:t>t/a，废油桶产生量约0.</w:t>
            </w:r>
            <w:r>
              <w:rPr>
                <w:rFonts w:hint="eastAsia"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t/a</w:t>
            </w:r>
            <w:r>
              <w:rPr>
                <w:rFonts w:hint="default" w:ascii="Times New Roman" w:hAnsi="Times New Roman" w:eastAsia="宋体" w:cs="Times New Roman"/>
                <w:bCs/>
                <w:color w:val="auto"/>
                <w:sz w:val="24"/>
                <w:highlight w:val="none"/>
                <w:lang w:val="en-US" w:eastAsia="zh-CN"/>
              </w:rPr>
              <w:t>。废矿物油、废油桶分区暂存于</w:t>
            </w:r>
            <w:r>
              <w:rPr>
                <w:rFonts w:hint="eastAsia" w:ascii="Times New Roman" w:hAnsi="Times New Roman" w:eastAsia="宋体" w:cs="Times New Roman"/>
                <w:bCs/>
                <w:color w:val="auto"/>
                <w:sz w:val="24"/>
                <w:highlight w:val="none"/>
                <w:lang w:val="en-US" w:eastAsia="zh-CN"/>
              </w:rPr>
              <w:t>现有危险废物贮存库</w:t>
            </w:r>
            <w:r>
              <w:rPr>
                <w:rFonts w:hint="default" w:ascii="Times New Roman" w:hAnsi="Times New Roman" w:eastAsia="宋体" w:cs="Times New Roman"/>
                <w:bCs/>
                <w:color w:val="auto"/>
                <w:sz w:val="24"/>
                <w:highlight w:val="none"/>
                <w:lang w:val="en-US" w:eastAsia="zh-CN"/>
              </w:rPr>
              <w:t>，定期交由有资质单位处置</w:t>
            </w:r>
            <w:r>
              <w:rPr>
                <w:rFonts w:hint="eastAsia" w:ascii="Times New Roman" w:hAnsi="Times New Roman" w:eastAsia="宋体" w:cs="Times New Roman"/>
                <w:bCs/>
                <w:color w:val="auto"/>
                <w:sz w:val="24"/>
                <w:highlight w:val="none"/>
                <w:lang w:val="en-US" w:eastAsia="zh-CN"/>
              </w:rPr>
              <w:t>。</w:t>
            </w:r>
          </w:p>
          <w:p w14:paraId="2763702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2"/>
                <w:sz w:val="24"/>
                <w:highlight w:val="none"/>
                <w:lang w:val="en-US" w:eastAsia="zh-CN"/>
              </w:rPr>
            </w:pPr>
            <w:r>
              <w:rPr>
                <w:rFonts w:hint="eastAsia" w:cs="Times New Roman"/>
                <w:color w:val="auto"/>
                <w:kern w:val="2"/>
                <w:sz w:val="24"/>
                <w:highlight w:val="none"/>
                <w:lang w:val="en-US" w:eastAsia="zh-CN"/>
              </w:rPr>
              <w:t>S4.</w:t>
            </w:r>
            <w:r>
              <w:rPr>
                <w:rFonts w:hint="eastAsia" w:ascii="Times New Roman" w:hAnsi="Times New Roman" w:eastAsia="宋体" w:cs="Times New Roman"/>
                <w:color w:val="auto"/>
                <w:kern w:val="2"/>
                <w:sz w:val="24"/>
                <w:highlight w:val="none"/>
                <w:lang w:val="en-US" w:eastAsia="zh-CN"/>
              </w:rPr>
              <w:t>生活垃圾</w:t>
            </w:r>
          </w:p>
          <w:p w14:paraId="26ED48C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本项目职工人数为10人，生活垃圾产生量按0.5kg/p·d计算，年工作330天，则职工生活垃圾产生量为1.65t/a，</w:t>
            </w:r>
            <w:r>
              <w:rPr>
                <w:rFonts w:hint="eastAsia" w:cs="Times New Roman"/>
                <w:color w:val="auto"/>
                <w:kern w:val="2"/>
                <w:sz w:val="24"/>
                <w:highlight w:val="none"/>
                <w:lang w:val="en-US" w:eastAsia="zh-CN"/>
              </w:rPr>
              <w:t>集中收集后由环卫部门统一处置</w:t>
            </w:r>
            <w:r>
              <w:rPr>
                <w:rFonts w:hint="eastAsia" w:ascii="Times New Roman" w:hAnsi="Times New Roman" w:eastAsia="宋体" w:cs="Times New Roman"/>
                <w:color w:val="auto"/>
                <w:kern w:val="2"/>
                <w:sz w:val="24"/>
                <w:highlight w:val="none"/>
                <w:lang w:val="en-US" w:eastAsia="zh-CN"/>
              </w:rPr>
              <w:t>。</w:t>
            </w:r>
          </w:p>
          <w:p w14:paraId="61B5915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2.固体废物</w:t>
            </w:r>
            <w:r>
              <w:rPr>
                <w:rFonts w:hint="eastAsia" w:ascii="Times New Roman" w:hAnsi="Times New Roman" w:eastAsia="宋体" w:cs="Times New Roman"/>
                <w:b w:val="0"/>
                <w:bCs w:val="0"/>
                <w:color w:val="auto"/>
                <w:sz w:val="24"/>
                <w:szCs w:val="24"/>
                <w:highlight w:val="none"/>
                <w:lang w:val="en-US" w:eastAsia="zh-CN"/>
              </w:rPr>
              <w:t>环境管理要求</w:t>
            </w:r>
          </w:p>
          <w:p w14:paraId="57EE375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2"/>
                <w:sz w:val="24"/>
                <w:highlight w:val="none"/>
                <w:lang w:val="en-US" w:eastAsia="zh-CN"/>
              </w:rPr>
            </w:pPr>
            <w:r>
              <w:rPr>
                <w:rFonts w:hint="eastAsia" w:cs="Times New Roman"/>
                <w:color w:val="auto"/>
                <w:kern w:val="2"/>
                <w:sz w:val="24"/>
                <w:highlight w:val="none"/>
                <w:lang w:val="en-US" w:eastAsia="zh-CN"/>
              </w:rPr>
              <w:t>（1）一般工业固体废物</w:t>
            </w:r>
          </w:p>
          <w:p w14:paraId="5A1DF91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color w:val="auto"/>
                <w:kern w:val="2"/>
                <w:sz w:val="24"/>
                <w:highlight w:val="none"/>
                <w:lang w:val="en-US" w:eastAsia="zh-CN"/>
              </w:rPr>
            </w:pPr>
            <w:r>
              <w:rPr>
                <w:rFonts w:hint="eastAsia" w:cs="Times New Roman"/>
                <w:color w:val="auto"/>
                <w:kern w:val="2"/>
                <w:sz w:val="24"/>
                <w:highlight w:val="none"/>
                <w:lang w:val="en-US" w:eastAsia="zh-CN"/>
              </w:rPr>
              <w:t>本次评价要求在储矸棚内设置一般固废暂存区（20m</w:t>
            </w:r>
            <w:r>
              <w:rPr>
                <w:rFonts w:hint="eastAsia" w:cs="Times New Roman"/>
                <w:color w:val="auto"/>
                <w:kern w:val="2"/>
                <w:sz w:val="24"/>
                <w:highlight w:val="none"/>
                <w:vertAlign w:val="superscript"/>
                <w:lang w:val="en-US" w:eastAsia="zh-CN"/>
              </w:rPr>
              <w:t>2</w:t>
            </w:r>
            <w:r>
              <w:rPr>
                <w:rFonts w:hint="eastAsia" w:cs="Times New Roman"/>
                <w:color w:val="auto"/>
                <w:kern w:val="2"/>
                <w:sz w:val="24"/>
                <w:highlight w:val="none"/>
                <w:lang w:val="en-US" w:eastAsia="zh-CN"/>
              </w:rPr>
              <w:t>），一般工业固体废物分区贮存。一般工业固体废物贮存和处置应满足《一般工业固体废物贮存和填埋污染控制标准》（GB18599-2020）中的有关规定。</w:t>
            </w:r>
          </w:p>
          <w:p w14:paraId="4B126B4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2"/>
                <w:sz w:val="24"/>
                <w:highlight w:val="none"/>
                <w:lang w:val="en-US" w:eastAsia="zh-CN"/>
              </w:rPr>
            </w:pPr>
            <w:r>
              <w:rPr>
                <w:rFonts w:hint="eastAsia" w:cs="Times New Roman"/>
                <w:color w:val="auto"/>
                <w:kern w:val="2"/>
                <w:sz w:val="24"/>
                <w:highlight w:val="none"/>
                <w:lang w:val="en-US" w:eastAsia="zh-CN"/>
              </w:rPr>
              <w:t>一般固废暂存区</w:t>
            </w:r>
            <w:r>
              <w:rPr>
                <w:rFonts w:hint="eastAsia" w:ascii="Times New Roman" w:hAnsi="Times New Roman" w:eastAsia="宋体" w:cs="Times New Roman"/>
                <w:color w:val="auto"/>
                <w:spacing w:val="4"/>
                <w:sz w:val="24"/>
                <w:highlight w:val="none"/>
                <w:lang w:val="en-US" w:eastAsia="zh-CN"/>
              </w:rPr>
              <w:t>应严格按照</w:t>
            </w:r>
            <w:r>
              <w:rPr>
                <w:rFonts w:hint="default" w:ascii="Times New Roman" w:hAnsi="Times New Roman" w:eastAsia="宋体" w:cs="Times New Roman"/>
                <w:color w:val="auto"/>
                <w:spacing w:val="4"/>
                <w:sz w:val="24"/>
                <w:highlight w:val="none"/>
              </w:rPr>
              <w:t>《</w:t>
            </w:r>
            <w:r>
              <w:rPr>
                <w:rFonts w:hint="default" w:ascii="Times New Roman" w:hAnsi="Times New Roman" w:eastAsia="宋体" w:cs="Times New Roman"/>
                <w:color w:val="auto"/>
                <w:spacing w:val="4"/>
                <w:sz w:val="24"/>
                <w:highlight w:val="none"/>
                <w:lang w:eastAsia="zh-CN"/>
              </w:rPr>
              <w:t>一般工业固体废物贮存和填埋污染控制标准</w:t>
            </w:r>
            <w:r>
              <w:rPr>
                <w:rFonts w:hint="default" w:ascii="Times New Roman" w:hAnsi="Times New Roman" w:eastAsia="宋体" w:cs="Times New Roman"/>
                <w:color w:val="auto"/>
                <w:spacing w:val="4"/>
                <w:sz w:val="24"/>
                <w:highlight w:val="none"/>
              </w:rPr>
              <w:t>》（GB18599-20</w:t>
            </w:r>
            <w:r>
              <w:rPr>
                <w:rFonts w:hint="default" w:ascii="Times New Roman" w:hAnsi="Times New Roman" w:eastAsia="宋体" w:cs="Times New Roman"/>
                <w:color w:val="auto"/>
                <w:spacing w:val="4"/>
                <w:sz w:val="24"/>
                <w:highlight w:val="none"/>
                <w:lang w:val="en-US" w:eastAsia="zh-CN"/>
              </w:rPr>
              <w:t>20</w:t>
            </w:r>
            <w:r>
              <w:rPr>
                <w:rFonts w:hint="default" w:ascii="Times New Roman" w:hAnsi="Times New Roman" w:eastAsia="宋体" w:cs="Times New Roman"/>
                <w:color w:val="auto"/>
                <w:spacing w:val="4"/>
                <w:sz w:val="24"/>
                <w:highlight w:val="none"/>
              </w:rPr>
              <w:t>）</w:t>
            </w:r>
            <w:r>
              <w:rPr>
                <w:rFonts w:hint="eastAsia" w:ascii="Times New Roman" w:hAnsi="Times New Roman" w:eastAsia="宋体" w:cs="Times New Roman"/>
                <w:color w:val="auto"/>
                <w:spacing w:val="4"/>
                <w:sz w:val="24"/>
                <w:highlight w:val="none"/>
                <w:lang w:val="en-US" w:eastAsia="zh-CN"/>
              </w:rPr>
              <w:t>中的</w:t>
            </w:r>
            <w:r>
              <w:rPr>
                <w:rFonts w:hint="eastAsia" w:ascii="Times New Roman" w:hAnsi="Times New Roman" w:eastAsia="宋体" w:cs="Times New Roman"/>
                <w:color w:val="auto"/>
                <w:sz w:val="24"/>
                <w:highlight w:val="none"/>
                <w:lang w:val="en-US" w:eastAsia="zh-CN"/>
              </w:rPr>
              <w:t>要求规范建设和维护使用</w:t>
            </w:r>
            <w:r>
              <w:rPr>
                <w:rFonts w:hint="default" w:ascii="Times New Roman" w:hAnsi="Times New Roman" w:eastAsia="宋体" w:cs="Times New Roman"/>
                <w:color w:val="auto"/>
                <w:spacing w:val="4"/>
                <w:sz w:val="24"/>
                <w:highlight w:val="none"/>
              </w:rPr>
              <w:t>。</w:t>
            </w:r>
          </w:p>
          <w:p w14:paraId="4903AE2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2"/>
                <w:sz w:val="24"/>
                <w:highlight w:val="none"/>
                <w:lang w:val="en-US" w:eastAsia="zh-CN"/>
              </w:rPr>
            </w:pPr>
            <w:r>
              <w:rPr>
                <w:rFonts w:hint="default" w:ascii="Times New Roman" w:hAnsi="Times New Roman" w:eastAsia="宋体" w:cs="Times New Roman"/>
                <w:color w:val="auto"/>
                <w:sz w:val="24"/>
                <w:highlight w:val="none"/>
                <w:lang w:val="en-US" w:eastAsia="zh-CN"/>
              </w:rPr>
              <w:t>根据《排污许可证申请与核发技术规范 工业固体废物》（HJ1200-2021）中的要求，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作业；贮存场应设置清晰、完整的一般工业固体废物标志牌等。</w:t>
            </w:r>
            <w:r>
              <w:rPr>
                <w:rFonts w:hint="eastAsia" w:ascii="Times New Roman" w:hAnsi="Times New Roman" w:eastAsia="宋体" w:cs="Times New Roman"/>
                <w:color w:val="auto"/>
                <w:sz w:val="24"/>
                <w:highlight w:val="none"/>
                <w:lang w:val="en-US" w:eastAsia="zh-CN"/>
              </w:rPr>
              <w:t>同时，建设单位</w:t>
            </w:r>
            <w:r>
              <w:rPr>
                <w:rFonts w:hint="default" w:ascii="Times New Roman" w:hAnsi="Times New Roman" w:eastAsia="宋体" w:cs="Times New Roman"/>
                <w:color w:val="auto"/>
                <w:sz w:val="24"/>
                <w:highlight w:val="none"/>
                <w:lang w:val="en-US" w:eastAsia="zh-CN"/>
              </w:rPr>
              <w:t>应建立环境管理台账制度，一般工业固体废物环境管理台账记录应符合生态环境部规定的一般工业固体废物环境管理台账相关标准及管理文件要求。</w:t>
            </w:r>
          </w:p>
          <w:p w14:paraId="5733F01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
                <w:sz w:val="24"/>
                <w:highlight w:val="none"/>
                <w:lang w:val="en-US" w:eastAsia="zh-CN"/>
              </w:rPr>
              <w:t>一般固废暂存区</w:t>
            </w:r>
            <w:r>
              <w:rPr>
                <w:rFonts w:hint="eastAsia" w:ascii="Times New Roman" w:hAnsi="Times New Roman" w:eastAsia="宋体" w:cs="Times New Roman"/>
                <w:color w:val="auto"/>
                <w:sz w:val="24"/>
                <w:highlight w:val="none"/>
                <w:lang w:val="en-US" w:eastAsia="zh-CN"/>
              </w:rPr>
              <w:t>应</w:t>
            </w:r>
            <w:r>
              <w:rPr>
                <w:rFonts w:hint="default" w:ascii="Times New Roman" w:hAnsi="Times New Roman" w:eastAsia="宋体" w:cs="Times New Roman"/>
                <w:color w:val="auto"/>
                <w:sz w:val="24"/>
                <w:highlight w:val="none"/>
                <w:lang w:val="en-US" w:eastAsia="zh-CN"/>
              </w:rPr>
              <w:t>设置明显的标志，标志的设置应执行《环境保护图形标志固体废物贮存（处置）场》（GB15562.2-1995）</w:t>
            </w:r>
            <w:r>
              <w:rPr>
                <w:rFonts w:hint="eastAsia" w:ascii="Times New Roman" w:hAnsi="Times New Roman" w:eastAsia="宋体" w:cs="Times New Roman"/>
                <w:color w:val="auto"/>
                <w:sz w:val="24"/>
                <w:highlight w:val="none"/>
                <w:lang w:val="en-US" w:eastAsia="zh-CN"/>
              </w:rPr>
              <w:t>及2023修改单（生态环境部公告2023年第5号）</w:t>
            </w:r>
            <w:r>
              <w:rPr>
                <w:rFonts w:hint="default" w:ascii="Times New Roman" w:hAnsi="Times New Roman" w:eastAsia="宋体" w:cs="Times New Roman"/>
                <w:color w:val="auto"/>
                <w:sz w:val="24"/>
                <w:highlight w:val="none"/>
                <w:lang w:val="en-US" w:eastAsia="zh-CN"/>
              </w:rPr>
              <w:t>中有关规定</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排放口图形标志见图</w:t>
            </w:r>
            <w:r>
              <w:rPr>
                <w:rFonts w:hint="eastAsia" w:ascii="Times New Roman" w:hAnsi="Times New Roman" w:eastAsia="宋体" w:cs="Times New Roman"/>
                <w:color w:val="auto"/>
                <w:sz w:val="24"/>
                <w:highlight w:val="none"/>
                <w:lang w:val="en-US" w:eastAsia="zh-CN"/>
              </w:rPr>
              <w:t>4.8-1</w:t>
            </w:r>
            <w:r>
              <w:rPr>
                <w:rFonts w:hint="default" w:ascii="Times New Roman" w:hAnsi="Times New Roman" w:eastAsia="宋体" w:cs="Times New Roman"/>
                <w:color w:val="auto"/>
                <w:sz w:val="24"/>
                <w:highlight w:val="none"/>
                <w:lang w:val="en-US" w:eastAsia="zh-CN"/>
              </w:rPr>
              <w:t>。</w:t>
            </w:r>
          </w:p>
          <w:p w14:paraId="26186AF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eastAsia" w:ascii="Times New Roman" w:hAnsi="Times New Roman" w:eastAsia="黑体" w:cs="Times New Roman"/>
                <w:b w:val="0"/>
                <w:bCs w:val="0"/>
                <w:color w:val="auto"/>
                <w:kern w:val="2"/>
                <w:sz w:val="21"/>
                <w:szCs w:val="21"/>
                <w:highlight w:val="none"/>
                <w:lang w:val="en-US" w:eastAsia="zh-CN" w:bidi="ar-SA"/>
              </w:rPr>
              <w:t>图4.8-1 排放口图形标志</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1983"/>
              <w:gridCol w:w="1983"/>
              <w:gridCol w:w="1983"/>
            </w:tblGrid>
            <w:tr w14:paraId="6DC62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noWrap w:val="0"/>
                  <w:vAlign w:val="center"/>
                </w:tcPr>
                <w:p w14:paraId="22754B2A">
                  <w:pPr>
                    <w:pStyle w:val="9"/>
                    <w:adjustRightInd w:val="0"/>
                    <w:snapToGrid w:val="0"/>
                    <w:spacing w:after="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项目</w:t>
                  </w:r>
                </w:p>
              </w:tc>
              <w:tc>
                <w:tcPr>
                  <w:tcW w:w="5949" w:type="dxa"/>
                  <w:gridSpan w:val="3"/>
                  <w:noWrap w:val="0"/>
                  <w:vAlign w:val="center"/>
                </w:tcPr>
                <w:p w14:paraId="1A1A9463">
                  <w:pPr>
                    <w:pStyle w:val="9"/>
                    <w:adjustRightInd w:val="0"/>
                    <w:snapToGrid w:val="0"/>
                    <w:spacing w:after="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固体废物堆放场</w:t>
                  </w:r>
                </w:p>
              </w:tc>
            </w:tr>
            <w:tr w14:paraId="0258D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noWrap w:val="0"/>
                  <w:vAlign w:val="center"/>
                </w:tcPr>
                <w:p w14:paraId="4319D276">
                  <w:pPr>
                    <w:pStyle w:val="9"/>
                    <w:adjustRightInd w:val="0"/>
                    <w:snapToGrid w:val="0"/>
                    <w:spacing w:after="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图形符号</w:t>
                  </w:r>
                </w:p>
              </w:tc>
              <w:tc>
                <w:tcPr>
                  <w:tcW w:w="5949" w:type="dxa"/>
                  <w:gridSpan w:val="3"/>
                  <w:noWrap w:val="0"/>
                  <w:vAlign w:val="center"/>
                </w:tcPr>
                <w:p w14:paraId="158A1FEE">
                  <w:pPr>
                    <w:pStyle w:val="9"/>
                    <w:adjustRightInd w:val="0"/>
                    <w:snapToGrid w:val="0"/>
                    <w:spacing w:after="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inline distT="0" distB="0" distL="114300" distR="114300">
                        <wp:extent cx="1184275" cy="960755"/>
                        <wp:effectExtent l="0" t="0" r="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3">
                                  <a:clrChange>
                                    <a:clrFrom>
                                      <a:srgbClr val="FFFFFF"/>
                                    </a:clrFrom>
                                    <a:clrTo>
                                      <a:srgbClr val="FFFFFF">
                                        <a:alpha val="0"/>
                                      </a:srgbClr>
                                    </a:clrTo>
                                  </a:clrChange>
                                </a:blip>
                                <a:srcRect l="75500" r="-2809"/>
                                <a:stretch>
                                  <a:fillRect/>
                                </a:stretch>
                              </pic:blipFill>
                              <pic:spPr>
                                <a:xfrm>
                                  <a:off x="0" y="0"/>
                                  <a:ext cx="1184275" cy="960755"/>
                                </a:xfrm>
                                <a:prstGeom prst="rect">
                                  <a:avLst/>
                                </a:prstGeom>
                                <a:noFill/>
                                <a:ln>
                                  <a:noFill/>
                                </a:ln>
                              </pic:spPr>
                            </pic:pic>
                          </a:graphicData>
                        </a:graphic>
                      </wp:inline>
                    </w:drawing>
                  </w:r>
                </w:p>
              </w:tc>
            </w:tr>
            <w:tr w14:paraId="445E7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noWrap w:val="0"/>
                  <w:vAlign w:val="center"/>
                </w:tcPr>
                <w:p w14:paraId="28BB3000">
                  <w:pPr>
                    <w:pStyle w:val="9"/>
                    <w:adjustRightInd w:val="0"/>
                    <w:snapToGrid w:val="0"/>
                    <w:spacing w:after="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背景颜色</w:t>
                  </w:r>
                </w:p>
              </w:tc>
              <w:tc>
                <w:tcPr>
                  <w:tcW w:w="1983" w:type="dxa"/>
                  <w:noWrap w:val="0"/>
                  <w:vAlign w:val="center"/>
                </w:tcPr>
                <w:p w14:paraId="73240670">
                  <w:pPr>
                    <w:pStyle w:val="9"/>
                    <w:adjustRightInd w:val="0"/>
                    <w:snapToGrid w:val="0"/>
                    <w:spacing w:after="0"/>
                    <w:ind w:right="113"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绿色</w:t>
                  </w:r>
                </w:p>
              </w:tc>
              <w:tc>
                <w:tcPr>
                  <w:tcW w:w="1983" w:type="dxa"/>
                  <w:noWrap w:val="0"/>
                  <w:vAlign w:val="center"/>
                </w:tcPr>
                <w:p w14:paraId="145FA6FF">
                  <w:pPr>
                    <w:pStyle w:val="9"/>
                    <w:adjustRightInd w:val="0"/>
                    <w:snapToGrid w:val="0"/>
                    <w:spacing w:after="0"/>
                    <w:ind w:right="113"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图形颜色</w:t>
                  </w:r>
                </w:p>
              </w:tc>
              <w:tc>
                <w:tcPr>
                  <w:tcW w:w="1983" w:type="dxa"/>
                  <w:noWrap w:val="0"/>
                  <w:vAlign w:val="center"/>
                </w:tcPr>
                <w:p w14:paraId="5E4251B0">
                  <w:pPr>
                    <w:pStyle w:val="9"/>
                    <w:adjustRightInd w:val="0"/>
                    <w:snapToGrid w:val="0"/>
                    <w:spacing w:after="0"/>
                    <w:ind w:right="113" w:rightChars="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白色</w:t>
                  </w:r>
                </w:p>
              </w:tc>
            </w:tr>
          </w:tbl>
          <w:p w14:paraId="488D6B5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cs="Times New Roman"/>
                <w:color w:val="auto"/>
                <w:kern w:val="2"/>
                <w:sz w:val="24"/>
                <w:highlight w:val="none"/>
                <w:lang w:val="en-US" w:eastAsia="zh-CN"/>
              </w:rPr>
              <w:t>（2）</w:t>
            </w:r>
            <w:r>
              <w:rPr>
                <w:rFonts w:hint="eastAsia" w:ascii="Times New Roman" w:hAnsi="Times New Roman" w:eastAsia="宋体" w:cs="Times New Roman"/>
                <w:color w:val="auto"/>
                <w:kern w:val="2"/>
                <w:sz w:val="24"/>
                <w:highlight w:val="none"/>
                <w:lang w:val="en-US" w:eastAsia="zh-CN"/>
              </w:rPr>
              <w:t>危险废物</w:t>
            </w:r>
          </w:p>
          <w:p w14:paraId="19AA965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本项目产生的废矿物油、废油桶分类收集，分区暂存于现有</w:t>
            </w:r>
            <w:r>
              <w:rPr>
                <w:rFonts w:hint="eastAsia" w:cs="Times New Roman"/>
                <w:color w:val="auto"/>
                <w:kern w:val="2"/>
                <w:sz w:val="24"/>
                <w:highlight w:val="none"/>
                <w:lang w:val="en-US" w:eastAsia="zh-CN"/>
              </w:rPr>
              <w:t>危险废物贮存库</w:t>
            </w:r>
            <w:r>
              <w:rPr>
                <w:rFonts w:hint="eastAsia" w:ascii="Times New Roman" w:hAnsi="Times New Roman" w:eastAsia="宋体" w:cs="Times New Roman"/>
                <w:color w:val="auto"/>
                <w:kern w:val="2"/>
                <w:sz w:val="24"/>
                <w:highlight w:val="none"/>
                <w:lang w:val="en-US" w:eastAsia="zh-CN"/>
              </w:rPr>
              <w:t>（172m2），定期交由有资质单位处置。</w:t>
            </w:r>
            <w:r>
              <w:rPr>
                <w:rFonts w:hint="eastAsia" w:cs="Times New Roman"/>
                <w:color w:val="auto"/>
                <w:kern w:val="2"/>
                <w:sz w:val="24"/>
                <w:highlight w:val="none"/>
                <w:lang w:val="en-US" w:eastAsia="zh-CN"/>
              </w:rPr>
              <w:t>危险废物贮存库</w:t>
            </w:r>
            <w:r>
              <w:rPr>
                <w:rFonts w:hint="eastAsia" w:ascii="Times New Roman" w:hAnsi="Times New Roman" w:eastAsia="宋体" w:cs="Times New Roman"/>
                <w:color w:val="auto"/>
                <w:kern w:val="2"/>
                <w:sz w:val="24"/>
                <w:highlight w:val="none"/>
                <w:lang w:val="en-US" w:eastAsia="zh-CN"/>
              </w:rPr>
              <w:t>按要求进行了防渗处置，地面采用05J1-24-68标准防渗油地面，并环墙上翻150mm，素土夯实后，采用80mm厚C15混凝土+20mm厚水泥砂浆+4mm厚一布二胶防油渗胶泥+防油渗水泥浆结合层+70mm厚C30防油渗混凝土防渗层，并设置0.5m集油池，符合“防风、</w:t>
            </w:r>
            <w:r>
              <w:rPr>
                <w:rFonts w:hint="eastAsia" w:cs="Times New Roman"/>
                <w:color w:val="auto"/>
                <w:kern w:val="2"/>
                <w:sz w:val="24"/>
                <w:highlight w:val="none"/>
                <w:lang w:val="en-US" w:eastAsia="zh-CN"/>
              </w:rPr>
              <w:t>防晒、</w:t>
            </w:r>
            <w:r>
              <w:rPr>
                <w:rFonts w:hint="eastAsia" w:ascii="Times New Roman" w:hAnsi="Times New Roman" w:eastAsia="宋体" w:cs="Times New Roman"/>
                <w:color w:val="auto"/>
                <w:kern w:val="2"/>
                <w:sz w:val="24"/>
                <w:highlight w:val="none"/>
                <w:lang w:val="en-US" w:eastAsia="zh-CN"/>
              </w:rPr>
              <w:t>防雨、</w:t>
            </w:r>
            <w:r>
              <w:rPr>
                <w:rFonts w:hint="eastAsia" w:cs="Times New Roman"/>
                <w:color w:val="auto"/>
                <w:kern w:val="2"/>
                <w:sz w:val="24"/>
                <w:highlight w:val="none"/>
                <w:lang w:val="en-US" w:eastAsia="zh-CN"/>
              </w:rPr>
              <w:t>防漏、</w:t>
            </w:r>
            <w:r>
              <w:rPr>
                <w:rFonts w:hint="eastAsia" w:ascii="Times New Roman" w:hAnsi="Times New Roman" w:eastAsia="宋体" w:cs="Times New Roman"/>
                <w:color w:val="auto"/>
                <w:kern w:val="2"/>
                <w:sz w:val="24"/>
                <w:highlight w:val="none"/>
                <w:lang w:val="en-US" w:eastAsia="zh-CN"/>
              </w:rPr>
              <w:t>防</w:t>
            </w:r>
            <w:r>
              <w:rPr>
                <w:rFonts w:hint="eastAsia" w:cs="Times New Roman"/>
                <w:color w:val="auto"/>
                <w:kern w:val="2"/>
                <w:sz w:val="24"/>
                <w:highlight w:val="none"/>
                <w:lang w:val="en-US" w:eastAsia="zh-CN"/>
              </w:rPr>
              <w:t>渗、防腐</w:t>
            </w:r>
            <w:r>
              <w:rPr>
                <w:rFonts w:hint="eastAsia" w:ascii="Times New Roman" w:hAnsi="Times New Roman" w:eastAsia="宋体" w:cs="Times New Roman"/>
                <w:color w:val="auto"/>
                <w:kern w:val="2"/>
                <w:sz w:val="24"/>
                <w:highlight w:val="none"/>
                <w:lang w:val="en-US" w:eastAsia="zh-CN"/>
              </w:rPr>
              <w:t>”要求。</w:t>
            </w:r>
          </w:p>
          <w:p w14:paraId="1B8A7FE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cs="Times New Roman"/>
                <w:color w:val="auto"/>
                <w:kern w:val="2"/>
                <w:sz w:val="24"/>
                <w:highlight w:val="none"/>
                <w:lang w:val="en-US" w:eastAsia="zh-CN"/>
              </w:rPr>
              <w:t>危险废物贮存库</w:t>
            </w:r>
            <w:r>
              <w:rPr>
                <w:rFonts w:hint="eastAsia" w:ascii="Times New Roman" w:hAnsi="Times New Roman" w:eastAsia="宋体" w:cs="Times New Roman"/>
                <w:color w:val="auto"/>
                <w:kern w:val="2"/>
                <w:sz w:val="24"/>
                <w:highlight w:val="none"/>
                <w:lang w:val="en-US" w:eastAsia="zh-CN"/>
              </w:rPr>
              <w:t>外设置了危险废物贮存设施标志，危险废物贮存容器上设置了危险废物标签，并在库内设置了相应的分区标识，符合《危险废物识别标志设置技术规范》（HJ 1276-2022）要求。</w:t>
            </w:r>
          </w:p>
          <w:p w14:paraId="6C7F80B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因此，本次评价认为本项目依托使用可行。</w:t>
            </w:r>
          </w:p>
          <w:p w14:paraId="51BD6BE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本次评价针对危废日常管理提出了以下要求：</w:t>
            </w:r>
          </w:p>
          <w:p w14:paraId="61A3C81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①必须作好危险废物记录，记录上须注明危险废物的名称、来源、数量、特性和包装容器的类别、入库日期、存放库位、废物出库日期及接收单位名称；危险废物的记录和货单在危险废物回取后应继续保留三年。</w:t>
            </w:r>
          </w:p>
          <w:p w14:paraId="67F82D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②必须定期对所贮存的危险废物包装容器及贮存设施进行检查，发现破损，应及时采取措施清理更换。</w:t>
            </w:r>
          </w:p>
          <w:p w14:paraId="797A3B7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③</w:t>
            </w:r>
            <w:r>
              <w:rPr>
                <w:rFonts w:hint="eastAsia" w:cs="Times New Roman"/>
                <w:color w:val="auto"/>
                <w:kern w:val="2"/>
                <w:sz w:val="24"/>
                <w:highlight w:val="none"/>
                <w:lang w:val="en-US" w:eastAsia="zh-CN"/>
              </w:rPr>
              <w:t>危险废物贮存库</w:t>
            </w:r>
            <w:r>
              <w:rPr>
                <w:rFonts w:hint="eastAsia" w:ascii="Times New Roman" w:hAnsi="Times New Roman" w:eastAsia="宋体" w:cs="Times New Roman"/>
                <w:color w:val="auto"/>
                <w:kern w:val="2"/>
                <w:sz w:val="24"/>
                <w:highlight w:val="none"/>
                <w:lang w:val="en-US" w:eastAsia="zh-CN"/>
              </w:rPr>
              <w:t>设置灭火器等防火设备，做好火灾的预防工作。</w:t>
            </w:r>
          </w:p>
          <w:p w14:paraId="64EC82C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④在转移危险废物前，建设单位须按照国家有关规定报批危险废物转移计划；经批准后，产生单位应当向当地生态环境主管部门申请领取统一制定的联单，并在危险废物转移前三日内报告当地生态环境主管部门，并同时将预期到达时间报告接受地生态环境主管部门。</w:t>
            </w:r>
          </w:p>
          <w:p w14:paraId="69C3C77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⑤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联单保存期限为五年；贮存危险废物的，其联单保存期限与危险废物贮存期限相同。</w:t>
            </w:r>
          </w:p>
          <w:p w14:paraId="5A45262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⑥危险废物产生者和危险废物贮存设施经营者均应作好危险废物情况的记录，记录上须注明危险废物的名称、来源、数量、特性和包装容器的类别、入库日期、存放库位、废物出库日期及接收单位名称。危险废物的记录和货单在危险废物</w:t>
            </w:r>
            <w:r>
              <w:rPr>
                <w:rFonts w:hint="eastAsia" w:cs="Times New Roman"/>
                <w:color w:val="auto"/>
                <w:kern w:val="2"/>
                <w:sz w:val="24"/>
                <w:highlight w:val="none"/>
                <w:lang w:val="en-US" w:eastAsia="zh-CN"/>
              </w:rPr>
              <w:t>取回</w:t>
            </w:r>
            <w:r>
              <w:rPr>
                <w:rFonts w:hint="eastAsia" w:ascii="Times New Roman" w:hAnsi="Times New Roman" w:eastAsia="宋体" w:cs="Times New Roman"/>
                <w:color w:val="auto"/>
                <w:kern w:val="2"/>
                <w:sz w:val="24"/>
                <w:highlight w:val="none"/>
                <w:lang w:val="en-US" w:eastAsia="zh-CN"/>
              </w:rPr>
              <w:t>后应继续保留三年；</w:t>
            </w:r>
            <w:r>
              <w:rPr>
                <w:rFonts w:hint="eastAsia" w:cs="Times New Roman"/>
                <w:color w:val="auto"/>
                <w:kern w:val="2"/>
                <w:sz w:val="24"/>
                <w:highlight w:val="none"/>
                <w:lang w:val="en-US" w:eastAsia="zh-CN"/>
              </w:rPr>
              <w:t>危险废物贮存库</w:t>
            </w:r>
            <w:r>
              <w:rPr>
                <w:rFonts w:hint="eastAsia" w:ascii="Times New Roman" w:hAnsi="Times New Roman" w:eastAsia="宋体" w:cs="Times New Roman"/>
                <w:color w:val="auto"/>
                <w:kern w:val="2"/>
                <w:sz w:val="24"/>
                <w:highlight w:val="none"/>
                <w:lang w:val="en-US" w:eastAsia="zh-CN"/>
              </w:rPr>
              <w:t>需按照“双人双锁”制度管理；贮存危险废物不得超过一年，超过一年报生态环境主管部门审批；设置危险废物警示标志和危险废物标签；配备应急防护设施、消防设施。</w:t>
            </w:r>
          </w:p>
          <w:p w14:paraId="7354CE8A">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.8-2</w:t>
            </w:r>
            <w:r>
              <w:rPr>
                <w:rFonts w:hint="default" w:ascii="Times New Roman" w:hAnsi="Times New Roman" w:eastAsia="黑体" w:cs="Times New Roman"/>
                <w:b w:val="0"/>
                <w:bCs w:val="0"/>
                <w:color w:val="auto"/>
                <w:kern w:val="2"/>
                <w:sz w:val="21"/>
                <w:szCs w:val="21"/>
                <w:highlight w:val="none"/>
                <w:lang w:val="en-US" w:eastAsia="zh-CN" w:bidi="ar-SA"/>
              </w:rPr>
              <w:t xml:space="preserve">  项目危险废物汇总情况</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885"/>
              <w:gridCol w:w="1198"/>
              <w:gridCol w:w="898"/>
              <w:gridCol w:w="756"/>
              <w:gridCol w:w="532"/>
              <w:gridCol w:w="590"/>
              <w:gridCol w:w="599"/>
              <w:gridCol w:w="1735"/>
            </w:tblGrid>
            <w:tr w14:paraId="6E0DB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468" w:type="pct"/>
                  <w:noWrap w:val="0"/>
                  <w:vAlign w:val="center"/>
                </w:tcPr>
                <w:p w14:paraId="21EFF4F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名称</w:t>
                  </w:r>
                </w:p>
              </w:tc>
              <w:tc>
                <w:tcPr>
                  <w:tcW w:w="557" w:type="pct"/>
                  <w:noWrap w:val="0"/>
                  <w:vAlign w:val="center"/>
                </w:tcPr>
                <w:p w14:paraId="5C83BD3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危险废物类别</w:t>
                  </w:r>
                </w:p>
              </w:tc>
              <w:tc>
                <w:tcPr>
                  <w:tcW w:w="754" w:type="pct"/>
                  <w:noWrap w:val="0"/>
                  <w:vAlign w:val="center"/>
                </w:tcPr>
                <w:p w14:paraId="1C4B0234">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危险废物代码</w:t>
                  </w:r>
                </w:p>
              </w:tc>
              <w:tc>
                <w:tcPr>
                  <w:tcW w:w="565" w:type="pct"/>
                  <w:noWrap w:val="0"/>
                  <w:vAlign w:val="center"/>
                </w:tcPr>
                <w:p w14:paraId="306B8980">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产生量（t/a）</w:t>
                  </w:r>
                </w:p>
              </w:tc>
              <w:tc>
                <w:tcPr>
                  <w:tcW w:w="476" w:type="pct"/>
                  <w:noWrap w:val="0"/>
                  <w:vAlign w:val="center"/>
                </w:tcPr>
                <w:p w14:paraId="77A8989B">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产生工序及装置</w:t>
                  </w:r>
                </w:p>
              </w:tc>
              <w:tc>
                <w:tcPr>
                  <w:tcW w:w="335" w:type="pct"/>
                  <w:noWrap w:val="0"/>
                  <w:vAlign w:val="center"/>
                </w:tcPr>
                <w:p w14:paraId="509095C5">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形态</w:t>
                  </w:r>
                </w:p>
              </w:tc>
              <w:tc>
                <w:tcPr>
                  <w:tcW w:w="371" w:type="pct"/>
                  <w:noWrap w:val="0"/>
                  <w:vAlign w:val="center"/>
                </w:tcPr>
                <w:p w14:paraId="2CF57D4D">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有害成分</w:t>
                  </w:r>
                </w:p>
              </w:tc>
              <w:tc>
                <w:tcPr>
                  <w:tcW w:w="377" w:type="pct"/>
                  <w:noWrap w:val="0"/>
                  <w:vAlign w:val="center"/>
                </w:tcPr>
                <w:p w14:paraId="50C4F0B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w:t>
                  </w:r>
                </w:p>
                <w:p w14:paraId="2C552BD2">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特性</w:t>
                  </w:r>
                </w:p>
              </w:tc>
              <w:tc>
                <w:tcPr>
                  <w:tcW w:w="1092" w:type="pct"/>
                  <w:noWrap w:val="0"/>
                  <w:vAlign w:val="center"/>
                </w:tcPr>
                <w:p w14:paraId="1DA7439D">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污染防治措施</w:t>
                  </w:r>
                </w:p>
              </w:tc>
            </w:tr>
            <w:tr w14:paraId="10EC8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8" w:type="pct"/>
                  <w:noWrap w:val="0"/>
                  <w:vAlign w:val="center"/>
                </w:tcPr>
                <w:p w14:paraId="33BC3892">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废矿物油</w:t>
                  </w:r>
                </w:p>
              </w:tc>
              <w:tc>
                <w:tcPr>
                  <w:tcW w:w="557" w:type="pct"/>
                  <w:noWrap w:val="0"/>
                  <w:vAlign w:val="center"/>
                </w:tcPr>
                <w:p w14:paraId="49E963F9">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HW08</w:t>
                  </w:r>
                </w:p>
              </w:tc>
              <w:tc>
                <w:tcPr>
                  <w:tcW w:w="754" w:type="pct"/>
                  <w:noWrap w:val="0"/>
                  <w:vAlign w:val="center"/>
                </w:tcPr>
                <w:p w14:paraId="07E56A4F">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900-214-08</w:t>
                  </w:r>
                </w:p>
              </w:tc>
              <w:tc>
                <w:tcPr>
                  <w:tcW w:w="565" w:type="pct"/>
                  <w:noWrap w:val="0"/>
                  <w:vAlign w:val="center"/>
                </w:tcPr>
                <w:p w14:paraId="7BCCFB3B">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3</w:t>
                  </w:r>
                </w:p>
              </w:tc>
              <w:tc>
                <w:tcPr>
                  <w:tcW w:w="476" w:type="pct"/>
                  <w:vMerge w:val="restart"/>
                  <w:noWrap w:val="0"/>
                  <w:vAlign w:val="center"/>
                </w:tcPr>
                <w:p w14:paraId="181E1D0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设备维修保养</w:t>
                  </w:r>
                </w:p>
              </w:tc>
              <w:tc>
                <w:tcPr>
                  <w:tcW w:w="335" w:type="pct"/>
                  <w:noWrap w:val="0"/>
                  <w:vAlign w:val="center"/>
                </w:tcPr>
                <w:p w14:paraId="1C850FCC">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液态</w:t>
                  </w:r>
                </w:p>
              </w:tc>
              <w:tc>
                <w:tcPr>
                  <w:tcW w:w="371" w:type="pct"/>
                  <w:vMerge w:val="restart"/>
                  <w:noWrap w:val="0"/>
                  <w:vAlign w:val="center"/>
                </w:tcPr>
                <w:p w14:paraId="65CF238E">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石油类</w:t>
                  </w:r>
                </w:p>
              </w:tc>
              <w:tc>
                <w:tcPr>
                  <w:tcW w:w="377" w:type="pct"/>
                  <w:noWrap w:val="0"/>
                  <w:vAlign w:val="center"/>
                </w:tcPr>
                <w:p w14:paraId="48ADF308">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T，I</w:t>
                  </w:r>
                </w:p>
              </w:tc>
              <w:tc>
                <w:tcPr>
                  <w:tcW w:w="1092" w:type="pct"/>
                  <w:vMerge w:val="restart"/>
                  <w:noWrap w:val="0"/>
                  <w:vAlign w:val="center"/>
                </w:tcPr>
                <w:p w14:paraId="1B46857E">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pacing w:val="0"/>
                      <w:kern w:val="2"/>
                      <w:sz w:val="21"/>
                      <w:szCs w:val="21"/>
                      <w:highlight w:val="none"/>
                      <w:lang w:val="en-US" w:eastAsia="zh-CN" w:bidi="ar-SA"/>
                    </w:rPr>
                    <w:t>暂存于</w:t>
                  </w:r>
                  <w:r>
                    <w:rPr>
                      <w:rFonts w:hint="eastAsia" w:ascii="Times New Roman" w:hAnsi="Times New Roman" w:eastAsia="宋体" w:cs="Times New Roman"/>
                      <w:color w:val="auto"/>
                      <w:spacing w:val="0"/>
                      <w:kern w:val="2"/>
                      <w:sz w:val="21"/>
                      <w:szCs w:val="21"/>
                      <w:highlight w:val="none"/>
                      <w:lang w:val="en-US" w:eastAsia="zh-CN" w:bidi="ar-SA"/>
                    </w:rPr>
                    <w:t>现有</w:t>
                  </w:r>
                  <w:r>
                    <w:rPr>
                      <w:rFonts w:hint="default" w:ascii="Times New Roman" w:hAnsi="Times New Roman" w:eastAsia="宋体" w:cs="Times New Roman"/>
                      <w:color w:val="auto"/>
                      <w:spacing w:val="0"/>
                      <w:kern w:val="2"/>
                      <w:sz w:val="21"/>
                      <w:szCs w:val="21"/>
                      <w:highlight w:val="none"/>
                      <w:lang w:val="en-US" w:eastAsia="zh-CN" w:bidi="ar-SA"/>
                    </w:rPr>
                    <w:t>危险废物贮存库，定期</w:t>
                  </w:r>
                  <w:r>
                    <w:rPr>
                      <w:rFonts w:hint="eastAsia" w:ascii="Times New Roman" w:hAnsi="Times New Roman" w:eastAsia="宋体" w:cs="Times New Roman"/>
                      <w:color w:val="auto"/>
                      <w:spacing w:val="0"/>
                      <w:kern w:val="2"/>
                      <w:sz w:val="21"/>
                      <w:szCs w:val="21"/>
                      <w:highlight w:val="none"/>
                      <w:lang w:val="en-US" w:eastAsia="zh-CN" w:bidi="ar-SA"/>
                    </w:rPr>
                    <w:t>交</w:t>
                  </w:r>
                  <w:r>
                    <w:rPr>
                      <w:rFonts w:hint="default" w:ascii="Times New Roman" w:hAnsi="Times New Roman" w:eastAsia="宋体" w:cs="Times New Roman"/>
                      <w:color w:val="auto"/>
                      <w:spacing w:val="0"/>
                      <w:kern w:val="2"/>
                      <w:sz w:val="21"/>
                      <w:szCs w:val="21"/>
                      <w:highlight w:val="none"/>
                      <w:lang w:val="en-US" w:eastAsia="zh-CN" w:bidi="ar-SA"/>
                    </w:rPr>
                    <w:t>由有资质单位处置</w:t>
                  </w:r>
                </w:p>
              </w:tc>
            </w:tr>
            <w:tr w14:paraId="29C7F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8" w:type="pct"/>
                  <w:noWrap w:val="0"/>
                  <w:vAlign w:val="center"/>
                </w:tcPr>
                <w:p w14:paraId="5E889279">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废油桶</w:t>
                  </w:r>
                </w:p>
              </w:tc>
              <w:tc>
                <w:tcPr>
                  <w:tcW w:w="557" w:type="pct"/>
                  <w:noWrap w:val="0"/>
                  <w:vAlign w:val="center"/>
                </w:tcPr>
                <w:p w14:paraId="409B57D0">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HW49</w:t>
                  </w:r>
                </w:p>
              </w:tc>
              <w:tc>
                <w:tcPr>
                  <w:tcW w:w="754" w:type="pct"/>
                  <w:noWrap w:val="0"/>
                  <w:vAlign w:val="center"/>
                </w:tcPr>
                <w:p w14:paraId="2D1E2D6B">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900-041-49</w:t>
                  </w:r>
                </w:p>
              </w:tc>
              <w:tc>
                <w:tcPr>
                  <w:tcW w:w="565" w:type="pct"/>
                  <w:noWrap w:val="0"/>
                  <w:vAlign w:val="center"/>
                </w:tcPr>
                <w:p w14:paraId="73C22B7A">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w:t>
                  </w:r>
                </w:p>
              </w:tc>
              <w:tc>
                <w:tcPr>
                  <w:tcW w:w="476" w:type="pct"/>
                  <w:vMerge w:val="continue"/>
                  <w:noWrap w:val="0"/>
                  <w:vAlign w:val="center"/>
                </w:tcPr>
                <w:p w14:paraId="16077AE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p>
              </w:tc>
              <w:tc>
                <w:tcPr>
                  <w:tcW w:w="335" w:type="pct"/>
                  <w:noWrap w:val="0"/>
                  <w:vAlign w:val="center"/>
                </w:tcPr>
                <w:p w14:paraId="54D55A89">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371" w:type="pct"/>
                  <w:vMerge w:val="continue"/>
                  <w:noWrap w:val="0"/>
                  <w:vAlign w:val="center"/>
                </w:tcPr>
                <w:p w14:paraId="34606D40">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p>
              </w:tc>
              <w:tc>
                <w:tcPr>
                  <w:tcW w:w="377" w:type="pct"/>
                  <w:noWrap w:val="0"/>
                  <w:vAlign w:val="center"/>
                </w:tcPr>
                <w:p w14:paraId="17715AEE">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T/In</w:t>
                  </w:r>
                </w:p>
              </w:tc>
              <w:tc>
                <w:tcPr>
                  <w:tcW w:w="1092" w:type="pct"/>
                  <w:vMerge w:val="continue"/>
                  <w:noWrap w:val="0"/>
                  <w:vAlign w:val="center"/>
                </w:tcPr>
                <w:p w14:paraId="4B0A53B5">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highlight w:val="none"/>
                    </w:rPr>
                  </w:pPr>
                </w:p>
              </w:tc>
            </w:tr>
          </w:tbl>
          <w:p w14:paraId="19B3DC87">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 xml:space="preserve">4.9 </w:t>
            </w:r>
            <w:r>
              <w:rPr>
                <w:rFonts w:hint="eastAsia" w:cs="Times New Roman"/>
                <w:b/>
                <w:bCs/>
                <w:color w:val="auto"/>
                <w:sz w:val="24"/>
                <w:szCs w:val="24"/>
                <w:highlight w:val="none"/>
                <w:lang w:val="en-US" w:eastAsia="zh-CN"/>
              </w:rPr>
              <w:t>地下水、土壤</w:t>
            </w:r>
          </w:p>
          <w:p w14:paraId="519811F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1.污染源和污染途径</w:t>
            </w:r>
          </w:p>
          <w:p w14:paraId="081F969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本项目运营期废水主要为</w:t>
            </w:r>
            <w:r>
              <w:rPr>
                <w:rFonts w:hint="eastAsia" w:cs="Times New Roman"/>
                <w:bCs/>
                <w:color w:val="auto"/>
                <w:sz w:val="24"/>
                <w:szCs w:val="24"/>
                <w:highlight w:val="none"/>
                <w:lang w:val="en-US" w:eastAsia="zh-CN"/>
              </w:rPr>
              <w:t>生活污水、浆料系统清洗废水、地面冲洗废水和洗车废水</w:t>
            </w:r>
            <w:r>
              <w:rPr>
                <w:rFonts w:hint="eastAsia" w:ascii="Times New Roman" w:hAnsi="Times New Roman" w:eastAsia="宋体" w:cs="Times New Roman"/>
                <w:color w:val="auto"/>
                <w:spacing w:val="0"/>
                <w:sz w:val="24"/>
                <w:highlight w:val="none"/>
                <w:lang w:val="en-US" w:eastAsia="zh-CN"/>
              </w:rPr>
              <w:t>，废水水质复杂程度属简单：生活污水</w:t>
            </w:r>
            <w:r>
              <w:rPr>
                <w:rFonts w:hint="eastAsia" w:cs="Times New Roman"/>
                <w:color w:val="auto"/>
                <w:spacing w:val="0"/>
                <w:sz w:val="24"/>
                <w:highlight w:val="none"/>
                <w:lang w:val="en-US" w:eastAsia="zh-CN"/>
              </w:rPr>
              <w:t>用于厂区洒水抑尘</w:t>
            </w:r>
            <w:r>
              <w:rPr>
                <w:rFonts w:hint="eastAsia" w:ascii="Times New Roman" w:hAnsi="Times New Roman" w:eastAsia="宋体" w:cs="Times New Roman"/>
                <w:color w:val="auto"/>
                <w:spacing w:val="0"/>
                <w:sz w:val="24"/>
                <w:highlight w:val="none"/>
                <w:lang w:val="en-US" w:eastAsia="zh-CN"/>
              </w:rPr>
              <w:t>，不外排；</w:t>
            </w:r>
            <w:r>
              <w:rPr>
                <w:rFonts w:hint="eastAsia" w:cs="Times New Roman"/>
                <w:bCs/>
                <w:color w:val="auto"/>
                <w:spacing w:val="0"/>
                <w:sz w:val="24"/>
                <w:szCs w:val="24"/>
                <w:highlight w:val="none"/>
                <w:lang w:val="en-US" w:eastAsia="zh-CN"/>
              </w:rPr>
              <w:t>浆料系统清洗废水沿井筒污水管道输送至现有矿井水处理站处理后回用；地面冲洗废水经车间内排水渠导流至制浆车间外沉淀池，经沉淀处理后全部回用于生产，不外排</w:t>
            </w:r>
            <w:r>
              <w:rPr>
                <w:rFonts w:hint="eastAsia" w:cs="Times New Roman"/>
                <w:bCs/>
                <w:color w:val="auto"/>
                <w:sz w:val="24"/>
                <w:szCs w:val="24"/>
                <w:highlight w:val="none"/>
                <w:lang w:val="en-US" w:eastAsia="zh-CN"/>
              </w:rPr>
              <w:t>；洗车废水经三级沉淀池沉淀处理后，回用至洗车工序，循环使用，不外排</w:t>
            </w:r>
            <w:r>
              <w:rPr>
                <w:rFonts w:hint="eastAsia" w:ascii="Times New Roman" w:hAnsi="Times New Roman" w:eastAsia="宋体" w:cs="Times New Roman"/>
                <w:color w:val="auto"/>
                <w:spacing w:val="0"/>
                <w:sz w:val="24"/>
                <w:highlight w:val="none"/>
                <w:lang w:val="en-US" w:eastAsia="zh-CN"/>
              </w:rPr>
              <w:t>。</w:t>
            </w:r>
          </w:p>
          <w:p w14:paraId="5D08CB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因此，本项目土壤、地下水污染途径主要为危险废物贮存库地面防渗结构发生破损且包装出现开裂或倾覆造成的废矿物油泄漏，主要成分为石油类。污染物经土层运移至含水层进而下渗污染土壤、地下水，会对区域土壤及地下水造成影响。</w:t>
            </w:r>
          </w:p>
          <w:p w14:paraId="15B86A9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2.防控措施</w:t>
            </w:r>
          </w:p>
          <w:p w14:paraId="7DF3CF98">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（1）源头控制</w:t>
            </w:r>
          </w:p>
          <w:p w14:paraId="203011F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加强对危险废物贮存库的管理，缩短废矿物油在厂内的暂存时间，及时将危险废物交由具有相应危废处置资质的单位进行处理；随时监护危险废物贮存库地面的维护管理，保证地面不存在破损现象。</w:t>
            </w:r>
          </w:p>
          <w:p w14:paraId="74B5BE1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危险废物贮存库做好防腐、防渗、防泄漏、防雨淋措施。加强对废矿物油贮存包装的管理，一旦发现有破损现象须及时更换包装，防止发生泄漏进入土壤及地下水。</w:t>
            </w:r>
          </w:p>
          <w:p w14:paraId="1787540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（2）分区防渗</w:t>
            </w:r>
          </w:p>
          <w:p w14:paraId="43C05C2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根据《环境影响评价技术导则-地下水环境》（HJ610-2016），结合项目总平面布置情况，本项目厂区分为重点防渗区、一般防渗区</w:t>
            </w:r>
            <w:r>
              <w:rPr>
                <w:rFonts w:hint="eastAsia" w:cs="Times New Roman"/>
                <w:color w:val="auto"/>
                <w:sz w:val="24"/>
                <w:highlight w:val="none"/>
                <w:lang w:val="en-US" w:eastAsia="zh-CN"/>
              </w:rPr>
              <w:t>、简单</w:t>
            </w:r>
            <w:r>
              <w:rPr>
                <w:rFonts w:hint="eastAsia" w:ascii="Times New Roman" w:hAnsi="Times New Roman" w:eastAsia="宋体" w:cs="Times New Roman"/>
                <w:color w:val="auto"/>
                <w:sz w:val="24"/>
                <w:highlight w:val="none"/>
                <w:lang w:val="en-US" w:eastAsia="zh-CN"/>
              </w:rPr>
              <w:t>防渗区。</w:t>
            </w:r>
            <w:r>
              <w:rPr>
                <w:rFonts w:hint="eastAsia" w:cs="Times New Roman"/>
                <w:color w:val="auto"/>
                <w:sz w:val="24"/>
                <w:highlight w:val="none"/>
                <w:lang w:val="en-US" w:eastAsia="zh-CN"/>
              </w:rPr>
              <w:t>重点防渗区包括危险废物贮存库、初期雨水池，危险废物贮存库已建成并投入使用</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项目各场地及水池防渗措施见表4.9-1，分区防渗图见附图10。</w:t>
            </w:r>
          </w:p>
          <w:p w14:paraId="0CBFA86A">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.9-1</w:t>
            </w:r>
            <w:r>
              <w:rPr>
                <w:rFonts w:hint="default" w:ascii="Times New Roman" w:hAnsi="Times New Roman" w:eastAsia="黑体" w:cs="Times New Roman"/>
                <w:b w:val="0"/>
                <w:bCs w:val="0"/>
                <w:color w:val="auto"/>
                <w:kern w:val="2"/>
                <w:sz w:val="21"/>
                <w:szCs w:val="21"/>
                <w:highlight w:val="none"/>
                <w:lang w:val="en-US" w:eastAsia="zh-CN" w:bidi="ar-SA"/>
              </w:rPr>
              <w:t xml:space="preserve">  防渗分区</w:t>
            </w:r>
            <w:r>
              <w:rPr>
                <w:rFonts w:hint="eastAsia" w:ascii="Times New Roman" w:hAnsi="Times New Roman" w:eastAsia="黑体" w:cs="Times New Roman"/>
                <w:b w:val="0"/>
                <w:bCs w:val="0"/>
                <w:color w:val="auto"/>
                <w:kern w:val="2"/>
                <w:sz w:val="21"/>
                <w:szCs w:val="21"/>
                <w:highlight w:val="none"/>
                <w:lang w:val="en-US" w:eastAsia="zh-CN" w:bidi="ar-SA"/>
              </w:rPr>
              <w:t>及防渗要求</w:t>
            </w:r>
            <w:r>
              <w:rPr>
                <w:rFonts w:hint="default" w:ascii="Times New Roman" w:hAnsi="Times New Roman" w:eastAsia="黑体" w:cs="Times New Roman"/>
                <w:b w:val="0"/>
                <w:bCs w:val="0"/>
                <w:color w:val="auto"/>
                <w:kern w:val="2"/>
                <w:sz w:val="21"/>
                <w:szCs w:val="21"/>
                <w:highlight w:val="none"/>
                <w:lang w:val="en-US" w:eastAsia="zh-CN" w:bidi="ar-SA"/>
              </w:rPr>
              <w:t>情况表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70"/>
              <w:gridCol w:w="1427"/>
              <w:gridCol w:w="2280"/>
              <w:gridCol w:w="2313"/>
            </w:tblGrid>
            <w:tr w14:paraId="35966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noWrap w:val="0"/>
                  <w:vAlign w:val="center"/>
                </w:tcPr>
                <w:p w14:paraId="5A1B4060">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防渗</w:t>
                  </w:r>
                </w:p>
                <w:p w14:paraId="65411090">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分区</w:t>
                  </w:r>
                </w:p>
              </w:tc>
              <w:tc>
                <w:tcPr>
                  <w:tcW w:w="885" w:type="pct"/>
                  <w:tcBorders>
                    <w:tl2br w:val="nil"/>
                    <w:tr2bl w:val="nil"/>
                  </w:tcBorders>
                  <w:noWrap w:val="0"/>
                  <w:vAlign w:val="center"/>
                </w:tcPr>
                <w:p w14:paraId="7F2B8C57">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防渗区域</w:t>
                  </w:r>
                </w:p>
              </w:tc>
              <w:tc>
                <w:tcPr>
                  <w:tcW w:w="726" w:type="pct"/>
                  <w:tcBorders>
                    <w:tl2br w:val="nil"/>
                    <w:tr2bl w:val="nil"/>
                  </w:tcBorders>
                  <w:noWrap w:val="0"/>
                  <w:vAlign w:val="center"/>
                </w:tcPr>
                <w:p w14:paraId="0A1FFA02">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防渗</w:t>
                  </w:r>
                  <w:r>
                    <w:rPr>
                      <w:rFonts w:hint="eastAsia" w:ascii="Times New Roman" w:hAnsi="Times New Roman" w:eastAsia="宋体" w:cs="Times New Roman"/>
                      <w:color w:val="auto"/>
                      <w:sz w:val="21"/>
                      <w:szCs w:val="21"/>
                      <w:highlight w:val="none"/>
                      <w:lang w:val="en-US" w:eastAsia="zh-CN"/>
                    </w:rPr>
                    <w:t>技术</w:t>
                  </w:r>
                  <w:r>
                    <w:rPr>
                      <w:rFonts w:hint="default" w:ascii="Times New Roman" w:hAnsi="Times New Roman" w:eastAsia="宋体" w:cs="Times New Roman"/>
                      <w:color w:val="auto"/>
                      <w:sz w:val="21"/>
                      <w:szCs w:val="21"/>
                      <w:highlight w:val="none"/>
                      <w:lang w:val="en-US" w:eastAsia="zh-CN"/>
                    </w:rPr>
                    <w:t>要求</w:t>
                  </w:r>
                </w:p>
              </w:tc>
              <w:tc>
                <w:tcPr>
                  <w:tcW w:w="1447" w:type="pct"/>
                  <w:tcBorders>
                    <w:tl2br w:val="nil"/>
                    <w:tr2bl w:val="nil"/>
                  </w:tcBorders>
                  <w:noWrap w:val="0"/>
                  <w:vAlign w:val="center"/>
                </w:tcPr>
                <w:p w14:paraId="65E33707">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w:t>
                  </w:r>
                  <w:r>
                    <w:rPr>
                      <w:rFonts w:hint="eastAsia" w:ascii="Times New Roman" w:hAnsi="Times New Roman" w:eastAsia="宋体" w:cs="Times New Roman"/>
                      <w:color w:val="auto"/>
                      <w:sz w:val="21"/>
                      <w:szCs w:val="21"/>
                      <w:highlight w:val="none"/>
                      <w:lang w:val="en-US" w:eastAsia="zh-CN"/>
                    </w:rPr>
                    <w:t>防渗方案</w:t>
                  </w:r>
                </w:p>
              </w:tc>
              <w:tc>
                <w:tcPr>
                  <w:tcW w:w="1467" w:type="pct"/>
                  <w:tcBorders>
                    <w:tl2br w:val="nil"/>
                    <w:tr2bl w:val="nil"/>
                  </w:tcBorders>
                  <w:noWrap w:val="0"/>
                  <w:vAlign w:val="center"/>
                </w:tcPr>
                <w:p w14:paraId="774E1F86">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本次评价要求</w:t>
                  </w:r>
                </w:p>
              </w:tc>
            </w:tr>
            <w:tr w14:paraId="59211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restart"/>
                  <w:tcBorders>
                    <w:tl2br w:val="nil"/>
                    <w:tr2bl w:val="nil"/>
                  </w:tcBorders>
                  <w:noWrap w:val="0"/>
                  <w:vAlign w:val="center"/>
                </w:tcPr>
                <w:p w14:paraId="32CD43BD">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重点防渗区</w:t>
                  </w:r>
                </w:p>
              </w:tc>
              <w:tc>
                <w:tcPr>
                  <w:tcW w:w="885" w:type="pct"/>
                  <w:tcBorders>
                    <w:tl2br w:val="nil"/>
                    <w:tr2bl w:val="nil"/>
                  </w:tcBorders>
                  <w:noWrap w:val="0"/>
                  <w:vAlign w:val="center"/>
                </w:tcPr>
                <w:p w14:paraId="52AC1A91">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w:t>
                  </w:r>
                </w:p>
                <w:p w14:paraId="38152665">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贮存库</w:t>
                  </w:r>
                </w:p>
              </w:tc>
              <w:tc>
                <w:tcPr>
                  <w:tcW w:w="726" w:type="pct"/>
                  <w:vMerge w:val="restart"/>
                  <w:tcBorders>
                    <w:tl2br w:val="nil"/>
                    <w:tr2bl w:val="nil"/>
                  </w:tcBorders>
                  <w:noWrap w:val="0"/>
                  <w:vAlign w:val="center"/>
                </w:tcPr>
                <w:p w14:paraId="56044767">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等效黏土防渗层Mb≥6.0m，</w:t>
                  </w:r>
                  <w:r>
                    <w:rPr>
                      <w:rFonts w:hint="default" w:ascii="Times New Roman" w:hAnsi="Times New Roman" w:eastAsia="宋体" w:cs="Times New Roman"/>
                      <w:color w:val="auto"/>
                      <w:spacing w:val="0"/>
                      <w:sz w:val="21"/>
                      <w:szCs w:val="21"/>
                      <w:highlight w:val="none"/>
                      <w:lang w:val="en-US" w:eastAsia="zh-CN"/>
                    </w:rPr>
                    <w:t>渗透系数</w:t>
                  </w:r>
                  <w:r>
                    <w:rPr>
                      <w:rFonts w:hint="eastAsia" w:ascii="Times New Roman" w:hAnsi="Times New Roman" w:eastAsia="宋体" w:cs="Times New Roman"/>
                      <w:color w:val="auto"/>
                      <w:spacing w:val="0"/>
                      <w:sz w:val="21"/>
                      <w:szCs w:val="21"/>
                      <w:highlight w:val="none"/>
                      <w:lang w:val="en-US" w:eastAsia="zh-CN"/>
                    </w:rPr>
                    <w:t>K</w:t>
                  </w:r>
                  <w:r>
                    <w:rPr>
                      <w:rFonts w:hint="default" w:ascii="Times New Roman" w:hAnsi="Times New Roman" w:eastAsia="宋体" w:cs="Times New Roman"/>
                      <w:color w:val="auto"/>
                      <w:spacing w:val="0"/>
                      <w:sz w:val="21"/>
                      <w:szCs w:val="21"/>
                      <w:highlight w:val="none"/>
                      <w:lang w:val="en-US" w:eastAsia="zh-CN"/>
                    </w:rPr>
                    <w:t>≤1×10</w:t>
                  </w:r>
                  <w:r>
                    <w:rPr>
                      <w:rFonts w:hint="default" w:ascii="Times New Roman" w:hAnsi="Times New Roman" w:eastAsia="宋体" w:cs="Times New Roman"/>
                      <w:color w:val="auto"/>
                      <w:spacing w:val="0"/>
                      <w:sz w:val="21"/>
                      <w:szCs w:val="21"/>
                      <w:highlight w:val="none"/>
                      <w:vertAlign w:val="superscript"/>
                      <w:lang w:val="en-US" w:eastAsia="zh-CN"/>
                    </w:rPr>
                    <w:t>-</w:t>
                  </w:r>
                  <w:r>
                    <w:rPr>
                      <w:rFonts w:hint="eastAsia" w:ascii="Times New Roman" w:hAnsi="Times New Roman" w:eastAsia="宋体" w:cs="Times New Roman"/>
                      <w:color w:val="auto"/>
                      <w:spacing w:val="0"/>
                      <w:sz w:val="21"/>
                      <w:szCs w:val="21"/>
                      <w:highlight w:val="none"/>
                      <w:vertAlign w:val="superscript"/>
                      <w:lang w:val="en-US" w:eastAsia="zh-CN"/>
                    </w:rPr>
                    <w:t>7</w:t>
                  </w:r>
                  <w:r>
                    <w:rPr>
                      <w:rFonts w:hint="default" w:ascii="Times New Roman" w:hAnsi="Times New Roman" w:eastAsia="宋体" w:cs="Times New Roman"/>
                      <w:color w:val="auto"/>
                      <w:spacing w:val="0"/>
                      <w:sz w:val="21"/>
                      <w:szCs w:val="21"/>
                      <w:highlight w:val="none"/>
                      <w:lang w:val="en-US" w:eastAsia="zh-CN"/>
                    </w:rPr>
                    <w:t>cm/s</w:t>
                  </w:r>
                </w:p>
              </w:tc>
              <w:tc>
                <w:tcPr>
                  <w:tcW w:w="1447" w:type="pct"/>
                  <w:tcBorders>
                    <w:tl2br w:val="nil"/>
                    <w:tr2bl w:val="nil"/>
                  </w:tcBorders>
                  <w:noWrap w:val="0"/>
                  <w:vAlign w:val="center"/>
                </w:tcPr>
                <w:p w14:paraId="4927AC1A">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地面采用05J1-24-68标准防渗油地面，并环墙上翻150mm，素土夯实后，采用80mm厚C15混凝土+20mm厚水泥砂浆+4mm厚一布二胶防油渗胶泥+防油渗水泥浆结合层+70mm厚C30防油渗混凝土防渗层</w:t>
                  </w:r>
                </w:p>
              </w:tc>
              <w:tc>
                <w:tcPr>
                  <w:tcW w:w="1467" w:type="pct"/>
                  <w:tcBorders>
                    <w:tl2br w:val="nil"/>
                    <w:tr2bl w:val="nil"/>
                  </w:tcBorders>
                  <w:noWrap w:val="0"/>
                  <w:vAlign w:val="center"/>
                </w:tcPr>
                <w:p w14:paraId="4B4ACDB1">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4FD4B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vMerge w:val="continue"/>
                  <w:tcBorders>
                    <w:tl2br w:val="nil"/>
                    <w:tr2bl w:val="nil"/>
                  </w:tcBorders>
                  <w:noWrap w:val="0"/>
                  <w:vAlign w:val="center"/>
                </w:tcPr>
                <w:p w14:paraId="7167887D">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6553D625">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初期雨水池</w:t>
                  </w:r>
                </w:p>
              </w:tc>
              <w:tc>
                <w:tcPr>
                  <w:tcW w:w="726" w:type="pct"/>
                  <w:vMerge w:val="continue"/>
                  <w:tcBorders>
                    <w:tl2br w:val="nil"/>
                    <w:tr2bl w:val="nil"/>
                  </w:tcBorders>
                  <w:noWrap w:val="0"/>
                  <w:vAlign w:val="center"/>
                </w:tcPr>
                <w:p w14:paraId="13BBEFFF">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1447" w:type="pct"/>
                  <w:tcBorders>
                    <w:tl2br w:val="nil"/>
                    <w:tr2bl w:val="nil"/>
                  </w:tcBorders>
                  <w:noWrap w:val="0"/>
                  <w:vAlign w:val="center"/>
                </w:tcPr>
                <w:p w14:paraId="5B1CD32E">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467" w:type="pct"/>
                  <w:tcBorders>
                    <w:tl2br w:val="nil"/>
                    <w:tr2bl w:val="nil"/>
                  </w:tcBorders>
                  <w:noWrap w:val="0"/>
                  <w:vAlign w:val="center"/>
                </w:tcPr>
                <w:p w14:paraId="01A066CD">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素土夯实后，采用80mm厚C15混凝土+20mm厚水泥砂浆+4mm厚一布二胶防油渗胶泥+防油渗水泥浆结合层+70mm厚C30防油渗混凝土防渗层</w:t>
                  </w:r>
                </w:p>
              </w:tc>
            </w:tr>
            <w:tr w14:paraId="42DED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4" w:type="pct"/>
                  <w:vMerge w:val="restart"/>
                  <w:tcBorders>
                    <w:tl2br w:val="nil"/>
                    <w:tr2bl w:val="nil"/>
                  </w:tcBorders>
                  <w:noWrap w:val="0"/>
                  <w:vAlign w:val="center"/>
                </w:tcPr>
                <w:p w14:paraId="319E6F59">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一般防渗区</w:t>
                  </w:r>
                </w:p>
              </w:tc>
              <w:tc>
                <w:tcPr>
                  <w:tcW w:w="885" w:type="pct"/>
                  <w:tcBorders>
                    <w:tl2br w:val="nil"/>
                    <w:tr2bl w:val="nil"/>
                  </w:tcBorders>
                  <w:noWrap w:val="0"/>
                  <w:vAlign w:val="center"/>
                </w:tcPr>
                <w:p w14:paraId="786017CE">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制浆车间、一般固废暂存区</w:t>
                  </w:r>
                </w:p>
              </w:tc>
              <w:tc>
                <w:tcPr>
                  <w:tcW w:w="726" w:type="pct"/>
                  <w:vMerge w:val="restart"/>
                  <w:tcBorders>
                    <w:tl2br w:val="nil"/>
                    <w:tr2bl w:val="nil"/>
                  </w:tcBorders>
                  <w:noWrap w:val="0"/>
                  <w:vAlign w:val="center"/>
                </w:tcPr>
                <w:p w14:paraId="03A16CDC">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等效黏土防渗层Mb≥1.5m，</w:t>
                  </w:r>
                  <w:r>
                    <w:rPr>
                      <w:rFonts w:hint="default" w:ascii="Times New Roman" w:hAnsi="Times New Roman" w:eastAsia="宋体" w:cs="Times New Roman"/>
                      <w:color w:val="auto"/>
                      <w:spacing w:val="0"/>
                      <w:sz w:val="21"/>
                      <w:szCs w:val="21"/>
                      <w:highlight w:val="none"/>
                      <w:lang w:val="en-US" w:eastAsia="zh-CN"/>
                    </w:rPr>
                    <w:t>渗透系数</w:t>
                  </w:r>
                  <w:r>
                    <w:rPr>
                      <w:rFonts w:hint="default" w:ascii="Times New Roman" w:hAnsi="Times New Roman" w:eastAsia="宋体" w:cs="Times New Roman"/>
                      <w:color w:val="auto"/>
                      <w:sz w:val="21"/>
                      <w:szCs w:val="21"/>
                      <w:highlight w:val="none"/>
                      <w:lang w:val="en-US" w:eastAsia="zh-CN"/>
                    </w:rPr>
                    <w:t>K≤10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1447" w:type="pct"/>
                  <w:vMerge w:val="restart"/>
                  <w:tcBorders>
                    <w:tl2br w:val="nil"/>
                    <w:tr2bl w:val="nil"/>
                  </w:tcBorders>
                  <w:noWrap w:val="0"/>
                  <w:vAlign w:val="center"/>
                </w:tcPr>
                <w:p w14:paraId="74A3B8AF">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67" w:type="pct"/>
                  <w:vMerge w:val="restart"/>
                  <w:tcBorders>
                    <w:tl2br w:val="nil"/>
                    <w:tr2bl w:val="nil"/>
                  </w:tcBorders>
                  <w:noWrap w:val="0"/>
                  <w:vAlign w:val="center"/>
                </w:tcPr>
                <w:p w14:paraId="65894B81">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采用防渗混凝土进行防渗，素土夯实后，采用C25防渗混凝土+1.2mm厚聚乙烯涤纶防水卷材，保护层采用20mm厚1</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2.5水泥砂浆</w:t>
                  </w:r>
                </w:p>
              </w:tc>
            </w:tr>
            <w:tr w14:paraId="03E4D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4" w:type="pct"/>
                  <w:vMerge w:val="continue"/>
                  <w:tcBorders>
                    <w:tl2br w:val="nil"/>
                    <w:tr2bl w:val="nil"/>
                  </w:tcBorders>
                  <w:noWrap w:val="0"/>
                  <w:vAlign w:val="center"/>
                </w:tcPr>
                <w:p w14:paraId="77FF0E7B">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147883FB">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蓄水池、消防水池、</w:t>
                  </w:r>
                  <w:r>
                    <w:rPr>
                      <w:rFonts w:hint="eastAsia" w:cs="Times New Roman"/>
                      <w:color w:val="auto"/>
                      <w:kern w:val="0"/>
                      <w:sz w:val="21"/>
                      <w:szCs w:val="21"/>
                      <w:highlight w:val="none"/>
                      <w:lang w:val="en-US" w:eastAsia="zh-CN" w:bidi="ar-SA"/>
                    </w:rPr>
                    <w:t>洗车平台配套池体、</w:t>
                  </w:r>
                  <w:r>
                    <w:rPr>
                      <w:rFonts w:hint="eastAsia" w:cs="Times New Roman"/>
                      <w:color w:val="auto"/>
                      <w:kern w:val="2"/>
                      <w:sz w:val="21"/>
                      <w:szCs w:val="21"/>
                      <w:highlight w:val="none"/>
                      <w:lang w:val="en-US" w:eastAsia="zh-CN" w:bidi="ar-SA"/>
                    </w:rPr>
                    <w:t>冲洗废水沉淀池</w:t>
                  </w:r>
                </w:p>
              </w:tc>
              <w:tc>
                <w:tcPr>
                  <w:tcW w:w="726" w:type="pct"/>
                  <w:vMerge w:val="continue"/>
                  <w:tcBorders>
                    <w:tl2br w:val="nil"/>
                    <w:tr2bl w:val="nil"/>
                  </w:tcBorders>
                  <w:noWrap w:val="0"/>
                  <w:vAlign w:val="center"/>
                </w:tcPr>
                <w:p w14:paraId="5DCAD7B4">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447" w:type="pct"/>
                  <w:vMerge w:val="continue"/>
                  <w:tcBorders>
                    <w:tl2br w:val="nil"/>
                    <w:tr2bl w:val="nil"/>
                  </w:tcBorders>
                  <w:noWrap w:val="0"/>
                  <w:vAlign w:val="center"/>
                </w:tcPr>
                <w:p w14:paraId="59C5E292">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467" w:type="pct"/>
                  <w:vMerge w:val="continue"/>
                  <w:tcBorders>
                    <w:tl2br w:val="nil"/>
                    <w:tr2bl w:val="nil"/>
                  </w:tcBorders>
                  <w:noWrap w:val="0"/>
                  <w:vAlign w:val="center"/>
                </w:tcPr>
                <w:p w14:paraId="26F48486">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p>
              </w:tc>
            </w:tr>
            <w:tr w14:paraId="3C2CD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74" w:type="pct"/>
                  <w:tcBorders>
                    <w:tl2br w:val="nil"/>
                    <w:tr2bl w:val="nil"/>
                  </w:tcBorders>
                  <w:noWrap w:val="0"/>
                  <w:vAlign w:val="center"/>
                </w:tcPr>
                <w:p w14:paraId="3A8B709A">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简单防渗区</w:t>
                  </w:r>
                </w:p>
              </w:tc>
              <w:tc>
                <w:tcPr>
                  <w:tcW w:w="885" w:type="pct"/>
                  <w:tcBorders>
                    <w:tl2br w:val="nil"/>
                    <w:tr2bl w:val="nil"/>
                  </w:tcBorders>
                  <w:noWrap w:val="0"/>
                  <w:vAlign w:val="center"/>
                </w:tcPr>
                <w:p w14:paraId="7E7DB4B7">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其他区域</w:t>
                  </w:r>
                </w:p>
              </w:tc>
              <w:tc>
                <w:tcPr>
                  <w:tcW w:w="726" w:type="pct"/>
                  <w:tcBorders>
                    <w:tl2br w:val="nil"/>
                    <w:tr2bl w:val="nil"/>
                  </w:tcBorders>
                  <w:noWrap w:val="0"/>
                  <w:vAlign w:val="center"/>
                </w:tcPr>
                <w:p w14:paraId="4AC184C9">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一般地面硬化</w:t>
                  </w:r>
                </w:p>
              </w:tc>
              <w:tc>
                <w:tcPr>
                  <w:tcW w:w="1447" w:type="pct"/>
                  <w:tcBorders>
                    <w:tl2br w:val="nil"/>
                    <w:tr2bl w:val="nil"/>
                  </w:tcBorders>
                  <w:noWrap w:val="0"/>
                  <w:vAlign w:val="center"/>
                </w:tcPr>
                <w:p w14:paraId="4B5A00F3">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67" w:type="pct"/>
                  <w:tcBorders>
                    <w:tl2br w:val="nil"/>
                    <w:tr2bl w:val="nil"/>
                  </w:tcBorders>
                  <w:noWrap w:val="0"/>
                  <w:vAlign w:val="center"/>
                </w:tcPr>
                <w:p w14:paraId="7275C1A0">
                  <w:pPr>
                    <w:keepNext w:val="0"/>
                    <w:keepLines w:val="0"/>
                    <w:pageBreakBefore w:val="0"/>
                    <w:widowControl w:val="0"/>
                    <w:kinsoku/>
                    <w:wordWrap/>
                    <w:overflowPunct/>
                    <w:topLinePunct/>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混凝土</w:t>
                  </w:r>
                </w:p>
              </w:tc>
            </w:tr>
          </w:tbl>
          <w:p w14:paraId="7D59598C">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 xml:space="preserve">4.10 </w:t>
            </w:r>
            <w:r>
              <w:rPr>
                <w:rFonts w:hint="default" w:ascii="Times New Roman" w:hAnsi="Times New Roman" w:eastAsia="宋体" w:cs="Times New Roman"/>
                <w:b/>
                <w:color w:val="auto"/>
                <w:sz w:val="24"/>
                <w:szCs w:val="24"/>
                <w:highlight w:val="none"/>
              </w:rPr>
              <w:t>环境风险</w:t>
            </w:r>
            <w:r>
              <w:rPr>
                <w:rFonts w:hint="default" w:ascii="Times New Roman" w:hAnsi="Times New Roman" w:eastAsia="宋体" w:cs="Times New Roman"/>
                <w:b/>
                <w:color w:val="auto"/>
                <w:sz w:val="24"/>
                <w:szCs w:val="24"/>
                <w:highlight w:val="none"/>
                <w:lang w:val="en-US" w:eastAsia="zh-CN"/>
              </w:rPr>
              <w:t>评价</w:t>
            </w:r>
          </w:p>
          <w:p w14:paraId="68E92DE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风险评价等级判定</w:t>
            </w:r>
          </w:p>
          <w:p w14:paraId="7B5D197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）风险调查</w:t>
            </w:r>
          </w:p>
          <w:p w14:paraId="0D231CD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根据工程分析，结合《建设项目环境风险评价技术导则》（HJ169-2018）中附录B可知，本项目涉及的危险物质主要为</w:t>
            </w:r>
            <w:r>
              <w:rPr>
                <w:rFonts w:hint="eastAsia"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、废油桶</w:t>
            </w:r>
            <w:r>
              <w:rPr>
                <w:rFonts w:hint="default" w:ascii="Times New Roman" w:hAnsi="Times New Roman" w:eastAsia="宋体" w:cs="Times New Roman"/>
                <w:color w:val="auto"/>
                <w:sz w:val="24"/>
                <w:szCs w:val="24"/>
                <w:highlight w:val="none"/>
              </w:rPr>
              <w:t>。</w:t>
            </w:r>
          </w:p>
          <w:p w14:paraId="65D2B7B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环境风险潜势初判</w:t>
            </w:r>
          </w:p>
          <w:p w14:paraId="3B7C5C3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根据《建设项目环境风险评价技术导则》（HJ169-2018）附录C</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当存在多种危险物质时，则按下列</w:t>
            </w:r>
            <w:r>
              <w:rPr>
                <w:rFonts w:hint="eastAsia" w:cs="Times New Roman"/>
                <w:color w:val="auto"/>
                <w:sz w:val="24"/>
                <w:szCs w:val="24"/>
                <w:highlight w:val="none"/>
                <w:lang w:val="en-US" w:eastAsia="zh-CN"/>
              </w:rPr>
              <w:t>公式</w:t>
            </w:r>
            <w:r>
              <w:rPr>
                <w:rFonts w:hint="default" w:ascii="Times New Roman" w:hAnsi="Times New Roman" w:eastAsia="宋体" w:cs="Times New Roman"/>
                <w:color w:val="auto"/>
                <w:sz w:val="24"/>
                <w:szCs w:val="24"/>
                <w:highlight w:val="none"/>
                <w:lang w:val="en-US" w:eastAsia="zh-CN"/>
              </w:rPr>
              <w:t>计算物质总量与其临界量比值（Q）：</w:t>
            </w:r>
          </w:p>
          <w:p w14:paraId="7BBE435F">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Q=q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 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 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p>
          <w:p w14:paraId="72309FC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式中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…，qn为每种危险物质的最大存在总量，t；</w:t>
            </w:r>
          </w:p>
          <w:p w14:paraId="0D6A5A2E">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en-US" w:eastAsia="zh-CN"/>
              </w:rPr>
              <w:t>为每种危险物质的临界量，t。</w:t>
            </w:r>
          </w:p>
          <w:p w14:paraId="05174A9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当Q&lt;1时，该项目环境风险潜势为Ⅰ。</w:t>
            </w:r>
          </w:p>
          <w:p w14:paraId="53AA07E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当Q≥1时，将Q值划分为：（1）1≤Q&lt;10；（2）10≤Q&lt;100；（3）Q≥100。</w:t>
            </w:r>
          </w:p>
          <w:p w14:paraId="5F97A6D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本项目涉及危险物质在厂界内最大存在量与临界量比值（Q）见</w:t>
            </w:r>
            <w:r>
              <w:rPr>
                <w:rFonts w:hint="eastAsia" w:eastAsia="宋体" w:cs="Times New Roman"/>
                <w:color w:val="auto"/>
                <w:sz w:val="24"/>
                <w:szCs w:val="24"/>
                <w:highlight w:val="none"/>
                <w:lang w:val="en-US" w:eastAsia="zh-CN"/>
              </w:rPr>
              <w:t>表4.10-1</w:t>
            </w:r>
            <w:r>
              <w:rPr>
                <w:rFonts w:hint="eastAsia" w:ascii="Times New Roman" w:hAnsi="Times New Roman" w:eastAsia="宋体" w:cs="Times New Roman"/>
                <w:color w:val="auto"/>
                <w:sz w:val="24"/>
                <w:szCs w:val="24"/>
                <w:highlight w:val="none"/>
                <w:lang w:val="en-US" w:eastAsia="zh-CN"/>
              </w:rPr>
              <w:t>。</w:t>
            </w:r>
          </w:p>
          <w:p w14:paraId="783B9CFC">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表4.1</w:t>
            </w:r>
            <w:r>
              <w:rPr>
                <w:rFonts w:hint="eastAsia" w:ascii="Times New Roman" w:hAnsi="Times New Roman" w:eastAsia="黑体" w:cs="Times New Roman"/>
                <w:b w:val="0"/>
                <w:bCs w:val="0"/>
                <w:color w:val="auto"/>
                <w:kern w:val="2"/>
                <w:sz w:val="21"/>
                <w:szCs w:val="21"/>
                <w:highlight w:val="none"/>
                <w:lang w:val="en-US" w:eastAsia="zh-CN" w:bidi="ar-SA"/>
              </w:rPr>
              <w:t>0</w:t>
            </w:r>
            <w:r>
              <w:rPr>
                <w:rFonts w:hint="default" w:ascii="Times New Roman" w:hAnsi="Times New Roman" w:eastAsia="黑体" w:cs="Times New Roman"/>
                <w:b w:val="0"/>
                <w:bCs w:val="0"/>
                <w:color w:val="auto"/>
                <w:kern w:val="2"/>
                <w:sz w:val="21"/>
                <w:szCs w:val="21"/>
                <w:highlight w:val="none"/>
                <w:lang w:val="en-US" w:eastAsia="zh-CN" w:bidi="ar-SA"/>
              </w:rPr>
              <w:t xml:space="preserve">-1  </w:t>
            </w:r>
            <w:r>
              <w:rPr>
                <w:rFonts w:hint="eastAsia" w:eastAsia="黑体" w:cs="Times New Roman"/>
                <w:b w:val="0"/>
                <w:bCs w:val="0"/>
                <w:color w:val="auto"/>
                <w:kern w:val="2"/>
                <w:sz w:val="21"/>
                <w:szCs w:val="21"/>
                <w:highlight w:val="none"/>
                <w:lang w:val="en-US" w:eastAsia="zh-CN" w:bidi="ar-SA"/>
              </w:rPr>
              <w:t>Q值</w:t>
            </w:r>
            <w:r>
              <w:rPr>
                <w:rFonts w:hint="default" w:ascii="Times New Roman" w:hAnsi="Times New Roman" w:eastAsia="黑体" w:cs="Times New Roman"/>
                <w:b w:val="0"/>
                <w:bCs w:val="0"/>
                <w:color w:val="auto"/>
                <w:kern w:val="2"/>
                <w:sz w:val="21"/>
                <w:szCs w:val="21"/>
                <w:highlight w:val="none"/>
                <w:lang w:val="en-US" w:eastAsia="zh-CN" w:bidi="ar-SA"/>
              </w:rPr>
              <w:t>判定一览表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613"/>
              <w:gridCol w:w="1865"/>
              <w:gridCol w:w="1915"/>
              <w:gridCol w:w="1812"/>
            </w:tblGrid>
            <w:tr w14:paraId="0B788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078366C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序号</w:t>
                  </w:r>
                </w:p>
              </w:tc>
              <w:tc>
                <w:tcPr>
                  <w:tcW w:w="1613" w:type="dxa"/>
                  <w:tcBorders>
                    <w:tl2br w:val="nil"/>
                    <w:tr2bl w:val="nil"/>
                  </w:tcBorders>
                  <w:noWrap w:val="0"/>
                  <w:vAlign w:val="center"/>
                </w:tcPr>
                <w:p w14:paraId="23961172">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危险物质名称</w:t>
                  </w:r>
                </w:p>
              </w:tc>
              <w:tc>
                <w:tcPr>
                  <w:tcW w:w="1865" w:type="dxa"/>
                  <w:tcBorders>
                    <w:tl2br w:val="nil"/>
                    <w:tr2bl w:val="nil"/>
                  </w:tcBorders>
                  <w:noWrap w:val="0"/>
                  <w:vAlign w:val="center"/>
                </w:tcPr>
                <w:p w14:paraId="61474E8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最大储存量</w:t>
                  </w:r>
                  <w:r>
                    <w:rPr>
                      <w:rFonts w:hint="default" w:ascii="Times New Roman" w:hAnsi="Times New Roman" w:eastAsia="宋体" w:cs="Times New Roman"/>
                      <w:color w:val="auto"/>
                      <w:sz w:val="21"/>
                      <w:szCs w:val="21"/>
                      <w:highlight w:val="none"/>
                      <w:lang w:val="en-US" w:eastAsia="zh-CN"/>
                    </w:rPr>
                    <w:t>（t）</w:t>
                  </w:r>
                </w:p>
              </w:tc>
              <w:tc>
                <w:tcPr>
                  <w:tcW w:w="1915" w:type="dxa"/>
                  <w:tcBorders>
                    <w:tl2br w:val="nil"/>
                    <w:tr2bl w:val="nil"/>
                  </w:tcBorders>
                  <w:noWrap w:val="0"/>
                  <w:vAlign w:val="center"/>
                </w:tcPr>
                <w:p w14:paraId="343C711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临界量（t）</w:t>
                  </w:r>
                </w:p>
              </w:tc>
              <w:tc>
                <w:tcPr>
                  <w:tcW w:w="1812" w:type="dxa"/>
                  <w:tcBorders>
                    <w:tl2br w:val="nil"/>
                    <w:tr2bl w:val="nil"/>
                  </w:tcBorders>
                  <w:noWrap w:val="0"/>
                  <w:vAlign w:val="center"/>
                </w:tcPr>
                <w:p w14:paraId="7819D053">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vertAlign w:val="subscript"/>
                      <w:lang w:val="en-US" w:eastAsia="zh-CN"/>
                    </w:rPr>
                    <w:t>n</w:t>
                  </w:r>
                  <w:r>
                    <w:rPr>
                      <w:rFonts w:hint="default" w:ascii="Times New Roman" w:hAnsi="Times New Roman" w:eastAsia="宋体" w:cs="Times New Roman"/>
                      <w:color w:val="auto"/>
                      <w:sz w:val="21"/>
                      <w:szCs w:val="21"/>
                      <w:highlight w:val="none"/>
                      <w:lang w:val="en-US" w:eastAsia="zh-CN"/>
                    </w:rPr>
                    <w:t>/Q</w:t>
                  </w:r>
                  <w:r>
                    <w:rPr>
                      <w:rFonts w:hint="default" w:ascii="Times New Roman" w:hAnsi="Times New Roman" w:eastAsia="宋体" w:cs="Times New Roman"/>
                      <w:color w:val="auto"/>
                      <w:sz w:val="21"/>
                      <w:szCs w:val="21"/>
                      <w:highlight w:val="none"/>
                      <w:vertAlign w:val="subscript"/>
                      <w:lang w:val="en-US" w:eastAsia="zh-CN"/>
                    </w:rPr>
                    <w:t>n</w:t>
                  </w:r>
                </w:p>
              </w:tc>
            </w:tr>
            <w:tr w14:paraId="407DA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7250EEF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613" w:type="dxa"/>
                  <w:tcBorders>
                    <w:tl2br w:val="nil"/>
                    <w:tr2bl w:val="nil"/>
                  </w:tcBorders>
                  <w:noWrap w:val="0"/>
                  <w:vAlign w:val="center"/>
                </w:tcPr>
                <w:p w14:paraId="75FFB661">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废矿物油</w:t>
                  </w:r>
                </w:p>
              </w:tc>
              <w:tc>
                <w:tcPr>
                  <w:tcW w:w="1865" w:type="dxa"/>
                  <w:tcBorders>
                    <w:tl2br w:val="nil"/>
                    <w:tr2bl w:val="nil"/>
                  </w:tcBorders>
                  <w:noWrap w:val="0"/>
                  <w:vAlign w:val="center"/>
                </w:tcPr>
                <w:p w14:paraId="31282ABA">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3</w:t>
                  </w:r>
                </w:p>
              </w:tc>
              <w:tc>
                <w:tcPr>
                  <w:tcW w:w="1915" w:type="dxa"/>
                  <w:tcBorders>
                    <w:tl2br w:val="nil"/>
                    <w:tr2bl w:val="nil"/>
                  </w:tcBorders>
                  <w:noWrap w:val="0"/>
                  <w:vAlign w:val="center"/>
                </w:tcPr>
                <w:p w14:paraId="5E153388">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2500</w:t>
                  </w:r>
                </w:p>
              </w:tc>
              <w:tc>
                <w:tcPr>
                  <w:tcW w:w="1812" w:type="dxa"/>
                  <w:tcBorders>
                    <w:tl2br w:val="nil"/>
                    <w:tr2bl w:val="nil"/>
                  </w:tcBorders>
                  <w:noWrap w:val="0"/>
                  <w:vAlign w:val="center"/>
                </w:tcPr>
                <w:p w14:paraId="5DF40CC0">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w:t>
                  </w:r>
                  <w:r>
                    <w:rPr>
                      <w:rFonts w:hint="eastAsia" w:cs="Times New Roman"/>
                      <w:color w:val="auto"/>
                      <w:kern w:val="2"/>
                      <w:sz w:val="21"/>
                      <w:szCs w:val="21"/>
                      <w:highlight w:val="none"/>
                      <w:lang w:val="en-US" w:eastAsia="zh-CN" w:bidi="ar-SA"/>
                    </w:rPr>
                    <w:t>12</w:t>
                  </w:r>
                </w:p>
              </w:tc>
            </w:tr>
            <w:tr w14:paraId="1FA34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tcBorders>
                    <w:tl2br w:val="nil"/>
                    <w:tr2bl w:val="nil"/>
                  </w:tcBorders>
                  <w:noWrap w:val="0"/>
                  <w:vAlign w:val="center"/>
                </w:tcPr>
                <w:p w14:paraId="504804DF">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613" w:type="dxa"/>
                  <w:tcBorders>
                    <w:tl2br w:val="nil"/>
                    <w:tr2bl w:val="nil"/>
                  </w:tcBorders>
                  <w:noWrap w:val="0"/>
                  <w:vAlign w:val="center"/>
                </w:tcPr>
                <w:p w14:paraId="558BFE65">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废油桶</w:t>
                  </w:r>
                </w:p>
              </w:tc>
              <w:tc>
                <w:tcPr>
                  <w:tcW w:w="1865" w:type="dxa"/>
                  <w:tcBorders>
                    <w:tl2br w:val="nil"/>
                    <w:tr2bl w:val="nil"/>
                  </w:tcBorders>
                  <w:noWrap w:val="0"/>
                  <w:vAlign w:val="center"/>
                </w:tcPr>
                <w:p w14:paraId="578A98F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1915" w:type="dxa"/>
                  <w:tcBorders>
                    <w:tl2br w:val="nil"/>
                    <w:tr2bl w:val="nil"/>
                  </w:tcBorders>
                  <w:noWrap w:val="0"/>
                  <w:vAlign w:val="center"/>
                </w:tcPr>
                <w:p w14:paraId="370DF4D6">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812" w:type="dxa"/>
                  <w:tcBorders>
                    <w:tl2br w:val="nil"/>
                    <w:tr2bl w:val="nil"/>
                  </w:tcBorders>
                  <w:noWrap w:val="0"/>
                  <w:vAlign w:val="center"/>
                </w:tcPr>
                <w:p w14:paraId="7FA89F35">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w:t>
                  </w:r>
                </w:p>
              </w:tc>
            </w:tr>
            <w:tr w14:paraId="2CE7E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5" w:type="dxa"/>
                  <w:gridSpan w:val="4"/>
                  <w:tcBorders>
                    <w:tl2br w:val="nil"/>
                    <w:tr2bl w:val="nil"/>
                  </w:tcBorders>
                  <w:noWrap w:val="0"/>
                  <w:vAlign w:val="center"/>
                </w:tcPr>
                <w:p w14:paraId="7361F469">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1812" w:type="dxa"/>
                  <w:tcBorders>
                    <w:tl2br w:val="nil"/>
                    <w:tr2bl w:val="nil"/>
                  </w:tcBorders>
                  <w:noWrap w:val="0"/>
                  <w:vAlign w:val="center"/>
                </w:tcPr>
                <w:p w14:paraId="4AA640E4">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0.00212</w:t>
                  </w:r>
                </w:p>
              </w:tc>
            </w:tr>
          </w:tbl>
          <w:p w14:paraId="7F38F2B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经计算，本项目Q=Σq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0.00212</w:t>
            </w:r>
            <w:r>
              <w:rPr>
                <w:rFonts w:hint="default" w:ascii="Times New Roman" w:hAnsi="Times New Roman" w:eastAsia="宋体" w:cs="Times New Roman"/>
                <w:color w:val="auto"/>
                <w:sz w:val="24"/>
                <w:szCs w:val="24"/>
                <w:highlight w:val="none"/>
              </w:rPr>
              <w:t>&lt;1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根据《建设项目环境风险评价技术导则》（HJ169-2018）附录C，当Q值小于1时，项目风险潜势为Ⅰ，评价等级为简单分析，无需进行环境敏感程度分级判定，直接进行简单分析</w:t>
            </w:r>
            <w:r>
              <w:rPr>
                <w:rFonts w:hint="default" w:ascii="Times New Roman" w:hAnsi="Times New Roman" w:eastAsia="宋体" w:cs="Times New Roman"/>
                <w:color w:val="auto"/>
                <w:sz w:val="24"/>
                <w:szCs w:val="24"/>
                <w:highlight w:val="none"/>
              </w:rPr>
              <w:t>。</w:t>
            </w:r>
          </w:p>
          <w:p w14:paraId="0C2539A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环境风险分析</w:t>
            </w:r>
          </w:p>
          <w:p w14:paraId="265D4CF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废矿物油在</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过程中会因包装桶破裂或操作不当引起泄漏，可能导致项目区域地下水、地表水、土壤等被污染</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当废矿物油泄漏引发火灾事故时，环境风险物质燃烧过程中会产生烟尘、二氧化硫和氮氧化物等多种大气污染物，会对大气环境造成负面影响；消防废水外排会对地表水环境造成负面影响。</w:t>
            </w:r>
          </w:p>
          <w:p w14:paraId="0F0CE09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环境风险防范措施</w:t>
            </w:r>
          </w:p>
          <w:p w14:paraId="220707E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1</w:t>
            </w:r>
            <w:r>
              <w:rPr>
                <w:rFonts w:hint="eastAsia"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本项目产生废矿物油的设备底部均进行防渗、并设置钢制托盘收集废矿物油；危险废物贮存库已进行防水、防渗、防流失处理，有足够地面承载能力，并能确保雨水不会流至贮存设施内，贮存设施应封闭，以防风、防雨、防晒、防渗漏</w:t>
            </w:r>
            <w:r>
              <w:rPr>
                <w:rFonts w:hint="default" w:ascii="Times New Roman" w:hAnsi="Times New Roman" w:eastAsia="宋体" w:cs="Times New Roman"/>
                <w:color w:val="auto"/>
                <w:spacing w:val="0"/>
                <w:sz w:val="24"/>
                <w:szCs w:val="24"/>
                <w:highlight w:val="none"/>
              </w:rPr>
              <w:t>。</w:t>
            </w:r>
          </w:p>
          <w:p w14:paraId="042A009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严禁火源进入危险废物贮存库，对明火严格控制。配置相应的灭火装置和设施，如灭火器、消防砂、消火栓等，并保持完好。值班人员应掌握一般消防知识</w:t>
            </w:r>
            <w:r>
              <w:rPr>
                <w:rFonts w:hint="default" w:ascii="Times New Roman" w:hAnsi="Times New Roman" w:eastAsia="宋体" w:cs="Times New Roman"/>
                <w:color w:val="auto"/>
                <w:spacing w:val="0"/>
                <w:sz w:val="24"/>
                <w:szCs w:val="24"/>
                <w:highlight w:val="none"/>
                <w:lang w:val="en-US" w:eastAsia="zh-CN"/>
              </w:rPr>
              <w:t>。</w:t>
            </w:r>
          </w:p>
          <w:p w14:paraId="2F4B698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bookmarkStart w:id="4" w:name="_Toc157591136"/>
            <w:bookmarkStart w:id="5" w:name="_Toc219170345"/>
            <w:bookmarkStart w:id="6" w:name="_Toc179601982"/>
            <w:bookmarkStart w:id="7" w:name="_Toc164788227"/>
            <w:bookmarkStart w:id="8" w:name="_Toc306609410"/>
            <w:bookmarkStart w:id="9" w:name="_Toc222586620"/>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环境风险应急预案</w:t>
            </w:r>
          </w:p>
          <w:p w14:paraId="451DAD7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对可能发生的事故，应制定应急计划，使各部门在事故发生后能有步骤、有秩序地采取各项应急措施。</w:t>
            </w:r>
          </w:p>
          <w:p w14:paraId="3C94FB6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（1）事故发生后，应根据具体情况采取应急措施，切断泄漏源、火源，控制事故扩大，同时通知控制室，根据事故类型、大小启动相应的应急预案；</w:t>
            </w:r>
          </w:p>
          <w:p w14:paraId="2002A82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（2）发生重大事故，应立即上报相关部门，启动社会救援系统，就近地区</w:t>
            </w:r>
            <w:r>
              <w:rPr>
                <w:rFonts w:hint="eastAsia" w:cs="Times New Roman"/>
                <w:color w:val="auto"/>
                <w:sz w:val="24"/>
                <w:szCs w:val="24"/>
                <w:highlight w:val="none"/>
                <w:lang w:val="en-US" w:eastAsia="zh-CN"/>
              </w:rPr>
              <w:t>调拨</w:t>
            </w:r>
            <w:r>
              <w:rPr>
                <w:rFonts w:hint="default" w:ascii="Times New Roman" w:hAnsi="Times New Roman" w:eastAsia="宋体" w:cs="Times New Roman"/>
                <w:color w:val="auto"/>
                <w:sz w:val="24"/>
                <w:szCs w:val="24"/>
                <w:highlight w:val="none"/>
                <w:lang w:val="en-US" w:eastAsia="zh-CN"/>
              </w:rPr>
              <w:t>专业救援队伍协助处理；</w:t>
            </w:r>
          </w:p>
          <w:p w14:paraId="2CC9262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（3）事故发生后，应立即通知当地</w:t>
            </w:r>
            <w:r>
              <w:rPr>
                <w:rFonts w:hint="eastAsia"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lang w:val="en-US" w:eastAsia="zh-CN"/>
              </w:rPr>
              <w:t>、消防等部门，进行救援与监控。</w:t>
            </w:r>
          </w:p>
          <w:p w14:paraId="7A940C8A">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表4.1</w:t>
            </w:r>
            <w:r>
              <w:rPr>
                <w:rFonts w:hint="eastAsia" w:ascii="Times New Roman" w:hAnsi="Times New Roman" w:eastAsia="黑体" w:cs="Times New Roman"/>
                <w:b w:val="0"/>
                <w:bCs w:val="0"/>
                <w:color w:val="auto"/>
                <w:kern w:val="2"/>
                <w:sz w:val="21"/>
                <w:szCs w:val="21"/>
                <w:highlight w:val="none"/>
                <w:lang w:val="en-US" w:eastAsia="zh-CN" w:bidi="ar-SA"/>
              </w:rPr>
              <w:t>0</w:t>
            </w:r>
            <w:r>
              <w:rPr>
                <w:rFonts w:hint="default" w:ascii="Times New Roman" w:hAnsi="Times New Roman" w:eastAsia="黑体" w:cs="Times New Roman"/>
                <w:b w:val="0"/>
                <w:bCs w:val="0"/>
                <w:color w:val="auto"/>
                <w:kern w:val="2"/>
                <w:sz w:val="21"/>
                <w:szCs w:val="21"/>
                <w:highlight w:val="none"/>
                <w:lang w:val="en-US" w:eastAsia="zh-CN" w:bidi="ar-SA"/>
              </w:rPr>
              <w:t>-2  环境风险应急预案内容一览表</w:t>
            </w:r>
          </w:p>
          <w:tbl>
            <w:tblPr>
              <w:tblStyle w:val="2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765"/>
              <w:gridCol w:w="5502"/>
            </w:tblGrid>
            <w:tr w14:paraId="44041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151459BB">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1776" w:type="dxa"/>
                  <w:tcBorders>
                    <w:tl2br w:val="nil"/>
                    <w:tr2bl w:val="nil"/>
                  </w:tcBorders>
                  <w:noWrap w:val="0"/>
                  <w:vAlign w:val="center"/>
                </w:tcPr>
                <w:p w14:paraId="3D80854D">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项目</w:t>
                  </w:r>
                </w:p>
              </w:tc>
              <w:tc>
                <w:tcPr>
                  <w:tcW w:w="5550" w:type="dxa"/>
                  <w:tcBorders>
                    <w:tl2br w:val="nil"/>
                    <w:tr2bl w:val="nil"/>
                  </w:tcBorders>
                  <w:noWrap w:val="0"/>
                  <w:vAlign w:val="center"/>
                </w:tcPr>
                <w:p w14:paraId="4916D99C">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内容及要求</w:t>
                  </w:r>
                </w:p>
              </w:tc>
            </w:tr>
            <w:tr w14:paraId="502AF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51C15205">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776" w:type="dxa"/>
                  <w:tcBorders>
                    <w:tl2br w:val="nil"/>
                    <w:tr2bl w:val="nil"/>
                  </w:tcBorders>
                  <w:noWrap w:val="0"/>
                  <w:vAlign w:val="center"/>
                </w:tcPr>
                <w:p w14:paraId="49E84313">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应急计划区</w:t>
                  </w:r>
                </w:p>
              </w:tc>
              <w:tc>
                <w:tcPr>
                  <w:tcW w:w="5550" w:type="dxa"/>
                  <w:tcBorders>
                    <w:tl2br w:val="nil"/>
                    <w:tr2bl w:val="nil"/>
                  </w:tcBorders>
                  <w:noWrap w:val="0"/>
                  <w:vAlign w:val="center"/>
                </w:tcPr>
                <w:p w14:paraId="4F6277FA">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危险目标：</w:t>
                  </w:r>
                  <w:r>
                    <w:rPr>
                      <w:rFonts w:hint="eastAsia" w:ascii="Times New Roman" w:hAnsi="Times New Roman" w:eastAsia="宋体" w:cs="Times New Roman"/>
                      <w:color w:val="auto"/>
                      <w:kern w:val="0"/>
                      <w:sz w:val="21"/>
                      <w:szCs w:val="21"/>
                      <w:highlight w:val="none"/>
                      <w:lang w:val="en-US" w:eastAsia="zh-CN" w:bidi="ar-SA"/>
                    </w:rPr>
                    <w:t>危险废物贮存库</w:t>
                  </w:r>
                </w:p>
              </w:tc>
            </w:tr>
            <w:tr w14:paraId="297A3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2CA7FD13">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1776" w:type="dxa"/>
                  <w:tcBorders>
                    <w:tl2br w:val="nil"/>
                    <w:tr2bl w:val="nil"/>
                  </w:tcBorders>
                  <w:noWrap w:val="0"/>
                  <w:vAlign w:val="center"/>
                </w:tcPr>
                <w:p w14:paraId="1DD80620">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应急组织</w:t>
                  </w:r>
                </w:p>
              </w:tc>
              <w:tc>
                <w:tcPr>
                  <w:tcW w:w="5550" w:type="dxa"/>
                  <w:tcBorders>
                    <w:tl2br w:val="nil"/>
                    <w:tr2bl w:val="nil"/>
                  </w:tcBorders>
                  <w:noWrap w:val="0"/>
                  <w:vAlign w:val="center"/>
                </w:tcPr>
                <w:p w14:paraId="400B5D9E">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企业应急组织机构及人员</w:t>
                  </w:r>
                </w:p>
              </w:tc>
            </w:tr>
            <w:tr w14:paraId="5D825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1E23D1BD">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1776" w:type="dxa"/>
                  <w:tcBorders>
                    <w:tl2br w:val="nil"/>
                    <w:tr2bl w:val="nil"/>
                  </w:tcBorders>
                  <w:noWrap w:val="0"/>
                  <w:vAlign w:val="center"/>
                </w:tcPr>
                <w:p w14:paraId="4927C68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预案分级响应</w:t>
                  </w:r>
                </w:p>
                <w:p w14:paraId="4745FA4C">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条件</w:t>
                  </w:r>
                </w:p>
              </w:tc>
              <w:tc>
                <w:tcPr>
                  <w:tcW w:w="5550" w:type="dxa"/>
                  <w:tcBorders>
                    <w:tl2br w:val="nil"/>
                    <w:tr2bl w:val="nil"/>
                  </w:tcBorders>
                  <w:noWrap w:val="0"/>
                  <w:vAlign w:val="center"/>
                </w:tcPr>
                <w:p w14:paraId="5E6C599B">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规定预案的级别及分级响应条件</w:t>
                  </w:r>
                </w:p>
              </w:tc>
            </w:tr>
            <w:tr w14:paraId="56476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7F6A6FEF">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1776" w:type="dxa"/>
                  <w:tcBorders>
                    <w:tl2br w:val="nil"/>
                    <w:tr2bl w:val="nil"/>
                  </w:tcBorders>
                  <w:noWrap w:val="0"/>
                  <w:vAlign w:val="center"/>
                </w:tcPr>
                <w:p w14:paraId="4699A580">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应急救援保障</w:t>
                  </w:r>
                </w:p>
              </w:tc>
              <w:tc>
                <w:tcPr>
                  <w:tcW w:w="5550" w:type="dxa"/>
                  <w:tcBorders>
                    <w:tl2br w:val="nil"/>
                    <w:tr2bl w:val="nil"/>
                  </w:tcBorders>
                  <w:noWrap w:val="0"/>
                  <w:vAlign w:val="center"/>
                </w:tcPr>
                <w:p w14:paraId="5A258005">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应急设施、设备及器材等</w:t>
                  </w:r>
                </w:p>
              </w:tc>
            </w:tr>
            <w:tr w14:paraId="067A8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2EF8F292">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1776" w:type="dxa"/>
                  <w:tcBorders>
                    <w:tl2br w:val="nil"/>
                    <w:tr2bl w:val="nil"/>
                  </w:tcBorders>
                  <w:noWrap w:val="0"/>
                  <w:vAlign w:val="center"/>
                </w:tcPr>
                <w:p w14:paraId="02087D45">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应急通讯通告与交通</w:t>
                  </w:r>
                </w:p>
              </w:tc>
              <w:tc>
                <w:tcPr>
                  <w:tcW w:w="5550" w:type="dxa"/>
                  <w:tcBorders>
                    <w:tl2br w:val="nil"/>
                    <w:tr2bl w:val="nil"/>
                  </w:tcBorders>
                  <w:noWrap w:val="0"/>
                  <w:vAlign w:val="center"/>
                </w:tcPr>
                <w:p w14:paraId="09D37D41">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规定应急状态下的通讯、通告方式和交通保障、管制等事项</w:t>
                  </w:r>
                </w:p>
              </w:tc>
            </w:tr>
            <w:tr w14:paraId="6883E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0D10ACDA">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1776" w:type="dxa"/>
                  <w:tcBorders>
                    <w:tl2br w:val="nil"/>
                    <w:tr2bl w:val="nil"/>
                  </w:tcBorders>
                  <w:noWrap w:val="0"/>
                  <w:vAlign w:val="center"/>
                </w:tcPr>
                <w:p w14:paraId="01CFC308">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应急环境监测及事故评估</w:t>
                  </w:r>
                </w:p>
              </w:tc>
              <w:tc>
                <w:tcPr>
                  <w:tcW w:w="5550" w:type="dxa"/>
                  <w:tcBorders>
                    <w:tl2br w:val="nil"/>
                    <w:tr2bl w:val="nil"/>
                  </w:tcBorders>
                  <w:noWrap w:val="0"/>
                  <w:vAlign w:val="center"/>
                </w:tcPr>
                <w:p w14:paraId="11C541B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由专业人员对环境风险事故现场进行应急监测，对事故性质、严重程度等所造成的环境危害后果进行评估，吸取经验教训免再次发生事故，为指挥部门提供决策依据。</w:t>
                  </w:r>
                </w:p>
              </w:tc>
            </w:tr>
            <w:tr w14:paraId="032F6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58A3030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1776" w:type="dxa"/>
                  <w:tcBorders>
                    <w:tl2br w:val="nil"/>
                    <w:tr2bl w:val="nil"/>
                  </w:tcBorders>
                  <w:noWrap w:val="0"/>
                  <w:vAlign w:val="center"/>
                </w:tcPr>
                <w:p w14:paraId="7E1C5E7D">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应急防护措施</w:t>
                  </w:r>
                </w:p>
              </w:tc>
              <w:tc>
                <w:tcPr>
                  <w:tcW w:w="5550" w:type="dxa"/>
                  <w:tcBorders>
                    <w:tl2br w:val="nil"/>
                    <w:tr2bl w:val="nil"/>
                  </w:tcBorders>
                  <w:noWrap w:val="0"/>
                  <w:vAlign w:val="center"/>
                </w:tcPr>
                <w:p w14:paraId="3CF44B7C">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事故现场：控制事故发展，防止扩大、蔓延及连锁反应；相应的设施器材配备；临近地区：控制防火区域，控制和消除环境污染的措施及相应的设备设施。</w:t>
                  </w:r>
                </w:p>
              </w:tc>
            </w:tr>
            <w:tr w14:paraId="156B9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3736FF02">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1776" w:type="dxa"/>
                  <w:tcBorders>
                    <w:tl2br w:val="nil"/>
                    <w:tr2bl w:val="nil"/>
                  </w:tcBorders>
                  <w:noWrap w:val="0"/>
                  <w:vAlign w:val="center"/>
                </w:tcPr>
                <w:p w14:paraId="4E2614C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撤离组织计划，医疗救护与公众健康</w:t>
                  </w:r>
                </w:p>
              </w:tc>
              <w:tc>
                <w:tcPr>
                  <w:tcW w:w="5550" w:type="dxa"/>
                  <w:tcBorders>
                    <w:tl2br w:val="nil"/>
                    <w:tr2bl w:val="nil"/>
                  </w:tcBorders>
                  <w:noWrap w:val="0"/>
                  <w:vAlign w:val="center"/>
                </w:tcPr>
                <w:p w14:paraId="69A9887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事故现场：事故处理人员、现场及临近人员的撤离组织计划和紧急救护方案；邻近地区：制定受事故影响的临近地区人员的疏散组织计划和紧急救护方案。</w:t>
                  </w:r>
                </w:p>
              </w:tc>
            </w:tr>
            <w:tr w14:paraId="212EA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343F2724">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1776" w:type="dxa"/>
                  <w:tcBorders>
                    <w:tl2br w:val="nil"/>
                    <w:tr2bl w:val="nil"/>
                  </w:tcBorders>
                  <w:noWrap w:val="0"/>
                  <w:vAlign w:val="center"/>
                </w:tcPr>
                <w:p w14:paraId="06099F20">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应急状态终止恢复措施</w:t>
                  </w:r>
                </w:p>
              </w:tc>
              <w:tc>
                <w:tcPr>
                  <w:tcW w:w="5550" w:type="dxa"/>
                  <w:tcBorders>
                    <w:tl2br w:val="nil"/>
                    <w:tr2bl w:val="nil"/>
                  </w:tcBorders>
                  <w:noWrap w:val="0"/>
                  <w:vAlign w:val="center"/>
                </w:tcPr>
                <w:p w14:paraId="374D11A8">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事故现场：规定应急状态终止秩序，事故善后处理，恢复生产措施；临近地区：解除事故警戒、公众返回和善后恢复措施。</w:t>
                  </w:r>
                </w:p>
              </w:tc>
            </w:tr>
            <w:tr w14:paraId="6BB7A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3F1EF4F6">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776" w:type="dxa"/>
                  <w:tcBorders>
                    <w:tl2br w:val="nil"/>
                    <w:tr2bl w:val="nil"/>
                  </w:tcBorders>
                  <w:noWrap w:val="0"/>
                  <w:vAlign w:val="center"/>
                </w:tcPr>
                <w:p w14:paraId="7438FC63">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人员培训与演习</w:t>
                  </w:r>
                </w:p>
              </w:tc>
              <w:tc>
                <w:tcPr>
                  <w:tcW w:w="5550" w:type="dxa"/>
                  <w:tcBorders>
                    <w:tl2br w:val="nil"/>
                    <w:tr2bl w:val="nil"/>
                  </w:tcBorders>
                  <w:noWrap w:val="0"/>
                  <w:vAlign w:val="center"/>
                </w:tcPr>
                <w:p w14:paraId="0F151CD2">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应急计划制定后，平时安排事故处理人员进行相关知识培训、进行事故应急处理演习；对企业职工进行安全卫生教育。</w:t>
                  </w:r>
                </w:p>
              </w:tc>
            </w:tr>
            <w:tr w14:paraId="026C7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08521121">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w:t>
                  </w:r>
                </w:p>
              </w:tc>
              <w:tc>
                <w:tcPr>
                  <w:tcW w:w="1776" w:type="dxa"/>
                  <w:tcBorders>
                    <w:tl2br w:val="nil"/>
                    <w:tr2bl w:val="nil"/>
                  </w:tcBorders>
                  <w:noWrap w:val="0"/>
                  <w:vAlign w:val="center"/>
                </w:tcPr>
                <w:p w14:paraId="549EF61E">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公众教育</w:t>
                  </w:r>
                </w:p>
              </w:tc>
              <w:tc>
                <w:tcPr>
                  <w:tcW w:w="5550" w:type="dxa"/>
                  <w:tcBorders>
                    <w:tl2br w:val="nil"/>
                    <w:tr2bl w:val="nil"/>
                  </w:tcBorders>
                  <w:noWrap w:val="0"/>
                  <w:vAlign w:val="center"/>
                </w:tcPr>
                <w:p w14:paraId="673BE067">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对企业临近地区公众开展环境风险事故预防教育、应急知识培训并定期发布相关信息。</w:t>
                  </w:r>
                </w:p>
              </w:tc>
            </w:tr>
            <w:tr w14:paraId="39878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2D6DBBFD">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w:t>
                  </w:r>
                </w:p>
              </w:tc>
              <w:tc>
                <w:tcPr>
                  <w:tcW w:w="1776" w:type="dxa"/>
                  <w:tcBorders>
                    <w:tl2br w:val="nil"/>
                    <w:tr2bl w:val="nil"/>
                  </w:tcBorders>
                  <w:noWrap w:val="0"/>
                  <w:vAlign w:val="center"/>
                </w:tcPr>
                <w:p w14:paraId="72617432">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记录和报告</w:t>
                  </w:r>
                </w:p>
              </w:tc>
              <w:tc>
                <w:tcPr>
                  <w:tcW w:w="5550" w:type="dxa"/>
                  <w:tcBorders>
                    <w:tl2br w:val="nil"/>
                    <w:tr2bl w:val="nil"/>
                  </w:tcBorders>
                  <w:noWrap w:val="0"/>
                  <w:vAlign w:val="center"/>
                </w:tcPr>
                <w:p w14:paraId="1BEF90DC">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设应急事故专门记录，建立档案和报告制度，设专门部门负责管理。</w:t>
                  </w:r>
                </w:p>
              </w:tc>
            </w:tr>
            <w:tr w14:paraId="13173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noWrap w:val="0"/>
                  <w:vAlign w:val="center"/>
                </w:tcPr>
                <w:p w14:paraId="5C3B6237">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1776" w:type="dxa"/>
                  <w:tcBorders>
                    <w:tl2br w:val="nil"/>
                    <w:tr2bl w:val="nil"/>
                  </w:tcBorders>
                  <w:noWrap w:val="0"/>
                  <w:vAlign w:val="center"/>
                </w:tcPr>
                <w:p w14:paraId="08CA53F5">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附件</w:t>
                  </w:r>
                </w:p>
              </w:tc>
              <w:tc>
                <w:tcPr>
                  <w:tcW w:w="5550" w:type="dxa"/>
                  <w:tcBorders>
                    <w:tl2br w:val="nil"/>
                    <w:tr2bl w:val="nil"/>
                  </w:tcBorders>
                  <w:noWrap w:val="0"/>
                  <w:vAlign w:val="center"/>
                </w:tcPr>
                <w:p w14:paraId="56619BA6">
                  <w:pPr>
                    <w:keepNext w:val="0"/>
                    <w:keepLines w:val="0"/>
                    <w:pageBreakBefore w:val="0"/>
                    <w:widowControl w:val="0"/>
                    <w:kinsoku/>
                    <w:wordWrap/>
                    <w:overflowPunct/>
                    <w:topLinePunct w:val="0"/>
                    <w:autoSpaceDE/>
                    <w:autoSpaceDN/>
                    <w:bidi w:val="0"/>
                    <w:adjustRightInd w:val="0"/>
                    <w:snapToGrid w:val="0"/>
                    <w:spacing w:beforeLines="0" w:line="32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准备并形成环境风险事故应急处理有关的附件材料</w:t>
                  </w:r>
                  <w:r>
                    <w:rPr>
                      <w:rFonts w:hint="eastAsia" w:ascii="Times New Roman" w:hAnsi="Times New Roman" w:eastAsia="宋体" w:cs="Times New Roman"/>
                      <w:color w:val="auto"/>
                      <w:kern w:val="0"/>
                      <w:sz w:val="21"/>
                      <w:szCs w:val="21"/>
                      <w:highlight w:val="none"/>
                      <w:lang w:val="en-US" w:eastAsia="zh-CN" w:bidi="ar-SA"/>
                    </w:rPr>
                    <w:t>。</w:t>
                  </w:r>
                </w:p>
              </w:tc>
            </w:tr>
          </w:tbl>
          <w:p w14:paraId="51CBEC5B">
            <w:pPr>
              <w:widowControl w:val="0"/>
              <w:spacing w:line="48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环境风险评价小结</w:t>
            </w:r>
          </w:p>
          <w:p w14:paraId="49AC9F4B">
            <w:pPr>
              <w:widowControl w:val="0"/>
              <w:spacing w:line="48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本次评价通过对项目可能发生的环境风险事故进行定性分析，在采取</w:t>
            </w:r>
            <w:r>
              <w:rPr>
                <w:rFonts w:hint="eastAsia" w:ascii="Times New Roman" w:hAnsi="Times New Roman" w:eastAsia="宋体" w:cs="Times New Roman"/>
                <w:b w:val="0"/>
                <w:bCs w:val="0"/>
                <w:color w:val="auto"/>
                <w:kern w:val="2"/>
                <w:sz w:val="24"/>
                <w:szCs w:val="24"/>
                <w:highlight w:val="none"/>
                <w:lang w:val="en-US" w:eastAsia="zh-CN" w:bidi="ar-SA"/>
              </w:rPr>
              <w:t>应急</w:t>
            </w:r>
            <w:r>
              <w:rPr>
                <w:rFonts w:hint="default" w:ascii="Times New Roman" w:hAnsi="Times New Roman" w:eastAsia="宋体" w:cs="Times New Roman"/>
                <w:b w:val="0"/>
                <w:bCs w:val="0"/>
                <w:color w:val="auto"/>
                <w:kern w:val="2"/>
                <w:sz w:val="24"/>
                <w:szCs w:val="24"/>
                <w:highlight w:val="none"/>
                <w:lang w:val="en-US" w:eastAsia="zh-CN" w:bidi="ar-SA"/>
              </w:rPr>
              <w:t>防范措施、综合管理措施、制定风险应急预案等措施后，可将泄漏、火灾等事故对环境的影响减少到最低和可接受范围，避免使项目本身及周边环境遭受损失。</w:t>
            </w:r>
          </w:p>
          <w:p w14:paraId="560C5B5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因此，在加强对各类风险的管理，做到各项管理措施及要求后，本项目风险处于可接受水平，风险管理措施有效、可靠，从风险角度而言是可行的</w:t>
            </w:r>
            <w:r>
              <w:rPr>
                <w:rFonts w:hint="eastAsia" w:ascii="Times New Roman" w:hAnsi="Times New Roman" w:eastAsia="宋体" w:cs="Times New Roman"/>
                <w:color w:val="auto"/>
                <w:sz w:val="24"/>
                <w:szCs w:val="24"/>
                <w:highlight w:val="none"/>
                <w:lang w:val="en-US" w:eastAsia="zh-CN"/>
              </w:rPr>
              <w:t>。</w:t>
            </w:r>
          </w:p>
          <w:bookmarkEnd w:id="4"/>
          <w:bookmarkEnd w:id="5"/>
          <w:bookmarkEnd w:id="6"/>
          <w:bookmarkEnd w:id="7"/>
          <w:bookmarkEnd w:id="8"/>
          <w:bookmarkEnd w:id="9"/>
          <w:p w14:paraId="474E0EFF">
            <w:pPr>
              <w:pStyle w:val="21"/>
              <w:jc w:val="center"/>
              <w:rPr>
                <w:rFonts w:hint="eastAsia" w:eastAsia="宋体"/>
                <w:color w:val="auto"/>
                <w:highlight w:val="none"/>
                <w:vertAlign w:val="baseline"/>
                <w:lang w:eastAsia="zh-CN"/>
              </w:rPr>
            </w:pPr>
          </w:p>
          <w:p w14:paraId="5D326FEF">
            <w:pPr>
              <w:pStyle w:val="21"/>
              <w:jc w:val="center"/>
              <w:rPr>
                <w:rFonts w:hint="eastAsia"/>
                <w:color w:val="auto"/>
                <w:highlight w:val="none"/>
                <w:vertAlign w:val="baseline"/>
                <w:lang w:eastAsia="zh-CN"/>
              </w:rPr>
            </w:pPr>
          </w:p>
          <w:p w14:paraId="49578263">
            <w:pPr>
              <w:pStyle w:val="21"/>
              <w:jc w:val="center"/>
              <w:rPr>
                <w:rFonts w:hint="eastAsia"/>
                <w:color w:val="auto"/>
                <w:highlight w:val="none"/>
                <w:vertAlign w:val="baseline"/>
                <w:lang w:eastAsia="zh-CN"/>
              </w:rPr>
            </w:pPr>
          </w:p>
          <w:p w14:paraId="48F9CB0F">
            <w:pPr>
              <w:pStyle w:val="21"/>
              <w:jc w:val="center"/>
              <w:rPr>
                <w:rFonts w:hint="eastAsia"/>
                <w:color w:val="auto"/>
                <w:highlight w:val="none"/>
                <w:vertAlign w:val="baseline"/>
                <w:lang w:eastAsia="zh-CN"/>
              </w:rPr>
            </w:pPr>
          </w:p>
          <w:p w14:paraId="41FCBA43">
            <w:pPr>
              <w:pStyle w:val="21"/>
              <w:jc w:val="center"/>
              <w:rPr>
                <w:rFonts w:hint="eastAsia"/>
                <w:color w:val="auto"/>
                <w:highlight w:val="none"/>
                <w:vertAlign w:val="baseline"/>
                <w:lang w:eastAsia="zh-CN"/>
              </w:rPr>
            </w:pPr>
          </w:p>
          <w:p w14:paraId="3FE0D4AD">
            <w:pPr>
              <w:pStyle w:val="21"/>
              <w:jc w:val="center"/>
              <w:rPr>
                <w:rFonts w:hint="eastAsia"/>
                <w:color w:val="auto"/>
                <w:highlight w:val="none"/>
                <w:vertAlign w:val="baseline"/>
                <w:lang w:eastAsia="zh-CN"/>
              </w:rPr>
            </w:pPr>
          </w:p>
          <w:p w14:paraId="6CA6F3C3">
            <w:pPr>
              <w:pStyle w:val="21"/>
              <w:jc w:val="center"/>
              <w:rPr>
                <w:rFonts w:hint="eastAsia"/>
                <w:color w:val="auto"/>
                <w:highlight w:val="none"/>
                <w:vertAlign w:val="baseline"/>
                <w:lang w:eastAsia="zh-CN"/>
              </w:rPr>
            </w:pPr>
          </w:p>
          <w:p w14:paraId="44B04CBE">
            <w:pPr>
              <w:pStyle w:val="21"/>
              <w:jc w:val="center"/>
              <w:rPr>
                <w:rFonts w:hint="eastAsia"/>
                <w:color w:val="auto"/>
                <w:highlight w:val="none"/>
                <w:vertAlign w:val="baseline"/>
                <w:lang w:eastAsia="zh-CN"/>
              </w:rPr>
            </w:pPr>
          </w:p>
          <w:p w14:paraId="2EF80A59">
            <w:pPr>
              <w:pStyle w:val="21"/>
              <w:jc w:val="center"/>
              <w:rPr>
                <w:rFonts w:hint="eastAsia"/>
                <w:color w:val="auto"/>
                <w:highlight w:val="none"/>
                <w:vertAlign w:val="baseline"/>
                <w:lang w:eastAsia="zh-CN"/>
              </w:rPr>
            </w:pPr>
          </w:p>
          <w:p w14:paraId="4F43AA18">
            <w:pPr>
              <w:pStyle w:val="21"/>
              <w:jc w:val="center"/>
              <w:rPr>
                <w:rFonts w:hint="eastAsia"/>
                <w:color w:val="auto"/>
                <w:highlight w:val="none"/>
                <w:vertAlign w:val="baseline"/>
                <w:lang w:eastAsia="zh-CN"/>
              </w:rPr>
            </w:pPr>
          </w:p>
          <w:p w14:paraId="5306986E">
            <w:pPr>
              <w:pStyle w:val="21"/>
              <w:jc w:val="center"/>
              <w:rPr>
                <w:rFonts w:hint="eastAsia"/>
                <w:color w:val="auto"/>
                <w:highlight w:val="none"/>
                <w:vertAlign w:val="baseline"/>
                <w:lang w:eastAsia="zh-CN"/>
              </w:rPr>
            </w:pPr>
          </w:p>
          <w:p w14:paraId="090997BD">
            <w:pPr>
              <w:pStyle w:val="21"/>
              <w:jc w:val="center"/>
              <w:rPr>
                <w:rFonts w:hint="eastAsia"/>
                <w:color w:val="auto"/>
                <w:highlight w:val="none"/>
                <w:vertAlign w:val="baseline"/>
                <w:lang w:eastAsia="zh-CN"/>
              </w:rPr>
            </w:pPr>
          </w:p>
          <w:p w14:paraId="041AD698">
            <w:pPr>
              <w:pStyle w:val="21"/>
              <w:jc w:val="center"/>
              <w:rPr>
                <w:rFonts w:hint="eastAsia"/>
                <w:color w:val="auto"/>
                <w:highlight w:val="none"/>
                <w:vertAlign w:val="baseline"/>
                <w:lang w:eastAsia="zh-CN"/>
              </w:rPr>
            </w:pPr>
          </w:p>
          <w:p w14:paraId="61287529">
            <w:pPr>
              <w:pStyle w:val="21"/>
              <w:jc w:val="center"/>
              <w:rPr>
                <w:rFonts w:hint="eastAsia"/>
                <w:color w:val="auto"/>
                <w:highlight w:val="none"/>
                <w:vertAlign w:val="baseline"/>
                <w:lang w:eastAsia="zh-CN"/>
              </w:rPr>
            </w:pPr>
          </w:p>
          <w:p w14:paraId="45A9D0AB">
            <w:pPr>
              <w:pStyle w:val="21"/>
              <w:jc w:val="center"/>
              <w:rPr>
                <w:rFonts w:hint="eastAsia"/>
                <w:color w:val="auto"/>
                <w:highlight w:val="none"/>
                <w:vertAlign w:val="baseline"/>
                <w:lang w:eastAsia="zh-CN"/>
              </w:rPr>
            </w:pPr>
          </w:p>
          <w:p w14:paraId="2B4E2895">
            <w:pPr>
              <w:pStyle w:val="21"/>
              <w:jc w:val="center"/>
              <w:rPr>
                <w:rFonts w:hint="eastAsia"/>
                <w:color w:val="auto"/>
                <w:highlight w:val="none"/>
                <w:vertAlign w:val="baseline"/>
                <w:lang w:eastAsia="zh-CN"/>
              </w:rPr>
            </w:pPr>
          </w:p>
          <w:p w14:paraId="011D2F85">
            <w:pPr>
              <w:pStyle w:val="21"/>
              <w:jc w:val="center"/>
              <w:rPr>
                <w:rFonts w:hint="eastAsia"/>
                <w:color w:val="auto"/>
                <w:highlight w:val="none"/>
                <w:vertAlign w:val="baseline"/>
                <w:lang w:eastAsia="zh-CN"/>
              </w:rPr>
            </w:pPr>
          </w:p>
          <w:p w14:paraId="418A0E8B">
            <w:pPr>
              <w:pStyle w:val="21"/>
              <w:jc w:val="center"/>
              <w:rPr>
                <w:rFonts w:hint="eastAsia"/>
                <w:color w:val="auto"/>
                <w:highlight w:val="none"/>
                <w:vertAlign w:val="baseline"/>
                <w:lang w:eastAsia="zh-CN"/>
              </w:rPr>
            </w:pPr>
          </w:p>
          <w:p w14:paraId="40C73DC7">
            <w:pPr>
              <w:pStyle w:val="21"/>
              <w:jc w:val="center"/>
              <w:rPr>
                <w:rFonts w:hint="eastAsia"/>
                <w:color w:val="auto"/>
                <w:highlight w:val="none"/>
                <w:vertAlign w:val="baseline"/>
                <w:lang w:eastAsia="zh-CN"/>
              </w:rPr>
            </w:pPr>
          </w:p>
          <w:p w14:paraId="4F7BBC0E">
            <w:pPr>
              <w:pStyle w:val="21"/>
              <w:ind w:left="0" w:leftChars="0" w:firstLine="0" w:firstLineChars="0"/>
              <w:jc w:val="both"/>
              <w:rPr>
                <w:rFonts w:hint="eastAsia" w:eastAsia="宋体"/>
                <w:color w:val="auto"/>
                <w:highlight w:val="none"/>
                <w:vertAlign w:val="baseline"/>
                <w:lang w:eastAsia="zh-CN"/>
              </w:rPr>
            </w:pPr>
          </w:p>
        </w:tc>
      </w:tr>
    </w:tbl>
    <w:p w14:paraId="270EBED4">
      <w:pPr>
        <w:pStyle w:val="21"/>
        <w:rPr>
          <w:rFonts w:hint="default"/>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451"/>
      </w:tblGrid>
      <w:tr w14:paraId="1379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7" w:hRule="atLeast"/>
        </w:trPr>
        <w:tc>
          <w:tcPr>
            <w:tcW w:w="777" w:type="dxa"/>
            <w:noWrap w:val="0"/>
            <w:vAlign w:val="center"/>
          </w:tcPr>
          <w:p w14:paraId="698C0F5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w:t>
            </w:r>
          </w:p>
          <w:p w14:paraId="302002D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期环</w:t>
            </w:r>
          </w:p>
          <w:p w14:paraId="245F1AC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境影</w:t>
            </w:r>
          </w:p>
          <w:p w14:paraId="1FFECF1F">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响和</w:t>
            </w:r>
          </w:p>
          <w:p w14:paraId="204F46A6">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保护</w:t>
            </w:r>
          </w:p>
          <w:p w14:paraId="08ED393E">
            <w:pPr>
              <w:jc w:val="center"/>
              <w:rPr>
                <w:rFonts w:hint="default"/>
                <w:color w:val="auto"/>
                <w:highlight w:val="none"/>
                <w:vertAlign w:val="baseline"/>
              </w:rPr>
            </w:pPr>
            <w:r>
              <w:rPr>
                <w:rFonts w:hint="default" w:ascii="Times New Roman" w:hAnsi="Times New Roman" w:eastAsia="宋体" w:cs="Times New Roman"/>
                <w:bCs/>
                <w:color w:val="auto"/>
                <w:szCs w:val="21"/>
                <w:highlight w:val="none"/>
              </w:rPr>
              <w:t>措施</w:t>
            </w:r>
          </w:p>
        </w:tc>
        <w:tc>
          <w:tcPr>
            <w:tcW w:w="12451" w:type="dxa"/>
            <w:noWrap w:val="0"/>
            <w:vAlign w:val="top"/>
          </w:tcPr>
          <w:p w14:paraId="0F4479F4">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4.1</w:t>
            </w:r>
            <w:r>
              <w:rPr>
                <w:rFonts w:hint="eastAsia"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环保投资估算</w:t>
            </w:r>
          </w:p>
          <w:p w14:paraId="4A2AA38B">
            <w:pPr>
              <w:spacing w:line="480" w:lineRule="exact"/>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本项目总投资</w:t>
            </w:r>
            <w:r>
              <w:rPr>
                <w:rFonts w:hint="eastAsia" w:cs="Times New Roman"/>
                <w:color w:val="auto"/>
                <w:kern w:val="0"/>
                <w:sz w:val="24"/>
                <w:highlight w:val="none"/>
                <w:lang w:val="en-US" w:eastAsia="zh-CN"/>
              </w:rPr>
              <w:t>1100.99</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其中，</w:t>
            </w:r>
            <w:r>
              <w:rPr>
                <w:rFonts w:hint="default" w:ascii="Times New Roman" w:hAnsi="Times New Roman" w:eastAsia="宋体" w:cs="Times New Roman"/>
                <w:color w:val="auto"/>
                <w:kern w:val="0"/>
                <w:sz w:val="24"/>
                <w:highlight w:val="none"/>
              </w:rPr>
              <w:t>环保投资约</w:t>
            </w:r>
            <w:r>
              <w:rPr>
                <w:rFonts w:hint="eastAsia" w:cs="Times New Roman"/>
                <w:color w:val="auto"/>
                <w:kern w:val="0"/>
                <w:sz w:val="24"/>
                <w:highlight w:val="none"/>
                <w:lang w:val="en-US" w:eastAsia="zh-CN"/>
              </w:rPr>
              <w:t>170</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占总投资比例为</w:t>
            </w:r>
            <w:r>
              <w:rPr>
                <w:rFonts w:hint="eastAsia" w:cs="Times New Roman"/>
                <w:color w:val="auto"/>
                <w:kern w:val="0"/>
                <w:sz w:val="24"/>
                <w:highlight w:val="none"/>
                <w:lang w:val="en-US" w:eastAsia="zh-CN"/>
              </w:rPr>
              <w:t>15.44</w:t>
            </w:r>
            <w:r>
              <w:rPr>
                <w:rFonts w:hint="default" w:ascii="Times New Roman" w:hAnsi="Times New Roman" w:eastAsia="宋体" w:cs="Times New Roman"/>
                <w:color w:val="auto"/>
                <w:kern w:val="0"/>
                <w:sz w:val="24"/>
                <w:highlight w:val="none"/>
              </w:rPr>
              <w:t>%。具体见表</w:t>
            </w:r>
            <w:r>
              <w:rPr>
                <w:rFonts w:hint="eastAsia" w:ascii="Times New Roman" w:hAnsi="Times New Roman" w:eastAsia="宋体" w:cs="Times New Roman"/>
                <w:color w:val="auto"/>
                <w:kern w:val="0"/>
                <w:sz w:val="24"/>
                <w:highlight w:val="none"/>
                <w:lang w:val="en-US" w:eastAsia="zh-CN"/>
              </w:rPr>
              <w:t>4.1</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w:t>
            </w:r>
          </w:p>
          <w:p w14:paraId="3DB04E76">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黑体" w:cs="Times New Roman"/>
                <w:b w:val="0"/>
                <w:bCs w:val="0"/>
                <w:color w:val="auto"/>
                <w:kern w:val="2"/>
                <w:sz w:val="21"/>
                <w:szCs w:val="21"/>
                <w:highlight w:val="none"/>
                <w:lang w:val="en-US" w:eastAsia="zh-CN" w:bidi="ar-SA"/>
              </w:rPr>
              <w:t>表4</w:t>
            </w:r>
            <w:r>
              <w:rPr>
                <w:rFonts w:hint="eastAsia" w:ascii="Times New Roman" w:hAnsi="Times New Roman" w:eastAsia="黑体" w:cs="Times New Roman"/>
                <w:b w:val="0"/>
                <w:bCs w:val="0"/>
                <w:color w:val="auto"/>
                <w:kern w:val="2"/>
                <w:sz w:val="21"/>
                <w:szCs w:val="21"/>
                <w:highlight w:val="none"/>
                <w:lang w:val="en-US" w:eastAsia="zh-CN" w:bidi="ar-SA"/>
              </w:rPr>
              <w:t>.1</w:t>
            </w:r>
            <w:r>
              <w:rPr>
                <w:rFonts w:hint="eastAsia" w:eastAsia="黑体" w:cs="Times New Roman"/>
                <w:b w:val="0"/>
                <w:bCs w:val="0"/>
                <w:color w:val="auto"/>
                <w:kern w:val="2"/>
                <w:sz w:val="21"/>
                <w:szCs w:val="21"/>
                <w:highlight w:val="none"/>
                <w:lang w:val="en-US" w:eastAsia="zh-CN" w:bidi="ar-SA"/>
              </w:rPr>
              <w:t>1</w:t>
            </w:r>
            <w:r>
              <w:rPr>
                <w:rFonts w:hint="eastAsia" w:ascii="Times New Roman" w:hAnsi="Times New Roman" w:eastAsia="黑体" w:cs="Times New Roman"/>
                <w:b w:val="0"/>
                <w:bCs w:val="0"/>
                <w:color w:val="auto"/>
                <w:kern w:val="2"/>
                <w:sz w:val="21"/>
                <w:szCs w:val="21"/>
                <w:highlight w:val="none"/>
                <w:lang w:val="en-US" w:eastAsia="zh-CN" w:bidi="ar-SA"/>
              </w:rPr>
              <w:t>-1</w:t>
            </w:r>
            <w:r>
              <w:rPr>
                <w:rFonts w:hint="default" w:ascii="Times New Roman" w:hAnsi="Times New Roman" w:eastAsia="黑体" w:cs="Times New Roman"/>
                <w:b w:val="0"/>
                <w:bCs w:val="0"/>
                <w:color w:val="auto"/>
                <w:kern w:val="2"/>
                <w:sz w:val="21"/>
                <w:szCs w:val="21"/>
                <w:highlight w:val="none"/>
                <w:lang w:val="en-US" w:eastAsia="zh-CN" w:bidi="ar-SA"/>
              </w:rPr>
              <w:t xml:space="preserve">  污染</w:t>
            </w:r>
            <w:r>
              <w:rPr>
                <w:rFonts w:hint="eastAsia" w:eastAsia="黑体" w:cs="Times New Roman"/>
                <w:b w:val="0"/>
                <w:bCs w:val="0"/>
                <w:color w:val="auto"/>
                <w:kern w:val="2"/>
                <w:sz w:val="21"/>
                <w:szCs w:val="21"/>
                <w:highlight w:val="none"/>
                <w:lang w:val="en-US" w:eastAsia="zh-CN" w:bidi="ar-SA"/>
              </w:rPr>
              <w:t>治理、排放及</w:t>
            </w:r>
            <w:r>
              <w:rPr>
                <w:rFonts w:hint="default" w:ascii="Times New Roman" w:hAnsi="Times New Roman" w:eastAsia="黑体" w:cs="Times New Roman"/>
                <w:b w:val="0"/>
                <w:bCs w:val="0"/>
                <w:color w:val="auto"/>
                <w:kern w:val="2"/>
                <w:sz w:val="21"/>
                <w:szCs w:val="21"/>
                <w:highlight w:val="none"/>
                <w:lang w:val="en-US" w:eastAsia="zh-CN" w:bidi="ar-SA"/>
              </w:rPr>
              <w:t>环保投资</w:t>
            </w:r>
            <w:r>
              <w:rPr>
                <w:rFonts w:hint="eastAsia" w:eastAsia="黑体" w:cs="Times New Roman"/>
                <w:b w:val="0"/>
                <w:bCs w:val="0"/>
                <w:color w:val="auto"/>
                <w:kern w:val="2"/>
                <w:sz w:val="21"/>
                <w:szCs w:val="21"/>
                <w:highlight w:val="none"/>
                <w:lang w:val="en-US" w:eastAsia="zh-CN" w:bidi="ar-SA"/>
              </w:rPr>
              <w:t>汇总</w:t>
            </w:r>
            <w:r>
              <w:rPr>
                <w:rFonts w:hint="default" w:ascii="Times New Roman" w:hAnsi="Times New Roman" w:eastAsia="黑体" w:cs="Times New Roman"/>
                <w:b w:val="0"/>
                <w:bCs w:val="0"/>
                <w:color w:val="auto"/>
                <w:kern w:val="2"/>
                <w:sz w:val="21"/>
                <w:szCs w:val="21"/>
                <w:highlight w:val="none"/>
                <w:lang w:val="en-US" w:eastAsia="zh-CN" w:bidi="ar-SA"/>
              </w:rPr>
              <w:t>表</w:t>
            </w:r>
          </w:p>
          <w:tbl>
            <w:tblPr>
              <w:tblStyle w:val="24"/>
              <w:tblW w:w="120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089"/>
              <w:gridCol w:w="900"/>
              <w:gridCol w:w="925"/>
              <w:gridCol w:w="4937"/>
              <w:gridCol w:w="1248"/>
              <w:gridCol w:w="1020"/>
              <w:gridCol w:w="976"/>
            </w:tblGrid>
            <w:tr w14:paraId="15E16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9" w:type="dxa"/>
                  <w:gridSpan w:val="2"/>
                  <w:vMerge w:val="restart"/>
                  <w:tcBorders>
                    <w:tl2br w:val="nil"/>
                    <w:tr2bl w:val="nil"/>
                  </w:tcBorders>
                  <w:noWrap w:val="0"/>
                  <w:vAlign w:val="center"/>
                </w:tcPr>
                <w:p w14:paraId="3DA1925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污染</w:t>
                  </w:r>
                  <w:r>
                    <w:rPr>
                      <w:rFonts w:hint="default" w:ascii="Times New Roman" w:hAnsi="Times New Roman" w:eastAsia="宋体" w:cs="Times New Roman"/>
                      <w:color w:val="auto"/>
                      <w:sz w:val="21"/>
                      <w:szCs w:val="21"/>
                      <w:highlight w:val="none"/>
                      <w:lang w:eastAsia="zh-CN"/>
                    </w:rPr>
                    <w:t>源</w:t>
                  </w:r>
                </w:p>
              </w:tc>
              <w:tc>
                <w:tcPr>
                  <w:tcW w:w="1825" w:type="dxa"/>
                  <w:gridSpan w:val="2"/>
                  <w:vMerge w:val="restart"/>
                  <w:tcBorders>
                    <w:tl2br w:val="nil"/>
                    <w:tr2bl w:val="nil"/>
                  </w:tcBorders>
                  <w:noWrap w:val="0"/>
                  <w:vAlign w:val="center"/>
                </w:tcPr>
                <w:p w14:paraId="2475C3E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产生情况</w:t>
                  </w:r>
                  <w:r>
                    <w:rPr>
                      <w:rFonts w:hint="default" w:ascii="Times New Roman" w:hAnsi="Times New Roman" w:eastAsia="宋体" w:cs="Times New Roman"/>
                      <w:bCs/>
                      <w:color w:val="auto"/>
                      <w:sz w:val="21"/>
                      <w:szCs w:val="21"/>
                      <w:highlight w:val="none"/>
                    </w:rPr>
                    <w:t>（t/a）</w:t>
                  </w:r>
                </w:p>
              </w:tc>
              <w:tc>
                <w:tcPr>
                  <w:tcW w:w="4937" w:type="dxa"/>
                  <w:vMerge w:val="restart"/>
                  <w:tcBorders>
                    <w:tl2br w:val="nil"/>
                    <w:tr2bl w:val="nil"/>
                  </w:tcBorders>
                  <w:noWrap w:val="0"/>
                  <w:vAlign w:val="center"/>
                </w:tcPr>
                <w:p w14:paraId="5F0F624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防治措施</w:t>
                  </w:r>
                </w:p>
              </w:tc>
              <w:tc>
                <w:tcPr>
                  <w:tcW w:w="2268" w:type="dxa"/>
                  <w:gridSpan w:val="2"/>
                  <w:tcBorders>
                    <w:tl2br w:val="nil"/>
                    <w:tr2bl w:val="nil"/>
                  </w:tcBorders>
                  <w:noWrap w:val="0"/>
                  <w:vAlign w:val="center"/>
                </w:tcPr>
                <w:p w14:paraId="5C5B154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排放情况</w:t>
                  </w:r>
                </w:p>
              </w:tc>
              <w:tc>
                <w:tcPr>
                  <w:tcW w:w="976" w:type="dxa"/>
                  <w:vMerge w:val="restart"/>
                  <w:tcBorders>
                    <w:tl2br w:val="nil"/>
                    <w:tr2bl w:val="nil"/>
                  </w:tcBorders>
                  <w:noWrap w:val="0"/>
                  <w:vAlign w:val="center"/>
                </w:tcPr>
                <w:p w14:paraId="671D3A47">
                  <w:pPr>
                    <w:keepNext w:val="0"/>
                    <w:keepLines w:val="0"/>
                    <w:pageBreakBefore w:val="0"/>
                    <w:widowControl w:val="0"/>
                    <w:kinsoku/>
                    <w:wordWrap/>
                    <w:overflowPunct/>
                    <w:topLinePunct w:val="0"/>
                    <w:autoSpaceDE/>
                    <w:autoSpaceDN/>
                    <w:bidi w:val="0"/>
                    <w:adjustRightInd w:val="0"/>
                    <w:snapToGrid w:val="0"/>
                    <w:spacing w:line="320" w:lineRule="exact"/>
                    <w:ind w:left="0" w:firstLine="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投资</w:t>
                  </w:r>
                </w:p>
                <w:p w14:paraId="7B0AE6D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（万元）</w:t>
                  </w:r>
                </w:p>
              </w:tc>
            </w:tr>
            <w:tr w14:paraId="44F04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9" w:type="dxa"/>
                  <w:gridSpan w:val="2"/>
                  <w:vMerge w:val="continue"/>
                  <w:tcBorders>
                    <w:tl2br w:val="nil"/>
                    <w:tr2bl w:val="nil"/>
                  </w:tcBorders>
                  <w:noWrap w:val="0"/>
                  <w:vAlign w:val="center"/>
                </w:tcPr>
                <w:p w14:paraId="04B557A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825" w:type="dxa"/>
                  <w:gridSpan w:val="2"/>
                  <w:vMerge w:val="continue"/>
                  <w:tcBorders>
                    <w:tl2br w:val="nil"/>
                    <w:tr2bl w:val="nil"/>
                  </w:tcBorders>
                  <w:noWrap w:val="0"/>
                  <w:vAlign w:val="center"/>
                </w:tcPr>
                <w:p w14:paraId="08CA2F0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4937" w:type="dxa"/>
                  <w:vMerge w:val="continue"/>
                  <w:tcBorders>
                    <w:tl2br w:val="nil"/>
                    <w:tr2bl w:val="nil"/>
                  </w:tcBorders>
                  <w:noWrap w:val="0"/>
                  <w:vAlign w:val="center"/>
                </w:tcPr>
                <w:p w14:paraId="652508E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248" w:type="dxa"/>
                  <w:tcBorders>
                    <w:tl2br w:val="nil"/>
                    <w:tr2bl w:val="nil"/>
                  </w:tcBorders>
                  <w:noWrap w:val="0"/>
                  <w:vAlign w:val="center"/>
                </w:tcPr>
                <w:p w14:paraId="7522ED5A">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排放浓度</w:t>
                  </w:r>
                </w:p>
                <w:p w14:paraId="3E3AF5C1">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mg/Nm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lang w:eastAsia="zh-CN"/>
                    </w:rPr>
                    <w:t>）</w:t>
                  </w:r>
                </w:p>
              </w:tc>
              <w:tc>
                <w:tcPr>
                  <w:tcW w:w="1020" w:type="dxa"/>
                  <w:tcBorders>
                    <w:tl2br w:val="nil"/>
                    <w:tr2bl w:val="nil"/>
                  </w:tcBorders>
                  <w:noWrap w:val="0"/>
                  <w:vAlign w:val="center"/>
                </w:tcPr>
                <w:p w14:paraId="48C150EA">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排放量</w:t>
                  </w:r>
                </w:p>
                <w:p w14:paraId="409DF3BC">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（t/a）</w:t>
                  </w:r>
                </w:p>
              </w:tc>
              <w:tc>
                <w:tcPr>
                  <w:tcW w:w="976" w:type="dxa"/>
                  <w:vMerge w:val="continue"/>
                  <w:tcBorders>
                    <w:tl2br w:val="nil"/>
                    <w:tr2bl w:val="nil"/>
                  </w:tcBorders>
                  <w:noWrap w:val="0"/>
                  <w:vAlign w:val="center"/>
                </w:tcPr>
                <w:p w14:paraId="0B25C83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r>
            <w:tr w14:paraId="27CCF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nil"/>
                    <w:tr2bl w:val="nil"/>
                  </w:tcBorders>
                  <w:noWrap w:val="0"/>
                  <w:vAlign w:val="center"/>
                </w:tcPr>
                <w:p w14:paraId="55F945A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089" w:type="dxa"/>
                  <w:tcBorders>
                    <w:tl2br w:val="nil"/>
                    <w:tr2bl w:val="nil"/>
                  </w:tcBorders>
                  <w:noWrap w:val="0"/>
                  <w:vAlign w:val="center"/>
                </w:tcPr>
                <w:p w14:paraId="0DEBAED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矸石堆存扬尘</w:t>
                  </w:r>
                </w:p>
              </w:tc>
              <w:tc>
                <w:tcPr>
                  <w:tcW w:w="900" w:type="dxa"/>
                  <w:tcBorders>
                    <w:tl2br w:val="nil"/>
                    <w:tr2bl w:val="nil"/>
                  </w:tcBorders>
                  <w:noWrap w:val="0"/>
                  <w:vAlign w:val="center"/>
                </w:tcPr>
                <w:p w14:paraId="0BA07BA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noWrap w:val="0"/>
                  <w:vAlign w:val="center"/>
                </w:tcPr>
                <w:p w14:paraId="3B3AD97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582.264</w:t>
                  </w:r>
                </w:p>
              </w:tc>
              <w:tc>
                <w:tcPr>
                  <w:tcW w:w="4937" w:type="dxa"/>
                  <w:tcBorders>
                    <w:tl2br w:val="nil"/>
                    <w:tr2bl w:val="nil"/>
                  </w:tcBorders>
                  <w:noWrap w:val="0"/>
                  <w:vAlign w:val="center"/>
                </w:tcPr>
                <w:p w14:paraId="346159E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全封闭储矸棚，地面硬化，棚顶设置1套可覆盖全场的喷雾降尘装置（顶部布置450个喷头，喷头竖向间距为3.0m，横向间距为2.5m），喷雾频次为每2小时1次；定点卸料，保持平缓，卸料过程开启喷雾降尘装置，持续时长为卸料作业时长</w:t>
                  </w:r>
                </w:p>
              </w:tc>
              <w:tc>
                <w:tcPr>
                  <w:tcW w:w="1248" w:type="dxa"/>
                  <w:tcBorders>
                    <w:tl2br w:val="nil"/>
                    <w:tr2bl w:val="nil"/>
                  </w:tcBorders>
                  <w:noWrap w:val="0"/>
                  <w:vAlign w:val="center"/>
                </w:tcPr>
                <w:p w14:paraId="211D591A">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20" w:type="dxa"/>
                  <w:tcBorders>
                    <w:tl2br w:val="nil"/>
                    <w:tr2bl w:val="nil"/>
                  </w:tcBorders>
                  <w:noWrap w:val="0"/>
                  <w:vAlign w:val="center"/>
                </w:tcPr>
                <w:p w14:paraId="4DC3213A">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1.614</w:t>
                  </w:r>
                </w:p>
              </w:tc>
              <w:tc>
                <w:tcPr>
                  <w:tcW w:w="976" w:type="dxa"/>
                  <w:tcBorders>
                    <w:tl2br w:val="nil"/>
                    <w:tr2bl w:val="nil"/>
                  </w:tcBorders>
                  <w:shd w:val="clear" w:color="auto" w:fill="auto"/>
                  <w:noWrap w:val="0"/>
                  <w:vAlign w:val="center"/>
                </w:tcPr>
                <w:p w14:paraId="2530BA74">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52.5</w:t>
                  </w:r>
                </w:p>
              </w:tc>
            </w:tr>
            <w:tr w14:paraId="5F0F2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340FD19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noWrap w:val="0"/>
                  <w:vAlign w:val="center"/>
                </w:tcPr>
                <w:p w14:paraId="489EE5D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矸石受料斗粉尘</w:t>
                  </w:r>
                </w:p>
              </w:tc>
              <w:tc>
                <w:tcPr>
                  <w:tcW w:w="900" w:type="dxa"/>
                  <w:tcBorders>
                    <w:tl2br w:val="nil"/>
                    <w:tr2bl w:val="nil"/>
                  </w:tcBorders>
                  <w:noWrap w:val="0"/>
                  <w:vAlign w:val="center"/>
                </w:tcPr>
                <w:p w14:paraId="15A5CB2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shd w:val="clear" w:color="auto" w:fill="auto"/>
                  <w:noWrap w:val="0"/>
                  <w:vAlign w:val="center"/>
                </w:tcPr>
                <w:p w14:paraId="423153A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44.2</w:t>
                  </w:r>
                </w:p>
              </w:tc>
              <w:tc>
                <w:tcPr>
                  <w:tcW w:w="4937" w:type="dxa"/>
                  <w:tcBorders>
                    <w:tl2br w:val="nil"/>
                    <w:tr2bl w:val="nil"/>
                  </w:tcBorders>
                  <w:shd w:val="clear" w:color="auto" w:fill="auto"/>
                  <w:noWrap w:val="0"/>
                  <w:vAlign w:val="center"/>
                </w:tcPr>
                <w:p w14:paraId="653FA3B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矸石受料斗位于全封闭储矸棚内，为半地埋式结构；受料斗上方设置1个半密闭集气罩（尺寸3m×2m，采用通风柜形式，彩钢板三面封闭，</w:t>
                  </w:r>
                  <w:r>
                    <w:rPr>
                      <w:rFonts w:hint="eastAsia" w:cs="Times New Roman"/>
                      <w:color w:val="auto"/>
                      <w:kern w:val="2"/>
                      <w:sz w:val="21"/>
                      <w:szCs w:val="21"/>
                      <w:highlight w:val="none"/>
                      <w:lang w:val="en-US" w:eastAsia="zh-CN" w:bidi="ar-SA"/>
                    </w:rPr>
                    <w:t>收集效率90%</w:t>
                  </w:r>
                  <w:r>
                    <w:rPr>
                      <w:rFonts w:hint="default" w:ascii="Times New Roman" w:hAnsi="Times New Roman" w:eastAsia="宋体" w:cs="Times New Roman"/>
                      <w:color w:val="auto"/>
                      <w:kern w:val="2"/>
                      <w:sz w:val="21"/>
                      <w:szCs w:val="21"/>
                      <w:highlight w:val="none"/>
                      <w:lang w:val="en-US" w:eastAsia="zh-CN" w:bidi="ar-SA"/>
                    </w:rPr>
                    <w:t>），粉尘经收集引入1台袋式除尘器（风量26000m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/h，过滤面积542m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，滤袋材质为涤纶针刺毡，过滤风速0.8m/min）进行处理，处理后由1根15m高排气筒排放（DA001，内径0.3m）</w:t>
                  </w:r>
                </w:p>
              </w:tc>
              <w:tc>
                <w:tcPr>
                  <w:tcW w:w="1248" w:type="dxa"/>
                  <w:tcBorders>
                    <w:tl2br w:val="nil"/>
                    <w:tr2bl w:val="nil"/>
                  </w:tcBorders>
                  <w:noWrap w:val="0"/>
                  <w:vAlign w:val="center"/>
                </w:tcPr>
                <w:p w14:paraId="2ADB5EAD">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1020" w:type="dxa"/>
                  <w:tcBorders>
                    <w:tl2br w:val="nil"/>
                    <w:tr2bl w:val="nil"/>
                  </w:tcBorders>
                  <w:noWrap w:val="0"/>
                  <w:vAlign w:val="center"/>
                </w:tcPr>
                <w:p w14:paraId="6F58569D">
                  <w:pPr>
                    <w:keepNext w:val="0"/>
                    <w:keepLines w:val="0"/>
                    <w:pageBreakBefore w:val="0"/>
                    <w:widowControl w:val="0"/>
                    <w:tabs>
                      <w:tab w:val="left" w:pos="2745"/>
                    </w:tabs>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0.858</w:t>
                  </w:r>
                </w:p>
              </w:tc>
              <w:tc>
                <w:tcPr>
                  <w:tcW w:w="976" w:type="dxa"/>
                  <w:tcBorders>
                    <w:tl2br w:val="nil"/>
                    <w:tr2bl w:val="nil"/>
                  </w:tcBorders>
                  <w:shd w:val="clear" w:color="auto" w:fill="auto"/>
                  <w:noWrap w:val="0"/>
                  <w:vAlign w:val="center"/>
                </w:tcPr>
                <w:p w14:paraId="5208C495">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10</w:t>
                  </w:r>
                </w:p>
              </w:tc>
            </w:tr>
            <w:tr w14:paraId="0615D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7B9B08D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581D22E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水泥筒仓粉尘</w:t>
                  </w:r>
                </w:p>
              </w:tc>
              <w:tc>
                <w:tcPr>
                  <w:tcW w:w="900" w:type="dxa"/>
                  <w:tcBorders>
                    <w:tl2br w:val="nil"/>
                    <w:tr2bl w:val="nil"/>
                  </w:tcBorders>
                  <w:shd w:val="clear" w:color="auto" w:fill="auto"/>
                  <w:noWrap w:val="0"/>
                  <w:vAlign w:val="center"/>
                </w:tcPr>
                <w:p w14:paraId="60843FE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shd w:val="clear" w:color="auto" w:fill="auto"/>
                  <w:noWrap w:val="0"/>
                  <w:vAlign w:val="center"/>
                </w:tcPr>
                <w:p w14:paraId="6DD05413">
                  <w:pPr>
                    <w:pStyle w:val="6"/>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1600</w:t>
                  </w:r>
                </w:p>
              </w:tc>
              <w:tc>
                <w:tcPr>
                  <w:tcW w:w="4937" w:type="dxa"/>
                  <w:tcBorders>
                    <w:tl2br w:val="nil"/>
                    <w:tr2bl w:val="nil"/>
                  </w:tcBorders>
                  <w:noWrap w:val="0"/>
                  <w:vAlign w:val="center"/>
                </w:tcPr>
                <w:p w14:paraId="1449BCC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pacing w:val="0"/>
                      <w:kern w:val="2"/>
                      <w:sz w:val="21"/>
                      <w:szCs w:val="21"/>
                      <w:highlight w:val="none"/>
                      <w:lang w:val="en-US" w:eastAsia="zh-CN" w:bidi="ar-SA"/>
                    </w:rPr>
                    <w:t>每座水泥筒仓仓顶均配套设置1台袋式除尘器（共6台），仓顶呼吸孔均设集气管，每台袋式除尘器均配套设置1根排气筒（共6根，高度20m，内径0.3m），粉尘经各自配套袋式除尘器处理后由配套排气筒（DA002~DA007）排放</w:t>
                  </w:r>
                </w:p>
              </w:tc>
              <w:tc>
                <w:tcPr>
                  <w:tcW w:w="1248" w:type="dxa"/>
                  <w:tcBorders>
                    <w:tl2br w:val="nil"/>
                    <w:tr2bl w:val="nil"/>
                  </w:tcBorders>
                  <w:noWrap w:val="0"/>
                  <w:vAlign w:val="center"/>
                </w:tcPr>
                <w:p w14:paraId="3AF7B20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1020" w:type="dxa"/>
                  <w:tcBorders>
                    <w:tl2br w:val="nil"/>
                    <w:tr2bl w:val="nil"/>
                  </w:tcBorders>
                  <w:noWrap w:val="0"/>
                  <w:vAlign w:val="center"/>
                </w:tcPr>
                <w:p w14:paraId="389BB97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0.074</w:t>
                  </w:r>
                </w:p>
              </w:tc>
              <w:tc>
                <w:tcPr>
                  <w:tcW w:w="976" w:type="dxa"/>
                  <w:tcBorders>
                    <w:tl2br w:val="nil"/>
                    <w:tr2bl w:val="nil"/>
                  </w:tcBorders>
                  <w:shd w:val="clear" w:color="auto" w:fill="auto"/>
                  <w:noWrap w:val="0"/>
                  <w:vAlign w:val="center"/>
                </w:tcPr>
                <w:p w14:paraId="4D72651A">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12</w:t>
                  </w:r>
                </w:p>
              </w:tc>
            </w:tr>
            <w:tr w14:paraId="2077C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2566CC1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0A63E60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制浆机</w:t>
                  </w:r>
                </w:p>
                <w:p w14:paraId="4D43646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粉尘</w:t>
                  </w:r>
                </w:p>
              </w:tc>
              <w:tc>
                <w:tcPr>
                  <w:tcW w:w="900" w:type="dxa"/>
                  <w:tcBorders>
                    <w:tl2br w:val="nil"/>
                    <w:tr2bl w:val="nil"/>
                  </w:tcBorders>
                  <w:shd w:val="clear" w:color="auto" w:fill="auto"/>
                  <w:noWrap w:val="0"/>
                  <w:vAlign w:val="center"/>
                </w:tcPr>
                <w:p w14:paraId="3ADC09A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shd w:val="clear" w:color="auto" w:fill="auto"/>
                  <w:noWrap w:val="0"/>
                  <w:vAlign w:val="center"/>
                </w:tcPr>
                <w:p w14:paraId="49E9D164">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22.10</w:t>
                  </w:r>
                </w:p>
              </w:tc>
              <w:tc>
                <w:tcPr>
                  <w:tcW w:w="4937" w:type="dxa"/>
                  <w:tcBorders>
                    <w:tl2br w:val="nil"/>
                    <w:tr2bl w:val="nil"/>
                  </w:tcBorders>
                  <w:shd w:val="clear" w:color="auto" w:fill="auto"/>
                  <w:noWrap w:val="0"/>
                  <w:vAlign w:val="center"/>
                </w:tcPr>
                <w:p w14:paraId="11B61889">
                  <w:pPr>
                    <w:pStyle w:val="6"/>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高速制浆机位于全封闭制浆车间内，每台制浆机上方均安装集气管道，粉尘经集气管道引入1台袋式除尘器</w:t>
                  </w:r>
                  <w:r>
                    <w:rPr>
                      <w:rFonts w:hint="default" w:ascii="Times New Roman" w:hAnsi="Times New Roman" w:eastAsia="宋体" w:cs="Times New Roman"/>
                      <w:color w:val="auto"/>
                      <w:kern w:val="2"/>
                      <w:sz w:val="21"/>
                      <w:szCs w:val="21"/>
                      <w:highlight w:val="none"/>
                      <w:lang w:val="en-US" w:eastAsia="zh-CN" w:bidi="ar-SA"/>
                    </w:rPr>
                    <w:t>（风量26000m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/h，过滤面积542m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，滤袋材质为涤纶针刺毡，过滤风速0.8m/min）</w:t>
                  </w:r>
                  <w:r>
                    <w:rPr>
                      <w:rFonts w:hint="default" w:ascii="Times New Roman" w:hAnsi="Times New Roman" w:eastAsia="宋体" w:cs="Times New Roman"/>
                      <w:color w:val="auto"/>
                      <w:spacing w:val="0"/>
                      <w:kern w:val="2"/>
                      <w:sz w:val="21"/>
                      <w:szCs w:val="21"/>
                      <w:highlight w:val="none"/>
                      <w:lang w:val="en-US" w:eastAsia="zh-CN" w:bidi="ar-SA"/>
                    </w:rPr>
                    <w:t>进行处理，处理后由1根15m高排气筒排放（DA008，内径0.3m）</w:t>
                  </w:r>
                </w:p>
              </w:tc>
              <w:tc>
                <w:tcPr>
                  <w:tcW w:w="1248" w:type="dxa"/>
                  <w:tcBorders>
                    <w:tl2br w:val="nil"/>
                    <w:tr2bl w:val="nil"/>
                  </w:tcBorders>
                  <w:noWrap w:val="0"/>
                  <w:vAlign w:val="center"/>
                </w:tcPr>
                <w:p w14:paraId="09ADD78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20" w:type="dxa"/>
                  <w:tcBorders>
                    <w:tl2br w:val="nil"/>
                    <w:tr2bl w:val="nil"/>
                  </w:tcBorders>
                  <w:noWrap w:val="0"/>
                  <w:vAlign w:val="center"/>
                </w:tcPr>
                <w:p w14:paraId="1E29635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0.858</w:t>
                  </w:r>
                </w:p>
              </w:tc>
              <w:tc>
                <w:tcPr>
                  <w:tcW w:w="976" w:type="dxa"/>
                  <w:tcBorders>
                    <w:tl2br w:val="nil"/>
                    <w:tr2bl w:val="nil"/>
                  </w:tcBorders>
                  <w:shd w:val="clear" w:color="auto" w:fill="auto"/>
                  <w:noWrap w:val="0"/>
                  <w:vAlign w:val="center"/>
                </w:tcPr>
                <w:p w14:paraId="6435080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10</w:t>
                  </w:r>
                </w:p>
              </w:tc>
            </w:tr>
            <w:tr w14:paraId="718B6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0D8E0DE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26854F1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物料输送粉尘</w:t>
                  </w:r>
                </w:p>
              </w:tc>
              <w:tc>
                <w:tcPr>
                  <w:tcW w:w="900" w:type="dxa"/>
                  <w:tcBorders>
                    <w:tl2br w:val="nil"/>
                    <w:tr2bl w:val="nil"/>
                  </w:tcBorders>
                  <w:shd w:val="clear" w:color="auto" w:fill="auto"/>
                  <w:noWrap w:val="0"/>
                  <w:vAlign w:val="center"/>
                </w:tcPr>
                <w:p w14:paraId="5FE0847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shd w:val="clear" w:color="auto" w:fill="auto"/>
                  <w:noWrap w:val="0"/>
                  <w:vAlign w:val="center"/>
                </w:tcPr>
                <w:p w14:paraId="5136050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4937" w:type="dxa"/>
                  <w:tcBorders>
                    <w:tl2br w:val="nil"/>
                    <w:tr2bl w:val="nil"/>
                  </w:tcBorders>
                  <w:shd w:val="clear" w:color="auto" w:fill="auto"/>
                  <w:noWrap w:val="0"/>
                  <w:vAlign w:val="center"/>
                </w:tcPr>
                <w:p w14:paraId="400A3C2A">
                  <w:pPr>
                    <w:pStyle w:val="6"/>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水泥采用全封闭螺旋输送机供料</w:t>
                  </w:r>
                </w:p>
              </w:tc>
              <w:tc>
                <w:tcPr>
                  <w:tcW w:w="1248" w:type="dxa"/>
                  <w:tcBorders>
                    <w:tl2br w:val="nil"/>
                    <w:tr2bl w:val="nil"/>
                  </w:tcBorders>
                  <w:noWrap w:val="0"/>
                  <w:vAlign w:val="center"/>
                </w:tcPr>
                <w:p w14:paraId="7B9094D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20" w:type="dxa"/>
                  <w:tcBorders>
                    <w:tl2br w:val="nil"/>
                    <w:tr2bl w:val="nil"/>
                  </w:tcBorders>
                  <w:noWrap w:val="0"/>
                  <w:vAlign w:val="center"/>
                </w:tcPr>
                <w:p w14:paraId="1E18344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76" w:type="dxa"/>
                  <w:tcBorders>
                    <w:tl2br w:val="nil"/>
                    <w:tr2bl w:val="nil"/>
                  </w:tcBorders>
                  <w:shd w:val="clear" w:color="auto" w:fill="auto"/>
                  <w:noWrap w:val="0"/>
                  <w:vAlign w:val="center"/>
                </w:tcPr>
                <w:p w14:paraId="06F0E9A3">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5</w:t>
                  </w:r>
                </w:p>
              </w:tc>
            </w:tr>
            <w:tr w14:paraId="4ED4E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13A5824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4205597D">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道路运输扬尘</w:t>
                  </w:r>
                </w:p>
              </w:tc>
              <w:tc>
                <w:tcPr>
                  <w:tcW w:w="900" w:type="dxa"/>
                  <w:tcBorders>
                    <w:tl2br w:val="nil"/>
                    <w:tr2bl w:val="nil"/>
                  </w:tcBorders>
                  <w:shd w:val="clear" w:color="auto" w:fill="auto"/>
                  <w:noWrap w:val="0"/>
                  <w:vAlign w:val="center"/>
                </w:tcPr>
                <w:p w14:paraId="779A233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925" w:type="dxa"/>
                  <w:tcBorders>
                    <w:tl2br w:val="nil"/>
                    <w:tr2bl w:val="nil"/>
                  </w:tcBorders>
                  <w:shd w:val="clear" w:color="auto" w:fill="auto"/>
                  <w:noWrap w:val="0"/>
                  <w:vAlign w:val="center"/>
                </w:tcPr>
                <w:p w14:paraId="6AEB986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2.932</w:t>
                  </w:r>
                </w:p>
              </w:tc>
              <w:tc>
                <w:tcPr>
                  <w:tcW w:w="4937" w:type="dxa"/>
                  <w:tcBorders>
                    <w:tl2br w:val="nil"/>
                    <w:tr2bl w:val="nil"/>
                  </w:tcBorders>
                  <w:shd w:val="clear" w:color="auto" w:fill="auto"/>
                  <w:noWrap w:val="0"/>
                  <w:vAlign w:val="center"/>
                </w:tcPr>
                <w:p w14:paraId="561C0AC0">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厂区地面硬化，定期洒水抑尘；运输车辆采用全封闭厢式车，车辆离开厂区时，对汽车轮胎清洗后方可上路</w:t>
                  </w:r>
                </w:p>
              </w:tc>
              <w:tc>
                <w:tcPr>
                  <w:tcW w:w="1248" w:type="dxa"/>
                  <w:tcBorders>
                    <w:tl2br w:val="nil"/>
                    <w:tr2bl w:val="nil"/>
                  </w:tcBorders>
                  <w:noWrap w:val="0"/>
                  <w:vAlign w:val="center"/>
                </w:tcPr>
                <w:p w14:paraId="111A1E0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020" w:type="dxa"/>
                  <w:tcBorders>
                    <w:tl2br w:val="nil"/>
                    <w:tr2bl w:val="nil"/>
                  </w:tcBorders>
                  <w:noWrap w:val="0"/>
                  <w:vAlign w:val="center"/>
                </w:tcPr>
                <w:p w14:paraId="5CBFE31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1.743</w:t>
                  </w:r>
                </w:p>
              </w:tc>
              <w:tc>
                <w:tcPr>
                  <w:tcW w:w="976" w:type="dxa"/>
                  <w:tcBorders>
                    <w:tl2br w:val="nil"/>
                    <w:tr2bl w:val="nil"/>
                  </w:tcBorders>
                  <w:shd w:val="clear" w:color="auto" w:fill="auto"/>
                  <w:noWrap w:val="0"/>
                  <w:vAlign w:val="center"/>
                </w:tcPr>
                <w:p w14:paraId="3E74748F">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w:t>
                  </w:r>
                </w:p>
              </w:tc>
            </w:tr>
            <w:tr w14:paraId="1927B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nil"/>
                    <w:tr2bl w:val="nil"/>
                  </w:tcBorders>
                  <w:noWrap w:val="0"/>
                  <w:vAlign w:val="center"/>
                </w:tcPr>
                <w:p w14:paraId="3FA13C5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89" w:type="dxa"/>
                  <w:tcBorders>
                    <w:tl2br w:val="nil"/>
                    <w:tr2bl w:val="nil"/>
                  </w:tcBorders>
                  <w:noWrap w:val="0"/>
                  <w:vAlign w:val="center"/>
                </w:tcPr>
                <w:p w14:paraId="2B937C9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浆料系统清洗废水</w:t>
                  </w:r>
                </w:p>
              </w:tc>
              <w:tc>
                <w:tcPr>
                  <w:tcW w:w="1825" w:type="dxa"/>
                  <w:gridSpan w:val="2"/>
                  <w:tcBorders>
                    <w:tl2br w:val="nil"/>
                    <w:tr2bl w:val="nil"/>
                  </w:tcBorders>
                  <w:noWrap w:val="0"/>
                  <w:vAlign w:val="center"/>
                </w:tcPr>
                <w:p w14:paraId="0F12085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31.5m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4937" w:type="dxa"/>
                  <w:tcBorders>
                    <w:tl2br w:val="nil"/>
                    <w:tr2bl w:val="nil"/>
                  </w:tcBorders>
                  <w:shd w:val="clear" w:color="auto" w:fill="auto"/>
                  <w:noWrap w:val="0"/>
                  <w:vAlign w:val="center"/>
                </w:tcPr>
                <w:p w14:paraId="05C59EA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浆料系统清洗废水沿井筒污水管道输送至现有矿井水处理站处理后回用</w:t>
                  </w:r>
                </w:p>
              </w:tc>
              <w:tc>
                <w:tcPr>
                  <w:tcW w:w="2268" w:type="dxa"/>
                  <w:gridSpan w:val="2"/>
                  <w:tcBorders>
                    <w:tl2br w:val="nil"/>
                    <w:tr2bl w:val="nil"/>
                  </w:tcBorders>
                  <w:noWrap w:val="0"/>
                  <w:vAlign w:val="center"/>
                </w:tcPr>
                <w:p w14:paraId="68FAB27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tcBorders>
                    <w:tl2br w:val="nil"/>
                    <w:tr2bl w:val="nil"/>
                  </w:tcBorders>
                  <w:shd w:val="clear" w:color="auto" w:fill="auto"/>
                  <w:noWrap w:val="0"/>
                  <w:vAlign w:val="center"/>
                </w:tcPr>
                <w:p w14:paraId="4DB2D6E0">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w:t>
                  </w:r>
                </w:p>
              </w:tc>
            </w:tr>
            <w:tr w14:paraId="6778B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4539DED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noWrap w:val="0"/>
                  <w:vAlign w:val="center"/>
                </w:tcPr>
                <w:p w14:paraId="783F338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地面冲洗废水</w:t>
                  </w:r>
                </w:p>
              </w:tc>
              <w:tc>
                <w:tcPr>
                  <w:tcW w:w="1825" w:type="dxa"/>
                  <w:gridSpan w:val="2"/>
                  <w:tcBorders>
                    <w:tl2br w:val="nil"/>
                    <w:tr2bl w:val="nil"/>
                  </w:tcBorders>
                  <w:noWrap w:val="0"/>
                  <w:vAlign w:val="center"/>
                </w:tcPr>
                <w:p w14:paraId="4E70B63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0.675m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lang w:val="en-US" w:eastAsia="zh-CN"/>
                    </w:rPr>
                    <w:t>/d</w:t>
                  </w:r>
                </w:p>
              </w:tc>
              <w:tc>
                <w:tcPr>
                  <w:tcW w:w="4937" w:type="dxa"/>
                  <w:tcBorders>
                    <w:tl2br w:val="nil"/>
                    <w:tr2bl w:val="nil"/>
                  </w:tcBorders>
                  <w:shd w:val="clear" w:color="auto" w:fill="auto"/>
                  <w:noWrap w:val="0"/>
                  <w:vAlign w:val="center"/>
                </w:tcPr>
                <w:p w14:paraId="5979956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制浆车间外建设1座6m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沉淀池，地面冲洗废水经车间内排水渠导流至制浆车间外沉淀池，经沉淀处理后全部回用于生产，不外排</w:t>
                  </w:r>
                </w:p>
              </w:tc>
              <w:tc>
                <w:tcPr>
                  <w:tcW w:w="2268" w:type="dxa"/>
                  <w:gridSpan w:val="2"/>
                  <w:tcBorders>
                    <w:tl2br w:val="nil"/>
                    <w:tr2bl w:val="nil"/>
                  </w:tcBorders>
                  <w:noWrap w:val="0"/>
                  <w:vAlign w:val="center"/>
                </w:tcPr>
                <w:p w14:paraId="17B1E004">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tcBorders>
                    <w:tl2br w:val="nil"/>
                    <w:tr2bl w:val="nil"/>
                  </w:tcBorders>
                  <w:shd w:val="clear" w:color="auto" w:fill="auto"/>
                  <w:noWrap w:val="0"/>
                  <w:vAlign w:val="center"/>
                </w:tcPr>
                <w:p w14:paraId="2233B6EC">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2.5</w:t>
                  </w:r>
                </w:p>
              </w:tc>
            </w:tr>
            <w:tr w14:paraId="45332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1773D17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noWrap w:val="0"/>
                  <w:vAlign w:val="center"/>
                </w:tcPr>
                <w:p w14:paraId="33FFF44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洗车废水</w:t>
                  </w:r>
                </w:p>
              </w:tc>
              <w:tc>
                <w:tcPr>
                  <w:tcW w:w="1825" w:type="dxa"/>
                  <w:gridSpan w:val="2"/>
                  <w:tcBorders>
                    <w:tl2br w:val="nil"/>
                    <w:tr2bl w:val="nil"/>
                  </w:tcBorders>
                  <w:noWrap w:val="0"/>
                  <w:vAlign w:val="center"/>
                </w:tcPr>
                <w:p w14:paraId="6B0A046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2.64m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lang w:val="en-US" w:eastAsia="zh-CN"/>
                    </w:rPr>
                    <w:t>/d</w:t>
                  </w:r>
                </w:p>
              </w:tc>
              <w:tc>
                <w:tcPr>
                  <w:tcW w:w="4937" w:type="dxa"/>
                  <w:tcBorders>
                    <w:tl2br w:val="nil"/>
                    <w:tr2bl w:val="nil"/>
                  </w:tcBorders>
                  <w:shd w:val="clear" w:color="auto" w:fill="auto"/>
                  <w:noWrap w:val="0"/>
                  <w:vAlign w:val="center"/>
                </w:tcPr>
                <w:p w14:paraId="7963F5C5">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洗车废水经三级沉淀池沉淀处理后，回用至洗车工序，循环使用，不外排</w:t>
                  </w:r>
                </w:p>
              </w:tc>
              <w:tc>
                <w:tcPr>
                  <w:tcW w:w="2268" w:type="dxa"/>
                  <w:gridSpan w:val="2"/>
                  <w:tcBorders>
                    <w:tl2br w:val="nil"/>
                    <w:tr2bl w:val="nil"/>
                  </w:tcBorders>
                  <w:noWrap w:val="0"/>
                  <w:vAlign w:val="center"/>
                </w:tcPr>
                <w:p w14:paraId="63122FA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tcBorders>
                    <w:tl2br w:val="nil"/>
                    <w:tr2bl w:val="nil"/>
                  </w:tcBorders>
                  <w:shd w:val="clear" w:color="auto" w:fill="auto"/>
                  <w:noWrap w:val="0"/>
                  <w:vAlign w:val="center"/>
                </w:tcPr>
                <w:p w14:paraId="41E12E81">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48.3</w:t>
                  </w:r>
                </w:p>
              </w:tc>
            </w:tr>
            <w:tr w14:paraId="7E244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71711AF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noWrap w:val="0"/>
                  <w:vAlign w:val="center"/>
                </w:tcPr>
                <w:p w14:paraId="0E5D478A">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825" w:type="dxa"/>
                  <w:gridSpan w:val="2"/>
                  <w:tcBorders>
                    <w:tl2br w:val="nil"/>
                    <w:tr2bl w:val="nil"/>
                  </w:tcBorders>
                  <w:noWrap w:val="0"/>
                  <w:vAlign w:val="center"/>
                </w:tcPr>
                <w:p w14:paraId="6B2555A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0.56m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lang w:val="en-US" w:eastAsia="zh-CN"/>
                    </w:rPr>
                    <w:t>/d</w:t>
                  </w:r>
                </w:p>
              </w:tc>
              <w:tc>
                <w:tcPr>
                  <w:tcW w:w="4937" w:type="dxa"/>
                  <w:tcBorders>
                    <w:tl2br w:val="nil"/>
                    <w:tr2bl w:val="nil"/>
                  </w:tcBorders>
                  <w:shd w:val="clear" w:color="auto" w:fill="auto"/>
                  <w:noWrap w:val="0"/>
                  <w:vAlign w:val="center"/>
                </w:tcPr>
                <w:p w14:paraId="714CA28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生活污水主要为职工日常洗漱废水，水质较为简单，用于厂区洒水抑尘，不外排</w:t>
                  </w:r>
                </w:p>
              </w:tc>
              <w:tc>
                <w:tcPr>
                  <w:tcW w:w="2268" w:type="dxa"/>
                  <w:gridSpan w:val="2"/>
                  <w:tcBorders>
                    <w:tl2br w:val="nil"/>
                    <w:tr2bl w:val="nil"/>
                  </w:tcBorders>
                  <w:noWrap w:val="0"/>
                  <w:vAlign w:val="center"/>
                </w:tcPr>
                <w:p w14:paraId="7BC73EEF">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tcBorders>
                    <w:tl2br w:val="nil"/>
                    <w:tr2bl w:val="nil"/>
                  </w:tcBorders>
                  <w:shd w:val="clear" w:color="auto" w:fill="auto"/>
                  <w:noWrap w:val="0"/>
                  <w:vAlign w:val="center"/>
                </w:tcPr>
                <w:p w14:paraId="65D7F09D">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w:t>
                  </w:r>
                </w:p>
              </w:tc>
            </w:tr>
            <w:tr w14:paraId="0A3BE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58F7F1F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noWrap w:val="0"/>
                  <w:vAlign w:val="center"/>
                </w:tcPr>
                <w:p w14:paraId="00D6190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w:t>
                  </w:r>
                </w:p>
              </w:tc>
              <w:tc>
                <w:tcPr>
                  <w:tcW w:w="1825" w:type="dxa"/>
                  <w:gridSpan w:val="2"/>
                  <w:tcBorders>
                    <w:tl2br w:val="nil"/>
                    <w:tr2bl w:val="nil"/>
                  </w:tcBorders>
                  <w:noWrap w:val="0"/>
                  <w:vAlign w:val="center"/>
                </w:tcPr>
                <w:p w14:paraId="4346B08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937" w:type="dxa"/>
                  <w:tcBorders>
                    <w:tl2br w:val="nil"/>
                    <w:tr2bl w:val="nil"/>
                  </w:tcBorders>
                  <w:shd w:val="clear" w:color="auto" w:fill="auto"/>
                  <w:noWrap w:val="0"/>
                  <w:vAlign w:val="center"/>
                </w:tcPr>
                <w:p w14:paraId="05E063B9">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在厂区地势最低处建设1座初期雨水收集池，容积为126m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，收集雨水经沉淀后回用于厂区洒水抑尘</w:t>
                  </w:r>
                </w:p>
              </w:tc>
              <w:tc>
                <w:tcPr>
                  <w:tcW w:w="2268" w:type="dxa"/>
                  <w:gridSpan w:val="2"/>
                  <w:tcBorders>
                    <w:tl2br w:val="nil"/>
                    <w:tr2bl w:val="nil"/>
                  </w:tcBorders>
                  <w:shd w:val="clear" w:color="auto" w:fill="auto"/>
                  <w:noWrap w:val="0"/>
                  <w:vAlign w:val="center"/>
                </w:tcPr>
                <w:p w14:paraId="3B0DED7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76" w:type="dxa"/>
                  <w:tcBorders>
                    <w:tl2br w:val="nil"/>
                    <w:tr2bl w:val="nil"/>
                  </w:tcBorders>
                  <w:shd w:val="clear" w:color="auto" w:fill="auto"/>
                  <w:noWrap w:val="0"/>
                  <w:vAlign w:val="center"/>
                </w:tcPr>
                <w:p w14:paraId="447A8260">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21.7</w:t>
                  </w:r>
                </w:p>
              </w:tc>
            </w:tr>
            <w:tr w14:paraId="1F8F1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nil"/>
                    <w:tr2bl w:val="nil"/>
                  </w:tcBorders>
                  <w:noWrap w:val="0"/>
                  <w:vAlign w:val="center"/>
                </w:tcPr>
                <w:p w14:paraId="1D0B74C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089" w:type="dxa"/>
                  <w:tcBorders>
                    <w:tl2br w:val="nil"/>
                    <w:tr2bl w:val="nil"/>
                  </w:tcBorders>
                  <w:shd w:val="clear" w:color="auto" w:fill="auto"/>
                  <w:noWrap w:val="0"/>
                  <w:vAlign w:val="center"/>
                </w:tcPr>
                <w:p w14:paraId="0EDE29A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除尘器</w:t>
                  </w:r>
                </w:p>
                <w:p w14:paraId="65ED4DD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除尘灰</w:t>
                  </w:r>
                </w:p>
              </w:tc>
              <w:tc>
                <w:tcPr>
                  <w:tcW w:w="1825" w:type="dxa"/>
                  <w:gridSpan w:val="2"/>
                  <w:tcBorders>
                    <w:tl2br w:val="nil"/>
                    <w:tr2bl w:val="nil"/>
                  </w:tcBorders>
                  <w:shd w:val="clear" w:color="auto" w:fill="auto"/>
                  <w:noWrap w:val="0"/>
                  <w:vAlign w:val="center"/>
                </w:tcPr>
                <w:p w14:paraId="6C19363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51.262</w:t>
                  </w:r>
                </w:p>
              </w:tc>
              <w:tc>
                <w:tcPr>
                  <w:tcW w:w="4937" w:type="dxa"/>
                  <w:vMerge w:val="restart"/>
                  <w:tcBorders>
                    <w:tl2br w:val="nil"/>
                    <w:tr2bl w:val="nil"/>
                  </w:tcBorders>
                  <w:shd w:val="clear" w:color="auto" w:fill="auto"/>
                  <w:noWrap w:val="0"/>
                  <w:vAlign w:val="center"/>
                </w:tcPr>
                <w:p w14:paraId="0F57D4D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除尘器除尘灰、沉淀池沉渣集中收集后回用于搅拌工序</w:t>
                  </w:r>
                </w:p>
              </w:tc>
              <w:tc>
                <w:tcPr>
                  <w:tcW w:w="2268" w:type="dxa"/>
                  <w:gridSpan w:val="2"/>
                  <w:tcBorders>
                    <w:tl2br w:val="nil"/>
                    <w:tr2bl w:val="nil"/>
                  </w:tcBorders>
                  <w:shd w:val="clear" w:color="auto" w:fill="auto"/>
                  <w:noWrap w:val="0"/>
                  <w:vAlign w:val="center"/>
                </w:tcPr>
                <w:p w14:paraId="4BE6AAE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vMerge w:val="restart"/>
                  <w:tcBorders>
                    <w:tl2br w:val="nil"/>
                    <w:tr2bl w:val="nil"/>
                  </w:tcBorders>
                  <w:shd w:val="clear" w:color="auto" w:fill="auto"/>
                  <w:noWrap w:val="0"/>
                  <w:vAlign w:val="center"/>
                </w:tcPr>
                <w:p w14:paraId="1B12C3A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0AB75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2CDBF7D4">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25A1D52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沉淀池</w:t>
                  </w:r>
                </w:p>
                <w:p w14:paraId="5C381A2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沉渣</w:t>
                  </w:r>
                </w:p>
              </w:tc>
              <w:tc>
                <w:tcPr>
                  <w:tcW w:w="1825" w:type="dxa"/>
                  <w:gridSpan w:val="2"/>
                  <w:tcBorders>
                    <w:tl2br w:val="nil"/>
                    <w:tr2bl w:val="nil"/>
                  </w:tcBorders>
                  <w:shd w:val="clear" w:color="auto" w:fill="auto"/>
                  <w:noWrap w:val="0"/>
                  <w:vAlign w:val="center"/>
                </w:tcPr>
                <w:p w14:paraId="158E50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5</w:t>
                  </w:r>
                </w:p>
              </w:tc>
              <w:tc>
                <w:tcPr>
                  <w:tcW w:w="4937" w:type="dxa"/>
                  <w:vMerge w:val="continue"/>
                  <w:tcBorders>
                    <w:tl2br w:val="nil"/>
                    <w:tr2bl w:val="nil"/>
                  </w:tcBorders>
                  <w:shd w:val="clear" w:color="auto" w:fill="auto"/>
                  <w:noWrap w:val="0"/>
                  <w:vAlign w:val="center"/>
                </w:tcPr>
                <w:p w14:paraId="1BD904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2268" w:type="dxa"/>
                  <w:gridSpan w:val="2"/>
                  <w:tcBorders>
                    <w:tl2br w:val="nil"/>
                    <w:tr2bl w:val="nil"/>
                  </w:tcBorders>
                  <w:shd w:val="clear" w:color="auto" w:fill="auto"/>
                  <w:noWrap w:val="0"/>
                  <w:vAlign w:val="center"/>
                </w:tcPr>
                <w:p w14:paraId="0FD4D8B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vMerge w:val="continue"/>
                  <w:tcBorders>
                    <w:tl2br w:val="nil"/>
                    <w:tr2bl w:val="nil"/>
                  </w:tcBorders>
                  <w:shd w:val="clear" w:color="auto" w:fill="auto"/>
                  <w:noWrap w:val="0"/>
                  <w:vAlign w:val="center"/>
                </w:tcPr>
                <w:p w14:paraId="466A9AD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r>
            <w:tr w14:paraId="28CFB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10" w:type="dxa"/>
                  <w:vMerge w:val="continue"/>
                  <w:tcBorders>
                    <w:tl2br w:val="nil"/>
                    <w:tr2bl w:val="nil"/>
                  </w:tcBorders>
                  <w:noWrap w:val="0"/>
                  <w:vAlign w:val="center"/>
                </w:tcPr>
                <w:p w14:paraId="6122189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5079EEE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废矿物油</w:t>
                  </w:r>
                </w:p>
              </w:tc>
              <w:tc>
                <w:tcPr>
                  <w:tcW w:w="1825" w:type="dxa"/>
                  <w:gridSpan w:val="2"/>
                  <w:tcBorders>
                    <w:tl2br w:val="nil"/>
                    <w:tr2bl w:val="nil"/>
                  </w:tcBorders>
                  <w:shd w:val="clear" w:color="auto" w:fill="auto"/>
                  <w:noWrap w:val="0"/>
                  <w:vAlign w:val="center"/>
                </w:tcPr>
                <w:p w14:paraId="494A630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0.3</w:t>
                  </w:r>
                </w:p>
              </w:tc>
              <w:tc>
                <w:tcPr>
                  <w:tcW w:w="4937" w:type="dxa"/>
                  <w:vMerge w:val="restart"/>
                  <w:tcBorders>
                    <w:tl2br w:val="nil"/>
                    <w:tr2bl w:val="nil"/>
                  </w:tcBorders>
                  <w:shd w:val="clear" w:color="auto" w:fill="auto"/>
                  <w:noWrap w:val="0"/>
                  <w:vAlign w:val="center"/>
                </w:tcPr>
                <w:p w14:paraId="06D6772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废矿物油、废油桶分类收集，分区贮存于现有危险废物贮存库，定期委托有资质单位处置</w:t>
                  </w:r>
                </w:p>
              </w:tc>
              <w:tc>
                <w:tcPr>
                  <w:tcW w:w="2268" w:type="dxa"/>
                  <w:gridSpan w:val="2"/>
                  <w:tcBorders>
                    <w:tl2br w:val="nil"/>
                    <w:tr2bl w:val="nil"/>
                  </w:tcBorders>
                  <w:shd w:val="clear" w:color="auto" w:fill="auto"/>
                  <w:noWrap w:val="0"/>
                  <w:vAlign w:val="center"/>
                </w:tcPr>
                <w:p w14:paraId="2CB91482">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vMerge w:val="restart"/>
                  <w:tcBorders>
                    <w:tl2br w:val="nil"/>
                    <w:tr2bl w:val="nil"/>
                  </w:tcBorders>
                  <w:shd w:val="clear" w:color="auto" w:fill="auto"/>
                  <w:noWrap w:val="0"/>
                  <w:vAlign w:val="center"/>
                </w:tcPr>
                <w:p w14:paraId="2365891A">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r>
            <w:tr w14:paraId="4EF50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4C3BC9E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11BA6D0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废油桶</w:t>
                  </w:r>
                </w:p>
              </w:tc>
              <w:tc>
                <w:tcPr>
                  <w:tcW w:w="1825" w:type="dxa"/>
                  <w:gridSpan w:val="2"/>
                  <w:tcBorders>
                    <w:tl2br w:val="nil"/>
                    <w:tr2bl w:val="nil"/>
                  </w:tcBorders>
                  <w:shd w:val="clear" w:color="auto" w:fill="auto"/>
                  <w:noWrap w:val="0"/>
                  <w:vAlign w:val="center"/>
                </w:tcPr>
                <w:p w14:paraId="140E39E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0.1</w:t>
                  </w:r>
                </w:p>
              </w:tc>
              <w:tc>
                <w:tcPr>
                  <w:tcW w:w="4937" w:type="dxa"/>
                  <w:vMerge w:val="continue"/>
                  <w:tcBorders>
                    <w:tl2br w:val="nil"/>
                    <w:tr2bl w:val="nil"/>
                  </w:tcBorders>
                  <w:noWrap w:val="0"/>
                  <w:vAlign w:val="center"/>
                </w:tcPr>
                <w:p w14:paraId="7DB6562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268" w:type="dxa"/>
                  <w:gridSpan w:val="2"/>
                  <w:tcBorders>
                    <w:tl2br w:val="nil"/>
                    <w:tr2bl w:val="nil"/>
                  </w:tcBorders>
                  <w:noWrap w:val="0"/>
                  <w:vAlign w:val="center"/>
                </w:tcPr>
                <w:p w14:paraId="5419EBE5">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vMerge w:val="continue"/>
                  <w:tcBorders>
                    <w:tl2br w:val="nil"/>
                    <w:tr2bl w:val="nil"/>
                  </w:tcBorders>
                  <w:noWrap w:val="0"/>
                  <w:vAlign w:val="center"/>
                </w:tcPr>
                <w:p w14:paraId="1A6E451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719F8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nil"/>
                    <w:tr2bl w:val="nil"/>
                  </w:tcBorders>
                  <w:noWrap w:val="0"/>
                  <w:vAlign w:val="center"/>
                </w:tcPr>
                <w:p w14:paraId="63B22488">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1089" w:type="dxa"/>
                  <w:tcBorders>
                    <w:tl2br w:val="nil"/>
                    <w:tr2bl w:val="nil"/>
                  </w:tcBorders>
                  <w:shd w:val="clear" w:color="auto" w:fill="auto"/>
                  <w:noWrap w:val="0"/>
                  <w:vAlign w:val="center"/>
                </w:tcPr>
                <w:p w14:paraId="5192179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生活垃圾</w:t>
                  </w:r>
                </w:p>
              </w:tc>
              <w:tc>
                <w:tcPr>
                  <w:tcW w:w="1825" w:type="dxa"/>
                  <w:gridSpan w:val="2"/>
                  <w:tcBorders>
                    <w:tl2br w:val="nil"/>
                    <w:tr2bl w:val="nil"/>
                  </w:tcBorders>
                  <w:shd w:val="clear" w:color="auto" w:fill="auto"/>
                  <w:noWrap w:val="0"/>
                  <w:vAlign w:val="center"/>
                </w:tcPr>
                <w:p w14:paraId="30D84C4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1.65</w:t>
                  </w:r>
                </w:p>
              </w:tc>
              <w:tc>
                <w:tcPr>
                  <w:tcW w:w="4937" w:type="dxa"/>
                  <w:tcBorders>
                    <w:tl2br w:val="nil"/>
                    <w:tr2bl w:val="nil"/>
                  </w:tcBorders>
                  <w:shd w:val="clear" w:color="auto" w:fill="auto"/>
                  <w:noWrap w:val="0"/>
                  <w:vAlign w:val="center"/>
                </w:tcPr>
                <w:p w14:paraId="747D5AD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集中收集后由环卫部门统一处置</w:t>
                  </w:r>
                </w:p>
              </w:tc>
              <w:tc>
                <w:tcPr>
                  <w:tcW w:w="2268" w:type="dxa"/>
                  <w:gridSpan w:val="2"/>
                  <w:tcBorders>
                    <w:tl2br w:val="nil"/>
                    <w:tr2bl w:val="nil"/>
                  </w:tcBorders>
                  <w:noWrap w:val="0"/>
                  <w:vAlign w:val="center"/>
                </w:tcPr>
                <w:p w14:paraId="6267273E">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976" w:type="dxa"/>
                  <w:tcBorders>
                    <w:tl2br w:val="nil"/>
                    <w:tr2bl w:val="nil"/>
                  </w:tcBorders>
                  <w:noWrap w:val="0"/>
                  <w:vAlign w:val="center"/>
                </w:tcPr>
                <w:p w14:paraId="7168BBF6">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6493B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tcBorders>
                    <w:tl2br w:val="nil"/>
                    <w:tr2bl w:val="nil"/>
                  </w:tcBorders>
                  <w:noWrap w:val="0"/>
                  <w:vAlign w:val="center"/>
                </w:tcPr>
                <w:p w14:paraId="0C205F47">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851" w:type="dxa"/>
                  <w:gridSpan w:val="4"/>
                  <w:tcBorders>
                    <w:tl2br w:val="nil"/>
                    <w:tr2bl w:val="nil"/>
                  </w:tcBorders>
                  <w:noWrap w:val="0"/>
                  <w:vAlign w:val="center"/>
                </w:tcPr>
                <w:p w14:paraId="2E2065F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选用低噪声设备，高噪音设备做基础减振、柔性连接</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厂房隔声</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加强管理，</w:t>
                  </w:r>
                  <w:r>
                    <w:rPr>
                      <w:rFonts w:hint="default" w:ascii="Times New Roman" w:hAnsi="Times New Roman" w:eastAsia="宋体" w:cs="Times New Roman"/>
                      <w:bCs/>
                      <w:color w:val="auto"/>
                      <w:sz w:val="21"/>
                      <w:szCs w:val="21"/>
                      <w:highlight w:val="none"/>
                    </w:rPr>
                    <w:t>保持设备运行良好；车辆限速行驶，减少鸣笛</w:t>
                  </w:r>
                </w:p>
              </w:tc>
              <w:tc>
                <w:tcPr>
                  <w:tcW w:w="2268" w:type="dxa"/>
                  <w:gridSpan w:val="2"/>
                  <w:tcBorders>
                    <w:tl2br w:val="nil"/>
                    <w:tr2bl w:val="nil"/>
                  </w:tcBorders>
                  <w:noWrap w:val="0"/>
                  <w:vAlign w:val="center"/>
                </w:tcPr>
                <w:p w14:paraId="3DE1D43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dB(A)</w:t>
                  </w:r>
                </w:p>
                <w:p w14:paraId="4CF10449">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dB(A)</w:t>
                  </w:r>
                </w:p>
              </w:tc>
              <w:tc>
                <w:tcPr>
                  <w:tcW w:w="976" w:type="dxa"/>
                  <w:tcBorders>
                    <w:tl2br w:val="nil"/>
                    <w:tr2bl w:val="nil"/>
                  </w:tcBorders>
                  <w:noWrap w:val="0"/>
                  <w:vAlign w:val="center"/>
                </w:tcPr>
                <w:p w14:paraId="50BC98CB">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5</w:t>
                  </w:r>
                </w:p>
              </w:tc>
            </w:tr>
            <w:tr w14:paraId="311E7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9" w:type="dxa"/>
                  <w:gridSpan w:val="7"/>
                  <w:tcBorders>
                    <w:tl2br w:val="nil"/>
                    <w:tr2bl w:val="nil"/>
                  </w:tcBorders>
                  <w:noWrap w:val="0"/>
                  <w:vAlign w:val="center"/>
                </w:tcPr>
                <w:p w14:paraId="03FB2AAC">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976" w:type="dxa"/>
                  <w:tcBorders>
                    <w:tl2br w:val="nil"/>
                    <w:tr2bl w:val="nil"/>
                  </w:tcBorders>
                  <w:noWrap w:val="0"/>
                  <w:vAlign w:val="center"/>
                </w:tcPr>
                <w:p w14:paraId="1BF3BC31">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170</w:t>
                  </w:r>
                </w:p>
              </w:tc>
            </w:tr>
          </w:tbl>
          <w:p w14:paraId="6418333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rPr>
            </w:pPr>
          </w:p>
          <w:p w14:paraId="497BF6D1">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spacing w:val="0"/>
                <w:kern w:val="2"/>
                <w:sz w:val="21"/>
                <w:szCs w:val="21"/>
                <w:highlight w:val="none"/>
                <w:lang w:val="en-US" w:eastAsia="zh-CN" w:bidi="ar-SA"/>
              </w:rPr>
            </w:pPr>
          </w:p>
          <w:p w14:paraId="7F775407">
            <w:pPr>
              <w:pStyle w:val="6"/>
              <w:rPr>
                <w:rFonts w:hint="eastAsia"/>
                <w:color w:val="auto"/>
                <w:highlight w:val="none"/>
                <w:lang w:val="en-US" w:eastAsia="zh-CN"/>
              </w:rPr>
            </w:pPr>
          </w:p>
          <w:p w14:paraId="61889B50">
            <w:pPr>
              <w:pStyle w:val="6"/>
              <w:rPr>
                <w:rFonts w:hint="eastAsia"/>
                <w:color w:val="auto"/>
                <w:highlight w:val="none"/>
                <w:lang w:val="en-US" w:eastAsia="zh-CN"/>
              </w:rPr>
            </w:pPr>
          </w:p>
          <w:p w14:paraId="33478541">
            <w:pPr>
              <w:pStyle w:val="6"/>
              <w:rPr>
                <w:rFonts w:hint="eastAsia"/>
                <w:color w:val="auto"/>
                <w:highlight w:val="none"/>
                <w:lang w:val="en-US" w:eastAsia="zh-CN"/>
              </w:rPr>
            </w:pPr>
          </w:p>
          <w:p w14:paraId="734D4CFC">
            <w:pPr>
              <w:pStyle w:val="6"/>
              <w:rPr>
                <w:rFonts w:hint="eastAsia"/>
                <w:color w:val="auto"/>
                <w:highlight w:val="none"/>
                <w:lang w:val="en-US" w:eastAsia="zh-CN"/>
              </w:rPr>
            </w:pPr>
          </w:p>
          <w:p w14:paraId="6E86E44F">
            <w:pPr>
              <w:pStyle w:val="6"/>
              <w:rPr>
                <w:rFonts w:hint="eastAsia"/>
                <w:color w:val="auto"/>
                <w:highlight w:val="none"/>
                <w:lang w:val="en-US" w:eastAsia="zh-CN"/>
              </w:rPr>
            </w:pPr>
          </w:p>
          <w:p w14:paraId="093B44AE">
            <w:pPr>
              <w:pStyle w:val="6"/>
              <w:rPr>
                <w:rFonts w:hint="eastAsia"/>
                <w:color w:val="auto"/>
                <w:highlight w:val="none"/>
                <w:lang w:val="en-US" w:eastAsia="zh-CN"/>
              </w:rPr>
            </w:pPr>
          </w:p>
          <w:p w14:paraId="779C1A56">
            <w:pPr>
              <w:pStyle w:val="6"/>
              <w:rPr>
                <w:rFonts w:hint="eastAsia"/>
                <w:color w:val="auto"/>
                <w:highlight w:val="none"/>
                <w:lang w:val="en-US" w:eastAsia="zh-CN"/>
              </w:rPr>
            </w:pPr>
          </w:p>
          <w:p w14:paraId="6E540CC1">
            <w:pPr>
              <w:pStyle w:val="6"/>
              <w:rPr>
                <w:rFonts w:hint="eastAsia"/>
                <w:color w:val="auto"/>
                <w:highlight w:val="none"/>
                <w:lang w:val="en-US" w:eastAsia="zh-CN"/>
              </w:rPr>
            </w:pPr>
          </w:p>
          <w:p w14:paraId="67E8B38C">
            <w:pPr>
              <w:pStyle w:val="6"/>
              <w:rPr>
                <w:rFonts w:hint="eastAsia"/>
                <w:color w:val="auto"/>
                <w:highlight w:val="none"/>
                <w:lang w:val="en-US" w:eastAsia="zh-CN"/>
              </w:rPr>
            </w:pPr>
          </w:p>
          <w:p w14:paraId="7CEC8A25">
            <w:pPr>
              <w:pStyle w:val="6"/>
              <w:rPr>
                <w:rFonts w:hint="eastAsia"/>
                <w:color w:val="auto"/>
                <w:highlight w:val="none"/>
                <w:lang w:val="en-US" w:eastAsia="zh-CN"/>
              </w:rPr>
            </w:pPr>
          </w:p>
          <w:p w14:paraId="59ADAE50">
            <w:pPr>
              <w:pStyle w:val="6"/>
              <w:rPr>
                <w:rFonts w:hint="eastAsia"/>
                <w:color w:val="auto"/>
                <w:highlight w:val="none"/>
                <w:lang w:val="en-US" w:eastAsia="zh-CN"/>
              </w:rPr>
            </w:pPr>
          </w:p>
          <w:p w14:paraId="77F05991">
            <w:pPr>
              <w:pStyle w:val="6"/>
              <w:rPr>
                <w:rFonts w:hint="eastAsia"/>
                <w:color w:val="auto"/>
                <w:highlight w:val="none"/>
                <w:lang w:val="en-US" w:eastAsia="zh-CN"/>
              </w:rPr>
            </w:pPr>
          </w:p>
          <w:p w14:paraId="775BA8B6">
            <w:pPr>
              <w:pStyle w:val="6"/>
              <w:rPr>
                <w:rFonts w:hint="eastAsia"/>
                <w:color w:val="auto"/>
                <w:highlight w:val="none"/>
                <w:lang w:val="en-US" w:eastAsia="zh-CN"/>
              </w:rPr>
            </w:pPr>
          </w:p>
          <w:p w14:paraId="44A15AE7">
            <w:pPr>
              <w:pStyle w:val="6"/>
              <w:rPr>
                <w:rFonts w:hint="eastAsia"/>
                <w:color w:val="auto"/>
                <w:highlight w:val="none"/>
                <w:lang w:val="en-US" w:eastAsia="zh-CN"/>
              </w:rPr>
            </w:pPr>
          </w:p>
          <w:p w14:paraId="66896E1D">
            <w:pPr>
              <w:pStyle w:val="6"/>
              <w:rPr>
                <w:rFonts w:hint="eastAsia"/>
                <w:color w:val="auto"/>
                <w:highlight w:val="none"/>
                <w:lang w:val="en-US" w:eastAsia="zh-CN"/>
              </w:rPr>
            </w:pPr>
          </w:p>
          <w:p w14:paraId="22D75E6D">
            <w:pPr>
              <w:pStyle w:val="6"/>
              <w:rPr>
                <w:rFonts w:hint="eastAsia"/>
                <w:color w:val="auto"/>
                <w:highlight w:val="none"/>
                <w:lang w:val="en-US" w:eastAsia="zh-CN"/>
              </w:rPr>
            </w:pPr>
          </w:p>
          <w:p w14:paraId="5078FFA5">
            <w:pPr>
              <w:pStyle w:val="6"/>
              <w:rPr>
                <w:rFonts w:hint="eastAsia"/>
                <w:color w:val="auto"/>
                <w:highlight w:val="none"/>
                <w:lang w:val="en-US" w:eastAsia="zh-CN"/>
              </w:rPr>
            </w:pPr>
          </w:p>
          <w:p w14:paraId="5EAC1E73">
            <w:pPr>
              <w:pStyle w:val="6"/>
              <w:rPr>
                <w:rFonts w:hint="eastAsia"/>
                <w:color w:val="auto"/>
                <w:highlight w:val="none"/>
                <w:lang w:val="en-US" w:eastAsia="zh-CN"/>
              </w:rPr>
            </w:pPr>
          </w:p>
          <w:p w14:paraId="1BEB930C">
            <w:pPr>
              <w:pStyle w:val="6"/>
              <w:rPr>
                <w:rFonts w:hint="eastAsia"/>
                <w:color w:val="auto"/>
                <w:highlight w:val="none"/>
                <w:lang w:val="en-US" w:eastAsia="zh-CN"/>
              </w:rPr>
            </w:pPr>
          </w:p>
          <w:p w14:paraId="20873A75">
            <w:pPr>
              <w:pStyle w:val="6"/>
              <w:rPr>
                <w:rFonts w:hint="eastAsia"/>
                <w:color w:val="auto"/>
                <w:highlight w:val="none"/>
                <w:lang w:val="en-US" w:eastAsia="zh-CN"/>
              </w:rPr>
            </w:pPr>
          </w:p>
          <w:p w14:paraId="44E85134">
            <w:pPr>
              <w:pStyle w:val="6"/>
              <w:rPr>
                <w:rFonts w:hint="eastAsia"/>
                <w:color w:val="auto"/>
                <w:highlight w:val="none"/>
                <w:lang w:val="en-US" w:eastAsia="zh-CN"/>
              </w:rPr>
            </w:pPr>
          </w:p>
          <w:p w14:paraId="41E85CFF">
            <w:pPr>
              <w:pStyle w:val="6"/>
              <w:rPr>
                <w:rFonts w:hint="eastAsia"/>
                <w:color w:val="auto"/>
                <w:highlight w:val="none"/>
                <w:lang w:val="en-US" w:eastAsia="zh-CN"/>
              </w:rPr>
            </w:pPr>
          </w:p>
          <w:p w14:paraId="6FF80CAE">
            <w:pPr>
              <w:pStyle w:val="6"/>
              <w:rPr>
                <w:rFonts w:hint="eastAsia"/>
                <w:color w:val="auto"/>
                <w:highlight w:val="none"/>
                <w:lang w:val="en-US" w:eastAsia="zh-CN"/>
              </w:rPr>
            </w:pPr>
          </w:p>
          <w:p w14:paraId="24A646CF">
            <w:pPr>
              <w:pStyle w:val="6"/>
              <w:rPr>
                <w:rFonts w:hint="eastAsia"/>
                <w:color w:val="auto"/>
                <w:highlight w:val="none"/>
                <w:lang w:val="en-US" w:eastAsia="zh-CN"/>
              </w:rPr>
            </w:pPr>
          </w:p>
          <w:p w14:paraId="3805188D">
            <w:pPr>
              <w:pStyle w:val="6"/>
              <w:rPr>
                <w:rFonts w:hint="eastAsia"/>
                <w:color w:val="auto"/>
                <w:highlight w:val="none"/>
                <w:lang w:val="en-US" w:eastAsia="zh-CN"/>
              </w:rPr>
            </w:pPr>
          </w:p>
          <w:p w14:paraId="4139B875">
            <w:pPr>
              <w:pStyle w:val="6"/>
              <w:rPr>
                <w:rFonts w:hint="eastAsia"/>
                <w:color w:val="auto"/>
                <w:highlight w:val="none"/>
                <w:lang w:val="en-US" w:eastAsia="zh-CN"/>
              </w:rPr>
            </w:pPr>
          </w:p>
          <w:p w14:paraId="31553427">
            <w:pPr>
              <w:pStyle w:val="6"/>
              <w:rPr>
                <w:rFonts w:hint="default"/>
                <w:color w:val="auto"/>
                <w:highlight w:val="none"/>
                <w:lang w:val="en-US" w:eastAsia="zh-CN"/>
              </w:rPr>
            </w:pPr>
          </w:p>
        </w:tc>
      </w:tr>
    </w:tbl>
    <w:p w14:paraId="4BAED7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iCs/>
          <w:color w:val="auto"/>
          <w:kern w:val="2"/>
          <w:sz w:val="21"/>
          <w:szCs w:val="21"/>
          <w:highlight w:val="none"/>
          <w:lang w:val="en-US" w:eastAsia="zh-CN" w:bidi="ar-SA"/>
        </w:rPr>
      </w:pPr>
    </w:p>
    <w:p w14:paraId="14A45270">
      <w:pPr>
        <w:pStyle w:val="22"/>
        <w:rPr>
          <w:rFonts w:hint="default"/>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246AAB58">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0" w:name="_Hlk54167917"/>
      <w:r>
        <w:rPr>
          <w:rFonts w:hint="default" w:ascii="Times New Roman" w:hAnsi="Times New Roman" w:eastAsia="黑体" w:cs="Times New Roman"/>
          <w:snapToGrid w:val="0"/>
          <w:color w:val="auto"/>
          <w:sz w:val="30"/>
          <w:szCs w:val="30"/>
          <w:highlight w:val="none"/>
        </w:rPr>
        <w:t>环境保护措施监督检查清单</w:t>
      </w:r>
      <w:bookmarkEnd w:id="1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497"/>
        <w:gridCol w:w="853"/>
        <w:gridCol w:w="3281"/>
        <w:gridCol w:w="2041"/>
      </w:tblGrid>
      <w:tr w14:paraId="41D70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8" w:type="dxa"/>
            <w:tcBorders>
              <w:tl2br w:val="single" w:color="auto" w:sz="4" w:space="0"/>
            </w:tcBorders>
            <w:noWrap w:val="0"/>
            <w:vAlign w:val="top"/>
          </w:tcPr>
          <w:p w14:paraId="32132F4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righ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14:paraId="65D133F3">
            <w:pPr>
              <w:keepNext w:val="0"/>
              <w:keepLines w:val="0"/>
              <w:pageBreakBefore w:val="0"/>
              <w:widowControl w:val="0"/>
              <w:kinsoku/>
              <w:wordWrap/>
              <w:overflowPunct/>
              <w:topLinePunct w:val="0"/>
              <w:autoSpaceDE/>
              <w:autoSpaceDN/>
              <w:bidi w:val="0"/>
              <w:adjustRightInd w:val="0"/>
              <w:snapToGrid w:val="0"/>
              <w:spacing w:line="320" w:lineRule="exact"/>
              <w:ind w:firstLine="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497" w:type="dxa"/>
            <w:noWrap w:val="0"/>
            <w:vAlign w:val="center"/>
          </w:tcPr>
          <w:p w14:paraId="333F12AD">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编号、名称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853" w:type="dxa"/>
            <w:noWrap w:val="0"/>
            <w:vAlign w:val="center"/>
          </w:tcPr>
          <w:p w14:paraId="2703AD03">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p w14:paraId="69CB539A">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3281" w:type="dxa"/>
            <w:noWrap w:val="0"/>
            <w:vAlign w:val="center"/>
          </w:tcPr>
          <w:p w14:paraId="0E5D3CBA">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2041" w:type="dxa"/>
            <w:noWrap w:val="0"/>
            <w:vAlign w:val="center"/>
          </w:tcPr>
          <w:p w14:paraId="5AFDC941">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14:paraId="1A878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restart"/>
            <w:noWrap w:val="0"/>
            <w:vAlign w:val="center"/>
          </w:tcPr>
          <w:p w14:paraId="06B56229">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497" w:type="dxa"/>
            <w:noWrap w:val="0"/>
            <w:vAlign w:val="center"/>
          </w:tcPr>
          <w:p w14:paraId="4EA4422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矸石堆存扬尘</w:t>
            </w:r>
          </w:p>
        </w:tc>
        <w:tc>
          <w:tcPr>
            <w:tcW w:w="853" w:type="dxa"/>
            <w:noWrap w:val="0"/>
            <w:vAlign w:val="center"/>
          </w:tcPr>
          <w:p w14:paraId="625556CE">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281" w:type="dxa"/>
            <w:noWrap w:val="0"/>
            <w:vAlign w:val="center"/>
          </w:tcPr>
          <w:p w14:paraId="7C9FABA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全封闭</w:t>
            </w:r>
            <w:r>
              <w:rPr>
                <w:rFonts w:hint="eastAsia" w:ascii="Times New Roman" w:hAnsi="Times New Roman" w:eastAsia="宋体" w:cs="Times New Roman"/>
                <w:color w:val="auto"/>
                <w:spacing w:val="0"/>
                <w:kern w:val="2"/>
                <w:sz w:val="21"/>
                <w:szCs w:val="21"/>
                <w:highlight w:val="none"/>
                <w:vertAlign w:val="baseline"/>
                <w:lang w:val="en-US" w:eastAsia="zh-CN" w:bidi="ar-SA"/>
              </w:rPr>
              <w:t>储矸棚</w:t>
            </w:r>
            <w:r>
              <w:rPr>
                <w:rFonts w:hint="default" w:ascii="Times New Roman" w:hAnsi="Times New Roman" w:eastAsia="宋体" w:cs="Times New Roman"/>
                <w:color w:val="auto"/>
                <w:spacing w:val="0"/>
                <w:kern w:val="2"/>
                <w:sz w:val="21"/>
                <w:szCs w:val="21"/>
                <w:highlight w:val="none"/>
                <w:vertAlign w:val="baseline"/>
                <w:lang w:val="en-US" w:eastAsia="zh-CN" w:bidi="ar-SA"/>
              </w:rPr>
              <w:t>，地面硬化，棚顶设置1套可覆盖全场的喷雾降尘装置，</w:t>
            </w:r>
            <w:r>
              <w:rPr>
                <w:rFonts w:hint="eastAsia" w:ascii="Times New Roman" w:hAnsi="Times New Roman" w:eastAsia="宋体" w:cs="Times New Roman"/>
                <w:color w:val="auto"/>
                <w:spacing w:val="0"/>
                <w:kern w:val="2"/>
                <w:sz w:val="21"/>
                <w:szCs w:val="21"/>
                <w:highlight w:val="none"/>
                <w:vertAlign w:val="baseline"/>
                <w:lang w:val="en-US" w:eastAsia="zh-CN" w:bidi="ar-SA"/>
              </w:rPr>
              <w:t>喷雾</w:t>
            </w:r>
            <w:r>
              <w:rPr>
                <w:rFonts w:hint="default" w:ascii="Times New Roman" w:hAnsi="Times New Roman" w:eastAsia="宋体" w:cs="Times New Roman"/>
                <w:color w:val="auto"/>
                <w:spacing w:val="0"/>
                <w:kern w:val="2"/>
                <w:sz w:val="21"/>
                <w:szCs w:val="21"/>
                <w:highlight w:val="none"/>
                <w:vertAlign w:val="baseline"/>
                <w:lang w:val="en-US" w:eastAsia="zh-CN" w:bidi="ar-SA"/>
              </w:rPr>
              <w:t>频次为每2小时1次</w:t>
            </w:r>
            <w:r>
              <w:rPr>
                <w:rFonts w:hint="eastAsia" w:ascii="Times New Roman" w:hAnsi="Times New Roman" w:eastAsia="宋体" w:cs="Times New Roman"/>
                <w:color w:val="auto"/>
                <w:spacing w:val="0"/>
                <w:kern w:val="2"/>
                <w:sz w:val="21"/>
                <w:szCs w:val="21"/>
                <w:highlight w:val="none"/>
                <w:vertAlign w:val="baseli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定点卸料，</w:t>
            </w:r>
            <w:r>
              <w:rPr>
                <w:rFonts w:hint="eastAsia" w:cs="Times New Roman"/>
                <w:color w:val="auto"/>
                <w:kern w:val="2"/>
                <w:sz w:val="21"/>
                <w:szCs w:val="21"/>
                <w:highlight w:val="none"/>
                <w:lang w:val="en-US" w:eastAsia="zh-CN" w:bidi="ar-SA"/>
              </w:rPr>
              <w:t>保持</w:t>
            </w:r>
            <w:r>
              <w:rPr>
                <w:rFonts w:hint="default" w:ascii="Times New Roman" w:hAnsi="Times New Roman" w:eastAsia="宋体" w:cs="Times New Roman"/>
                <w:color w:val="auto"/>
                <w:kern w:val="2"/>
                <w:sz w:val="21"/>
                <w:szCs w:val="21"/>
                <w:highlight w:val="none"/>
                <w:lang w:val="en-US" w:eastAsia="zh-CN" w:bidi="ar-SA"/>
              </w:rPr>
              <w:t>平缓，卸料过程开启喷雾降尘装置，持续时长为卸料作业时长</w:t>
            </w:r>
          </w:p>
        </w:tc>
        <w:tc>
          <w:tcPr>
            <w:tcW w:w="2041" w:type="dxa"/>
            <w:noWrap w:val="0"/>
            <w:vAlign w:val="center"/>
          </w:tcPr>
          <w:p w14:paraId="566FFDE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《大气污染物综合排放标准》（GB16297-1996）</w:t>
            </w:r>
          </w:p>
        </w:tc>
      </w:tr>
      <w:tr w14:paraId="5A829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59D5C99B">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6C1BFC8F">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矸石受料斗粉尘</w:t>
            </w:r>
          </w:p>
        </w:tc>
        <w:tc>
          <w:tcPr>
            <w:tcW w:w="853" w:type="dxa"/>
            <w:noWrap w:val="0"/>
            <w:vAlign w:val="center"/>
          </w:tcPr>
          <w:p w14:paraId="1D424FFD">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281" w:type="dxa"/>
            <w:noWrap w:val="0"/>
            <w:vAlign w:val="center"/>
          </w:tcPr>
          <w:p w14:paraId="05A7B6A3">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both"/>
              <w:textAlignment w:val="auto"/>
              <w:rPr>
                <w:rFonts w:hint="eastAsia"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lang w:val="en-US" w:eastAsia="zh-CN" w:bidi="ar-SA"/>
              </w:rPr>
              <w:t>矸石受料斗位于全封闭储矸棚内，为半地埋式结构</w:t>
            </w:r>
            <w:r>
              <w:rPr>
                <w:rFonts w:hint="eastAsia" w:cs="Times New Roman"/>
                <w:color w:val="auto"/>
                <w:kern w:val="2"/>
                <w:sz w:val="21"/>
                <w:szCs w:val="21"/>
                <w:highlight w:val="none"/>
                <w:lang w:val="en-US" w:eastAsia="zh-CN" w:bidi="ar-SA"/>
              </w:rPr>
              <w:t>；受料斗上方设置1个半密闭集气罩</w:t>
            </w:r>
            <w:r>
              <w:rPr>
                <w:rFonts w:hint="default" w:ascii="Times New Roman" w:hAnsi="Times New Roman" w:cs="Times New Roman"/>
                <w:color w:val="auto"/>
                <w:kern w:val="2"/>
                <w:sz w:val="21"/>
                <w:szCs w:val="21"/>
                <w:highlight w:val="none"/>
                <w:lang w:val="en-US" w:eastAsia="zh-CN" w:bidi="ar-SA"/>
              </w:rPr>
              <w:t>（采用通风柜形式，彩钢板三面封闭），粉尘经收集引入1台袋式除尘器进行处理，处理后由1根15m高排气筒排放（</w:t>
            </w:r>
            <w:r>
              <w:rPr>
                <w:rFonts w:hint="eastAsia" w:cs="Times New Roman"/>
                <w:color w:val="auto"/>
                <w:kern w:val="2"/>
                <w:sz w:val="21"/>
                <w:szCs w:val="21"/>
                <w:highlight w:val="none"/>
                <w:lang w:val="en-US" w:eastAsia="zh-CN" w:bidi="ar-SA"/>
              </w:rPr>
              <w:t>DA001，</w:t>
            </w:r>
            <w:r>
              <w:rPr>
                <w:rFonts w:hint="default" w:ascii="Times New Roman" w:hAnsi="Times New Roman" w:cs="Times New Roman"/>
                <w:color w:val="auto"/>
                <w:kern w:val="2"/>
                <w:sz w:val="21"/>
                <w:szCs w:val="21"/>
                <w:highlight w:val="none"/>
                <w:lang w:val="en-US" w:eastAsia="zh-CN" w:bidi="ar-SA"/>
              </w:rPr>
              <w:t>内径0.</w:t>
            </w:r>
            <w:r>
              <w:rPr>
                <w:rFonts w:hint="eastAsia" w:ascii="Times New Roman" w:hAnsi="Times New Roman" w:cs="Times New Roman"/>
                <w:color w:val="auto"/>
                <w:kern w:val="2"/>
                <w:sz w:val="21"/>
                <w:szCs w:val="21"/>
                <w:highlight w:val="none"/>
                <w:lang w:val="en-US" w:eastAsia="zh-CN" w:bidi="ar-SA"/>
              </w:rPr>
              <w:t>3</w:t>
            </w:r>
            <w:r>
              <w:rPr>
                <w:rFonts w:hint="default" w:ascii="Times New Roman" w:hAnsi="Times New Roman" w:cs="Times New Roman"/>
                <w:color w:val="auto"/>
                <w:kern w:val="2"/>
                <w:sz w:val="21"/>
                <w:szCs w:val="21"/>
                <w:highlight w:val="none"/>
                <w:lang w:val="en-US" w:eastAsia="zh-CN" w:bidi="ar-SA"/>
              </w:rPr>
              <w:t>m）</w:t>
            </w:r>
          </w:p>
        </w:tc>
        <w:tc>
          <w:tcPr>
            <w:tcW w:w="2041" w:type="dxa"/>
            <w:noWrap w:val="0"/>
            <w:vAlign w:val="center"/>
          </w:tcPr>
          <w:p w14:paraId="3E72730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长治市大气污染防治工作领导组办公室文件《关于印发长治市工业企业无组织排放治理实施方案》（长气防办[2019]9号）的通知</w:t>
            </w:r>
          </w:p>
        </w:tc>
      </w:tr>
      <w:tr w14:paraId="3796B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4C5FC5F4">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4BD1BC9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水泥</w:t>
            </w:r>
            <w:r>
              <w:rPr>
                <w:rFonts w:hint="eastAsia" w:ascii="Times New Roman" w:hAnsi="Times New Roman" w:eastAsia="宋体" w:cs="Times New Roman"/>
                <w:color w:val="auto"/>
                <w:kern w:val="2"/>
                <w:sz w:val="21"/>
                <w:szCs w:val="21"/>
                <w:highlight w:val="none"/>
                <w:lang w:val="en-US" w:eastAsia="zh-CN" w:bidi="ar-SA"/>
              </w:rPr>
              <w:t>筒仓粉尘</w:t>
            </w:r>
          </w:p>
        </w:tc>
        <w:tc>
          <w:tcPr>
            <w:tcW w:w="853" w:type="dxa"/>
            <w:noWrap w:val="0"/>
            <w:vAlign w:val="center"/>
          </w:tcPr>
          <w:p w14:paraId="653EBF2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281" w:type="dxa"/>
            <w:noWrap w:val="0"/>
            <w:vAlign w:val="center"/>
          </w:tcPr>
          <w:p w14:paraId="48109D6C">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每座水泥筒仓仓顶均配套设置1台袋式除尘器（共</w:t>
            </w:r>
            <w:r>
              <w:rPr>
                <w:rFonts w:hint="eastAsia" w:cs="Times New Roman"/>
                <w:color w:val="auto"/>
                <w:spacing w:val="0"/>
                <w:kern w:val="2"/>
                <w:sz w:val="21"/>
                <w:szCs w:val="21"/>
                <w:highlight w:val="none"/>
                <w:lang w:val="en-US" w:eastAsia="zh-CN" w:bidi="ar-SA"/>
              </w:rPr>
              <w:t>6</w:t>
            </w:r>
            <w:r>
              <w:rPr>
                <w:rFonts w:hint="eastAsia" w:ascii="Times New Roman" w:hAnsi="Times New Roman" w:eastAsia="宋体" w:cs="Times New Roman"/>
                <w:color w:val="auto"/>
                <w:spacing w:val="0"/>
                <w:kern w:val="2"/>
                <w:sz w:val="21"/>
                <w:szCs w:val="21"/>
                <w:highlight w:val="none"/>
                <w:lang w:val="en-US" w:eastAsia="zh-CN" w:bidi="ar-SA"/>
              </w:rPr>
              <w:t>台），仓顶呼吸孔均设集气管，每台袋式除尘器均配套设置1根排气筒（共</w:t>
            </w:r>
            <w:r>
              <w:rPr>
                <w:rFonts w:hint="eastAsia" w:cs="Times New Roman"/>
                <w:color w:val="auto"/>
                <w:spacing w:val="0"/>
                <w:kern w:val="2"/>
                <w:sz w:val="21"/>
                <w:szCs w:val="21"/>
                <w:highlight w:val="none"/>
                <w:lang w:val="en-US" w:eastAsia="zh-CN" w:bidi="ar-SA"/>
              </w:rPr>
              <w:t>6</w:t>
            </w:r>
            <w:r>
              <w:rPr>
                <w:rFonts w:hint="eastAsia" w:ascii="Times New Roman" w:hAnsi="Times New Roman" w:eastAsia="宋体" w:cs="Times New Roman"/>
                <w:color w:val="auto"/>
                <w:spacing w:val="0"/>
                <w:kern w:val="2"/>
                <w:sz w:val="21"/>
                <w:szCs w:val="21"/>
                <w:highlight w:val="none"/>
                <w:lang w:val="en-US" w:eastAsia="zh-CN" w:bidi="ar-SA"/>
              </w:rPr>
              <w:t>根，</w:t>
            </w:r>
            <w:r>
              <w:rPr>
                <w:rFonts w:hint="eastAsia" w:cs="Times New Roman"/>
                <w:color w:val="auto"/>
                <w:spacing w:val="0"/>
                <w:kern w:val="2"/>
                <w:sz w:val="21"/>
                <w:szCs w:val="21"/>
                <w:highlight w:val="none"/>
                <w:lang w:val="en-US" w:eastAsia="zh-CN" w:bidi="ar-SA"/>
              </w:rPr>
              <w:t>高度20m，内径0.3m</w:t>
            </w:r>
            <w:r>
              <w:rPr>
                <w:rFonts w:hint="eastAsia" w:ascii="Times New Roman" w:hAnsi="Times New Roman" w:eastAsia="宋体" w:cs="Times New Roman"/>
                <w:color w:val="auto"/>
                <w:spacing w:val="0"/>
                <w:kern w:val="2"/>
                <w:sz w:val="21"/>
                <w:szCs w:val="21"/>
                <w:highlight w:val="none"/>
                <w:lang w:val="en-US" w:eastAsia="zh-CN" w:bidi="ar-SA"/>
              </w:rPr>
              <w:t>），粉尘经各自配套袋式除尘器处理后由配套排气筒（DA00</w:t>
            </w:r>
            <w:r>
              <w:rPr>
                <w:rFonts w:hint="eastAsia" w:cs="Times New Roman"/>
                <w:color w:val="auto"/>
                <w:spacing w:val="0"/>
                <w:kern w:val="2"/>
                <w:sz w:val="21"/>
                <w:szCs w:val="21"/>
                <w:highlight w:val="none"/>
                <w:lang w:val="en-US" w:eastAsia="zh-CN" w:bidi="ar-SA"/>
              </w:rPr>
              <w:t>2</w:t>
            </w:r>
            <w:r>
              <w:rPr>
                <w:rFonts w:hint="eastAsia" w:ascii="Times New Roman" w:hAnsi="Times New Roman" w:eastAsia="宋体" w:cs="Times New Roman"/>
                <w:color w:val="auto"/>
                <w:spacing w:val="0"/>
                <w:kern w:val="2"/>
                <w:sz w:val="21"/>
                <w:szCs w:val="21"/>
                <w:highlight w:val="none"/>
                <w:lang w:val="en-US" w:eastAsia="zh-CN" w:bidi="ar-SA"/>
              </w:rPr>
              <w:t>~DA00</w:t>
            </w:r>
            <w:r>
              <w:rPr>
                <w:rFonts w:hint="eastAsia" w:cs="Times New Roman"/>
                <w:color w:val="auto"/>
                <w:spacing w:val="0"/>
                <w:kern w:val="2"/>
                <w:sz w:val="21"/>
                <w:szCs w:val="21"/>
                <w:highlight w:val="none"/>
                <w:lang w:val="en-US" w:eastAsia="zh-CN" w:bidi="ar-SA"/>
              </w:rPr>
              <w:t>7</w:t>
            </w:r>
            <w:r>
              <w:rPr>
                <w:rFonts w:hint="eastAsia" w:ascii="Times New Roman" w:hAnsi="Times New Roman" w:eastAsia="宋体" w:cs="Times New Roman"/>
                <w:color w:val="auto"/>
                <w:spacing w:val="0"/>
                <w:kern w:val="2"/>
                <w:sz w:val="21"/>
                <w:szCs w:val="21"/>
                <w:highlight w:val="none"/>
                <w:lang w:val="en-US" w:eastAsia="zh-CN" w:bidi="ar-SA"/>
              </w:rPr>
              <w:t>）排放</w:t>
            </w:r>
          </w:p>
        </w:tc>
        <w:tc>
          <w:tcPr>
            <w:tcW w:w="2041" w:type="dxa"/>
            <w:noWrap w:val="0"/>
            <w:vAlign w:val="center"/>
          </w:tcPr>
          <w:p w14:paraId="4EDCA31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长治市大气污染防治工作领导组办公室文件《关于印发长治市工业企业无组织排放治理实施方案》（长气防办[2019]9号）的通知</w:t>
            </w:r>
          </w:p>
        </w:tc>
      </w:tr>
      <w:tr w14:paraId="6E779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775B1035">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79DE475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制浆机粉尘</w:t>
            </w:r>
          </w:p>
        </w:tc>
        <w:tc>
          <w:tcPr>
            <w:tcW w:w="853" w:type="dxa"/>
            <w:noWrap w:val="0"/>
            <w:vAlign w:val="center"/>
          </w:tcPr>
          <w:p w14:paraId="79B624F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3281" w:type="dxa"/>
            <w:noWrap w:val="0"/>
            <w:vAlign w:val="center"/>
          </w:tcPr>
          <w:p w14:paraId="5FBAD4F4">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高速制浆机位于全封闭制浆车间内，每台制浆机上方均安装集气管道，粉尘经集气管道引入1台袋式除尘器</w:t>
            </w:r>
            <w:r>
              <w:rPr>
                <w:rFonts w:hint="eastAsia" w:cs="Times New Roman"/>
                <w:color w:val="auto"/>
                <w:kern w:val="2"/>
                <w:sz w:val="21"/>
                <w:szCs w:val="21"/>
                <w:highlight w:val="none"/>
                <w:lang w:val="en-US" w:eastAsia="zh-CN" w:bidi="ar-SA"/>
              </w:rPr>
              <w:t>（风量26000m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/h，过滤面积542m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，滤袋材质为涤纶针刺毡，过滤风速0.8m/min）</w:t>
            </w:r>
            <w:r>
              <w:rPr>
                <w:rFonts w:hint="eastAsia" w:ascii="Times New Roman" w:hAnsi="Times New Roman" w:eastAsia="宋体" w:cs="Times New Roman"/>
                <w:color w:val="auto"/>
                <w:spacing w:val="0"/>
                <w:kern w:val="2"/>
                <w:sz w:val="21"/>
                <w:szCs w:val="21"/>
                <w:highlight w:val="none"/>
                <w:lang w:val="en-US" w:eastAsia="zh-CN" w:bidi="ar-SA"/>
              </w:rPr>
              <w:t>进行处理，处理后由1根15m高排气筒排放（</w:t>
            </w:r>
            <w:r>
              <w:rPr>
                <w:rFonts w:hint="eastAsia" w:cs="Times New Roman"/>
                <w:color w:val="auto"/>
                <w:spacing w:val="0"/>
                <w:kern w:val="2"/>
                <w:sz w:val="21"/>
                <w:szCs w:val="21"/>
                <w:highlight w:val="none"/>
                <w:lang w:val="en-US" w:eastAsia="zh-CN" w:bidi="ar-SA"/>
              </w:rPr>
              <w:t>DA008，</w:t>
            </w:r>
            <w:r>
              <w:rPr>
                <w:rFonts w:hint="eastAsia" w:ascii="Times New Roman" w:hAnsi="Times New Roman" w:eastAsia="宋体" w:cs="Times New Roman"/>
                <w:color w:val="auto"/>
                <w:spacing w:val="0"/>
                <w:kern w:val="2"/>
                <w:sz w:val="21"/>
                <w:szCs w:val="21"/>
                <w:highlight w:val="none"/>
                <w:lang w:val="en-US" w:eastAsia="zh-CN" w:bidi="ar-SA"/>
              </w:rPr>
              <w:t>内径0.3m）</w:t>
            </w:r>
          </w:p>
        </w:tc>
        <w:tc>
          <w:tcPr>
            <w:tcW w:w="2041" w:type="dxa"/>
            <w:noWrap w:val="0"/>
            <w:vAlign w:val="center"/>
          </w:tcPr>
          <w:p w14:paraId="4EDCE0C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长治市大气污染防治工作领导组办公室文件《关于印发长治市工业企业无组织排放治理实施方案》（长气防办[2019]9号）的通知</w:t>
            </w:r>
          </w:p>
        </w:tc>
      </w:tr>
      <w:tr w14:paraId="01B5D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0953A13C">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56567401">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物料输送粉尘</w:t>
            </w:r>
          </w:p>
        </w:tc>
        <w:tc>
          <w:tcPr>
            <w:tcW w:w="853" w:type="dxa"/>
            <w:noWrap w:val="0"/>
            <w:vAlign w:val="center"/>
          </w:tcPr>
          <w:p w14:paraId="770E4BCA">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281" w:type="dxa"/>
            <w:noWrap w:val="0"/>
            <w:vAlign w:val="center"/>
          </w:tcPr>
          <w:p w14:paraId="39AA3D5B">
            <w:pPr>
              <w:pStyle w:val="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水泥采用全封闭螺旋输送机供料</w:t>
            </w:r>
          </w:p>
        </w:tc>
        <w:tc>
          <w:tcPr>
            <w:tcW w:w="2041" w:type="dxa"/>
            <w:noWrap w:val="0"/>
            <w:vAlign w:val="center"/>
          </w:tcPr>
          <w:p w14:paraId="47EC1C5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GB16297-1996</w:t>
            </w:r>
            <w:r>
              <w:rPr>
                <w:rFonts w:hint="eastAsia" w:ascii="Times New Roman" w:hAnsi="Times New Roman" w:eastAsia="宋体" w:cs="Times New Roman"/>
                <w:color w:val="auto"/>
                <w:kern w:val="2"/>
                <w:sz w:val="21"/>
                <w:szCs w:val="21"/>
                <w:highlight w:val="none"/>
                <w:lang w:val="en-US" w:eastAsia="zh-CN" w:bidi="ar-SA"/>
              </w:rPr>
              <w:t>）</w:t>
            </w:r>
          </w:p>
        </w:tc>
      </w:tr>
      <w:tr w14:paraId="756BF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31B26FB4">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75F54A84">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道路</w:t>
            </w:r>
            <w:r>
              <w:rPr>
                <w:rFonts w:ascii="Times New Roman" w:hAnsi="Times New Roman" w:eastAsia="宋体" w:cs="Times New Roman"/>
                <w:color w:val="auto"/>
                <w:kern w:val="2"/>
                <w:sz w:val="21"/>
                <w:highlight w:val="none"/>
                <w:lang w:val="en-US" w:eastAsia="zh-CN" w:bidi="ar-SA"/>
              </w:rPr>
              <w:t>运输扬尘</w:t>
            </w:r>
          </w:p>
        </w:tc>
        <w:tc>
          <w:tcPr>
            <w:tcW w:w="853" w:type="dxa"/>
            <w:noWrap w:val="0"/>
            <w:vAlign w:val="center"/>
          </w:tcPr>
          <w:p w14:paraId="0731FE93">
            <w:pPr>
              <w:keepNext w:val="0"/>
              <w:keepLines w:val="0"/>
              <w:pageBreakBefore w:val="0"/>
              <w:widowControl w:val="0"/>
              <w:kinsoku/>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颗粒物</w:t>
            </w:r>
          </w:p>
        </w:tc>
        <w:tc>
          <w:tcPr>
            <w:tcW w:w="3281" w:type="dxa"/>
            <w:noWrap w:val="0"/>
            <w:vAlign w:val="center"/>
          </w:tcPr>
          <w:p w14:paraId="4D5981D7">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厂区地面硬化，定期洒水抑尘；运输车辆采用全封闭厢式车，车辆离开厂区时，对汽车轮胎清洗后方可上路</w:t>
            </w:r>
          </w:p>
        </w:tc>
        <w:tc>
          <w:tcPr>
            <w:tcW w:w="2041" w:type="dxa"/>
            <w:noWrap w:val="0"/>
            <w:vAlign w:val="center"/>
          </w:tcPr>
          <w:p w14:paraId="0E0E3A0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GB16297-1996</w:t>
            </w:r>
            <w:r>
              <w:rPr>
                <w:rFonts w:hint="eastAsia" w:ascii="Times New Roman" w:hAnsi="Times New Roman" w:eastAsia="宋体" w:cs="Times New Roman"/>
                <w:color w:val="auto"/>
                <w:kern w:val="2"/>
                <w:sz w:val="21"/>
                <w:szCs w:val="21"/>
                <w:highlight w:val="none"/>
                <w:lang w:val="en-US" w:eastAsia="zh-CN" w:bidi="ar-SA"/>
              </w:rPr>
              <w:t>）</w:t>
            </w:r>
          </w:p>
        </w:tc>
      </w:tr>
      <w:tr w14:paraId="120A8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restart"/>
            <w:noWrap w:val="0"/>
            <w:vAlign w:val="center"/>
          </w:tcPr>
          <w:p w14:paraId="5B1EDACC">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w:t>
            </w:r>
          </w:p>
          <w:p w14:paraId="44BEB110">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w:t>
            </w:r>
          </w:p>
        </w:tc>
        <w:tc>
          <w:tcPr>
            <w:tcW w:w="1497" w:type="dxa"/>
            <w:noWrap w:val="0"/>
            <w:vAlign w:val="center"/>
          </w:tcPr>
          <w:p w14:paraId="4B4C135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浆料系统清洗废水</w:t>
            </w:r>
          </w:p>
        </w:tc>
        <w:tc>
          <w:tcPr>
            <w:tcW w:w="853" w:type="dxa"/>
            <w:noWrap w:val="0"/>
            <w:vAlign w:val="center"/>
          </w:tcPr>
          <w:p w14:paraId="0A84FFC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COD、</w:t>
            </w:r>
            <w:r>
              <w:rPr>
                <w:rFonts w:hint="default" w:ascii="Times New Roman" w:hAnsi="Times New Roman" w:cs="Times New Roman"/>
                <w:color w:val="auto"/>
                <w:kern w:val="2"/>
                <w:sz w:val="21"/>
                <w:szCs w:val="21"/>
                <w:highlight w:val="none"/>
                <w:lang w:val="en-US" w:eastAsia="zh-CN" w:bidi="ar-SA"/>
              </w:rPr>
              <w:t>SS</w:t>
            </w:r>
          </w:p>
        </w:tc>
        <w:tc>
          <w:tcPr>
            <w:tcW w:w="3281" w:type="dxa"/>
            <w:noWrap w:val="0"/>
            <w:vAlign w:val="center"/>
          </w:tcPr>
          <w:p w14:paraId="6F153F7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浆料系统清洗废水沿井筒污水管道输送至现有矿井水处理站处理后回用</w:t>
            </w:r>
          </w:p>
        </w:tc>
        <w:tc>
          <w:tcPr>
            <w:tcW w:w="2041" w:type="dxa"/>
            <w:noWrap w:val="0"/>
            <w:vAlign w:val="center"/>
          </w:tcPr>
          <w:p w14:paraId="404DFB7D">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4E59B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28" w:type="dxa"/>
            <w:vMerge w:val="continue"/>
            <w:noWrap w:val="0"/>
            <w:vAlign w:val="center"/>
          </w:tcPr>
          <w:p w14:paraId="56A6198C">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2913CC8E">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地面冲洗废水</w:t>
            </w:r>
          </w:p>
        </w:tc>
        <w:tc>
          <w:tcPr>
            <w:tcW w:w="853" w:type="dxa"/>
            <w:noWrap w:val="0"/>
            <w:vAlign w:val="center"/>
          </w:tcPr>
          <w:p w14:paraId="35AE9DAF">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COD、</w:t>
            </w:r>
            <w:r>
              <w:rPr>
                <w:rFonts w:hint="default" w:ascii="Times New Roman" w:hAnsi="Times New Roman" w:cs="Times New Roman"/>
                <w:color w:val="auto"/>
                <w:kern w:val="2"/>
                <w:sz w:val="21"/>
                <w:szCs w:val="21"/>
                <w:highlight w:val="none"/>
                <w:lang w:val="en-US" w:eastAsia="zh-CN" w:bidi="ar-SA"/>
              </w:rPr>
              <w:t>SS</w:t>
            </w:r>
          </w:p>
        </w:tc>
        <w:tc>
          <w:tcPr>
            <w:tcW w:w="3281" w:type="dxa"/>
            <w:noWrap w:val="0"/>
            <w:vAlign w:val="center"/>
          </w:tcPr>
          <w:p w14:paraId="1130923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制浆车间外建设1座6</w:t>
            </w:r>
            <w:r>
              <w:rPr>
                <w:rFonts w:hint="eastAsia"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沉淀池</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地面</w:t>
            </w:r>
            <w:r>
              <w:rPr>
                <w:rFonts w:hint="eastAsia" w:ascii="Times New Roman" w:hAnsi="Times New Roman" w:eastAsia="宋体" w:cs="Times New Roman"/>
                <w:color w:val="auto"/>
                <w:kern w:val="2"/>
                <w:sz w:val="21"/>
                <w:szCs w:val="21"/>
                <w:highlight w:val="none"/>
                <w:lang w:val="en-US" w:eastAsia="zh-CN" w:bidi="ar-SA"/>
              </w:rPr>
              <w:t>冲洗废水经车间内排水渠导流至制浆车间外沉淀池，经沉淀处理后全部回用于生产，不外排</w:t>
            </w:r>
          </w:p>
        </w:tc>
        <w:tc>
          <w:tcPr>
            <w:tcW w:w="2041" w:type="dxa"/>
            <w:noWrap w:val="0"/>
            <w:vAlign w:val="center"/>
          </w:tcPr>
          <w:p w14:paraId="1ECFAF26">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3E046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01F4D4F8">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35A38D00">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洗车废水</w:t>
            </w:r>
          </w:p>
        </w:tc>
        <w:tc>
          <w:tcPr>
            <w:tcW w:w="853" w:type="dxa"/>
            <w:noWrap w:val="0"/>
            <w:vAlign w:val="center"/>
          </w:tcPr>
          <w:p w14:paraId="59735A62">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SS</w:t>
            </w:r>
          </w:p>
        </w:tc>
        <w:tc>
          <w:tcPr>
            <w:tcW w:w="3281" w:type="dxa"/>
            <w:noWrap w:val="0"/>
            <w:vAlign w:val="center"/>
          </w:tcPr>
          <w:p w14:paraId="4308A9A1">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洗车废水经三级沉淀池沉淀处理后，回用至洗车工序，循环使用，不外排</w:t>
            </w:r>
          </w:p>
        </w:tc>
        <w:tc>
          <w:tcPr>
            <w:tcW w:w="2041" w:type="dxa"/>
            <w:noWrap w:val="0"/>
            <w:vAlign w:val="center"/>
          </w:tcPr>
          <w:p w14:paraId="1DDE16E5">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272A2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793A9A5E">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1B5CDAC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生活污水</w:t>
            </w:r>
          </w:p>
        </w:tc>
        <w:tc>
          <w:tcPr>
            <w:tcW w:w="853" w:type="dxa"/>
            <w:noWrap w:val="0"/>
            <w:vAlign w:val="center"/>
          </w:tcPr>
          <w:p w14:paraId="1903B00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COD、BOD</w:t>
            </w:r>
            <w:r>
              <w:rPr>
                <w:rFonts w:hint="default" w:ascii="Times New Roman" w:hAnsi="Times New Roman" w:cs="Times New Roman"/>
                <w:color w:val="auto"/>
                <w:kern w:val="2"/>
                <w:sz w:val="21"/>
                <w:szCs w:val="21"/>
                <w:highlight w:val="none"/>
                <w:vertAlign w:val="subscript"/>
                <w:lang w:val="en-US" w:eastAsia="zh-CN" w:bidi="ar-SA"/>
              </w:rPr>
              <w:t>5</w:t>
            </w:r>
            <w:r>
              <w:rPr>
                <w:rFonts w:hint="default" w:ascii="Times New Roman" w:hAnsi="Times New Roman" w:cs="Times New Roman"/>
                <w:color w:val="auto"/>
                <w:kern w:val="2"/>
                <w:sz w:val="21"/>
                <w:szCs w:val="21"/>
                <w:highlight w:val="none"/>
                <w:lang w:val="en-US" w:eastAsia="zh-CN" w:bidi="ar-SA"/>
              </w:rPr>
              <w:t>、NH</w:t>
            </w:r>
            <w:r>
              <w:rPr>
                <w:rFonts w:hint="default" w:ascii="Times New Roman" w:hAnsi="Times New Roman" w:cs="Times New Roman"/>
                <w:color w:val="auto"/>
                <w:kern w:val="2"/>
                <w:sz w:val="21"/>
                <w:szCs w:val="21"/>
                <w:highlight w:val="none"/>
                <w:vertAlign w:val="subscript"/>
                <w:lang w:val="en-US" w:eastAsia="zh-CN" w:bidi="ar-SA"/>
              </w:rPr>
              <w:t>3</w:t>
            </w:r>
            <w:r>
              <w:rPr>
                <w:rFonts w:hint="default" w:ascii="Times New Roman" w:hAnsi="Times New Roman" w:cs="Times New Roman"/>
                <w:color w:val="auto"/>
                <w:kern w:val="2"/>
                <w:sz w:val="21"/>
                <w:szCs w:val="21"/>
                <w:highlight w:val="none"/>
                <w:lang w:val="en-US" w:eastAsia="zh-CN" w:bidi="ar-SA"/>
              </w:rPr>
              <w:t>-N、SS</w:t>
            </w:r>
            <w:r>
              <w:rPr>
                <w:rFonts w:hint="eastAsia" w:cs="Times New Roman"/>
                <w:color w:val="auto"/>
                <w:kern w:val="2"/>
                <w:sz w:val="21"/>
                <w:szCs w:val="21"/>
                <w:highlight w:val="none"/>
                <w:lang w:val="en-US" w:eastAsia="zh-CN" w:bidi="ar-SA"/>
              </w:rPr>
              <w:t>等</w:t>
            </w:r>
          </w:p>
        </w:tc>
        <w:tc>
          <w:tcPr>
            <w:tcW w:w="3281" w:type="dxa"/>
            <w:noWrap w:val="0"/>
            <w:vAlign w:val="center"/>
          </w:tcPr>
          <w:p w14:paraId="52AD091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生活污水主要为职工日常洗漱废水，水质较为简单，</w:t>
            </w:r>
            <w:r>
              <w:rPr>
                <w:rFonts w:hint="eastAsia" w:cs="Times New Roman"/>
                <w:color w:val="auto"/>
                <w:kern w:val="2"/>
                <w:sz w:val="21"/>
                <w:szCs w:val="21"/>
                <w:highlight w:val="none"/>
                <w:lang w:val="en-US" w:eastAsia="zh-CN" w:bidi="ar-SA"/>
              </w:rPr>
              <w:t>用于厂区洒水抑尘</w:t>
            </w:r>
            <w:r>
              <w:rPr>
                <w:rFonts w:hint="eastAsia" w:ascii="Times New Roman" w:hAnsi="Times New Roman" w:eastAsia="宋体" w:cs="Times New Roman"/>
                <w:color w:val="auto"/>
                <w:kern w:val="2"/>
                <w:sz w:val="21"/>
                <w:szCs w:val="21"/>
                <w:highlight w:val="none"/>
                <w:lang w:val="en-US" w:eastAsia="zh-CN" w:bidi="ar-SA"/>
              </w:rPr>
              <w:t>，不外排</w:t>
            </w:r>
          </w:p>
        </w:tc>
        <w:tc>
          <w:tcPr>
            <w:tcW w:w="2041" w:type="dxa"/>
            <w:noWrap w:val="0"/>
            <w:vAlign w:val="center"/>
          </w:tcPr>
          <w:p w14:paraId="2E2B8CC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r>
      <w:tr w14:paraId="04906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noWrap w:val="0"/>
            <w:vAlign w:val="center"/>
          </w:tcPr>
          <w:p w14:paraId="0DBEA017">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p>
        </w:tc>
        <w:tc>
          <w:tcPr>
            <w:tcW w:w="1497" w:type="dxa"/>
            <w:noWrap w:val="0"/>
            <w:vAlign w:val="center"/>
          </w:tcPr>
          <w:p w14:paraId="5075EB81">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初期雨水</w:t>
            </w:r>
          </w:p>
        </w:tc>
        <w:tc>
          <w:tcPr>
            <w:tcW w:w="853" w:type="dxa"/>
            <w:noWrap w:val="0"/>
            <w:vAlign w:val="center"/>
          </w:tcPr>
          <w:p w14:paraId="18BFEE99">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SS、石油类</w:t>
            </w:r>
          </w:p>
        </w:tc>
        <w:tc>
          <w:tcPr>
            <w:tcW w:w="3281" w:type="dxa"/>
            <w:noWrap w:val="0"/>
            <w:vAlign w:val="center"/>
          </w:tcPr>
          <w:p w14:paraId="5F7E3F37">
            <w:pPr>
              <w:pStyle w:val="60"/>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在</w:t>
            </w:r>
            <w:r>
              <w:rPr>
                <w:rFonts w:hint="eastAsia" w:cs="Times New Roman"/>
                <w:color w:val="auto"/>
                <w:kern w:val="2"/>
                <w:sz w:val="21"/>
                <w:szCs w:val="21"/>
                <w:highlight w:val="none"/>
                <w:lang w:val="en-US" w:eastAsia="zh-CN" w:bidi="ar-SA"/>
              </w:rPr>
              <w:t>厂区</w:t>
            </w:r>
            <w:r>
              <w:rPr>
                <w:rFonts w:hint="eastAsia" w:ascii="Times New Roman" w:hAnsi="Times New Roman" w:eastAsia="宋体" w:cs="Times New Roman"/>
                <w:color w:val="auto"/>
                <w:kern w:val="2"/>
                <w:sz w:val="21"/>
                <w:szCs w:val="21"/>
                <w:highlight w:val="none"/>
                <w:lang w:val="en-US" w:eastAsia="zh-CN" w:bidi="ar-SA"/>
              </w:rPr>
              <w:t>地势最低处建设1座初期雨水收集池，</w:t>
            </w:r>
            <w:r>
              <w:rPr>
                <w:rFonts w:hint="eastAsia" w:cs="Times New Roman"/>
                <w:color w:val="auto"/>
                <w:kern w:val="2"/>
                <w:sz w:val="21"/>
                <w:szCs w:val="21"/>
                <w:highlight w:val="none"/>
                <w:lang w:val="en-US" w:eastAsia="zh-CN" w:bidi="ar-SA"/>
              </w:rPr>
              <w:t>初期</w:t>
            </w:r>
            <w:r>
              <w:rPr>
                <w:rFonts w:hint="eastAsia" w:ascii="Times New Roman" w:hAnsi="Times New Roman" w:eastAsia="宋体" w:cs="Times New Roman"/>
                <w:color w:val="auto"/>
                <w:kern w:val="2"/>
                <w:sz w:val="21"/>
                <w:szCs w:val="21"/>
                <w:highlight w:val="none"/>
                <w:lang w:val="en-US" w:eastAsia="zh-CN" w:bidi="ar-SA"/>
              </w:rPr>
              <w:t>雨水经沉淀后回用于</w:t>
            </w:r>
            <w:r>
              <w:rPr>
                <w:rFonts w:hint="eastAsia" w:cs="Times New Roman"/>
                <w:color w:val="auto"/>
                <w:kern w:val="2"/>
                <w:sz w:val="21"/>
                <w:szCs w:val="21"/>
                <w:highlight w:val="none"/>
                <w:lang w:val="en-US" w:eastAsia="zh-CN" w:bidi="ar-SA"/>
              </w:rPr>
              <w:t>厂区</w:t>
            </w:r>
            <w:r>
              <w:rPr>
                <w:rFonts w:hint="eastAsia" w:ascii="Times New Roman" w:hAnsi="Times New Roman" w:eastAsia="宋体" w:cs="Times New Roman"/>
                <w:color w:val="auto"/>
                <w:kern w:val="2"/>
                <w:sz w:val="21"/>
                <w:szCs w:val="21"/>
                <w:highlight w:val="none"/>
                <w:lang w:val="en-US" w:eastAsia="zh-CN" w:bidi="ar-SA"/>
              </w:rPr>
              <w:t>洒水</w:t>
            </w:r>
            <w:r>
              <w:rPr>
                <w:rFonts w:hint="eastAsia" w:cs="Times New Roman"/>
                <w:color w:val="auto"/>
                <w:kern w:val="2"/>
                <w:sz w:val="21"/>
                <w:szCs w:val="21"/>
                <w:highlight w:val="none"/>
                <w:lang w:val="en-US" w:eastAsia="zh-CN" w:bidi="ar-SA"/>
              </w:rPr>
              <w:t>抑尘</w:t>
            </w:r>
          </w:p>
        </w:tc>
        <w:tc>
          <w:tcPr>
            <w:tcW w:w="2041" w:type="dxa"/>
            <w:noWrap w:val="0"/>
            <w:vAlign w:val="center"/>
          </w:tcPr>
          <w:p w14:paraId="7E7318D3">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219E8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noWrap w:val="0"/>
            <w:vAlign w:val="center"/>
          </w:tcPr>
          <w:p w14:paraId="1992BDE4">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497" w:type="dxa"/>
            <w:noWrap w:val="0"/>
            <w:vAlign w:val="center"/>
          </w:tcPr>
          <w:p w14:paraId="2F4EB3C2">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生产设备</w:t>
            </w:r>
          </w:p>
        </w:tc>
        <w:tc>
          <w:tcPr>
            <w:tcW w:w="853" w:type="dxa"/>
            <w:noWrap w:val="0"/>
            <w:vAlign w:val="center"/>
          </w:tcPr>
          <w:p w14:paraId="7A8A4874">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噪声</w:t>
            </w:r>
          </w:p>
        </w:tc>
        <w:tc>
          <w:tcPr>
            <w:tcW w:w="3281" w:type="dxa"/>
            <w:noWrap w:val="0"/>
            <w:vAlign w:val="center"/>
          </w:tcPr>
          <w:p w14:paraId="00B62402">
            <w:pPr>
              <w:keepNext w:val="0"/>
              <w:keepLines w:val="0"/>
              <w:pageBreakBefore w:val="0"/>
              <w:widowControl w:val="0"/>
              <w:kinsoku/>
              <w:wordWrap/>
              <w:overflowPunct/>
              <w:topLinePunct w:val="0"/>
              <w:autoSpaceDE/>
              <w:autoSpaceDN/>
              <w:bidi w:val="0"/>
              <w:adjustRightInd w:val="0"/>
              <w:snapToGrid w:val="0"/>
              <w:spacing w:line="320" w:lineRule="exact"/>
              <w:ind w:firstLine="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选用低噪声设备，高噪音设备做基础减振、柔性连接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厂房隔声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加强管理，</w:t>
            </w:r>
            <w:r>
              <w:rPr>
                <w:rFonts w:hint="default" w:ascii="Times New Roman" w:hAnsi="Times New Roman" w:cs="Times New Roman"/>
                <w:color w:val="auto"/>
                <w:szCs w:val="21"/>
                <w:highlight w:val="none"/>
              </w:rPr>
              <w:t>保持设备运行良好；车辆限速行驶，减少鸣笛</w:t>
            </w:r>
          </w:p>
        </w:tc>
        <w:tc>
          <w:tcPr>
            <w:tcW w:w="2041" w:type="dxa"/>
            <w:noWrap w:val="0"/>
            <w:vAlign w:val="center"/>
          </w:tcPr>
          <w:p w14:paraId="50221D80">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《工业企业厂界环境噪声排放标准》</w:t>
            </w:r>
            <w:r>
              <w:rPr>
                <w:rFonts w:cs="宋体"/>
                <w:color w:val="auto"/>
                <w:szCs w:val="21"/>
                <w:highlight w:val="none"/>
              </w:rPr>
              <w:t>（GB12348-2008）</w:t>
            </w:r>
          </w:p>
        </w:tc>
      </w:tr>
      <w:tr w14:paraId="67B56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8" w:type="dxa"/>
            <w:noWrap w:val="0"/>
            <w:vAlign w:val="center"/>
          </w:tcPr>
          <w:p w14:paraId="4567E0D1">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7672" w:type="dxa"/>
            <w:gridSpan w:val="4"/>
            <w:noWrap w:val="0"/>
            <w:vAlign w:val="center"/>
          </w:tcPr>
          <w:p w14:paraId="3CC8E43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一般工业固体废物：</w:t>
            </w:r>
            <w:r>
              <w:rPr>
                <w:rFonts w:hint="eastAsia" w:cs="Times New Roman"/>
                <w:color w:val="auto"/>
                <w:szCs w:val="21"/>
                <w:highlight w:val="none"/>
                <w:lang w:val="en-US" w:eastAsia="zh-CN"/>
              </w:rPr>
              <w:t>除尘器除尘灰、沉淀池沉渣集中收集后回用于搅拌工序</w:t>
            </w:r>
            <w:r>
              <w:rPr>
                <w:rFonts w:hint="eastAsia" w:ascii="Times New Roman" w:hAnsi="Times New Roman" w:cs="Times New Roman"/>
                <w:color w:val="auto"/>
                <w:szCs w:val="21"/>
                <w:highlight w:val="none"/>
                <w:lang w:val="en-US" w:eastAsia="zh-CN"/>
              </w:rPr>
              <w:t>。</w:t>
            </w:r>
          </w:p>
          <w:p w14:paraId="675767C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危险废物：</w:t>
            </w:r>
            <w:r>
              <w:rPr>
                <w:rFonts w:hint="eastAsia" w:cs="Times New Roman"/>
                <w:color w:val="auto"/>
                <w:szCs w:val="21"/>
                <w:highlight w:val="none"/>
                <w:lang w:val="en-US" w:eastAsia="zh-CN"/>
              </w:rPr>
              <w:t>废矿物油、废油桶分类收集，分区贮存于现有危险废物贮存库，定期委托有资质单位处置</w:t>
            </w:r>
            <w:r>
              <w:rPr>
                <w:rFonts w:hint="eastAsia" w:ascii="Times New Roman" w:hAnsi="Times New Roman" w:cs="Times New Roman"/>
                <w:color w:val="auto"/>
                <w:szCs w:val="21"/>
                <w:highlight w:val="none"/>
                <w:lang w:val="en-US" w:eastAsia="zh-CN"/>
              </w:rPr>
              <w:t>。</w:t>
            </w:r>
          </w:p>
          <w:p w14:paraId="7FF3736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生活垃圾：集中收集后</w:t>
            </w:r>
            <w:r>
              <w:rPr>
                <w:rFonts w:hint="eastAsia" w:cs="Times New Roman"/>
                <w:color w:val="auto"/>
                <w:szCs w:val="21"/>
                <w:highlight w:val="none"/>
                <w:lang w:val="en-US" w:eastAsia="zh-CN"/>
              </w:rPr>
              <w:t>由</w:t>
            </w:r>
            <w:r>
              <w:rPr>
                <w:rFonts w:hint="eastAsia" w:ascii="Times New Roman" w:hAnsi="Times New Roman" w:cs="Times New Roman"/>
                <w:color w:val="auto"/>
                <w:szCs w:val="21"/>
                <w:highlight w:val="none"/>
                <w:lang w:val="en-US" w:eastAsia="zh-CN"/>
              </w:rPr>
              <w:t>环卫部门统一</w:t>
            </w:r>
            <w:r>
              <w:rPr>
                <w:rFonts w:hint="eastAsia" w:cs="Times New Roman"/>
                <w:color w:val="auto"/>
                <w:szCs w:val="21"/>
                <w:highlight w:val="none"/>
                <w:lang w:val="en-US" w:eastAsia="zh-CN"/>
              </w:rPr>
              <w:t>处置</w:t>
            </w:r>
            <w:r>
              <w:rPr>
                <w:rFonts w:hint="eastAsia" w:ascii="Times New Roman" w:hAnsi="Times New Roman" w:cs="Times New Roman"/>
                <w:color w:val="auto"/>
                <w:szCs w:val="21"/>
                <w:highlight w:val="none"/>
                <w:lang w:val="en-US" w:eastAsia="zh-CN"/>
              </w:rPr>
              <w:t>。</w:t>
            </w:r>
          </w:p>
        </w:tc>
      </w:tr>
      <w:tr w14:paraId="09658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8" w:type="dxa"/>
            <w:noWrap w:val="0"/>
            <w:vAlign w:val="center"/>
          </w:tcPr>
          <w:p w14:paraId="0C224C55">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土壤及地下水污染防治措施</w:t>
            </w:r>
          </w:p>
        </w:tc>
        <w:tc>
          <w:tcPr>
            <w:tcW w:w="7672" w:type="dxa"/>
            <w:gridSpan w:val="4"/>
            <w:noWrap w:val="0"/>
            <w:vAlign w:val="center"/>
          </w:tcPr>
          <w:p w14:paraId="27639E6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根据《环境影响评价技术导则-地下水环境》（HJ610-2016），结合项目总平面布置情况，本项目</w:t>
            </w:r>
            <w:r>
              <w:rPr>
                <w:rFonts w:hint="eastAsia" w:cs="Times New Roman"/>
                <w:color w:val="auto"/>
                <w:sz w:val="21"/>
                <w:szCs w:val="21"/>
                <w:highlight w:val="none"/>
                <w:lang w:val="en-US" w:eastAsia="zh-CN"/>
              </w:rPr>
              <w:t>厂区</w:t>
            </w:r>
            <w:r>
              <w:rPr>
                <w:rFonts w:hint="eastAsia" w:ascii="Times New Roman" w:hAnsi="Times New Roman" w:eastAsia="宋体" w:cs="Times New Roman"/>
                <w:color w:val="auto"/>
                <w:sz w:val="21"/>
                <w:szCs w:val="21"/>
                <w:highlight w:val="none"/>
                <w:lang w:val="en-US" w:eastAsia="zh-CN"/>
              </w:rPr>
              <w:t>分为重点防渗区、一般防渗区、简单防渗区</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危险废物贮存库、初期雨水池为重点防渗区，制浆车间、一般固废暂存区、蓄水池、消防水池、洗车平台配套池体、冲洗废水沉淀池为一般防渗区</w:t>
            </w:r>
            <w:r>
              <w:rPr>
                <w:rFonts w:hint="eastAsia" w:cs="Times New Roman"/>
                <w:color w:val="auto"/>
                <w:sz w:val="21"/>
                <w:szCs w:val="21"/>
                <w:highlight w:val="none"/>
                <w:lang w:val="en-US" w:eastAsia="zh-CN"/>
              </w:rPr>
              <w:t>，其他区域为简单防渗区</w:t>
            </w:r>
            <w:r>
              <w:rPr>
                <w:rFonts w:hint="eastAsia"/>
                <w:color w:val="auto"/>
                <w:highlight w:val="none"/>
                <w:lang w:val="en-US" w:eastAsia="zh-CN"/>
              </w:rPr>
              <w:t>。</w:t>
            </w:r>
          </w:p>
        </w:tc>
      </w:tr>
      <w:tr w14:paraId="09092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8" w:type="dxa"/>
            <w:noWrap w:val="0"/>
            <w:vAlign w:val="center"/>
          </w:tcPr>
          <w:p w14:paraId="487ECB73">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672" w:type="dxa"/>
            <w:gridSpan w:val="4"/>
            <w:noWrap w:val="0"/>
            <w:vAlign w:val="center"/>
          </w:tcPr>
          <w:p w14:paraId="208330CA">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厂区</w:t>
            </w:r>
            <w:r>
              <w:rPr>
                <w:rFonts w:hint="default" w:ascii="Times New Roman" w:hAnsi="Times New Roman" w:cs="Times New Roman"/>
                <w:color w:val="auto"/>
                <w:szCs w:val="21"/>
                <w:highlight w:val="none"/>
              </w:rPr>
              <w:t>绿化</w:t>
            </w:r>
            <w:r>
              <w:rPr>
                <w:rFonts w:hint="eastAsia" w:ascii="Times New Roman" w:hAnsi="Times New Roman" w:cs="Times New Roman"/>
                <w:color w:val="auto"/>
                <w:szCs w:val="21"/>
                <w:highlight w:val="none"/>
                <w:lang w:eastAsia="zh-CN"/>
              </w:rPr>
              <w:t>，绿化措施以林草植被为主。</w:t>
            </w:r>
          </w:p>
        </w:tc>
      </w:tr>
      <w:tr w14:paraId="6EEE6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28" w:type="dxa"/>
            <w:noWrap w:val="0"/>
            <w:vAlign w:val="center"/>
          </w:tcPr>
          <w:p w14:paraId="0A2B7335">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w:t>
            </w:r>
          </w:p>
          <w:p w14:paraId="136C8E4B">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防范措施</w:t>
            </w:r>
          </w:p>
        </w:tc>
        <w:tc>
          <w:tcPr>
            <w:tcW w:w="7672" w:type="dxa"/>
            <w:gridSpan w:val="4"/>
            <w:noWrap w:val="0"/>
            <w:vAlign w:val="center"/>
          </w:tcPr>
          <w:p w14:paraId="1C7E49B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r>
              <w:rPr>
                <w:rFonts w:hint="eastAsia" w:cs="Times New Roman"/>
                <w:color w:val="auto"/>
                <w:szCs w:val="21"/>
                <w:highlight w:val="none"/>
                <w:lang w:eastAsia="zh-CN"/>
              </w:rPr>
              <w:t>本项目产生废矿物油的设备底部均进行防渗、并设置钢制托盘收集废矿物油；危险废物贮存库已进行防水、防渗、防流失处理，有足够地面承载能力，并能确保雨水不会流至贮存设施内，贮存设施应封闭，以防风、防雨、防晒、防渗漏</w:t>
            </w:r>
            <w:r>
              <w:rPr>
                <w:rFonts w:hint="default" w:ascii="Times New Roman" w:hAnsi="Times New Roman" w:cs="Times New Roman"/>
                <w:color w:val="auto"/>
                <w:szCs w:val="21"/>
                <w:highlight w:val="none"/>
              </w:rPr>
              <w:t>。</w:t>
            </w:r>
          </w:p>
          <w:p w14:paraId="510B81A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w:t>
            </w:r>
            <w:r>
              <w:rPr>
                <w:rFonts w:hint="eastAsia" w:cs="Times New Roman"/>
                <w:color w:val="auto"/>
                <w:szCs w:val="21"/>
                <w:highlight w:val="none"/>
                <w:lang w:eastAsia="zh-CN"/>
              </w:rPr>
              <w:t>严禁火源进入危险废物贮存库，对明火严格控制。配置相应的灭火装置和设施，如灭火器、消防砂、消火栓等，并保持完好。值班人员应掌握一般消防知识</w:t>
            </w:r>
            <w:r>
              <w:rPr>
                <w:rFonts w:hint="default" w:ascii="Times New Roman" w:hAnsi="Times New Roman" w:cs="Times New Roman"/>
                <w:color w:val="auto"/>
                <w:szCs w:val="21"/>
                <w:highlight w:val="none"/>
              </w:rPr>
              <w:t>。</w:t>
            </w:r>
          </w:p>
        </w:tc>
      </w:tr>
      <w:tr w14:paraId="308CC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28" w:type="dxa"/>
            <w:noWrap w:val="0"/>
            <w:vAlign w:val="center"/>
          </w:tcPr>
          <w:p w14:paraId="043BA38B">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w:t>
            </w:r>
          </w:p>
          <w:p w14:paraId="664E2A6A">
            <w:pPr>
              <w:keepNext w:val="0"/>
              <w:keepLines w:val="0"/>
              <w:pageBreakBefore w:val="0"/>
              <w:widowControl w:val="0"/>
              <w:kinsoku/>
              <w:wordWrap/>
              <w:overflowPunct/>
              <w:topLinePunct w:val="0"/>
              <w:autoSpaceDE/>
              <w:autoSpaceDN/>
              <w:bidi w:val="0"/>
              <w:adjustRightInd w:val="0"/>
              <w:snapToGrid w:val="0"/>
              <w:spacing w:line="320" w:lineRule="exact"/>
              <w:ind w:firstLine="0"/>
              <w:jc w:val="center"/>
              <w:textAlignment w:val="auto"/>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管理要求</w:t>
            </w:r>
          </w:p>
        </w:tc>
        <w:tc>
          <w:tcPr>
            <w:tcW w:w="7672" w:type="dxa"/>
            <w:gridSpan w:val="4"/>
            <w:noWrap w:val="0"/>
            <w:vAlign w:val="center"/>
          </w:tcPr>
          <w:p w14:paraId="5934C5AA">
            <w:pPr>
              <w:keepNext w:val="0"/>
              <w:keepLines w:val="0"/>
              <w:pageBreakBefore w:val="0"/>
              <w:widowControl w:val="0"/>
              <w:kinsoku/>
              <w:wordWrap/>
              <w:overflowPunct/>
              <w:topLinePunct w:val="0"/>
              <w:autoSpaceDE/>
              <w:autoSpaceDN/>
              <w:bidi w:val="0"/>
              <w:adjustRightInd w:val="0"/>
              <w:snapToGrid w:val="0"/>
              <w:spacing w:line="320" w:lineRule="exact"/>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5.1 </w:t>
            </w:r>
            <w:r>
              <w:rPr>
                <w:rFonts w:hint="default" w:ascii="Times New Roman" w:hAnsi="Times New Roman" w:eastAsia="宋体" w:cs="Times New Roman"/>
                <w:b/>
                <w:bCs/>
                <w:color w:val="auto"/>
                <w:sz w:val="21"/>
                <w:szCs w:val="21"/>
                <w:highlight w:val="none"/>
                <w:lang w:val="en-US" w:eastAsia="zh-CN"/>
              </w:rPr>
              <w:t>施工期环境管理</w:t>
            </w:r>
          </w:p>
          <w:p w14:paraId="5CE358D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施工期环境管理机构</w:t>
            </w:r>
          </w:p>
          <w:p w14:paraId="27F9B78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eastAsia"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lang w:val="en-US" w:eastAsia="zh-CN"/>
              </w:rPr>
              <w:t>施工期的环境管理由</w:t>
            </w:r>
            <w:r>
              <w:rPr>
                <w:rFonts w:hint="eastAsia" w:ascii="Times New Roman" w:hAnsi="Times New Roman" w:eastAsia="宋体" w:cs="Times New Roman"/>
                <w:b w:val="0"/>
                <w:bCs w:val="0"/>
                <w:color w:val="auto"/>
                <w:sz w:val="21"/>
                <w:szCs w:val="21"/>
                <w:highlight w:val="none"/>
                <w:lang w:val="en-US" w:eastAsia="zh-CN"/>
              </w:rPr>
              <w:t>山西晋煤集团赵庄煤业有限责任公司赵庄二号井</w:t>
            </w:r>
            <w:r>
              <w:rPr>
                <w:rFonts w:hint="default" w:ascii="Times New Roman" w:hAnsi="Times New Roman" w:eastAsia="宋体" w:cs="Times New Roman"/>
                <w:b w:val="0"/>
                <w:bCs w:val="0"/>
                <w:color w:val="auto"/>
                <w:sz w:val="21"/>
                <w:szCs w:val="21"/>
                <w:highlight w:val="none"/>
                <w:lang w:val="en-US" w:eastAsia="zh-CN"/>
              </w:rPr>
              <w:t>在企业内部成立专门的环境管理部门，配备专职人员，专门负责工程施工期的环境监督管理。</w:t>
            </w:r>
          </w:p>
          <w:p w14:paraId="2DFA02A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施工期环境管理机构职责</w:t>
            </w:r>
          </w:p>
          <w:p w14:paraId="12CD5A2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施工期环境管理机构的主要职责包括：</w:t>
            </w:r>
          </w:p>
          <w:p w14:paraId="3FFC47C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①</w:t>
            </w:r>
            <w:r>
              <w:rPr>
                <w:rFonts w:hint="default" w:ascii="Times New Roman" w:hAnsi="Times New Roman" w:eastAsia="宋体" w:cs="Times New Roman"/>
                <w:b w:val="0"/>
                <w:bCs w:val="0"/>
                <w:color w:val="auto"/>
                <w:sz w:val="21"/>
                <w:szCs w:val="21"/>
                <w:highlight w:val="none"/>
                <w:lang w:val="en-US" w:eastAsia="zh-CN"/>
              </w:rPr>
              <w:t>贯彻执行国家环境保护的方针、政策、法律、法规；</w:t>
            </w:r>
          </w:p>
          <w:p w14:paraId="7E7E856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②</w:t>
            </w:r>
            <w:r>
              <w:rPr>
                <w:rFonts w:hint="default" w:ascii="Times New Roman" w:hAnsi="Times New Roman" w:eastAsia="宋体" w:cs="Times New Roman"/>
                <w:b w:val="0"/>
                <w:bCs w:val="0"/>
                <w:color w:val="auto"/>
                <w:sz w:val="21"/>
                <w:szCs w:val="21"/>
                <w:highlight w:val="none"/>
                <w:lang w:val="en-US" w:eastAsia="zh-CN"/>
              </w:rPr>
              <w:t>负责制定施工作业的环境保护规定，根据施工中各工种的作业特点，分别制定各工种的环境保护方案，制定发生事故的应急计划；</w:t>
            </w:r>
          </w:p>
          <w:p w14:paraId="73DF893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③</w:t>
            </w:r>
            <w:r>
              <w:rPr>
                <w:rFonts w:hint="default" w:ascii="Times New Roman" w:hAnsi="Times New Roman" w:eastAsia="宋体" w:cs="Times New Roman"/>
                <w:b w:val="0"/>
                <w:bCs w:val="0"/>
                <w:color w:val="auto"/>
                <w:sz w:val="21"/>
                <w:szCs w:val="21"/>
                <w:highlight w:val="none"/>
                <w:lang w:val="en-US" w:eastAsia="zh-CN"/>
              </w:rPr>
              <w:t>负责组织施工期间的环境监理，审定、落实并督促实施污染治理方案，监督污染治理资金和物资的使用；</w:t>
            </w:r>
          </w:p>
          <w:p w14:paraId="43FDEC0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④</w:t>
            </w:r>
            <w:r>
              <w:rPr>
                <w:rFonts w:hint="default" w:ascii="Times New Roman" w:hAnsi="Times New Roman" w:eastAsia="宋体" w:cs="Times New Roman"/>
                <w:b w:val="0"/>
                <w:bCs w:val="0"/>
                <w:color w:val="auto"/>
                <w:sz w:val="21"/>
                <w:szCs w:val="21"/>
                <w:highlight w:val="none"/>
                <w:lang w:val="en-US" w:eastAsia="zh-CN"/>
              </w:rPr>
              <w:t>监督检查保护生态环境和</w:t>
            </w:r>
            <w:r>
              <w:rPr>
                <w:rFonts w:hint="eastAsia" w:cs="Times New Roman"/>
                <w:b w:val="0"/>
                <w:bCs w:val="0"/>
                <w:color w:val="auto"/>
                <w:sz w:val="21"/>
                <w:szCs w:val="21"/>
                <w:highlight w:val="none"/>
                <w:lang w:val="en-US" w:eastAsia="zh-CN"/>
              </w:rPr>
              <w:t>防治</w:t>
            </w:r>
            <w:r>
              <w:rPr>
                <w:rFonts w:hint="default" w:ascii="Times New Roman" w:hAnsi="Times New Roman" w:eastAsia="宋体" w:cs="Times New Roman"/>
                <w:b w:val="0"/>
                <w:bCs w:val="0"/>
                <w:color w:val="auto"/>
                <w:sz w:val="21"/>
                <w:szCs w:val="21"/>
                <w:highlight w:val="none"/>
                <w:lang w:val="en-US" w:eastAsia="zh-CN"/>
              </w:rPr>
              <w:t>污染设施与项目主体工程同时设计、同时施工、同时投入使用的执行情况；</w:t>
            </w:r>
          </w:p>
          <w:p w14:paraId="76F398D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⑤</w:t>
            </w:r>
            <w:r>
              <w:rPr>
                <w:rFonts w:hint="default" w:ascii="Times New Roman" w:hAnsi="Times New Roman" w:eastAsia="宋体" w:cs="Times New Roman"/>
                <w:b w:val="0"/>
                <w:bCs w:val="0"/>
                <w:color w:val="auto"/>
                <w:sz w:val="21"/>
                <w:szCs w:val="21"/>
                <w:highlight w:val="none"/>
                <w:lang w:val="en-US" w:eastAsia="zh-CN"/>
              </w:rPr>
              <w:t>监督施工期各项环保措施的落实情况；</w:t>
            </w:r>
          </w:p>
          <w:p w14:paraId="3C71AD0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⑥</w:t>
            </w:r>
            <w:r>
              <w:rPr>
                <w:rFonts w:hint="default" w:ascii="Times New Roman" w:hAnsi="Times New Roman" w:eastAsia="宋体" w:cs="Times New Roman"/>
                <w:b w:val="0"/>
                <w:bCs w:val="0"/>
                <w:color w:val="auto"/>
                <w:sz w:val="21"/>
                <w:szCs w:val="21"/>
                <w:highlight w:val="none"/>
                <w:lang w:val="en-US" w:eastAsia="zh-CN"/>
              </w:rPr>
              <w:t>负责调查处理工程建设中的环境破坏和污染事故；</w:t>
            </w:r>
          </w:p>
          <w:p w14:paraId="78867A6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⑦</w:t>
            </w:r>
            <w:r>
              <w:rPr>
                <w:rFonts w:hint="default" w:ascii="Times New Roman" w:hAnsi="Times New Roman" w:eastAsia="宋体" w:cs="Times New Roman"/>
                <w:b w:val="0"/>
                <w:bCs w:val="0"/>
                <w:color w:val="auto"/>
                <w:sz w:val="21"/>
                <w:szCs w:val="21"/>
                <w:highlight w:val="none"/>
                <w:lang w:val="en-US" w:eastAsia="zh-CN"/>
              </w:rPr>
              <w:t>组织开展工程建设期间的环境保护的宣传教育与培训工作。</w:t>
            </w:r>
          </w:p>
          <w:p w14:paraId="7612999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施工期对施工</w:t>
            </w:r>
            <w:r>
              <w:rPr>
                <w:rFonts w:hint="eastAsia" w:ascii="Times New Roman" w:hAnsi="Times New Roman" w:eastAsia="宋体" w:cs="Times New Roman"/>
                <w:b w:val="0"/>
                <w:bCs w:val="0"/>
                <w:color w:val="auto"/>
                <w:sz w:val="21"/>
                <w:szCs w:val="21"/>
                <w:highlight w:val="none"/>
                <w:lang w:val="en-US" w:eastAsia="zh-CN"/>
              </w:rPr>
              <w:t>单位</w:t>
            </w:r>
            <w:r>
              <w:rPr>
                <w:rFonts w:hint="default" w:ascii="Times New Roman" w:hAnsi="Times New Roman" w:eastAsia="宋体" w:cs="Times New Roman"/>
                <w:b w:val="0"/>
                <w:bCs w:val="0"/>
                <w:color w:val="auto"/>
                <w:sz w:val="21"/>
                <w:szCs w:val="21"/>
                <w:highlight w:val="none"/>
                <w:lang w:val="en-US" w:eastAsia="zh-CN"/>
              </w:rPr>
              <w:t>的环境管理</w:t>
            </w:r>
          </w:p>
          <w:p w14:paraId="3843A3C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w:t>
            </w:r>
            <w:r>
              <w:rPr>
                <w:rFonts w:hint="eastAsia" w:ascii="Times New Roman" w:hAnsi="Times New Roman" w:eastAsia="宋体" w:cs="Times New Roman"/>
                <w:b w:val="0"/>
                <w:bCs w:val="0"/>
                <w:color w:val="auto"/>
                <w:sz w:val="21"/>
                <w:szCs w:val="21"/>
                <w:highlight w:val="none"/>
                <w:lang w:val="en-US" w:eastAsia="zh-CN"/>
              </w:rPr>
              <w:t>单位</w:t>
            </w:r>
            <w:r>
              <w:rPr>
                <w:rFonts w:hint="default" w:ascii="Times New Roman" w:hAnsi="Times New Roman" w:eastAsia="宋体" w:cs="Times New Roman"/>
                <w:b w:val="0"/>
                <w:bCs w:val="0"/>
                <w:color w:val="auto"/>
                <w:sz w:val="21"/>
                <w:szCs w:val="21"/>
                <w:highlight w:val="none"/>
                <w:lang w:val="en-US" w:eastAsia="zh-CN"/>
              </w:rPr>
              <w:t>是施工作业的直接参与者，他们的管理水平好坏将直接关系到环境管理的好坏，为此，在施工单位的选择与管理上要求：</w:t>
            </w:r>
          </w:p>
          <w:p w14:paraId="7FEE0C7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①</w:t>
            </w:r>
            <w:r>
              <w:rPr>
                <w:rFonts w:hint="default" w:ascii="Times New Roman" w:hAnsi="Times New Roman" w:eastAsia="宋体" w:cs="Times New Roman"/>
                <w:b w:val="0"/>
                <w:bCs w:val="0"/>
                <w:color w:val="auto"/>
                <w:sz w:val="21"/>
                <w:szCs w:val="21"/>
                <w:highlight w:val="none"/>
                <w:lang w:val="en-US" w:eastAsia="zh-CN"/>
              </w:rPr>
              <w:t>施工期对环境的污染程度与</w:t>
            </w:r>
            <w:r>
              <w:rPr>
                <w:rFonts w:hint="eastAsia" w:ascii="Times New Roman" w:hAnsi="Times New Roman" w:eastAsia="宋体" w:cs="Times New Roman"/>
                <w:b w:val="0"/>
                <w:bCs w:val="0"/>
                <w:color w:val="auto"/>
                <w:sz w:val="21"/>
                <w:szCs w:val="21"/>
                <w:highlight w:val="none"/>
                <w:lang w:val="en-US" w:eastAsia="zh-CN"/>
              </w:rPr>
              <w:t>施工单位</w:t>
            </w:r>
            <w:r>
              <w:rPr>
                <w:rFonts w:hint="default" w:ascii="Times New Roman" w:hAnsi="Times New Roman" w:eastAsia="宋体" w:cs="Times New Roman"/>
                <w:b w:val="0"/>
                <w:bCs w:val="0"/>
                <w:color w:val="auto"/>
                <w:sz w:val="21"/>
                <w:szCs w:val="21"/>
                <w:highlight w:val="none"/>
                <w:lang w:val="en-US" w:eastAsia="zh-CN"/>
              </w:rPr>
              <w:t>的素质和管理水平有直接的关系，因此在工程招标过程中，对</w:t>
            </w:r>
            <w:r>
              <w:rPr>
                <w:rFonts w:hint="eastAsia" w:ascii="Times New Roman" w:hAnsi="Times New Roman" w:eastAsia="宋体" w:cs="Times New Roman"/>
                <w:b w:val="0"/>
                <w:bCs w:val="0"/>
                <w:color w:val="auto"/>
                <w:sz w:val="21"/>
                <w:szCs w:val="21"/>
                <w:highlight w:val="none"/>
                <w:lang w:val="en-US" w:eastAsia="zh-CN"/>
              </w:rPr>
              <w:t>施工单位</w:t>
            </w:r>
            <w:r>
              <w:rPr>
                <w:rFonts w:hint="default" w:ascii="Times New Roman" w:hAnsi="Times New Roman" w:eastAsia="宋体" w:cs="Times New Roman"/>
                <w:b w:val="0"/>
                <w:bCs w:val="0"/>
                <w:color w:val="auto"/>
                <w:sz w:val="21"/>
                <w:szCs w:val="21"/>
                <w:highlight w:val="none"/>
                <w:lang w:val="en-US" w:eastAsia="zh-CN"/>
              </w:rPr>
              <w:t>的选择，除要考虑实力、人员素质和技术装备外，还要优先选择那些施工环境管理水平高、环保业绩好的队伍；</w:t>
            </w:r>
          </w:p>
          <w:p w14:paraId="7481876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②</w:t>
            </w:r>
            <w:r>
              <w:rPr>
                <w:rFonts w:hint="default" w:ascii="Times New Roman" w:hAnsi="Times New Roman" w:eastAsia="宋体" w:cs="Times New Roman"/>
                <w:b w:val="0"/>
                <w:bCs w:val="0"/>
                <w:color w:val="auto"/>
                <w:sz w:val="21"/>
                <w:szCs w:val="21"/>
                <w:highlight w:val="none"/>
                <w:lang w:val="en-US" w:eastAsia="zh-CN"/>
              </w:rPr>
              <w:t>在签订施工承包合同时，应将有关环境保护的条款列入合同，其中应包括在环境污染预防和治理方面对承包方的具体要求，如施工噪声污染、废水、扬尘等的排放治理，施工垃圾处置等内容；</w:t>
            </w:r>
          </w:p>
          <w:p w14:paraId="6C98A3A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③</w:t>
            </w:r>
            <w:r>
              <w:rPr>
                <w:rFonts w:hint="default" w:ascii="Times New Roman" w:hAnsi="Times New Roman" w:eastAsia="宋体" w:cs="Times New Roman"/>
                <w:b w:val="0"/>
                <w:bCs w:val="0"/>
                <w:color w:val="auto"/>
                <w:sz w:val="21"/>
                <w:szCs w:val="21"/>
                <w:highlight w:val="none"/>
                <w:lang w:val="en-US" w:eastAsia="zh-CN"/>
              </w:rPr>
              <w:t>要求施工单位要严格执行施工期的各项环保规定，落实各项环保措施，按要求选择适宜的施工时间、尽量缩小施工范围、废渣和垃圾集中堆放，施工结束后按规定对土地进行整治；</w:t>
            </w:r>
          </w:p>
          <w:p w14:paraId="2BD52E4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④</w:t>
            </w:r>
            <w:r>
              <w:rPr>
                <w:rFonts w:hint="default" w:ascii="Times New Roman" w:hAnsi="Times New Roman" w:eastAsia="宋体" w:cs="Times New Roman"/>
                <w:b w:val="0"/>
                <w:bCs w:val="0"/>
                <w:color w:val="auto"/>
                <w:sz w:val="21"/>
                <w:szCs w:val="21"/>
                <w:highlight w:val="none"/>
                <w:lang w:val="en-US" w:eastAsia="zh-CN"/>
              </w:rPr>
              <w:t>要求施工单位加强管理施工单位作业范围，明确施工人员作业区域，应在施工作业带周围树立明显标志，严禁破坏施工区域以外的区域环境。</w:t>
            </w:r>
          </w:p>
          <w:p w14:paraId="319E977F">
            <w:pPr>
              <w:keepNext w:val="0"/>
              <w:keepLines w:val="0"/>
              <w:pageBreakBefore w:val="0"/>
              <w:widowControl w:val="0"/>
              <w:kinsoku/>
              <w:wordWrap/>
              <w:overflowPunct/>
              <w:topLinePunct w:val="0"/>
              <w:autoSpaceDE/>
              <w:autoSpaceDN/>
              <w:bidi w:val="0"/>
              <w:adjustRightInd w:val="0"/>
              <w:snapToGrid w:val="0"/>
              <w:spacing w:line="320" w:lineRule="exact"/>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5.2 </w:t>
            </w:r>
            <w:r>
              <w:rPr>
                <w:rFonts w:hint="default" w:ascii="Times New Roman" w:hAnsi="Times New Roman" w:eastAsia="宋体" w:cs="Times New Roman"/>
                <w:b/>
                <w:bCs/>
                <w:color w:val="auto"/>
                <w:sz w:val="21"/>
                <w:szCs w:val="21"/>
                <w:highlight w:val="none"/>
                <w:lang w:val="en-US" w:eastAsia="zh-CN"/>
              </w:rPr>
              <w:t>运营期环境管理</w:t>
            </w:r>
            <w:r>
              <w:rPr>
                <w:rFonts w:hint="eastAsia" w:ascii="Times New Roman" w:hAnsi="Times New Roman" w:eastAsia="宋体" w:cs="Times New Roman"/>
                <w:b/>
                <w:bCs/>
                <w:color w:val="auto"/>
                <w:sz w:val="21"/>
                <w:szCs w:val="21"/>
                <w:highlight w:val="none"/>
                <w:lang w:val="en-US" w:eastAsia="zh-CN"/>
              </w:rPr>
              <w:t>制度</w:t>
            </w:r>
          </w:p>
          <w:p w14:paraId="16CC396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bookmarkStart w:id="11" w:name="_Toc213838530"/>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环境管理机构</w:t>
            </w:r>
            <w:bookmarkEnd w:id="11"/>
          </w:p>
          <w:p w14:paraId="6175DC8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山西晋煤集团赵庄煤业有限责任公司赵庄二号井已</w:t>
            </w:r>
            <w:r>
              <w:rPr>
                <w:rFonts w:hint="default" w:ascii="Times New Roman" w:hAnsi="Times New Roman" w:eastAsia="宋体" w:cs="Times New Roman"/>
                <w:b w:val="0"/>
                <w:bCs w:val="0"/>
                <w:color w:val="auto"/>
                <w:sz w:val="21"/>
                <w:szCs w:val="21"/>
                <w:highlight w:val="none"/>
                <w:lang w:val="en-US" w:eastAsia="zh-CN"/>
              </w:rPr>
              <w:t>设立环保科，</w:t>
            </w:r>
            <w:r>
              <w:rPr>
                <w:rFonts w:hint="eastAsia" w:ascii="Times New Roman" w:hAnsi="Times New Roman" w:eastAsia="宋体" w:cs="Times New Roman"/>
                <w:b w:val="0"/>
                <w:bCs w:val="0"/>
                <w:color w:val="auto"/>
                <w:sz w:val="21"/>
                <w:szCs w:val="21"/>
                <w:highlight w:val="none"/>
                <w:lang w:val="en-US" w:eastAsia="zh-CN"/>
              </w:rPr>
              <w:t>包括</w:t>
            </w:r>
            <w:r>
              <w:rPr>
                <w:rFonts w:hint="default" w:ascii="Times New Roman" w:hAnsi="Times New Roman" w:eastAsia="宋体" w:cs="Times New Roman"/>
                <w:b w:val="0"/>
                <w:bCs w:val="0"/>
                <w:color w:val="auto"/>
                <w:sz w:val="21"/>
                <w:szCs w:val="21"/>
                <w:highlight w:val="none"/>
                <w:lang w:val="en-US" w:eastAsia="zh-CN"/>
              </w:rPr>
              <w:t>科长</w:t>
            </w: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名</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科员1名，负责全厂运营期的环境管理工作。</w:t>
            </w:r>
          </w:p>
          <w:p w14:paraId="58A5B4F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环境管理机构职责</w:t>
            </w:r>
          </w:p>
          <w:p w14:paraId="4636A3C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环境管理机构的主要职责包括：</w:t>
            </w:r>
          </w:p>
          <w:p w14:paraId="7448933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①</w:t>
            </w:r>
            <w:r>
              <w:rPr>
                <w:rFonts w:hint="default" w:ascii="Times New Roman" w:hAnsi="Times New Roman" w:eastAsia="宋体" w:cs="Times New Roman"/>
                <w:b w:val="0"/>
                <w:bCs w:val="0"/>
                <w:color w:val="auto"/>
                <w:sz w:val="21"/>
                <w:szCs w:val="21"/>
                <w:highlight w:val="none"/>
                <w:lang w:val="en-US" w:eastAsia="zh-CN"/>
              </w:rPr>
              <w:t>贯彻执行国家环境保护的方针、政策、法律、法规；</w:t>
            </w:r>
          </w:p>
          <w:p w14:paraId="391E3A4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②</w:t>
            </w:r>
            <w:r>
              <w:rPr>
                <w:rFonts w:hint="default" w:ascii="Times New Roman" w:hAnsi="Times New Roman" w:eastAsia="宋体" w:cs="Times New Roman"/>
                <w:b w:val="0"/>
                <w:bCs w:val="0"/>
                <w:color w:val="auto"/>
                <w:sz w:val="21"/>
                <w:szCs w:val="21"/>
                <w:highlight w:val="none"/>
                <w:lang w:val="en-US" w:eastAsia="zh-CN"/>
              </w:rPr>
              <w:t>组织制定项目的环境保护规章制度和标准并督促检查执行，制定污染控制及改善环境质量计划；</w:t>
            </w:r>
          </w:p>
          <w:p w14:paraId="1F8E768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③</w:t>
            </w:r>
            <w:r>
              <w:rPr>
                <w:rFonts w:hint="default" w:ascii="Times New Roman" w:hAnsi="Times New Roman" w:eastAsia="宋体" w:cs="Times New Roman"/>
                <w:b w:val="0"/>
                <w:bCs w:val="0"/>
                <w:color w:val="auto"/>
                <w:sz w:val="21"/>
                <w:szCs w:val="21"/>
                <w:highlight w:val="none"/>
                <w:lang w:val="en-US" w:eastAsia="zh-CN"/>
              </w:rPr>
              <w:t>负责组织环境监测、事故防范以及外部协调工作，负责组织突发事故的应急处理的善后事宜；</w:t>
            </w:r>
          </w:p>
          <w:p w14:paraId="0605C27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④</w:t>
            </w:r>
            <w:r>
              <w:rPr>
                <w:rFonts w:hint="default" w:ascii="Times New Roman" w:hAnsi="Times New Roman" w:eastAsia="宋体" w:cs="Times New Roman"/>
                <w:b w:val="0"/>
                <w:bCs w:val="0"/>
                <w:color w:val="auto"/>
                <w:sz w:val="21"/>
                <w:szCs w:val="21"/>
                <w:highlight w:val="none"/>
                <w:lang w:val="en-US" w:eastAsia="zh-CN"/>
              </w:rPr>
              <w:t>组织开展环境保护的科研、宣传教育和技术培训工作；</w:t>
            </w:r>
          </w:p>
          <w:p w14:paraId="11FCF5B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⑤</w:t>
            </w:r>
            <w:r>
              <w:rPr>
                <w:rFonts w:hint="default" w:ascii="Times New Roman" w:hAnsi="Times New Roman" w:eastAsia="宋体" w:cs="Times New Roman"/>
                <w:b w:val="0"/>
                <w:bCs w:val="0"/>
                <w:color w:val="auto"/>
                <w:sz w:val="21"/>
                <w:szCs w:val="21"/>
                <w:highlight w:val="none"/>
                <w:lang w:val="en-US" w:eastAsia="zh-CN"/>
              </w:rPr>
              <w:t>监督“三同时”规定的执行情况，确保环境保护设施与主体工程同时设计、同时施工、同时运行，有效控制污染；</w:t>
            </w:r>
          </w:p>
          <w:p w14:paraId="71F50B4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⑥</w:t>
            </w:r>
            <w:r>
              <w:rPr>
                <w:rFonts w:hint="default" w:ascii="Times New Roman" w:hAnsi="Times New Roman" w:eastAsia="宋体" w:cs="Times New Roman"/>
                <w:b w:val="0"/>
                <w:bCs w:val="0"/>
                <w:color w:val="auto"/>
                <w:sz w:val="21"/>
                <w:szCs w:val="21"/>
                <w:highlight w:val="none"/>
                <w:lang w:val="en-US" w:eastAsia="zh-CN"/>
              </w:rPr>
              <w:t>检查本项目各环境保护设施的运行。</w:t>
            </w:r>
          </w:p>
          <w:p w14:paraId="62C7FDD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环保科环境管理人员职责</w:t>
            </w:r>
          </w:p>
          <w:p w14:paraId="67932A6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①全面贯彻落实环保政策，监督工程项目的各项环境保护工作；</w:t>
            </w:r>
          </w:p>
          <w:p w14:paraId="6650EB2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②制定本企业环境保护的近、远期发展规划和年度工作计划，制定并检查各项环境保护管理制度及其执行情况；</w:t>
            </w:r>
          </w:p>
          <w:p w14:paraId="5ED4F9C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③根据环保部门下达的环境保护目标、污染物总量控制指标，制定本企业的环境保护目标和实施措施，并在年度中予以落实；</w:t>
            </w:r>
          </w:p>
          <w:p w14:paraId="0861617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④负责建立企业内部环境保护责任制度和考核制度，协助企业完成围绕环境保护的各项考核指标；</w:t>
            </w:r>
          </w:p>
          <w:p w14:paraId="6A614BD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⑤做好环保设施管理工作，建立环保设施档案，保证环保设施按照设计要求运行，定期检查、定期上报，杜绝擅自拆除和闲置不用的现象发生；</w:t>
            </w:r>
          </w:p>
          <w:p w14:paraId="1E88D25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⑥负责企业环境保护的宣传教育工作，做好普及环境科学知识和环保法规的宣传，树立环保</w:t>
            </w:r>
            <w:r>
              <w:rPr>
                <w:rFonts w:hint="eastAsia" w:cs="Times New Roman"/>
                <w:b w:val="0"/>
                <w:bCs w:val="0"/>
                <w:color w:val="auto"/>
                <w:sz w:val="21"/>
                <w:szCs w:val="21"/>
                <w:highlight w:val="none"/>
                <w:lang w:val="en-US" w:eastAsia="zh-CN"/>
              </w:rPr>
              <w:t>法治观念</w:t>
            </w:r>
            <w:r>
              <w:rPr>
                <w:rFonts w:hint="default" w:ascii="Times New Roman" w:hAnsi="Times New Roman" w:eastAsia="宋体" w:cs="Times New Roman"/>
                <w:b w:val="0"/>
                <w:bCs w:val="0"/>
                <w:color w:val="auto"/>
                <w:sz w:val="21"/>
                <w:szCs w:val="21"/>
                <w:highlight w:val="none"/>
                <w:lang w:val="en-US" w:eastAsia="zh-CN"/>
              </w:rPr>
              <w:t>；</w:t>
            </w:r>
          </w:p>
          <w:p w14:paraId="4BB30F7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⑦定期组织当地环境监测部门对污染物进行监测检查；</w:t>
            </w:r>
          </w:p>
          <w:p w14:paraId="2891CE9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⑧负责与地方各级环保部门的联系，按要求上报各项环保报表，并定时向上级主管部门汇报环保工作情况；</w:t>
            </w:r>
          </w:p>
          <w:p w14:paraId="44510FA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⑨组织、进行企业日常环境保护的管理、基础设施维护等方面的工作，厂区的管理、绿化维护、环境保护设施日常检查、厂内污染防治设施的操作监督等。</w:t>
            </w:r>
          </w:p>
          <w:p w14:paraId="3CCF189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3205C5B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516DE8F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5780D10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397CFC4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3750B1B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2C55C88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67F0039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012FB75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785B9E0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584C66C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60A1C66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63EED5E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36C84C5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28412C5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4C92E07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15DABA6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p>
          <w:p w14:paraId="3754F556">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cs="Times New Roman"/>
                <w:color w:val="auto"/>
                <w:szCs w:val="21"/>
                <w:highlight w:val="none"/>
                <w:lang w:val="en-US" w:eastAsia="zh-CN"/>
              </w:rPr>
            </w:pPr>
          </w:p>
          <w:p w14:paraId="7A85B097">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cs="Times New Roman"/>
                <w:color w:val="auto"/>
                <w:szCs w:val="21"/>
                <w:highlight w:val="none"/>
                <w:lang w:val="en-US" w:eastAsia="zh-CN"/>
              </w:rPr>
            </w:pPr>
          </w:p>
          <w:p w14:paraId="0D8A5505">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cs="Times New Roman"/>
                <w:color w:val="auto"/>
                <w:szCs w:val="21"/>
                <w:highlight w:val="none"/>
                <w:lang w:val="en-US" w:eastAsia="zh-CN"/>
              </w:rPr>
            </w:pPr>
          </w:p>
          <w:p w14:paraId="32F6EBC9">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cs="Times New Roman"/>
                <w:color w:val="auto"/>
                <w:szCs w:val="21"/>
                <w:highlight w:val="none"/>
                <w:lang w:val="en-US" w:eastAsia="zh-CN"/>
              </w:rPr>
            </w:pPr>
          </w:p>
          <w:p w14:paraId="304C1F52">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cs="Times New Roman"/>
                <w:color w:val="auto"/>
                <w:szCs w:val="21"/>
                <w:highlight w:val="none"/>
                <w:lang w:val="en-US" w:eastAsia="zh-CN"/>
              </w:rPr>
            </w:pPr>
          </w:p>
          <w:p w14:paraId="31F07CC1">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Cs w:val="21"/>
                <w:highlight w:val="none"/>
                <w:lang w:val="en-US" w:eastAsia="zh-CN"/>
              </w:rPr>
            </w:pPr>
          </w:p>
        </w:tc>
      </w:tr>
    </w:tbl>
    <w:p w14:paraId="12823AAD">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5BAB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280558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bCs/>
                <w:color w:val="auto"/>
                <w:sz w:val="24"/>
                <w:szCs w:val="24"/>
                <w:highlight w:val="none"/>
                <w:lang w:val="en-US" w:eastAsia="zh-CN"/>
              </w:rPr>
              <w:t>从环境保护角度</w:t>
            </w:r>
            <w:r>
              <w:rPr>
                <w:rFonts w:hint="eastAsia" w:ascii="Times New Roman" w:hAnsi="Times New Roman" w:eastAsia="宋体" w:cs="Times New Roman"/>
                <w:b w:val="0"/>
                <w:bCs/>
                <w:color w:val="auto"/>
                <w:sz w:val="24"/>
                <w:szCs w:val="24"/>
                <w:highlight w:val="none"/>
                <w:lang w:val="en-US" w:eastAsia="zh-CN"/>
              </w:rPr>
              <w:t>分析</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本</w:t>
            </w:r>
            <w:r>
              <w:rPr>
                <w:rFonts w:hint="default" w:ascii="Times New Roman" w:hAnsi="Times New Roman" w:eastAsia="宋体" w:cs="Times New Roman"/>
                <w:b w:val="0"/>
                <w:bCs/>
                <w:color w:val="auto"/>
                <w:sz w:val="24"/>
                <w:szCs w:val="24"/>
                <w:highlight w:val="none"/>
                <w:lang w:val="en-US" w:eastAsia="zh-CN"/>
              </w:rPr>
              <w:t>项目的建设是可行的。</w:t>
            </w:r>
          </w:p>
        </w:tc>
      </w:tr>
    </w:tbl>
    <w:p w14:paraId="712EFF57">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FF4E68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14:paraId="6F7C6F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536"/>
        <w:gridCol w:w="1665"/>
        <w:gridCol w:w="1275"/>
        <w:gridCol w:w="1680"/>
        <w:gridCol w:w="1530"/>
        <w:gridCol w:w="1785"/>
        <w:gridCol w:w="1673"/>
        <w:gridCol w:w="1281"/>
      </w:tblGrid>
      <w:tr w14:paraId="28730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63" w:type="dxa"/>
            <w:tcBorders>
              <w:tl2br w:val="single" w:color="auto" w:sz="4" w:space="0"/>
            </w:tcBorders>
            <w:noWrap w:val="0"/>
            <w:tcMar>
              <w:left w:w="28" w:type="dxa"/>
              <w:right w:w="28" w:type="dxa"/>
            </w:tcMar>
            <w:vAlign w:val="center"/>
          </w:tcPr>
          <w:p w14:paraId="1A394D18">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14:paraId="243A409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536" w:type="dxa"/>
            <w:noWrap w:val="0"/>
            <w:tcMar>
              <w:left w:w="28" w:type="dxa"/>
              <w:right w:w="28" w:type="dxa"/>
            </w:tcMar>
            <w:vAlign w:val="center"/>
          </w:tcPr>
          <w:p w14:paraId="44A72DF4">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665" w:type="dxa"/>
            <w:noWrap w:val="0"/>
            <w:tcMar>
              <w:left w:w="28" w:type="dxa"/>
              <w:right w:w="28" w:type="dxa"/>
            </w:tcMar>
            <w:vAlign w:val="center"/>
          </w:tcPr>
          <w:p w14:paraId="25CB859F">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408CBB94">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75" w:type="dxa"/>
            <w:noWrap w:val="0"/>
            <w:tcMar>
              <w:left w:w="28" w:type="dxa"/>
              <w:right w:w="28" w:type="dxa"/>
            </w:tcMar>
            <w:vAlign w:val="center"/>
          </w:tcPr>
          <w:p w14:paraId="7476A0D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2F98F33A">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3F655731">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680" w:type="dxa"/>
            <w:noWrap w:val="0"/>
            <w:tcMar>
              <w:left w:w="28" w:type="dxa"/>
              <w:right w:w="28" w:type="dxa"/>
            </w:tcMar>
            <w:vAlign w:val="center"/>
          </w:tcPr>
          <w:p w14:paraId="34DF0660">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0D8BF4C5">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30" w:type="dxa"/>
            <w:noWrap w:val="0"/>
            <w:tcMar>
              <w:left w:w="28" w:type="dxa"/>
              <w:right w:w="28" w:type="dxa"/>
            </w:tcMar>
            <w:vAlign w:val="center"/>
          </w:tcPr>
          <w:p w14:paraId="1BCD10CA">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14:paraId="791F777A">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785" w:type="dxa"/>
            <w:noWrap w:val="0"/>
            <w:tcMar>
              <w:left w:w="28" w:type="dxa"/>
              <w:right w:w="28" w:type="dxa"/>
            </w:tcMar>
            <w:vAlign w:val="center"/>
          </w:tcPr>
          <w:p w14:paraId="0D973C3F">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14:paraId="6CC62863">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673" w:type="dxa"/>
            <w:noWrap w:val="0"/>
            <w:tcMar>
              <w:left w:w="28" w:type="dxa"/>
              <w:right w:w="28" w:type="dxa"/>
            </w:tcMar>
            <w:vAlign w:val="center"/>
          </w:tcPr>
          <w:p w14:paraId="2E81F43A">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3187B1A5">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281" w:type="dxa"/>
            <w:noWrap w:val="0"/>
            <w:tcMar>
              <w:left w:w="28" w:type="dxa"/>
              <w:right w:w="28" w:type="dxa"/>
            </w:tcMar>
            <w:vAlign w:val="center"/>
          </w:tcPr>
          <w:p w14:paraId="14B681C5">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61E6A104">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2F828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noWrap w:val="0"/>
            <w:vAlign w:val="center"/>
          </w:tcPr>
          <w:p w14:paraId="04126275">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1536" w:type="dxa"/>
            <w:noWrap w:val="0"/>
            <w:vAlign w:val="center"/>
          </w:tcPr>
          <w:p w14:paraId="4F842AFE">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颗粒物</w:t>
            </w:r>
          </w:p>
        </w:tc>
        <w:tc>
          <w:tcPr>
            <w:tcW w:w="1665" w:type="dxa"/>
            <w:noWrap w:val="0"/>
            <w:vAlign w:val="center"/>
          </w:tcPr>
          <w:p w14:paraId="404CFE1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5101AC7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34E622D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5BB011C9">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1.79</w:t>
            </w:r>
            <w:r>
              <w:rPr>
                <w:rFonts w:hint="default" w:ascii="Times New Roman" w:hAnsi="Times New Roman" w:cs="Times New Roman"/>
                <w:snapToGrid w:val="0"/>
                <w:color w:val="auto"/>
                <w:kern w:val="21"/>
                <w:szCs w:val="21"/>
                <w:highlight w:val="none"/>
                <w:lang w:val="en-US" w:eastAsia="zh-CN"/>
              </w:rPr>
              <w:t>t/a</w:t>
            </w:r>
          </w:p>
        </w:tc>
        <w:tc>
          <w:tcPr>
            <w:tcW w:w="1785" w:type="dxa"/>
            <w:noWrap w:val="0"/>
            <w:vAlign w:val="center"/>
          </w:tcPr>
          <w:p w14:paraId="3A32BF1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764EC30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1.79</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170B2728">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+1.79</w:t>
            </w:r>
            <w:r>
              <w:rPr>
                <w:rFonts w:hint="default" w:ascii="Times New Roman" w:hAnsi="Times New Roman" w:cs="Times New Roman"/>
                <w:snapToGrid w:val="0"/>
                <w:color w:val="auto"/>
                <w:kern w:val="21"/>
                <w:szCs w:val="21"/>
                <w:highlight w:val="none"/>
                <w:lang w:val="en-US" w:eastAsia="zh-CN"/>
              </w:rPr>
              <w:t>t/a</w:t>
            </w:r>
          </w:p>
        </w:tc>
      </w:tr>
      <w:tr w14:paraId="0A5BF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restart"/>
            <w:noWrap w:val="0"/>
            <w:vAlign w:val="center"/>
          </w:tcPr>
          <w:p w14:paraId="204F05C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1536" w:type="dxa"/>
            <w:noWrap w:val="0"/>
            <w:vAlign w:val="center"/>
          </w:tcPr>
          <w:p w14:paraId="464F568C">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Cs w:val="21"/>
                <w:highlight w:val="none"/>
                <w:lang w:val="en-US" w:eastAsia="zh-CN"/>
              </w:rPr>
              <w:t>COD</w:t>
            </w:r>
          </w:p>
        </w:tc>
        <w:tc>
          <w:tcPr>
            <w:tcW w:w="1665" w:type="dxa"/>
            <w:noWrap w:val="0"/>
            <w:vAlign w:val="center"/>
          </w:tcPr>
          <w:p w14:paraId="3415515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4CF6A76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7599A8F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7A761CA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785" w:type="dxa"/>
            <w:noWrap w:val="0"/>
            <w:vAlign w:val="center"/>
          </w:tcPr>
          <w:p w14:paraId="624C0A1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17B95BE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81" w:type="dxa"/>
            <w:noWrap w:val="0"/>
            <w:vAlign w:val="center"/>
          </w:tcPr>
          <w:p w14:paraId="01480DA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r>
      <w:tr w14:paraId="092E9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continue"/>
            <w:noWrap w:val="0"/>
            <w:vAlign w:val="center"/>
          </w:tcPr>
          <w:p w14:paraId="34590BB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536" w:type="dxa"/>
            <w:noWrap w:val="0"/>
            <w:vAlign w:val="center"/>
          </w:tcPr>
          <w:p w14:paraId="49EAE1D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Cs w:val="21"/>
                <w:highlight w:val="none"/>
                <w:lang w:val="en-US" w:eastAsia="zh-CN"/>
              </w:rPr>
              <w:t>氨氮</w:t>
            </w:r>
          </w:p>
        </w:tc>
        <w:tc>
          <w:tcPr>
            <w:tcW w:w="1665" w:type="dxa"/>
            <w:noWrap w:val="0"/>
            <w:vAlign w:val="center"/>
          </w:tcPr>
          <w:p w14:paraId="541E673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289A105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71782AC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7722897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785" w:type="dxa"/>
            <w:noWrap w:val="0"/>
            <w:vAlign w:val="center"/>
          </w:tcPr>
          <w:p w14:paraId="6C48CE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5E90B63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81" w:type="dxa"/>
            <w:noWrap w:val="0"/>
            <w:vAlign w:val="center"/>
          </w:tcPr>
          <w:p w14:paraId="5604071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r>
      <w:tr w14:paraId="44C86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restart"/>
            <w:noWrap w:val="0"/>
            <w:vAlign w:val="center"/>
          </w:tcPr>
          <w:p w14:paraId="77992A33">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14:paraId="19721ABD">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1536" w:type="dxa"/>
            <w:noWrap w:val="0"/>
            <w:vAlign w:val="center"/>
          </w:tcPr>
          <w:p w14:paraId="2D5C965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除尘器除尘灰</w:t>
            </w:r>
          </w:p>
        </w:tc>
        <w:tc>
          <w:tcPr>
            <w:tcW w:w="1665" w:type="dxa"/>
            <w:noWrap w:val="0"/>
            <w:vAlign w:val="center"/>
          </w:tcPr>
          <w:p w14:paraId="332C6C9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5042CD8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7264F5A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773B2A8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51.262</w:t>
            </w:r>
            <w:r>
              <w:rPr>
                <w:rFonts w:hint="default" w:ascii="Times New Roman" w:hAnsi="Times New Roman" w:cs="Times New Roman"/>
                <w:snapToGrid w:val="0"/>
                <w:color w:val="auto"/>
                <w:kern w:val="21"/>
                <w:szCs w:val="21"/>
                <w:highlight w:val="none"/>
                <w:lang w:val="en-US" w:eastAsia="zh-CN"/>
              </w:rPr>
              <w:t>t/a</w:t>
            </w:r>
          </w:p>
        </w:tc>
        <w:tc>
          <w:tcPr>
            <w:tcW w:w="1785" w:type="dxa"/>
            <w:noWrap w:val="0"/>
            <w:vAlign w:val="center"/>
          </w:tcPr>
          <w:p w14:paraId="18041A3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1D1C293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51.262</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27B452C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+51.262</w:t>
            </w:r>
            <w:r>
              <w:rPr>
                <w:rFonts w:hint="default" w:ascii="Times New Roman" w:hAnsi="Times New Roman" w:cs="Times New Roman"/>
                <w:snapToGrid w:val="0"/>
                <w:color w:val="auto"/>
                <w:kern w:val="21"/>
                <w:szCs w:val="21"/>
                <w:highlight w:val="none"/>
                <w:lang w:val="en-US" w:eastAsia="zh-CN"/>
              </w:rPr>
              <w:t>t/a</w:t>
            </w:r>
          </w:p>
        </w:tc>
      </w:tr>
      <w:tr w14:paraId="7743D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continue"/>
            <w:noWrap w:val="0"/>
            <w:vAlign w:val="center"/>
          </w:tcPr>
          <w:p w14:paraId="201EC378">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536" w:type="dxa"/>
            <w:noWrap w:val="0"/>
            <w:vAlign w:val="center"/>
          </w:tcPr>
          <w:p w14:paraId="11F1F79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沉淀池沉渣</w:t>
            </w:r>
          </w:p>
        </w:tc>
        <w:tc>
          <w:tcPr>
            <w:tcW w:w="1665" w:type="dxa"/>
            <w:noWrap w:val="0"/>
            <w:vAlign w:val="center"/>
          </w:tcPr>
          <w:p w14:paraId="213C62A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2FAC78F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51D61E1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13FC37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w:t>
            </w:r>
            <w:r>
              <w:rPr>
                <w:rFonts w:hint="default" w:ascii="Times New Roman" w:hAnsi="Times New Roman" w:cs="Times New Roman"/>
                <w:snapToGrid w:val="0"/>
                <w:color w:val="auto"/>
                <w:kern w:val="21"/>
                <w:szCs w:val="21"/>
                <w:highlight w:val="none"/>
                <w:lang w:val="en-US" w:eastAsia="zh-CN"/>
              </w:rPr>
              <w:t>t/a</w:t>
            </w:r>
          </w:p>
        </w:tc>
        <w:tc>
          <w:tcPr>
            <w:tcW w:w="1785" w:type="dxa"/>
            <w:noWrap w:val="0"/>
            <w:vAlign w:val="center"/>
          </w:tcPr>
          <w:p w14:paraId="6006A06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5E80926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0E68047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+5</w:t>
            </w:r>
            <w:r>
              <w:rPr>
                <w:rFonts w:hint="default" w:ascii="Times New Roman" w:hAnsi="Times New Roman" w:cs="Times New Roman"/>
                <w:snapToGrid w:val="0"/>
                <w:color w:val="auto"/>
                <w:kern w:val="21"/>
                <w:szCs w:val="21"/>
                <w:highlight w:val="none"/>
                <w:lang w:val="en-US" w:eastAsia="zh-CN"/>
              </w:rPr>
              <w:t>t/a</w:t>
            </w:r>
          </w:p>
        </w:tc>
      </w:tr>
      <w:tr w14:paraId="02B52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continue"/>
            <w:noWrap w:val="0"/>
            <w:vAlign w:val="center"/>
          </w:tcPr>
          <w:p w14:paraId="30EA421E">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1536" w:type="dxa"/>
            <w:noWrap w:val="0"/>
            <w:vAlign w:val="center"/>
          </w:tcPr>
          <w:p w14:paraId="7704D1E3">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1665" w:type="dxa"/>
            <w:noWrap w:val="0"/>
            <w:vAlign w:val="center"/>
          </w:tcPr>
          <w:p w14:paraId="718A94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5F2B9E8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5E6EA31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6FD4E46A">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1.65</w:t>
            </w:r>
            <w:r>
              <w:rPr>
                <w:rFonts w:hint="default" w:ascii="Times New Roman" w:hAnsi="Times New Roman" w:cs="Times New Roman"/>
                <w:snapToGrid w:val="0"/>
                <w:color w:val="auto"/>
                <w:kern w:val="21"/>
                <w:szCs w:val="21"/>
                <w:highlight w:val="none"/>
                <w:lang w:val="en-US" w:eastAsia="zh-CN"/>
              </w:rPr>
              <w:t>t/a</w:t>
            </w:r>
          </w:p>
        </w:tc>
        <w:tc>
          <w:tcPr>
            <w:tcW w:w="1785" w:type="dxa"/>
            <w:noWrap w:val="0"/>
            <w:vAlign w:val="center"/>
          </w:tcPr>
          <w:p w14:paraId="33D03B2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788F6F6E">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1.65</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0A67B077">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Cs w:val="21"/>
                <w:highlight w:val="none"/>
                <w:lang w:val="en-US" w:eastAsia="zh-CN"/>
              </w:rPr>
              <w:t>+1.65</w:t>
            </w:r>
            <w:r>
              <w:rPr>
                <w:rFonts w:hint="default" w:ascii="Times New Roman" w:hAnsi="Times New Roman" w:cs="Times New Roman"/>
                <w:snapToGrid w:val="0"/>
                <w:color w:val="auto"/>
                <w:kern w:val="21"/>
                <w:szCs w:val="21"/>
                <w:highlight w:val="none"/>
                <w:lang w:val="en-US" w:eastAsia="zh-CN"/>
              </w:rPr>
              <w:t>t/a</w:t>
            </w:r>
          </w:p>
        </w:tc>
      </w:tr>
      <w:tr w14:paraId="655C2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restart"/>
            <w:noWrap w:val="0"/>
            <w:vAlign w:val="center"/>
          </w:tcPr>
          <w:p w14:paraId="6C7B298F">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1536" w:type="dxa"/>
            <w:noWrap w:val="0"/>
            <w:vAlign w:val="center"/>
          </w:tcPr>
          <w:p w14:paraId="1117523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Cs w:val="21"/>
                <w:highlight w:val="none"/>
                <w:lang w:val="en-US" w:eastAsia="zh-CN"/>
              </w:rPr>
              <w:t>废矿物油</w:t>
            </w:r>
          </w:p>
        </w:tc>
        <w:tc>
          <w:tcPr>
            <w:tcW w:w="1665" w:type="dxa"/>
            <w:noWrap w:val="0"/>
            <w:vAlign w:val="center"/>
          </w:tcPr>
          <w:p w14:paraId="72C5106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4CE605A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3200302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085515E7">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0.3</w:t>
            </w:r>
            <w:r>
              <w:rPr>
                <w:rFonts w:hint="default" w:ascii="Times New Roman" w:hAnsi="Times New Roman" w:cs="Times New Roman"/>
                <w:snapToGrid w:val="0"/>
                <w:color w:val="auto"/>
                <w:kern w:val="21"/>
                <w:szCs w:val="21"/>
                <w:highlight w:val="none"/>
                <w:lang w:val="en-US" w:eastAsia="zh-CN"/>
              </w:rPr>
              <w:t>t/a</w:t>
            </w:r>
          </w:p>
        </w:tc>
        <w:tc>
          <w:tcPr>
            <w:tcW w:w="1785" w:type="dxa"/>
            <w:noWrap w:val="0"/>
            <w:vAlign w:val="center"/>
          </w:tcPr>
          <w:p w14:paraId="6DA7596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530692BF">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0.3</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752AB459">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r>
              <w:rPr>
                <w:rFonts w:hint="eastAsia" w:ascii="Times New Roman" w:hAnsi="Times New Roman" w:eastAsia="宋体" w:cs="Times New Roman"/>
                <w:color w:val="auto"/>
                <w:spacing w:val="0"/>
                <w:szCs w:val="21"/>
                <w:highlight w:val="none"/>
                <w:lang w:val="en-US" w:eastAsia="zh-CN"/>
              </w:rPr>
              <w:t>0.3</w:t>
            </w:r>
            <w:r>
              <w:rPr>
                <w:rFonts w:hint="default" w:ascii="Times New Roman" w:hAnsi="Times New Roman" w:cs="Times New Roman"/>
                <w:snapToGrid w:val="0"/>
                <w:color w:val="auto"/>
                <w:kern w:val="21"/>
                <w:szCs w:val="21"/>
                <w:highlight w:val="none"/>
                <w:lang w:val="en-US" w:eastAsia="zh-CN"/>
              </w:rPr>
              <w:t>t/a</w:t>
            </w:r>
          </w:p>
        </w:tc>
      </w:tr>
      <w:tr w14:paraId="537CB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3" w:type="dxa"/>
            <w:vMerge w:val="continue"/>
            <w:noWrap w:val="0"/>
            <w:vAlign w:val="top"/>
          </w:tcPr>
          <w:p w14:paraId="4A67EEF0">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snapToGrid w:val="0"/>
                <w:color w:val="auto"/>
                <w:kern w:val="21"/>
                <w:szCs w:val="21"/>
                <w:highlight w:val="none"/>
              </w:rPr>
            </w:pPr>
          </w:p>
        </w:tc>
        <w:tc>
          <w:tcPr>
            <w:tcW w:w="0" w:type="auto"/>
            <w:noWrap w:val="0"/>
            <w:vAlign w:val="center"/>
          </w:tcPr>
          <w:p w14:paraId="121301B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废油桶</w:t>
            </w:r>
          </w:p>
        </w:tc>
        <w:tc>
          <w:tcPr>
            <w:tcW w:w="0" w:type="auto"/>
            <w:noWrap w:val="0"/>
            <w:vAlign w:val="center"/>
          </w:tcPr>
          <w:p w14:paraId="62A2676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275" w:type="dxa"/>
            <w:noWrap w:val="0"/>
            <w:vAlign w:val="center"/>
          </w:tcPr>
          <w:p w14:paraId="789F23B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80" w:type="dxa"/>
            <w:noWrap w:val="0"/>
            <w:vAlign w:val="center"/>
          </w:tcPr>
          <w:p w14:paraId="7FE673B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30" w:type="dxa"/>
            <w:noWrap w:val="0"/>
            <w:vAlign w:val="center"/>
          </w:tcPr>
          <w:p w14:paraId="60D8383F">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w:t>
            </w:r>
            <w:r>
              <w:rPr>
                <w:rFonts w:hint="eastAsia" w:cs="Times New Roman"/>
                <w:color w:val="auto"/>
                <w:spacing w:val="0"/>
                <w:szCs w:val="21"/>
                <w:highlight w:val="none"/>
                <w:lang w:val="en-US" w:eastAsia="zh-CN"/>
              </w:rPr>
              <w:t>1</w:t>
            </w:r>
            <w:r>
              <w:rPr>
                <w:rFonts w:hint="default" w:ascii="Times New Roman" w:hAnsi="Times New Roman" w:cs="Times New Roman"/>
                <w:snapToGrid w:val="0"/>
                <w:color w:val="auto"/>
                <w:kern w:val="21"/>
                <w:szCs w:val="21"/>
                <w:highlight w:val="none"/>
                <w:lang w:val="en-US" w:eastAsia="zh-CN"/>
              </w:rPr>
              <w:t>t/a</w:t>
            </w:r>
          </w:p>
        </w:tc>
        <w:tc>
          <w:tcPr>
            <w:tcW w:w="0" w:type="auto"/>
            <w:noWrap w:val="0"/>
            <w:vAlign w:val="center"/>
          </w:tcPr>
          <w:p w14:paraId="5B49CB2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73" w:type="dxa"/>
            <w:noWrap w:val="0"/>
            <w:vAlign w:val="center"/>
          </w:tcPr>
          <w:p w14:paraId="72935C1F">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Cs w:val="21"/>
                <w:highlight w:val="none"/>
                <w:lang w:val="en-US" w:eastAsia="zh-CN"/>
              </w:rPr>
              <w:t>0.</w:t>
            </w:r>
            <w:r>
              <w:rPr>
                <w:rFonts w:hint="eastAsia" w:cs="Times New Roman"/>
                <w:color w:val="auto"/>
                <w:spacing w:val="0"/>
                <w:szCs w:val="21"/>
                <w:highlight w:val="none"/>
                <w:lang w:val="en-US" w:eastAsia="zh-CN"/>
              </w:rPr>
              <w:t>1</w:t>
            </w:r>
            <w:r>
              <w:rPr>
                <w:rFonts w:hint="default" w:ascii="Times New Roman" w:hAnsi="Times New Roman" w:cs="Times New Roman"/>
                <w:snapToGrid w:val="0"/>
                <w:color w:val="auto"/>
                <w:kern w:val="21"/>
                <w:szCs w:val="21"/>
                <w:highlight w:val="none"/>
                <w:lang w:val="en-US" w:eastAsia="zh-CN"/>
              </w:rPr>
              <w:t>t/a</w:t>
            </w:r>
          </w:p>
        </w:tc>
        <w:tc>
          <w:tcPr>
            <w:tcW w:w="1281" w:type="dxa"/>
            <w:noWrap w:val="0"/>
            <w:vAlign w:val="center"/>
          </w:tcPr>
          <w:p w14:paraId="16E83F2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pacing w:val="0"/>
                <w:szCs w:val="21"/>
                <w:highlight w:val="none"/>
                <w:lang w:val="en-US" w:eastAsia="zh-CN"/>
              </w:rPr>
              <w:t>+</w:t>
            </w:r>
            <w:r>
              <w:rPr>
                <w:rFonts w:hint="eastAsia" w:ascii="Times New Roman" w:hAnsi="Times New Roman" w:eastAsia="宋体" w:cs="Times New Roman"/>
                <w:color w:val="auto"/>
                <w:spacing w:val="0"/>
                <w:szCs w:val="21"/>
                <w:highlight w:val="none"/>
                <w:lang w:val="en-US" w:eastAsia="zh-CN"/>
              </w:rPr>
              <w:t>0.</w:t>
            </w:r>
            <w:r>
              <w:rPr>
                <w:rFonts w:hint="eastAsia" w:cs="Times New Roman"/>
                <w:color w:val="auto"/>
                <w:spacing w:val="0"/>
                <w:szCs w:val="21"/>
                <w:highlight w:val="none"/>
                <w:lang w:val="en-US" w:eastAsia="zh-CN"/>
              </w:rPr>
              <w:t>1</w:t>
            </w:r>
            <w:r>
              <w:rPr>
                <w:rFonts w:hint="default" w:ascii="Times New Roman" w:hAnsi="Times New Roman" w:cs="Times New Roman"/>
                <w:snapToGrid w:val="0"/>
                <w:color w:val="auto"/>
                <w:kern w:val="21"/>
                <w:szCs w:val="21"/>
                <w:highlight w:val="none"/>
                <w:lang w:val="en-US" w:eastAsia="zh-CN"/>
              </w:rPr>
              <w:t>t/a</w:t>
            </w:r>
          </w:p>
        </w:tc>
      </w:tr>
    </w:tbl>
    <w:p w14:paraId="17AB9AE6">
      <w:pPr>
        <w:pStyle w:val="49"/>
        <w:spacing w:before="192" w:beforeLines="80" w:after="24"/>
        <w:jc w:val="left"/>
        <w:rPr>
          <w:rFonts w:hint="default" w:ascii="Times New Roman" w:hAnsi="Times New Roman" w:cs="Times New Roman"/>
          <w:snapToGrid w:val="0"/>
          <w:color w:val="auto"/>
          <w:spacing w:val="-6"/>
          <w:kern w:val="21"/>
          <w:szCs w:val="21"/>
          <w:highlight w:val="none"/>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4184A6BC">
      <w:pPr>
        <w:rPr>
          <w:rFonts w:hint="default"/>
        </w:rPr>
      </w:pPr>
    </w:p>
    <w:sectPr>
      <w:headerReference r:id="rId7" w:type="default"/>
      <w:footerReference r:id="rId8"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roman"/>
    <w:pitch w:val="default"/>
    <w:sig w:usb0="00000000" w:usb1="00000000" w:usb2="00000000" w:usb3="00000000" w:csb0="0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86AC">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E244">
    <w:pPr>
      <w:pStyle w:val="17"/>
      <w:framePr w:wrap="around" w:vAnchor="text" w:hAnchor="margin" w:xAlign="center" w:y="1"/>
      <w:rPr>
        <w:rStyle w:val="28"/>
      </w:rPr>
    </w:pPr>
    <w:r>
      <w:fldChar w:fldCharType="begin"/>
    </w:r>
    <w:r>
      <w:rPr>
        <w:rStyle w:val="28"/>
      </w:rPr>
      <w:instrText xml:space="preserve">PAGE  </w:instrText>
    </w:r>
    <w:r>
      <w:fldChar w:fldCharType="end"/>
    </w:r>
  </w:p>
  <w:p w14:paraId="53A08128">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E3420">
    <w:pPr>
      <w:pStyle w:val="17"/>
      <w:framePr w:wrap="around" w:vAnchor="text" w:hAnchor="margin" w:xAlign="outside" w:y="1"/>
      <w:rPr>
        <w:rStyle w:val="28"/>
        <w:rFonts w:hint="default" w:ascii="Times New Roman" w:hAnsi="Times New Roman" w:cs="Times New Roman"/>
        <w:sz w:val="28"/>
        <w:szCs w:val="28"/>
      </w:rPr>
    </w:pPr>
    <w:r>
      <w:rPr>
        <w:rStyle w:val="28"/>
        <w:rFonts w:hint="default" w:ascii="Times New Roman" w:hAnsi="Times New Roman" w:cs="Times New Roman"/>
        <w:sz w:val="28"/>
        <w:szCs w:val="28"/>
      </w:rPr>
      <w:t>—</w:t>
    </w:r>
    <w:r>
      <w:rPr>
        <w:rStyle w:val="28"/>
        <w:rFonts w:hint="default" w:ascii="Times New Roman" w:hAnsi="Times New Roman" w:cs="Times New Roman"/>
        <w:sz w:val="20"/>
      </w:rPr>
      <w:t xml:space="preserve">  </w:t>
    </w:r>
    <w:r>
      <w:rPr>
        <w:rStyle w:val="28"/>
        <w:rFonts w:hint="default" w:ascii="Times New Roman" w:hAnsi="Times New Roman" w:cs="Times New Roman"/>
        <w:sz w:val="26"/>
        <w:szCs w:val="26"/>
      </w:rPr>
      <w:fldChar w:fldCharType="begin"/>
    </w:r>
    <w:r>
      <w:rPr>
        <w:rStyle w:val="28"/>
        <w:rFonts w:hint="default" w:ascii="Times New Roman" w:hAnsi="Times New Roman" w:cs="Times New Roman"/>
        <w:sz w:val="26"/>
        <w:szCs w:val="26"/>
      </w:rPr>
      <w:instrText xml:space="preserve">PAGE  </w:instrText>
    </w:r>
    <w:r>
      <w:rPr>
        <w:rStyle w:val="28"/>
        <w:rFonts w:hint="default" w:ascii="Times New Roman" w:hAnsi="Times New Roman" w:cs="Times New Roman"/>
        <w:sz w:val="26"/>
        <w:szCs w:val="26"/>
      </w:rPr>
      <w:fldChar w:fldCharType="separate"/>
    </w:r>
    <w:r>
      <w:rPr>
        <w:rStyle w:val="28"/>
        <w:rFonts w:hint="default" w:ascii="Times New Roman" w:hAnsi="Times New Roman" w:cs="Times New Roman"/>
        <w:sz w:val="26"/>
        <w:szCs w:val="26"/>
      </w:rPr>
      <w:t>9</w:t>
    </w:r>
    <w:r>
      <w:rPr>
        <w:rStyle w:val="28"/>
        <w:rFonts w:hint="default" w:ascii="Times New Roman" w:hAnsi="Times New Roman" w:cs="Times New Roman"/>
        <w:sz w:val="26"/>
        <w:szCs w:val="26"/>
      </w:rPr>
      <w:fldChar w:fldCharType="end"/>
    </w:r>
    <w:r>
      <w:rPr>
        <w:rStyle w:val="28"/>
        <w:rFonts w:hint="default" w:ascii="Times New Roman" w:hAnsi="Times New Roman" w:cs="Times New Roman"/>
        <w:sz w:val="20"/>
      </w:rPr>
      <w:t xml:space="preserve">  </w:t>
    </w:r>
    <w:r>
      <w:rPr>
        <w:rStyle w:val="28"/>
        <w:rFonts w:hint="default" w:ascii="Times New Roman" w:hAnsi="Times New Roman" w:cs="Times New Roman"/>
        <w:sz w:val="28"/>
        <w:szCs w:val="28"/>
      </w:rPr>
      <w:t>—</w:t>
    </w:r>
  </w:p>
  <w:p w14:paraId="3C30C0D1">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0522">
    <w:pPr>
      <w:pStyle w:val="17"/>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14:paraId="02E147F6">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0640">
    <w:pPr>
      <w:pStyle w:val="17"/>
      <w:ind w:right="360" w:firstLine="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925A5">
    <w:pPr>
      <w:pStyle w:val="18"/>
      <w:pBdr>
        <w:bottom w:val="none" w:color="auto" w:sz="0" w:space="1"/>
      </w:pBdr>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2B1156"/>
    <w:multiLevelType w:val="multilevel"/>
    <w:tmpl w:val="382B1156"/>
    <w:lvl w:ilvl="0" w:tentative="0">
      <w:start w:val="1"/>
      <w:numFmt w:val="none"/>
      <w:suff w:val="nothing"/>
      <w:lvlText w:val="第一章"/>
      <w:lvlJc w:val="left"/>
      <w:pPr>
        <w:ind w:left="0" w:firstLine="397"/>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jOGU0ZTk4NWJlZTg5MWRlOTRlMmNhMjM5YTBhZDYifQ=="/>
    <w:docVar w:name="KSO_WPS_MARK_KEY" w:val="34a45532-7908-4949-a56d-1ba2bfbe02b4"/>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23FF6"/>
    <w:rsid w:val="00625228"/>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1C1D"/>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85B23"/>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365F0"/>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60580"/>
    <w:rsid w:val="00F6638A"/>
    <w:rsid w:val="00F74345"/>
    <w:rsid w:val="00F80A0A"/>
    <w:rsid w:val="00F82B19"/>
    <w:rsid w:val="00F9212D"/>
    <w:rsid w:val="00F965DA"/>
    <w:rsid w:val="00FA406A"/>
    <w:rsid w:val="00FB503A"/>
    <w:rsid w:val="00FB516C"/>
    <w:rsid w:val="00FD0236"/>
    <w:rsid w:val="00FD18F4"/>
    <w:rsid w:val="00FD54DB"/>
    <w:rsid w:val="00FD619F"/>
    <w:rsid w:val="01172137"/>
    <w:rsid w:val="012375FA"/>
    <w:rsid w:val="01290F7E"/>
    <w:rsid w:val="015D1E09"/>
    <w:rsid w:val="015E1384"/>
    <w:rsid w:val="016D6AC7"/>
    <w:rsid w:val="018D0F17"/>
    <w:rsid w:val="019B07BE"/>
    <w:rsid w:val="01B07AC4"/>
    <w:rsid w:val="02560816"/>
    <w:rsid w:val="026930C7"/>
    <w:rsid w:val="02697903"/>
    <w:rsid w:val="02747AB9"/>
    <w:rsid w:val="02F96569"/>
    <w:rsid w:val="035277BE"/>
    <w:rsid w:val="03962305"/>
    <w:rsid w:val="03C24F27"/>
    <w:rsid w:val="03C70711"/>
    <w:rsid w:val="03EA7B21"/>
    <w:rsid w:val="04075685"/>
    <w:rsid w:val="04431F54"/>
    <w:rsid w:val="04504F19"/>
    <w:rsid w:val="04FA6940"/>
    <w:rsid w:val="051E1618"/>
    <w:rsid w:val="0537484D"/>
    <w:rsid w:val="053B69E1"/>
    <w:rsid w:val="054764C2"/>
    <w:rsid w:val="05822505"/>
    <w:rsid w:val="05B922DB"/>
    <w:rsid w:val="05C07B0D"/>
    <w:rsid w:val="05F83EAE"/>
    <w:rsid w:val="06051935"/>
    <w:rsid w:val="060C3E6B"/>
    <w:rsid w:val="06224324"/>
    <w:rsid w:val="0631417B"/>
    <w:rsid w:val="063E7D85"/>
    <w:rsid w:val="065F1C50"/>
    <w:rsid w:val="066D1F16"/>
    <w:rsid w:val="06831BDC"/>
    <w:rsid w:val="06CA7536"/>
    <w:rsid w:val="06D47DA8"/>
    <w:rsid w:val="06EE2458"/>
    <w:rsid w:val="07293586"/>
    <w:rsid w:val="07295285"/>
    <w:rsid w:val="07636392"/>
    <w:rsid w:val="07770C56"/>
    <w:rsid w:val="07AF60F3"/>
    <w:rsid w:val="07B60397"/>
    <w:rsid w:val="07CA7109"/>
    <w:rsid w:val="083D4A55"/>
    <w:rsid w:val="085D5D1F"/>
    <w:rsid w:val="086037C1"/>
    <w:rsid w:val="092217DD"/>
    <w:rsid w:val="09246605"/>
    <w:rsid w:val="093A7294"/>
    <w:rsid w:val="093C12D9"/>
    <w:rsid w:val="0995305F"/>
    <w:rsid w:val="09BD4E2D"/>
    <w:rsid w:val="09DC04EF"/>
    <w:rsid w:val="09F76A98"/>
    <w:rsid w:val="09FE44DE"/>
    <w:rsid w:val="0A0B05BC"/>
    <w:rsid w:val="0A0B0840"/>
    <w:rsid w:val="0A0D0E47"/>
    <w:rsid w:val="0A1E4C12"/>
    <w:rsid w:val="0A263993"/>
    <w:rsid w:val="0A2D3AC2"/>
    <w:rsid w:val="0A301EB9"/>
    <w:rsid w:val="0AA755DF"/>
    <w:rsid w:val="0ABE5D6D"/>
    <w:rsid w:val="0B120D44"/>
    <w:rsid w:val="0B36793A"/>
    <w:rsid w:val="0B464924"/>
    <w:rsid w:val="0B7A7F87"/>
    <w:rsid w:val="0BD27BF6"/>
    <w:rsid w:val="0BD47AC2"/>
    <w:rsid w:val="0BF25C76"/>
    <w:rsid w:val="0C1517D9"/>
    <w:rsid w:val="0C3B3C7D"/>
    <w:rsid w:val="0C4C4E3D"/>
    <w:rsid w:val="0C8438E1"/>
    <w:rsid w:val="0CAB2EAE"/>
    <w:rsid w:val="0D1B773A"/>
    <w:rsid w:val="0D3A0689"/>
    <w:rsid w:val="0D621C7D"/>
    <w:rsid w:val="0D810F60"/>
    <w:rsid w:val="0DB55A7E"/>
    <w:rsid w:val="0DD501DC"/>
    <w:rsid w:val="0E124CB3"/>
    <w:rsid w:val="0E73034D"/>
    <w:rsid w:val="0E934903"/>
    <w:rsid w:val="0F0720BC"/>
    <w:rsid w:val="0F13775A"/>
    <w:rsid w:val="0F5F45FE"/>
    <w:rsid w:val="0F7B6CEE"/>
    <w:rsid w:val="0F9A112B"/>
    <w:rsid w:val="0FC363BE"/>
    <w:rsid w:val="10085E32"/>
    <w:rsid w:val="102173FB"/>
    <w:rsid w:val="102766DA"/>
    <w:rsid w:val="104A5E12"/>
    <w:rsid w:val="106D2F64"/>
    <w:rsid w:val="10B4031D"/>
    <w:rsid w:val="10B63710"/>
    <w:rsid w:val="10CB115A"/>
    <w:rsid w:val="10CF06BA"/>
    <w:rsid w:val="10F03EEC"/>
    <w:rsid w:val="10F10820"/>
    <w:rsid w:val="110F7B9B"/>
    <w:rsid w:val="111C2F7A"/>
    <w:rsid w:val="112C6057"/>
    <w:rsid w:val="11304B8B"/>
    <w:rsid w:val="11665CA1"/>
    <w:rsid w:val="116E6670"/>
    <w:rsid w:val="117324B4"/>
    <w:rsid w:val="11C939F4"/>
    <w:rsid w:val="11F57582"/>
    <w:rsid w:val="120A42E6"/>
    <w:rsid w:val="120D5C02"/>
    <w:rsid w:val="121A2353"/>
    <w:rsid w:val="121E0096"/>
    <w:rsid w:val="122F6839"/>
    <w:rsid w:val="123E61E6"/>
    <w:rsid w:val="12507D79"/>
    <w:rsid w:val="125D543C"/>
    <w:rsid w:val="126E3E16"/>
    <w:rsid w:val="12AE2201"/>
    <w:rsid w:val="12B91B6C"/>
    <w:rsid w:val="12BF0C12"/>
    <w:rsid w:val="12D14DAD"/>
    <w:rsid w:val="12DD2081"/>
    <w:rsid w:val="12DE5B2D"/>
    <w:rsid w:val="12F16284"/>
    <w:rsid w:val="13317592"/>
    <w:rsid w:val="13950B9D"/>
    <w:rsid w:val="13951726"/>
    <w:rsid w:val="13AE71F7"/>
    <w:rsid w:val="140F1ECA"/>
    <w:rsid w:val="14396509"/>
    <w:rsid w:val="143D6F8C"/>
    <w:rsid w:val="14D412B4"/>
    <w:rsid w:val="14DD2C3C"/>
    <w:rsid w:val="15BD69E1"/>
    <w:rsid w:val="15C60177"/>
    <w:rsid w:val="15EA2E3C"/>
    <w:rsid w:val="16087E1D"/>
    <w:rsid w:val="16361726"/>
    <w:rsid w:val="163F0AD6"/>
    <w:rsid w:val="16764D7A"/>
    <w:rsid w:val="168C4712"/>
    <w:rsid w:val="16CE2962"/>
    <w:rsid w:val="16DD41BB"/>
    <w:rsid w:val="16E14D18"/>
    <w:rsid w:val="16F76794"/>
    <w:rsid w:val="170A109A"/>
    <w:rsid w:val="175B1444"/>
    <w:rsid w:val="17701D14"/>
    <w:rsid w:val="17731F4F"/>
    <w:rsid w:val="17735226"/>
    <w:rsid w:val="17753CFE"/>
    <w:rsid w:val="180E6E7F"/>
    <w:rsid w:val="18104AA6"/>
    <w:rsid w:val="18153C91"/>
    <w:rsid w:val="18575CB1"/>
    <w:rsid w:val="189F624C"/>
    <w:rsid w:val="18A8137D"/>
    <w:rsid w:val="18D37B1C"/>
    <w:rsid w:val="18D81FE7"/>
    <w:rsid w:val="1900114B"/>
    <w:rsid w:val="19290EF0"/>
    <w:rsid w:val="195F7E08"/>
    <w:rsid w:val="19742C91"/>
    <w:rsid w:val="197B7D79"/>
    <w:rsid w:val="19812A55"/>
    <w:rsid w:val="19AB3FDC"/>
    <w:rsid w:val="19DE635C"/>
    <w:rsid w:val="1A044015"/>
    <w:rsid w:val="1A175BB2"/>
    <w:rsid w:val="1A1C66C0"/>
    <w:rsid w:val="1A315921"/>
    <w:rsid w:val="1A42393B"/>
    <w:rsid w:val="1A9F757D"/>
    <w:rsid w:val="1AAD45DE"/>
    <w:rsid w:val="1B046F80"/>
    <w:rsid w:val="1B0E2C71"/>
    <w:rsid w:val="1B3267B5"/>
    <w:rsid w:val="1B40161D"/>
    <w:rsid w:val="1B441859"/>
    <w:rsid w:val="1B6606B1"/>
    <w:rsid w:val="1BA537E1"/>
    <w:rsid w:val="1BB6133F"/>
    <w:rsid w:val="1BBB6955"/>
    <w:rsid w:val="1BCB0076"/>
    <w:rsid w:val="1BF519B9"/>
    <w:rsid w:val="1C3A1777"/>
    <w:rsid w:val="1C4F708A"/>
    <w:rsid w:val="1C5E7925"/>
    <w:rsid w:val="1CB33E07"/>
    <w:rsid w:val="1CD47FC7"/>
    <w:rsid w:val="1CF328FE"/>
    <w:rsid w:val="1CFD070F"/>
    <w:rsid w:val="1D56777E"/>
    <w:rsid w:val="1D5F6196"/>
    <w:rsid w:val="1D6060F9"/>
    <w:rsid w:val="1D6132A5"/>
    <w:rsid w:val="1D8E56D5"/>
    <w:rsid w:val="1D954F84"/>
    <w:rsid w:val="1DAF1F77"/>
    <w:rsid w:val="1DB215EC"/>
    <w:rsid w:val="1E1C0B35"/>
    <w:rsid w:val="1E7A43DA"/>
    <w:rsid w:val="1E7C6779"/>
    <w:rsid w:val="1E8F7C25"/>
    <w:rsid w:val="1EB23436"/>
    <w:rsid w:val="1EF03363"/>
    <w:rsid w:val="1EF322C6"/>
    <w:rsid w:val="1EFA59E6"/>
    <w:rsid w:val="1F2545D4"/>
    <w:rsid w:val="1F2C50F6"/>
    <w:rsid w:val="1F375263"/>
    <w:rsid w:val="1F411118"/>
    <w:rsid w:val="1F6440A3"/>
    <w:rsid w:val="1F6C12EC"/>
    <w:rsid w:val="1F781127"/>
    <w:rsid w:val="1FB262C1"/>
    <w:rsid w:val="1FBE7062"/>
    <w:rsid w:val="1FD500DC"/>
    <w:rsid w:val="1FE7539E"/>
    <w:rsid w:val="1FFA0D08"/>
    <w:rsid w:val="201C0231"/>
    <w:rsid w:val="20347C70"/>
    <w:rsid w:val="20671BE0"/>
    <w:rsid w:val="20963CB8"/>
    <w:rsid w:val="20A81A1B"/>
    <w:rsid w:val="20B07FB6"/>
    <w:rsid w:val="20B646FB"/>
    <w:rsid w:val="20BA6DDC"/>
    <w:rsid w:val="20DF4E94"/>
    <w:rsid w:val="20FD7869"/>
    <w:rsid w:val="213B74B1"/>
    <w:rsid w:val="215A2310"/>
    <w:rsid w:val="21623578"/>
    <w:rsid w:val="21810AE1"/>
    <w:rsid w:val="21894E00"/>
    <w:rsid w:val="21DE318A"/>
    <w:rsid w:val="21EF5B80"/>
    <w:rsid w:val="22543660"/>
    <w:rsid w:val="22576990"/>
    <w:rsid w:val="22617B2B"/>
    <w:rsid w:val="22743D02"/>
    <w:rsid w:val="22D237AF"/>
    <w:rsid w:val="22F47480"/>
    <w:rsid w:val="23BC2811"/>
    <w:rsid w:val="23DE1C48"/>
    <w:rsid w:val="23FE7D27"/>
    <w:rsid w:val="24007AC0"/>
    <w:rsid w:val="240210CD"/>
    <w:rsid w:val="24195ACB"/>
    <w:rsid w:val="242E06CB"/>
    <w:rsid w:val="24720529"/>
    <w:rsid w:val="247A7590"/>
    <w:rsid w:val="24BF09F7"/>
    <w:rsid w:val="25254EDE"/>
    <w:rsid w:val="25292452"/>
    <w:rsid w:val="252D53FE"/>
    <w:rsid w:val="25324E1B"/>
    <w:rsid w:val="25A91F14"/>
    <w:rsid w:val="25B45007"/>
    <w:rsid w:val="25EC2D81"/>
    <w:rsid w:val="25F52A64"/>
    <w:rsid w:val="25FB6A35"/>
    <w:rsid w:val="26306749"/>
    <w:rsid w:val="26461525"/>
    <w:rsid w:val="26834C33"/>
    <w:rsid w:val="26835B96"/>
    <w:rsid w:val="26926505"/>
    <w:rsid w:val="26AA6B9C"/>
    <w:rsid w:val="26D03511"/>
    <w:rsid w:val="26DA0554"/>
    <w:rsid w:val="277057A2"/>
    <w:rsid w:val="27FE0675"/>
    <w:rsid w:val="28C47E6E"/>
    <w:rsid w:val="29206EB8"/>
    <w:rsid w:val="2939094A"/>
    <w:rsid w:val="29595666"/>
    <w:rsid w:val="29874881"/>
    <w:rsid w:val="298E420B"/>
    <w:rsid w:val="298E56A9"/>
    <w:rsid w:val="29C2776F"/>
    <w:rsid w:val="29D36770"/>
    <w:rsid w:val="29D9471F"/>
    <w:rsid w:val="29E325E0"/>
    <w:rsid w:val="2A3D5763"/>
    <w:rsid w:val="2A452503"/>
    <w:rsid w:val="2A7B746C"/>
    <w:rsid w:val="2AAD32BE"/>
    <w:rsid w:val="2AE65CE9"/>
    <w:rsid w:val="2AEB4E58"/>
    <w:rsid w:val="2AF2559E"/>
    <w:rsid w:val="2B4E0A99"/>
    <w:rsid w:val="2B5B375B"/>
    <w:rsid w:val="2B5B5A5F"/>
    <w:rsid w:val="2BA936A8"/>
    <w:rsid w:val="2BEE2F29"/>
    <w:rsid w:val="2BFC37CA"/>
    <w:rsid w:val="2C315A5A"/>
    <w:rsid w:val="2C3D26BF"/>
    <w:rsid w:val="2C4A27E0"/>
    <w:rsid w:val="2C4B1C25"/>
    <w:rsid w:val="2C5A3F68"/>
    <w:rsid w:val="2C6C5129"/>
    <w:rsid w:val="2C762A3B"/>
    <w:rsid w:val="2C7C189D"/>
    <w:rsid w:val="2C7C5B35"/>
    <w:rsid w:val="2C805FB2"/>
    <w:rsid w:val="2C8E7530"/>
    <w:rsid w:val="2CD930DF"/>
    <w:rsid w:val="2CE822DF"/>
    <w:rsid w:val="2D3E73E6"/>
    <w:rsid w:val="2D414817"/>
    <w:rsid w:val="2D4A6AFF"/>
    <w:rsid w:val="2D664E7F"/>
    <w:rsid w:val="2D9E56F5"/>
    <w:rsid w:val="2DE76331"/>
    <w:rsid w:val="2E0E246B"/>
    <w:rsid w:val="2E0F33E9"/>
    <w:rsid w:val="2E504B58"/>
    <w:rsid w:val="2E667F96"/>
    <w:rsid w:val="2E8226AB"/>
    <w:rsid w:val="2E8831C0"/>
    <w:rsid w:val="2E943026"/>
    <w:rsid w:val="2EA73F41"/>
    <w:rsid w:val="2EB84F76"/>
    <w:rsid w:val="2F464E8D"/>
    <w:rsid w:val="2F6F1AD9"/>
    <w:rsid w:val="2F8704A4"/>
    <w:rsid w:val="2FA470EC"/>
    <w:rsid w:val="2FAE44ED"/>
    <w:rsid w:val="2FB90FA6"/>
    <w:rsid w:val="2FBE758C"/>
    <w:rsid w:val="2FD065E6"/>
    <w:rsid w:val="2FD96870"/>
    <w:rsid w:val="2FE56CB6"/>
    <w:rsid w:val="2FE80D3E"/>
    <w:rsid w:val="2FF5384D"/>
    <w:rsid w:val="2FFC0293"/>
    <w:rsid w:val="301A5034"/>
    <w:rsid w:val="30234AEF"/>
    <w:rsid w:val="30580BC9"/>
    <w:rsid w:val="307016C8"/>
    <w:rsid w:val="3088150C"/>
    <w:rsid w:val="30953E72"/>
    <w:rsid w:val="30DB539E"/>
    <w:rsid w:val="311E2ED7"/>
    <w:rsid w:val="312B176A"/>
    <w:rsid w:val="313A1A9F"/>
    <w:rsid w:val="313A67B4"/>
    <w:rsid w:val="315619EE"/>
    <w:rsid w:val="315C449C"/>
    <w:rsid w:val="31823A1D"/>
    <w:rsid w:val="31B82709"/>
    <w:rsid w:val="31D05482"/>
    <w:rsid w:val="323808A8"/>
    <w:rsid w:val="32400B34"/>
    <w:rsid w:val="32543208"/>
    <w:rsid w:val="327B2543"/>
    <w:rsid w:val="3295227D"/>
    <w:rsid w:val="329E6876"/>
    <w:rsid w:val="32B52A37"/>
    <w:rsid w:val="32F400B9"/>
    <w:rsid w:val="333015F2"/>
    <w:rsid w:val="333C451D"/>
    <w:rsid w:val="334B6320"/>
    <w:rsid w:val="33D934D4"/>
    <w:rsid w:val="33FE2F6A"/>
    <w:rsid w:val="340071A3"/>
    <w:rsid w:val="340E07E5"/>
    <w:rsid w:val="34235BF7"/>
    <w:rsid w:val="344D4B20"/>
    <w:rsid w:val="345800E4"/>
    <w:rsid w:val="345C20C4"/>
    <w:rsid w:val="34AC5155"/>
    <w:rsid w:val="34AE6BFF"/>
    <w:rsid w:val="34B92F88"/>
    <w:rsid w:val="34DA7543"/>
    <w:rsid w:val="34EE59FF"/>
    <w:rsid w:val="358C5FA8"/>
    <w:rsid w:val="3598340C"/>
    <w:rsid w:val="35BF4E3C"/>
    <w:rsid w:val="35C15DF1"/>
    <w:rsid w:val="35CD1111"/>
    <w:rsid w:val="35FF7EC7"/>
    <w:rsid w:val="36074A7F"/>
    <w:rsid w:val="3634794B"/>
    <w:rsid w:val="3641092E"/>
    <w:rsid w:val="368628CF"/>
    <w:rsid w:val="36923549"/>
    <w:rsid w:val="36B75FBF"/>
    <w:rsid w:val="36BD0C45"/>
    <w:rsid w:val="37235402"/>
    <w:rsid w:val="375B2943"/>
    <w:rsid w:val="37DC1FE5"/>
    <w:rsid w:val="37E00298"/>
    <w:rsid w:val="37FA3073"/>
    <w:rsid w:val="380A4A95"/>
    <w:rsid w:val="382F1BF9"/>
    <w:rsid w:val="38324E8F"/>
    <w:rsid w:val="384F1E06"/>
    <w:rsid w:val="388325BA"/>
    <w:rsid w:val="38B302F9"/>
    <w:rsid w:val="38B32426"/>
    <w:rsid w:val="38DE1A7D"/>
    <w:rsid w:val="38F12CD3"/>
    <w:rsid w:val="38F94775"/>
    <w:rsid w:val="3925145A"/>
    <w:rsid w:val="392971ED"/>
    <w:rsid w:val="39325651"/>
    <w:rsid w:val="394957E8"/>
    <w:rsid w:val="39DF5A8D"/>
    <w:rsid w:val="39E91036"/>
    <w:rsid w:val="3A3B59BA"/>
    <w:rsid w:val="3A5567C3"/>
    <w:rsid w:val="3A68408D"/>
    <w:rsid w:val="3A872856"/>
    <w:rsid w:val="3AB605BC"/>
    <w:rsid w:val="3ADE7B13"/>
    <w:rsid w:val="3B3763D1"/>
    <w:rsid w:val="3B5A1783"/>
    <w:rsid w:val="3B632649"/>
    <w:rsid w:val="3BD230B1"/>
    <w:rsid w:val="3BD67F41"/>
    <w:rsid w:val="3C2F6E1E"/>
    <w:rsid w:val="3C4F64BA"/>
    <w:rsid w:val="3C56083F"/>
    <w:rsid w:val="3CA774D5"/>
    <w:rsid w:val="3CDA245A"/>
    <w:rsid w:val="3CF53273"/>
    <w:rsid w:val="3D0C0DB8"/>
    <w:rsid w:val="3D1B6EFD"/>
    <w:rsid w:val="3D1E06B7"/>
    <w:rsid w:val="3D2004CD"/>
    <w:rsid w:val="3D3E3B59"/>
    <w:rsid w:val="3D4841CD"/>
    <w:rsid w:val="3D687BAC"/>
    <w:rsid w:val="3D945625"/>
    <w:rsid w:val="3DA35632"/>
    <w:rsid w:val="3E0655E7"/>
    <w:rsid w:val="3E286AB2"/>
    <w:rsid w:val="3E387BEE"/>
    <w:rsid w:val="3E8359F5"/>
    <w:rsid w:val="3E8A248B"/>
    <w:rsid w:val="3E9C26D8"/>
    <w:rsid w:val="3EA957C6"/>
    <w:rsid w:val="3EDA0523"/>
    <w:rsid w:val="3EF172C5"/>
    <w:rsid w:val="3EF458A4"/>
    <w:rsid w:val="3F4F0329"/>
    <w:rsid w:val="40052CC8"/>
    <w:rsid w:val="4050487A"/>
    <w:rsid w:val="40575B50"/>
    <w:rsid w:val="407A6407"/>
    <w:rsid w:val="40E02836"/>
    <w:rsid w:val="40EA1D9D"/>
    <w:rsid w:val="40F47E2F"/>
    <w:rsid w:val="412C501E"/>
    <w:rsid w:val="41B55074"/>
    <w:rsid w:val="41CF41E8"/>
    <w:rsid w:val="41D96C98"/>
    <w:rsid w:val="4200449D"/>
    <w:rsid w:val="421309EA"/>
    <w:rsid w:val="421D53C4"/>
    <w:rsid w:val="421E34C0"/>
    <w:rsid w:val="42242F70"/>
    <w:rsid w:val="42312C1E"/>
    <w:rsid w:val="423A3BCC"/>
    <w:rsid w:val="424E57D2"/>
    <w:rsid w:val="42B26C49"/>
    <w:rsid w:val="430B5728"/>
    <w:rsid w:val="433A6FE6"/>
    <w:rsid w:val="43480868"/>
    <w:rsid w:val="4350713C"/>
    <w:rsid w:val="436653E0"/>
    <w:rsid w:val="43AE1EBF"/>
    <w:rsid w:val="43C4431A"/>
    <w:rsid w:val="43CE2928"/>
    <w:rsid w:val="43D441A9"/>
    <w:rsid w:val="43E4301D"/>
    <w:rsid w:val="43E841F4"/>
    <w:rsid w:val="4423019B"/>
    <w:rsid w:val="44710FB2"/>
    <w:rsid w:val="4484378E"/>
    <w:rsid w:val="449776B0"/>
    <w:rsid w:val="44B951CC"/>
    <w:rsid w:val="44C907D6"/>
    <w:rsid w:val="44CD14E0"/>
    <w:rsid w:val="44F1134F"/>
    <w:rsid w:val="44F20B0B"/>
    <w:rsid w:val="452E5F4C"/>
    <w:rsid w:val="4537563E"/>
    <w:rsid w:val="453771A9"/>
    <w:rsid w:val="454F2374"/>
    <w:rsid w:val="45603F46"/>
    <w:rsid w:val="45612018"/>
    <w:rsid w:val="458946E9"/>
    <w:rsid w:val="459C2E37"/>
    <w:rsid w:val="45A47C0E"/>
    <w:rsid w:val="45EE1084"/>
    <w:rsid w:val="45F32B86"/>
    <w:rsid w:val="45F91D99"/>
    <w:rsid w:val="463A073B"/>
    <w:rsid w:val="464D42CA"/>
    <w:rsid w:val="46577FD6"/>
    <w:rsid w:val="465D6483"/>
    <w:rsid w:val="466A7644"/>
    <w:rsid w:val="467A1FDF"/>
    <w:rsid w:val="4683228F"/>
    <w:rsid w:val="46D955A7"/>
    <w:rsid w:val="470B4A37"/>
    <w:rsid w:val="47133957"/>
    <w:rsid w:val="47971775"/>
    <w:rsid w:val="47A07E0C"/>
    <w:rsid w:val="47C613B9"/>
    <w:rsid w:val="47D51C21"/>
    <w:rsid w:val="47FA1B8D"/>
    <w:rsid w:val="480555DF"/>
    <w:rsid w:val="4870272E"/>
    <w:rsid w:val="48AF20C5"/>
    <w:rsid w:val="48DC569B"/>
    <w:rsid w:val="4929776D"/>
    <w:rsid w:val="494B2817"/>
    <w:rsid w:val="494C57E3"/>
    <w:rsid w:val="49617BE6"/>
    <w:rsid w:val="496833C9"/>
    <w:rsid w:val="496D7DA0"/>
    <w:rsid w:val="49855FD9"/>
    <w:rsid w:val="498E2DC6"/>
    <w:rsid w:val="49BC3D54"/>
    <w:rsid w:val="49DC7715"/>
    <w:rsid w:val="4A023139"/>
    <w:rsid w:val="4A0A32CF"/>
    <w:rsid w:val="4A1A1580"/>
    <w:rsid w:val="4A20567E"/>
    <w:rsid w:val="4A4D1932"/>
    <w:rsid w:val="4A5D6CA6"/>
    <w:rsid w:val="4A6A44AF"/>
    <w:rsid w:val="4A756F9E"/>
    <w:rsid w:val="4A7B576F"/>
    <w:rsid w:val="4AF561A9"/>
    <w:rsid w:val="4B0B1B4D"/>
    <w:rsid w:val="4B2E0B2E"/>
    <w:rsid w:val="4B671CAD"/>
    <w:rsid w:val="4BB71809"/>
    <w:rsid w:val="4BF03AEA"/>
    <w:rsid w:val="4C4A0649"/>
    <w:rsid w:val="4C5701BF"/>
    <w:rsid w:val="4C7E5ECA"/>
    <w:rsid w:val="4C876AA5"/>
    <w:rsid w:val="4C9646F1"/>
    <w:rsid w:val="4CA566E2"/>
    <w:rsid w:val="4CBA6B69"/>
    <w:rsid w:val="4CD57AF0"/>
    <w:rsid w:val="4CE27F91"/>
    <w:rsid w:val="4D0A68F8"/>
    <w:rsid w:val="4D0E00FB"/>
    <w:rsid w:val="4D176606"/>
    <w:rsid w:val="4D18326A"/>
    <w:rsid w:val="4D3A596F"/>
    <w:rsid w:val="4D953AAB"/>
    <w:rsid w:val="4DEC4FB0"/>
    <w:rsid w:val="4E075D8A"/>
    <w:rsid w:val="4E52158C"/>
    <w:rsid w:val="4EC00FAD"/>
    <w:rsid w:val="4EFF3FC2"/>
    <w:rsid w:val="4F091259"/>
    <w:rsid w:val="4F173B2A"/>
    <w:rsid w:val="4F2A42B9"/>
    <w:rsid w:val="4F2E0238"/>
    <w:rsid w:val="4F3124AF"/>
    <w:rsid w:val="4F3759A1"/>
    <w:rsid w:val="4F3F2E1E"/>
    <w:rsid w:val="4F7A26FB"/>
    <w:rsid w:val="4F9667B6"/>
    <w:rsid w:val="4F9843DC"/>
    <w:rsid w:val="4FB9707B"/>
    <w:rsid w:val="4FC62A8C"/>
    <w:rsid w:val="4FD76B92"/>
    <w:rsid w:val="4FE20F0D"/>
    <w:rsid w:val="4FE51552"/>
    <w:rsid w:val="4FF33BFD"/>
    <w:rsid w:val="4FFA0E79"/>
    <w:rsid w:val="50041FB1"/>
    <w:rsid w:val="5015347E"/>
    <w:rsid w:val="50370E0C"/>
    <w:rsid w:val="50504C4B"/>
    <w:rsid w:val="506A3ECB"/>
    <w:rsid w:val="509C6E7C"/>
    <w:rsid w:val="50B52636"/>
    <w:rsid w:val="515F5D4F"/>
    <w:rsid w:val="5162104E"/>
    <w:rsid w:val="521265C8"/>
    <w:rsid w:val="52153EA8"/>
    <w:rsid w:val="523253D7"/>
    <w:rsid w:val="52494C91"/>
    <w:rsid w:val="52B25857"/>
    <w:rsid w:val="52D33790"/>
    <w:rsid w:val="52E55A8A"/>
    <w:rsid w:val="52F15CEE"/>
    <w:rsid w:val="52FF078D"/>
    <w:rsid w:val="53095B7C"/>
    <w:rsid w:val="532A62F5"/>
    <w:rsid w:val="535B7AFB"/>
    <w:rsid w:val="53713D48"/>
    <w:rsid w:val="537B3899"/>
    <w:rsid w:val="53A039CC"/>
    <w:rsid w:val="53A1505A"/>
    <w:rsid w:val="53A4372E"/>
    <w:rsid w:val="53A771E4"/>
    <w:rsid w:val="53B27461"/>
    <w:rsid w:val="54063E08"/>
    <w:rsid w:val="54170C7F"/>
    <w:rsid w:val="543437E8"/>
    <w:rsid w:val="548D2001"/>
    <w:rsid w:val="54E43E2E"/>
    <w:rsid w:val="54F73313"/>
    <w:rsid w:val="54F80955"/>
    <w:rsid w:val="553979CB"/>
    <w:rsid w:val="555170A7"/>
    <w:rsid w:val="5587536D"/>
    <w:rsid w:val="5594701B"/>
    <w:rsid w:val="559B174B"/>
    <w:rsid w:val="55B45A0D"/>
    <w:rsid w:val="55CE0CF4"/>
    <w:rsid w:val="55DF4C5A"/>
    <w:rsid w:val="56095F34"/>
    <w:rsid w:val="5655716E"/>
    <w:rsid w:val="5690466D"/>
    <w:rsid w:val="56986AC8"/>
    <w:rsid w:val="56B22A9C"/>
    <w:rsid w:val="56D44ADC"/>
    <w:rsid w:val="56F444EE"/>
    <w:rsid w:val="56FC33A3"/>
    <w:rsid w:val="574D0A84"/>
    <w:rsid w:val="575F343F"/>
    <w:rsid w:val="576B32A5"/>
    <w:rsid w:val="57A2219C"/>
    <w:rsid w:val="57B72A76"/>
    <w:rsid w:val="57C3426C"/>
    <w:rsid w:val="57CA524F"/>
    <w:rsid w:val="57CE1F93"/>
    <w:rsid w:val="581843B8"/>
    <w:rsid w:val="58512E6C"/>
    <w:rsid w:val="58604AB4"/>
    <w:rsid w:val="58636449"/>
    <w:rsid w:val="588743D1"/>
    <w:rsid w:val="5887701A"/>
    <w:rsid w:val="58AF0ED7"/>
    <w:rsid w:val="58BF10A8"/>
    <w:rsid w:val="58E34992"/>
    <w:rsid w:val="58ED38EB"/>
    <w:rsid w:val="58FE78A6"/>
    <w:rsid w:val="590018E8"/>
    <w:rsid w:val="59001998"/>
    <w:rsid w:val="590D713B"/>
    <w:rsid w:val="59193563"/>
    <w:rsid w:val="591F0B3F"/>
    <w:rsid w:val="59383DAB"/>
    <w:rsid w:val="59593C22"/>
    <w:rsid w:val="59773B47"/>
    <w:rsid w:val="59BE1D06"/>
    <w:rsid w:val="59C0439F"/>
    <w:rsid w:val="5A1F1CC4"/>
    <w:rsid w:val="5A27514F"/>
    <w:rsid w:val="5A392C53"/>
    <w:rsid w:val="5AAC7ED3"/>
    <w:rsid w:val="5ABA5A4E"/>
    <w:rsid w:val="5ABE2233"/>
    <w:rsid w:val="5B01010A"/>
    <w:rsid w:val="5B016D0B"/>
    <w:rsid w:val="5B595267"/>
    <w:rsid w:val="5B750EC0"/>
    <w:rsid w:val="5B753127"/>
    <w:rsid w:val="5B854690"/>
    <w:rsid w:val="5B8C1D00"/>
    <w:rsid w:val="5B914A01"/>
    <w:rsid w:val="5BC26C42"/>
    <w:rsid w:val="5BC358E3"/>
    <w:rsid w:val="5BDF5D95"/>
    <w:rsid w:val="5BFE7528"/>
    <w:rsid w:val="5C313AEE"/>
    <w:rsid w:val="5C581756"/>
    <w:rsid w:val="5C6F2CEB"/>
    <w:rsid w:val="5C7774FE"/>
    <w:rsid w:val="5D475B2E"/>
    <w:rsid w:val="5D842601"/>
    <w:rsid w:val="5DC00580"/>
    <w:rsid w:val="5DC953C8"/>
    <w:rsid w:val="5DE22BA5"/>
    <w:rsid w:val="5DE30F9C"/>
    <w:rsid w:val="5E2467F1"/>
    <w:rsid w:val="5E8E3F1A"/>
    <w:rsid w:val="5EC76122"/>
    <w:rsid w:val="5ECB3C04"/>
    <w:rsid w:val="5F0639A5"/>
    <w:rsid w:val="5F096E51"/>
    <w:rsid w:val="5F1A2B43"/>
    <w:rsid w:val="5F6B37BB"/>
    <w:rsid w:val="5F7479E5"/>
    <w:rsid w:val="5FB54A36"/>
    <w:rsid w:val="5FB837BB"/>
    <w:rsid w:val="600339F4"/>
    <w:rsid w:val="60036D23"/>
    <w:rsid w:val="601B1EE1"/>
    <w:rsid w:val="60202C5B"/>
    <w:rsid w:val="6033448D"/>
    <w:rsid w:val="603E7B5D"/>
    <w:rsid w:val="60730B79"/>
    <w:rsid w:val="60CC405A"/>
    <w:rsid w:val="60F145C1"/>
    <w:rsid w:val="61B761A7"/>
    <w:rsid w:val="61DF5638"/>
    <w:rsid w:val="61E215D8"/>
    <w:rsid w:val="61F276CB"/>
    <w:rsid w:val="620A7BE7"/>
    <w:rsid w:val="62140B89"/>
    <w:rsid w:val="621B3775"/>
    <w:rsid w:val="621B4F7F"/>
    <w:rsid w:val="62351B9E"/>
    <w:rsid w:val="62364782"/>
    <w:rsid w:val="623B2330"/>
    <w:rsid w:val="623D0E18"/>
    <w:rsid w:val="624E7979"/>
    <w:rsid w:val="6259216D"/>
    <w:rsid w:val="626C7B78"/>
    <w:rsid w:val="630346A8"/>
    <w:rsid w:val="634F0C93"/>
    <w:rsid w:val="637B3697"/>
    <w:rsid w:val="63823B12"/>
    <w:rsid w:val="6394356A"/>
    <w:rsid w:val="63C61B2C"/>
    <w:rsid w:val="63D40BE9"/>
    <w:rsid w:val="63DB0DE0"/>
    <w:rsid w:val="63F54C29"/>
    <w:rsid w:val="64102431"/>
    <w:rsid w:val="64117A1A"/>
    <w:rsid w:val="64504B36"/>
    <w:rsid w:val="646928D8"/>
    <w:rsid w:val="646A3CFA"/>
    <w:rsid w:val="649F3502"/>
    <w:rsid w:val="64A5243A"/>
    <w:rsid w:val="64C4474F"/>
    <w:rsid w:val="64F531DE"/>
    <w:rsid w:val="650D0A11"/>
    <w:rsid w:val="65373578"/>
    <w:rsid w:val="656531B8"/>
    <w:rsid w:val="656548D8"/>
    <w:rsid w:val="65841133"/>
    <w:rsid w:val="658F3F40"/>
    <w:rsid w:val="65A17337"/>
    <w:rsid w:val="660D1128"/>
    <w:rsid w:val="664B25CB"/>
    <w:rsid w:val="66575889"/>
    <w:rsid w:val="66737443"/>
    <w:rsid w:val="667C4500"/>
    <w:rsid w:val="6698383E"/>
    <w:rsid w:val="66A10A10"/>
    <w:rsid w:val="66D83418"/>
    <w:rsid w:val="67070484"/>
    <w:rsid w:val="671F124A"/>
    <w:rsid w:val="67670D0C"/>
    <w:rsid w:val="677A33C6"/>
    <w:rsid w:val="677B3C54"/>
    <w:rsid w:val="681F6961"/>
    <w:rsid w:val="68610A2F"/>
    <w:rsid w:val="68680898"/>
    <w:rsid w:val="68706E2A"/>
    <w:rsid w:val="68805514"/>
    <w:rsid w:val="689C2A93"/>
    <w:rsid w:val="689F4FDE"/>
    <w:rsid w:val="69316E2F"/>
    <w:rsid w:val="69401815"/>
    <w:rsid w:val="694E2071"/>
    <w:rsid w:val="69575C81"/>
    <w:rsid w:val="69766163"/>
    <w:rsid w:val="697A3B33"/>
    <w:rsid w:val="69D44760"/>
    <w:rsid w:val="69E87644"/>
    <w:rsid w:val="6A4E5CD5"/>
    <w:rsid w:val="6A520EC7"/>
    <w:rsid w:val="6A5D2AA0"/>
    <w:rsid w:val="6A7818D3"/>
    <w:rsid w:val="6AF44665"/>
    <w:rsid w:val="6AF87E20"/>
    <w:rsid w:val="6B0C7CF4"/>
    <w:rsid w:val="6B1373CF"/>
    <w:rsid w:val="6B322639"/>
    <w:rsid w:val="6B64245A"/>
    <w:rsid w:val="6B733C43"/>
    <w:rsid w:val="6B960068"/>
    <w:rsid w:val="6BA3608B"/>
    <w:rsid w:val="6C0201D7"/>
    <w:rsid w:val="6C072208"/>
    <w:rsid w:val="6C0A5677"/>
    <w:rsid w:val="6C0E0643"/>
    <w:rsid w:val="6C636C38"/>
    <w:rsid w:val="6D035033"/>
    <w:rsid w:val="6D521151"/>
    <w:rsid w:val="6D761CA9"/>
    <w:rsid w:val="6D7E2871"/>
    <w:rsid w:val="6DB34098"/>
    <w:rsid w:val="6DB545B6"/>
    <w:rsid w:val="6DD87A9D"/>
    <w:rsid w:val="6DE02FB4"/>
    <w:rsid w:val="6E02353D"/>
    <w:rsid w:val="6E4052F3"/>
    <w:rsid w:val="6E514CED"/>
    <w:rsid w:val="6E58120E"/>
    <w:rsid w:val="6E94187A"/>
    <w:rsid w:val="6EB563D5"/>
    <w:rsid w:val="6ED92677"/>
    <w:rsid w:val="6EFA4214"/>
    <w:rsid w:val="6F0E2E1B"/>
    <w:rsid w:val="6F225983"/>
    <w:rsid w:val="6F4C17EB"/>
    <w:rsid w:val="6FB42158"/>
    <w:rsid w:val="6FBF6CE4"/>
    <w:rsid w:val="6FEC6252"/>
    <w:rsid w:val="6FFC5590"/>
    <w:rsid w:val="706D1DD0"/>
    <w:rsid w:val="706F0F29"/>
    <w:rsid w:val="70856B87"/>
    <w:rsid w:val="70B51498"/>
    <w:rsid w:val="70B95DA0"/>
    <w:rsid w:val="70D527EE"/>
    <w:rsid w:val="70E65F31"/>
    <w:rsid w:val="712A50D1"/>
    <w:rsid w:val="71302A2B"/>
    <w:rsid w:val="7146580E"/>
    <w:rsid w:val="715B5300"/>
    <w:rsid w:val="716164C9"/>
    <w:rsid w:val="71965F52"/>
    <w:rsid w:val="71C8684B"/>
    <w:rsid w:val="71D04809"/>
    <w:rsid w:val="71D27F8A"/>
    <w:rsid w:val="72252BAC"/>
    <w:rsid w:val="722C2936"/>
    <w:rsid w:val="723637B5"/>
    <w:rsid w:val="72553024"/>
    <w:rsid w:val="726D3FA1"/>
    <w:rsid w:val="727A7C98"/>
    <w:rsid w:val="728F34C5"/>
    <w:rsid w:val="72FA7C1A"/>
    <w:rsid w:val="73122968"/>
    <w:rsid w:val="731E219B"/>
    <w:rsid w:val="731F5D5E"/>
    <w:rsid w:val="732F1F5C"/>
    <w:rsid w:val="733F48EB"/>
    <w:rsid w:val="73513BE6"/>
    <w:rsid w:val="7390414A"/>
    <w:rsid w:val="739475A4"/>
    <w:rsid w:val="73C51AD5"/>
    <w:rsid w:val="73D46A17"/>
    <w:rsid w:val="74002154"/>
    <w:rsid w:val="740E2747"/>
    <w:rsid w:val="741E793C"/>
    <w:rsid w:val="74506474"/>
    <w:rsid w:val="745E3944"/>
    <w:rsid w:val="74956A17"/>
    <w:rsid w:val="74A073C5"/>
    <w:rsid w:val="74CC21AE"/>
    <w:rsid w:val="751B4EE4"/>
    <w:rsid w:val="752B15CB"/>
    <w:rsid w:val="75463CC4"/>
    <w:rsid w:val="755C1F74"/>
    <w:rsid w:val="75B867EF"/>
    <w:rsid w:val="7635099D"/>
    <w:rsid w:val="76DD0FFE"/>
    <w:rsid w:val="76DE6A01"/>
    <w:rsid w:val="771E489F"/>
    <w:rsid w:val="771F1B97"/>
    <w:rsid w:val="77694B75"/>
    <w:rsid w:val="77762421"/>
    <w:rsid w:val="777D3C34"/>
    <w:rsid w:val="77B56B1F"/>
    <w:rsid w:val="780F09F4"/>
    <w:rsid w:val="78537CB7"/>
    <w:rsid w:val="78750201"/>
    <w:rsid w:val="78A90480"/>
    <w:rsid w:val="797D7883"/>
    <w:rsid w:val="799924DA"/>
    <w:rsid w:val="79C10721"/>
    <w:rsid w:val="79C533B5"/>
    <w:rsid w:val="7A33658E"/>
    <w:rsid w:val="7A364017"/>
    <w:rsid w:val="7A396538"/>
    <w:rsid w:val="7A7175A3"/>
    <w:rsid w:val="7A8265E1"/>
    <w:rsid w:val="7A8C29D0"/>
    <w:rsid w:val="7ADB4A56"/>
    <w:rsid w:val="7B021773"/>
    <w:rsid w:val="7B50744A"/>
    <w:rsid w:val="7B5F71AD"/>
    <w:rsid w:val="7B686D42"/>
    <w:rsid w:val="7B841746"/>
    <w:rsid w:val="7B846309"/>
    <w:rsid w:val="7B891B07"/>
    <w:rsid w:val="7B8E48A2"/>
    <w:rsid w:val="7BA53EE3"/>
    <w:rsid w:val="7BCB6869"/>
    <w:rsid w:val="7C007AE5"/>
    <w:rsid w:val="7C122B9D"/>
    <w:rsid w:val="7C52628C"/>
    <w:rsid w:val="7C5B679B"/>
    <w:rsid w:val="7C6C5AC7"/>
    <w:rsid w:val="7CC6544B"/>
    <w:rsid w:val="7D0239FF"/>
    <w:rsid w:val="7D07778D"/>
    <w:rsid w:val="7D1328FA"/>
    <w:rsid w:val="7D51749C"/>
    <w:rsid w:val="7D5E40CD"/>
    <w:rsid w:val="7D683640"/>
    <w:rsid w:val="7D8434CB"/>
    <w:rsid w:val="7DA34865"/>
    <w:rsid w:val="7DCD56F2"/>
    <w:rsid w:val="7DF31E32"/>
    <w:rsid w:val="7EAC5DC5"/>
    <w:rsid w:val="7EB54F9B"/>
    <w:rsid w:val="7ED94253"/>
    <w:rsid w:val="7F001CE7"/>
    <w:rsid w:val="7F27651A"/>
    <w:rsid w:val="7F425C95"/>
    <w:rsid w:val="7F4D52E1"/>
    <w:rsid w:val="7F5B26E7"/>
    <w:rsid w:val="7F82678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156" w:beforeLines="50" w:beforeAutospacing="0"/>
      <w:jc w:val="left"/>
      <w:outlineLvl w:val="1"/>
    </w:pPr>
    <w:rPr>
      <w:rFonts w:eastAsia="黑体"/>
      <w:b/>
      <w:sz w:val="32"/>
    </w:rPr>
  </w:style>
  <w:style w:type="paragraph" w:styleId="4">
    <w:name w:val="heading 3"/>
    <w:basedOn w:val="1"/>
    <w:next w:val="1"/>
    <w:qFormat/>
    <w:locked/>
    <w:uiPriority w:val="0"/>
    <w:pPr>
      <w:keepNext/>
      <w:keepLines/>
      <w:spacing w:before="156" w:beforeLines="50" w:beforeAutospacing="0"/>
      <w:jc w:val="left"/>
      <w:outlineLvl w:val="2"/>
    </w:pPr>
    <w:rPr>
      <w:rFonts w:eastAsia="黑体"/>
      <w:b/>
      <w:sz w:val="30"/>
    </w:rPr>
  </w:style>
  <w:style w:type="paragraph" w:styleId="5">
    <w:name w:val="heading 4"/>
    <w:basedOn w:val="1"/>
    <w:next w:val="1"/>
    <w:unhideWhenUsed/>
    <w:qFormat/>
    <w:locked/>
    <w:uiPriority w:val="9"/>
    <w:pPr>
      <w:keepNext/>
      <w:keepLines/>
      <w:widowControl/>
      <w:numPr>
        <w:ilvl w:val="3"/>
        <w:numId w:val="1"/>
      </w:numPr>
      <w:spacing w:before="50" w:beforeLines="50"/>
      <w:outlineLvl w:val="3"/>
    </w:pPr>
    <w:rPr>
      <w:rFonts w:eastAsia="黑体"/>
      <w:bCs/>
      <w:color w:val="000000"/>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locked/>
    <w:uiPriority w:val="0"/>
    <w:pPr>
      <w:ind w:firstLine="420"/>
    </w:pPr>
  </w:style>
  <w:style w:type="paragraph" w:styleId="7">
    <w:name w:val="caption"/>
    <w:basedOn w:val="1"/>
    <w:next w:val="1"/>
    <w:qFormat/>
    <w:locked/>
    <w:uiPriority w:val="35"/>
    <w:pPr>
      <w:spacing w:line="240" w:lineRule="auto"/>
      <w:ind w:firstLine="0" w:firstLineChars="0"/>
      <w:jc w:val="center"/>
    </w:pPr>
    <w:rPr>
      <w:b/>
      <w:sz w:val="21"/>
      <w:szCs w:val="20"/>
    </w:rPr>
  </w:style>
  <w:style w:type="paragraph" w:styleId="8">
    <w:name w:val="annotation text"/>
    <w:basedOn w:val="1"/>
    <w:link w:val="35"/>
    <w:semiHidden/>
    <w:qFormat/>
    <w:uiPriority w:val="0"/>
    <w:pPr>
      <w:jc w:val="left"/>
    </w:pPr>
    <w:rPr>
      <w:kern w:val="0"/>
      <w:sz w:val="24"/>
      <w:szCs w:val="20"/>
    </w:rPr>
  </w:style>
  <w:style w:type="paragraph" w:styleId="9">
    <w:name w:val="Body Text"/>
    <w:basedOn w:val="1"/>
    <w:next w:val="10"/>
    <w:link w:val="34"/>
    <w:qFormat/>
    <w:uiPriority w:val="0"/>
    <w:pPr>
      <w:widowControl/>
      <w:snapToGrid w:val="0"/>
      <w:spacing w:before="60" w:after="160" w:line="259" w:lineRule="auto"/>
      <w:ind w:right="113"/>
    </w:pPr>
    <w:rPr>
      <w:kern w:val="0"/>
      <w:sz w:val="18"/>
      <w:szCs w:val="20"/>
    </w:rPr>
  </w:style>
  <w:style w:type="paragraph" w:customStyle="1" w:styleId="10">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styleId="11">
    <w:name w:val="Body Text Indent"/>
    <w:basedOn w:val="1"/>
    <w:next w:val="1"/>
    <w:link w:val="36"/>
    <w:qFormat/>
    <w:uiPriority w:val="0"/>
    <w:pPr>
      <w:spacing w:after="120"/>
      <w:ind w:left="420" w:leftChars="200"/>
    </w:pPr>
    <w:rPr>
      <w:kern w:val="0"/>
      <w:sz w:val="24"/>
      <w:szCs w:val="20"/>
    </w:rPr>
  </w:style>
  <w:style w:type="paragraph" w:styleId="12">
    <w:name w:val="Block Text"/>
    <w:basedOn w:val="1"/>
    <w:qFormat/>
    <w:locked/>
    <w:uiPriority w:val="0"/>
    <w:pPr>
      <w:spacing w:after="120"/>
      <w:ind w:left="1440" w:leftChars="700" w:right="1440" w:rightChars="700"/>
    </w:pPr>
  </w:style>
  <w:style w:type="paragraph" w:styleId="13">
    <w:name w:val="Plain Text"/>
    <w:basedOn w:val="1"/>
    <w:next w:val="1"/>
    <w:qFormat/>
    <w:locked/>
    <w:uiPriority w:val="0"/>
    <w:rPr>
      <w:rFonts w:ascii="宋体" w:hAnsi="Courier New"/>
      <w:sz w:val="24"/>
      <w:szCs w:val="20"/>
    </w:rPr>
  </w:style>
  <w:style w:type="paragraph" w:styleId="14">
    <w:name w:val="Date"/>
    <w:basedOn w:val="1"/>
    <w:next w:val="1"/>
    <w:link w:val="37"/>
    <w:qFormat/>
    <w:uiPriority w:val="0"/>
    <w:pPr>
      <w:ind w:left="100" w:leftChars="2500"/>
    </w:pPr>
    <w:rPr>
      <w:kern w:val="0"/>
      <w:sz w:val="24"/>
      <w:szCs w:val="20"/>
    </w:rPr>
  </w:style>
  <w:style w:type="paragraph" w:styleId="15">
    <w:name w:val="Body Text Indent 2"/>
    <w:basedOn w:val="1"/>
    <w:qFormat/>
    <w:locked/>
    <w:uiPriority w:val="0"/>
    <w:pPr>
      <w:spacing w:after="120" w:afterLines="0" w:afterAutospacing="0" w:line="480" w:lineRule="auto"/>
      <w:ind w:left="420" w:leftChars="200"/>
    </w:pPr>
  </w:style>
  <w:style w:type="paragraph" w:styleId="16">
    <w:name w:val="Balloon Text"/>
    <w:basedOn w:val="1"/>
    <w:link w:val="38"/>
    <w:semiHidden/>
    <w:qFormat/>
    <w:uiPriority w:val="0"/>
    <w:rPr>
      <w:kern w:val="0"/>
      <w:sz w:val="18"/>
      <w:szCs w:val="20"/>
    </w:rPr>
  </w:style>
  <w:style w:type="paragraph" w:styleId="17">
    <w:name w:val="footer"/>
    <w:basedOn w:val="1"/>
    <w:link w:val="39"/>
    <w:qFormat/>
    <w:uiPriority w:val="99"/>
    <w:pPr>
      <w:tabs>
        <w:tab w:val="center" w:pos="4153"/>
        <w:tab w:val="right" w:pos="8306"/>
      </w:tabs>
      <w:snapToGrid w:val="0"/>
      <w:jc w:val="left"/>
    </w:pPr>
    <w:rPr>
      <w:kern w:val="0"/>
      <w:sz w:val="18"/>
      <w:szCs w:val="20"/>
    </w:rPr>
  </w:style>
  <w:style w:type="paragraph" w:styleId="18">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8"/>
    <w:next w:val="8"/>
    <w:link w:val="42"/>
    <w:semiHidden/>
    <w:qFormat/>
    <w:uiPriority w:val="0"/>
    <w:rPr>
      <w:b/>
      <w:sz w:val="24"/>
      <w:szCs w:val="20"/>
    </w:rPr>
  </w:style>
  <w:style w:type="paragraph" w:styleId="21">
    <w:name w:val="Body Text First Indent"/>
    <w:basedOn w:val="1"/>
    <w:next w:val="22"/>
    <w:qFormat/>
    <w:locked/>
    <w:uiPriority w:val="0"/>
    <w:pPr>
      <w:ind w:firstLine="420" w:firstLineChars="100"/>
    </w:pPr>
    <w:rPr>
      <w:szCs w:val="24"/>
    </w:rPr>
  </w:style>
  <w:style w:type="paragraph" w:customStyle="1" w:styleId="22">
    <w:name w:val="正文文字（首行缩进2字）"/>
    <w:basedOn w:val="1"/>
    <w:qFormat/>
    <w:uiPriority w:val="0"/>
    <w:pPr>
      <w:spacing w:line="360" w:lineRule="auto"/>
      <w:ind w:firstLine="200" w:firstLineChars="200"/>
    </w:pPr>
    <w:rPr>
      <w:rFonts w:ascii="Arial" w:hAnsi="Arial" w:eastAsia="宋体"/>
      <w:position w:val="-30"/>
      <w:sz w:val="24"/>
    </w:rPr>
  </w:style>
  <w:style w:type="paragraph" w:styleId="23">
    <w:name w:val="Body Text First Indent 2"/>
    <w:basedOn w:val="11"/>
    <w:next w:val="1"/>
    <w:qFormat/>
    <w:locked/>
    <w:uiPriority w:val="0"/>
    <w:pPr>
      <w:spacing w:line="360" w:lineRule="auto"/>
      <w:ind w:firstLine="420" w:firstLineChars="200"/>
      <w:jc w:val="left"/>
    </w:p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bCs/>
    </w:rPr>
  </w:style>
  <w:style w:type="character" w:styleId="28">
    <w:name w:val="page number"/>
    <w:basedOn w:val="26"/>
    <w:qFormat/>
    <w:locked/>
    <w:uiPriority w:val="0"/>
  </w:style>
  <w:style w:type="character" w:styleId="29">
    <w:name w:val="Hyperlink"/>
    <w:basedOn w:val="26"/>
    <w:qFormat/>
    <w:locked/>
    <w:uiPriority w:val="0"/>
    <w:rPr>
      <w:color w:val="0000FF"/>
      <w:u w:val="single"/>
    </w:rPr>
  </w:style>
  <w:style w:type="character" w:styleId="30">
    <w:name w:val="annotation reference"/>
    <w:semiHidden/>
    <w:qFormat/>
    <w:uiPriority w:val="0"/>
    <w:rPr>
      <w:sz w:val="21"/>
    </w:rPr>
  </w:style>
  <w:style w:type="paragraph" w:customStyle="1" w:styleId="31">
    <w:name w:val="文本块1"/>
    <w:basedOn w:val="1"/>
    <w:qFormat/>
    <w:uiPriority w:val="0"/>
    <w:pPr>
      <w:tabs>
        <w:tab w:val="right" w:pos="8640"/>
      </w:tabs>
      <w:spacing w:after="120"/>
      <w:ind w:left="1440" w:leftChars="700" w:right="1440"/>
    </w:pPr>
    <w:rPr>
      <w:rFonts w:ascii="Garamond" w:hAnsi="Garamond" w:eastAsia="Times New Roman"/>
      <w:spacing w:val="-2"/>
      <w:kern w:val="0"/>
    </w:rPr>
  </w:style>
  <w:style w:type="paragraph" w:customStyle="1" w:styleId="32">
    <w:name w:val="Default"/>
    <w:basedOn w:val="3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34">
    <w:name w:val="正文文本 Char"/>
    <w:link w:val="9"/>
    <w:qFormat/>
    <w:locked/>
    <w:uiPriority w:val="0"/>
    <w:rPr>
      <w:sz w:val="18"/>
    </w:rPr>
  </w:style>
  <w:style w:type="character" w:customStyle="1" w:styleId="35">
    <w:name w:val="批注文字 Char"/>
    <w:link w:val="8"/>
    <w:qFormat/>
    <w:locked/>
    <w:uiPriority w:val="0"/>
    <w:rPr>
      <w:rFonts w:ascii="Times New Roman" w:hAnsi="Times New Roman" w:eastAsia="宋体"/>
      <w:sz w:val="24"/>
    </w:rPr>
  </w:style>
  <w:style w:type="character" w:customStyle="1" w:styleId="36">
    <w:name w:val="正文文本缩进 Char"/>
    <w:link w:val="11"/>
    <w:semiHidden/>
    <w:qFormat/>
    <w:locked/>
    <w:uiPriority w:val="0"/>
    <w:rPr>
      <w:rFonts w:ascii="Times New Roman" w:hAnsi="Times New Roman" w:eastAsia="宋体"/>
      <w:sz w:val="24"/>
    </w:rPr>
  </w:style>
  <w:style w:type="character" w:customStyle="1" w:styleId="37">
    <w:name w:val="日期 Char"/>
    <w:link w:val="14"/>
    <w:qFormat/>
    <w:locked/>
    <w:uiPriority w:val="0"/>
    <w:rPr>
      <w:rFonts w:ascii="Times New Roman" w:hAnsi="Times New Roman" w:eastAsia="宋体"/>
      <w:sz w:val="24"/>
    </w:rPr>
  </w:style>
  <w:style w:type="character" w:customStyle="1" w:styleId="38">
    <w:name w:val="批注框文本 Char"/>
    <w:link w:val="16"/>
    <w:semiHidden/>
    <w:qFormat/>
    <w:locked/>
    <w:uiPriority w:val="0"/>
    <w:rPr>
      <w:rFonts w:ascii="Times New Roman" w:hAnsi="Times New Roman" w:eastAsia="宋体"/>
      <w:sz w:val="18"/>
    </w:rPr>
  </w:style>
  <w:style w:type="character" w:customStyle="1" w:styleId="39">
    <w:name w:val="页脚 Char"/>
    <w:link w:val="17"/>
    <w:qFormat/>
    <w:locked/>
    <w:uiPriority w:val="99"/>
    <w:rPr>
      <w:sz w:val="18"/>
    </w:rPr>
  </w:style>
  <w:style w:type="character" w:customStyle="1" w:styleId="40">
    <w:name w:val="页眉 Char"/>
    <w:link w:val="18"/>
    <w:qFormat/>
    <w:locked/>
    <w:uiPriority w:val="0"/>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0"/>
    <w:semiHidden/>
    <w:qFormat/>
    <w:locked/>
    <w:uiPriority w:val="0"/>
    <w:rPr>
      <w:rFonts w:ascii="Times New Roman" w:hAnsi="Times New Roman" w:eastAsia="宋体"/>
      <w:b/>
      <w:kern w:val="2"/>
      <w:sz w:val="24"/>
    </w:rPr>
  </w:style>
  <w:style w:type="paragraph" w:customStyle="1" w:styleId="43">
    <w:name w:val="纯文本1"/>
    <w:basedOn w:val="1"/>
    <w:qFormat/>
    <w:uiPriority w:val="99"/>
    <w:pPr>
      <w:ind w:firstLine="0" w:firstLineChars="0"/>
    </w:pPr>
    <w:rPr>
      <w:rFonts w:ascii="宋体" w:hAnsi="Courier New" w:cs="宋体"/>
      <w:szCs w:val="21"/>
    </w:rPr>
  </w:style>
  <w:style w:type="paragraph" w:customStyle="1" w:styleId="44">
    <w:name w:val="表格文字"/>
    <w:basedOn w:val="45"/>
    <w:next w:val="1"/>
    <w:qFormat/>
    <w:uiPriority w:val="0"/>
    <w:pPr>
      <w:snapToGrid w:val="0"/>
      <w:spacing w:line="240" w:lineRule="auto"/>
      <w:jc w:val="center"/>
    </w:pPr>
    <w:rPr>
      <w:rFonts w:ascii="宋体" w:hAnsi="宋体"/>
      <w:color w:val="000000"/>
      <w:szCs w:val="20"/>
    </w:rPr>
  </w:style>
  <w:style w:type="paragraph" w:customStyle="1" w:styleId="45">
    <w:name w:val="朔电正文"/>
    <w:basedOn w:val="1"/>
    <w:qFormat/>
    <w:uiPriority w:val="0"/>
    <w:pPr>
      <w:adjustRightInd w:val="0"/>
      <w:snapToGrid w:val="0"/>
      <w:spacing w:beforeLines="25" w:line="440" w:lineRule="exact"/>
      <w:ind w:firstLine="200" w:firstLineChars="200"/>
    </w:pPr>
    <w:rPr>
      <w:color w:val="000000"/>
    </w:rPr>
  </w:style>
  <w:style w:type="character" w:customStyle="1" w:styleId="46">
    <w:name w:val="页脚 字符"/>
    <w:basedOn w:val="26"/>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1"/>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日期 字符"/>
    <w:semiHidden/>
    <w:qFormat/>
    <w:uiPriority w:val="0"/>
    <w:rPr>
      <w:rFonts w:ascii="Times New Roman" w:hAnsi="Times New Roman" w:eastAsia="宋体"/>
      <w:sz w:val="24"/>
    </w:rPr>
  </w:style>
  <w:style w:type="character" w:customStyle="1" w:styleId="51">
    <w:name w:val="批注文字 字符1"/>
    <w:semiHidden/>
    <w:qFormat/>
    <w:uiPriority w:val="0"/>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表内容"/>
    <w:basedOn w:val="13"/>
    <w:qFormat/>
    <w:uiPriority w:val="0"/>
    <w:pPr>
      <w:jc w:val="center"/>
    </w:pPr>
    <w:rPr>
      <w:rFonts w:ascii="Times New Roman" w:hAnsi="Times New Roman"/>
      <w:sz w:val="21"/>
    </w:rPr>
  </w:style>
  <w:style w:type="character" w:customStyle="1" w:styleId="55">
    <w:name w:val="font21"/>
    <w:basedOn w:val="26"/>
    <w:qFormat/>
    <w:uiPriority w:val="0"/>
    <w:rPr>
      <w:rFonts w:hint="eastAsia" w:ascii="宋体" w:hAnsi="宋体" w:eastAsia="宋体" w:cs="宋体"/>
      <w:b/>
      <w:bCs/>
      <w:color w:val="000000"/>
      <w:sz w:val="18"/>
      <w:szCs w:val="18"/>
      <w:u w:val="none"/>
    </w:rPr>
  </w:style>
  <w:style w:type="character" w:customStyle="1" w:styleId="56">
    <w:name w:val="font41"/>
    <w:basedOn w:val="26"/>
    <w:qFormat/>
    <w:uiPriority w:val="0"/>
    <w:rPr>
      <w:rFonts w:hint="default" w:ascii="Times New Roman" w:hAnsi="Times New Roman" w:cs="Times New Roman"/>
      <w:b/>
      <w:bCs/>
      <w:color w:val="000000"/>
      <w:sz w:val="18"/>
      <w:szCs w:val="18"/>
      <w:u w:val="none"/>
    </w:rPr>
  </w:style>
  <w:style w:type="paragraph" w:customStyle="1" w:styleId="57">
    <w:name w:val="报告正文"/>
    <w:basedOn w:val="1"/>
    <w:qFormat/>
    <w:uiPriority w:val="99"/>
    <w:pPr>
      <w:autoSpaceDE w:val="0"/>
      <w:autoSpaceDN w:val="0"/>
      <w:spacing w:line="560" w:lineRule="atLeast"/>
      <w:ind w:firstLine="200" w:firstLineChars="200"/>
    </w:pPr>
    <w:rPr>
      <w:rFonts w:ascii="宋体"/>
      <w:kern w:val="0"/>
      <w:sz w:val="24"/>
    </w:rPr>
  </w:style>
  <w:style w:type="paragraph" w:customStyle="1" w:styleId="58">
    <w:name w:val="李表头常用格式"/>
    <w:basedOn w:val="12"/>
    <w:qFormat/>
    <w:uiPriority w:val="0"/>
    <w:pPr>
      <w:adjustRightInd/>
      <w:snapToGrid w:val="0"/>
      <w:spacing w:after="0" w:line="320" w:lineRule="exact"/>
      <w:ind w:left="0" w:leftChars="0" w:right="0" w:rightChars="0"/>
      <w:jc w:val="center"/>
      <w:textAlignment w:val="auto"/>
    </w:pPr>
    <w:rPr>
      <w:rFonts w:eastAsia="黑体"/>
      <w:color w:val="000000"/>
      <w:szCs w:val="21"/>
    </w:rPr>
  </w:style>
  <w:style w:type="paragraph" w:customStyle="1" w:styleId="59">
    <w:name w:val="标准正文"/>
    <w:basedOn w:val="1"/>
    <w:qFormat/>
    <w:uiPriority w:val="0"/>
    <w:pPr>
      <w:spacing w:line="360" w:lineRule="auto"/>
      <w:ind w:firstLine="200" w:firstLineChars="200"/>
      <w:jc w:val="left"/>
    </w:pPr>
    <w:rPr>
      <w:sz w:val="24"/>
      <w:szCs w:val="22"/>
    </w:rPr>
  </w:style>
  <w:style w:type="paragraph" w:customStyle="1" w:styleId="60">
    <w:name w:val="正文1"/>
    <w:basedOn w:val="1"/>
    <w:next w:val="1"/>
    <w:qFormat/>
    <w:uiPriority w:val="0"/>
    <w:pPr>
      <w:tabs>
        <w:tab w:val="left" w:pos="1455"/>
      </w:tabs>
      <w:spacing w:line="480" w:lineRule="exact"/>
      <w:ind w:firstLine="480" w:firstLineChars="200"/>
    </w:pPr>
    <w:rPr>
      <w:sz w:val="24"/>
      <w:szCs w:val="24"/>
    </w:rPr>
  </w:style>
  <w:style w:type="paragraph" w:customStyle="1" w:styleId="61">
    <w:name w:val="表中"/>
    <w:basedOn w:val="1"/>
    <w:qFormat/>
    <w:uiPriority w:val="0"/>
    <w:pPr>
      <w:adjustRightInd/>
      <w:spacing w:line="360" w:lineRule="exact"/>
      <w:jc w:val="center"/>
      <w:textAlignment w:val="auto"/>
    </w:pPr>
    <w:rPr>
      <w:szCs w:val="21"/>
      <w:lang w:val="de-DE"/>
    </w:rPr>
  </w:style>
  <w:style w:type="paragraph" w:customStyle="1" w:styleId="62">
    <w:name w:val="环评正文"/>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paragraph" w:customStyle="1" w:styleId="63">
    <w:name w:val="表格新格式"/>
    <w:basedOn w:val="1"/>
    <w:qFormat/>
    <w:uiPriority w:val="0"/>
    <w:pPr>
      <w:adjustRightInd/>
      <w:spacing w:line="280" w:lineRule="exact"/>
      <w:jc w:val="center"/>
      <w:textAlignment w:val="auto"/>
    </w:pPr>
    <w:rPr>
      <w:color w:val="000000"/>
      <w:szCs w:val="21"/>
    </w:rPr>
  </w:style>
  <w:style w:type="paragraph" w:customStyle="1" w:styleId="64">
    <w:name w:val="表头样式"/>
    <w:basedOn w:val="1"/>
    <w:qFormat/>
    <w:uiPriority w:val="0"/>
    <w:pPr>
      <w:snapToGrid w:val="0"/>
      <w:spacing w:line="420" w:lineRule="auto"/>
      <w:ind w:firstLine="480" w:firstLineChars="200"/>
      <w:jc w:val="left"/>
    </w:pPr>
    <w:rPr>
      <w:color w:val="FF0000"/>
      <w:sz w:val="24"/>
      <w:u w:val="single"/>
    </w:rPr>
  </w:style>
  <w:style w:type="paragraph" w:customStyle="1" w:styleId="65">
    <w:name w:val="Table Paragraph"/>
    <w:basedOn w:val="1"/>
    <w:qFormat/>
    <w:uiPriority w:val="99"/>
  </w:style>
  <w:style w:type="paragraph" w:customStyle="1" w:styleId="66">
    <w:name w:val="正文 1"/>
    <w:basedOn w:val="1"/>
    <w:qFormat/>
    <w:uiPriority w:val="0"/>
    <w:pPr>
      <w:spacing w:line="480" w:lineRule="exact"/>
      <w:ind w:firstLine="567"/>
    </w:pPr>
    <w:rPr>
      <w:sz w:val="28"/>
    </w:rPr>
  </w:style>
  <w:style w:type="paragraph" w:customStyle="1" w:styleId="67">
    <w:name w:val="表格-zjr"/>
    <w:basedOn w:val="1"/>
    <w:qFormat/>
    <w:uiPriority w:val="0"/>
    <w:pPr>
      <w:spacing w:line="240" w:lineRule="auto"/>
      <w:ind w:firstLine="0" w:firstLineChars="0"/>
      <w:jc w:val="center"/>
    </w:pPr>
    <w:rPr>
      <w:rFonts w:ascii="Times New Roman" w:hAnsi="Times New Roman" w:eastAsia="宋体" w:cs="Times New Roman"/>
      <w:sz w:val="21"/>
    </w:rPr>
  </w:style>
  <w:style w:type="paragraph" w:customStyle="1" w:styleId="68">
    <w:name w:val="表格标题1"/>
    <w:basedOn w:val="1"/>
    <w:qFormat/>
    <w:uiPriority w:val="99"/>
    <w:pPr>
      <w:adjustRightInd w:val="0"/>
      <w:snapToGrid w:val="0"/>
      <w:spacing w:line="440" w:lineRule="exact"/>
      <w:jc w:val="center"/>
    </w:pPr>
    <w:rPr>
      <w:rFonts w:ascii="宋体" w:hAnsi="宋体"/>
      <w:b/>
    </w:rPr>
  </w:style>
  <w:style w:type="paragraph" w:customStyle="1" w:styleId="69">
    <w:name w:val="表格-小四"/>
    <w:basedOn w:val="1"/>
    <w:qFormat/>
    <w:uiPriority w:val="0"/>
    <w:pPr>
      <w:spacing w:line="300" w:lineRule="auto"/>
      <w:ind w:firstLine="0" w:firstLineChars="0"/>
      <w:jc w:val="center"/>
    </w:pPr>
    <w:rPr>
      <w:rFonts w:ascii="Times New Roman" w:hAnsi="Times New Roman" w:eastAsia="宋体" w:cs="宋体"/>
      <w:sz w:val="24"/>
    </w:rPr>
  </w:style>
  <w:style w:type="table" w:customStyle="1" w:styleId="70">
    <w:name w:val="Table Normal"/>
    <w:unhideWhenUsed/>
    <w:qFormat/>
    <w:uiPriority w:val="0"/>
    <w:tblPr>
      <w:tblCellMar>
        <w:top w:w="0" w:type="dxa"/>
        <w:left w:w="0" w:type="dxa"/>
        <w:bottom w:w="0" w:type="dxa"/>
        <w:right w:w="0" w:type="dxa"/>
      </w:tblCellMar>
    </w:tblPr>
  </w:style>
  <w:style w:type="paragraph" w:customStyle="1" w:styleId="71">
    <w:name w:val="5-正文"/>
    <w:basedOn w:val="1"/>
    <w:qFormat/>
    <w:uiPriority w:val="0"/>
    <w:pPr>
      <w:snapToGrid w:val="0"/>
      <w:spacing w:line="480" w:lineRule="exact"/>
      <w:ind w:firstLine="200" w:firstLineChars="200"/>
    </w:pPr>
    <w:rPr>
      <w:sz w:val="24"/>
      <w:szCs w:val="20"/>
    </w:rPr>
  </w:style>
  <w:style w:type="paragraph" w:customStyle="1" w:styleId="72">
    <w:name w:val="样式 首行缩进:  2 字符"/>
    <w:basedOn w:val="1"/>
    <w:qFormat/>
    <w:uiPriority w:val="0"/>
    <w:pPr>
      <w:widowControl w:val="0"/>
      <w:ind w:firstLine="566" w:firstLineChars="202"/>
      <w:outlineLvl w:val="3"/>
    </w:pPr>
    <w:rPr>
      <w:rFonts w:eastAsia="楷体_GB2312"/>
      <w:color w:val="auto"/>
      <w:szCs w:val="20"/>
    </w:rPr>
  </w:style>
  <w:style w:type="character" w:customStyle="1" w:styleId="73">
    <w:name w:val="表内文字"/>
    <w:qFormat/>
    <w:uiPriority w:val="0"/>
    <w:rPr>
      <w:rFonts w:ascii="Times New Roman" w:hAnsi="Times New Roman" w:eastAsia="仿宋_GB2312"/>
      <w:sz w:val="24"/>
      <w:szCs w:val="24"/>
    </w:rPr>
  </w:style>
  <w:style w:type="paragraph" w:customStyle="1" w:styleId="74">
    <w:name w:val="样式4"/>
    <w:basedOn w:val="1"/>
    <w:qFormat/>
    <w:uiPriority w:val="0"/>
    <w:pPr>
      <w:spacing w:line="440" w:lineRule="exact"/>
      <w:ind w:firstLine="200" w:firstLineChars="200"/>
    </w:pPr>
    <w:rPr>
      <w:spacing w:val="20"/>
      <w:sz w:val="24"/>
      <w:szCs w:val="20"/>
    </w:rPr>
  </w:style>
  <w:style w:type="paragraph" w:customStyle="1" w:styleId="7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76">
    <w:name w:val="00表内字体"/>
    <w:basedOn w:val="1"/>
    <w:qFormat/>
    <w:uiPriority w:val="0"/>
    <w:pPr>
      <w:widowControl/>
      <w:jc w:val="center"/>
    </w:pPr>
    <w:rPr>
      <w:szCs w:val="22"/>
    </w:rPr>
  </w:style>
  <w:style w:type="paragraph" w:customStyle="1" w:styleId="77">
    <w:name w:val="正文11"/>
    <w:basedOn w:val="1"/>
    <w:qFormat/>
    <w:uiPriority w:val="0"/>
    <w:pPr>
      <w:widowControl/>
      <w:adjustRightInd w:val="0"/>
      <w:snapToGrid w:val="0"/>
      <w:spacing w:line="480" w:lineRule="atLeast"/>
      <w:ind w:firstLine="200" w:firstLineChars="200"/>
      <w:jc w:val="left"/>
    </w:pPr>
    <w:rPr>
      <w:rFonts w:hAnsi="宋体"/>
      <w:sz w:val="24"/>
    </w:rPr>
  </w:style>
  <w:style w:type="character" w:customStyle="1" w:styleId="78">
    <w:name w:val="font31"/>
    <w:qFormat/>
    <w:uiPriority w:val="0"/>
    <w:rPr>
      <w:rFonts w:hint="default" w:ascii="Times New Roman" w:hAnsi="Times New Roman" w:cs="Times New Roman"/>
      <w:b/>
      <w:color w:val="000000"/>
      <w:sz w:val="21"/>
      <w:szCs w:val="21"/>
      <w:u w:val="none"/>
    </w:rPr>
  </w:style>
  <w:style w:type="paragraph" w:customStyle="1" w:styleId="79">
    <w:name w:val="表标题"/>
    <w:basedOn w:val="1"/>
    <w:qFormat/>
    <w:uiPriority w:val="0"/>
    <w:pPr>
      <w:spacing w:line="500" w:lineRule="exact"/>
      <w:ind w:firstLine="0" w:firstLineChars="0"/>
      <w:jc w:val="center"/>
    </w:pPr>
    <w:rPr>
      <w:rFonts w:ascii="Times New Roman" w:hAnsi="Times New Roman" w:eastAsia="宋体"/>
      <w:b/>
    </w:rPr>
  </w:style>
  <w:style w:type="paragraph" w:customStyle="1" w:styleId="80">
    <w:name w:val="A表内文字 居中"/>
    <w:basedOn w:val="1"/>
    <w:qFormat/>
    <w:uiPriority w:val="0"/>
    <w:pPr>
      <w:adjustRightInd w:val="0"/>
      <w:spacing w:line="280" w:lineRule="exact"/>
      <w:ind w:firstLine="0" w:firstLineChars="0"/>
      <w:jc w:val="center"/>
      <w:textAlignment w:val="baseline"/>
    </w:pPr>
    <w:rPr>
      <w:snapToGrid w:val="0"/>
      <w:kern w:val="0"/>
      <w:sz w:val="21"/>
      <w:szCs w:val="21"/>
    </w:rPr>
  </w:style>
  <w:style w:type="paragraph" w:customStyle="1" w:styleId="81">
    <w:name w:val="表头"/>
    <w:basedOn w:val="60"/>
    <w:next w:val="82"/>
    <w:qFormat/>
    <w:uiPriority w:val="0"/>
    <w:pPr>
      <w:spacing w:before="50" w:beforeLines="50" w:line="240" w:lineRule="auto"/>
      <w:ind w:firstLine="0" w:firstLineChars="0"/>
      <w:jc w:val="center"/>
    </w:pPr>
    <w:rPr>
      <w:rFonts w:eastAsia="黑体"/>
    </w:rPr>
  </w:style>
  <w:style w:type="paragraph" w:customStyle="1" w:styleId="82">
    <w:name w:val="表格编号"/>
    <w:basedOn w:val="1"/>
    <w:next w:val="1"/>
    <w:qFormat/>
    <w:uiPriority w:val="0"/>
    <w:pPr>
      <w:spacing w:line="60" w:lineRule="atLeast"/>
      <w:jc w:val="left"/>
    </w:pPr>
    <w:rPr>
      <w:spacing w:val="10"/>
      <w:kern w:val="0"/>
      <w:szCs w:val="21"/>
    </w:rPr>
  </w:style>
  <w:style w:type="paragraph" w:customStyle="1" w:styleId="83">
    <w:name w:val="表文"/>
    <w:basedOn w:val="84"/>
    <w:qFormat/>
    <w:uiPriority w:val="0"/>
    <w:pPr>
      <w:spacing w:line="360" w:lineRule="exact"/>
      <w:ind w:firstLine="0" w:firstLineChars="0"/>
      <w:jc w:val="center"/>
    </w:pPr>
  </w:style>
  <w:style w:type="paragraph" w:customStyle="1" w:styleId="84">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85">
    <w:name w:val="表标题3"/>
    <w:next w:val="1"/>
    <w:qFormat/>
    <w:uiPriority w:val="0"/>
    <w:pPr>
      <w:spacing w:line="360" w:lineRule="auto"/>
      <w:ind w:firstLine="200" w:firstLineChars="200"/>
      <w:jc w:val="both"/>
      <w:outlineLvl w:val="2"/>
    </w:pPr>
    <w:rPr>
      <w:rFonts w:ascii="Times New Roman" w:hAnsi="Times New Roman" w:eastAsia="宋体" w:cs="Times New Roman"/>
      <w:b/>
      <w:bCs/>
      <w:kern w:val="2"/>
      <w:sz w:val="24"/>
      <w:szCs w:val="24"/>
      <w:lang w:val="en-US" w:eastAsia="zh-CN" w:bidi="ar-SA"/>
    </w:rPr>
  </w:style>
  <w:style w:type="paragraph" w:customStyle="1" w:styleId="86">
    <w:name w:val="正文（刘 ）"/>
    <w:basedOn w:val="1"/>
    <w:qFormat/>
    <w:uiPriority w:val="0"/>
    <w:pPr>
      <w:ind w:firstLine="456"/>
      <w:jc w:val="both"/>
    </w:pPr>
    <w:rPr>
      <w:rFonts w:hint="eastAsia"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82</Pages>
  <Words>14800</Words>
  <Characters>16824</Characters>
  <Lines>13</Lines>
  <Paragraphs>3</Paragraphs>
  <TotalTime>0</TotalTime>
  <ScaleCrop>false</ScaleCrop>
  <LinksUpToDate>false</LinksUpToDate>
  <CharactersWithSpaces>16959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陈浩</cp:lastModifiedBy>
  <cp:lastPrinted>2020-12-29T02:43:00Z</cp:lastPrinted>
  <dcterms:modified xsi:type="dcterms:W3CDTF">2025-06-09T07:56:19Z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897DDE2948574FA78EF74C9DB7EC6D50_13</vt:lpwstr>
  </property>
  <property fmtid="{D5CDD505-2E9C-101B-9397-08002B2CF9AE}" pid="4" name="KSOTemplateDocerSaveRecord">
    <vt:lpwstr>eyJoZGlkIjoiYWYxNjU1M2VjYWM5Njk2M2E3ZmJhNzU2MzYzNGFkMGEiLCJ1c2VySWQiOiIxMTU1NDA2MjY0In0=</vt:lpwstr>
  </property>
</Properties>
</file>