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33FD3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27561324">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14:paraId="49496119">
            <w:pPr>
              <w:spacing w:line="560" w:lineRule="exact"/>
              <w:jc w:val="center"/>
              <w:rPr>
                <w:rFonts w:hint="eastAsia" w:ascii="方正小标宋简体" w:eastAsia="方正小标宋简体"/>
                <w:color w:val="FFFFFF" w:themeColor="background1"/>
                <w:sz w:val="28"/>
                <w:szCs w:val="28"/>
              </w:rPr>
            </w:pPr>
          </w:p>
        </w:tc>
        <w:tc>
          <w:tcPr>
            <w:tcW w:w="1378" w:type="dxa"/>
          </w:tcPr>
          <w:p w14:paraId="3F98DA3D">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14:paraId="3B8AB758">
            <w:pPr>
              <w:spacing w:line="560" w:lineRule="exact"/>
              <w:jc w:val="center"/>
              <w:rPr>
                <w:rFonts w:hint="eastAsia" w:ascii="方正小标宋简体" w:eastAsia="方正小标宋简体"/>
                <w:color w:val="FFFFFF" w:themeColor="background1"/>
                <w:sz w:val="28"/>
                <w:szCs w:val="28"/>
              </w:rPr>
            </w:pPr>
          </w:p>
        </w:tc>
        <w:tc>
          <w:tcPr>
            <w:tcW w:w="1379" w:type="dxa"/>
          </w:tcPr>
          <w:p w14:paraId="2D339435">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14:paraId="7B4BA481">
            <w:pPr>
              <w:spacing w:line="560" w:lineRule="exact"/>
              <w:jc w:val="center"/>
              <w:rPr>
                <w:rFonts w:hint="eastAsia" w:ascii="方正小标宋简体" w:eastAsia="方正小标宋简体"/>
                <w:color w:val="FFFFFF" w:themeColor="background1"/>
                <w:sz w:val="28"/>
                <w:szCs w:val="28"/>
              </w:rPr>
            </w:pPr>
          </w:p>
        </w:tc>
      </w:tr>
      <w:tr w14:paraId="6E89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2B4CEB65">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14:paraId="484555C4">
            <w:pPr>
              <w:spacing w:line="560" w:lineRule="exact"/>
              <w:jc w:val="center"/>
              <w:rPr>
                <w:rFonts w:hint="eastAsia" w:ascii="方正小标宋简体" w:eastAsia="方正小标宋简体"/>
                <w:color w:val="FFFFFF" w:themeColor="background1"/>
                <w:sz w:val="28"/>
                <w:szCs w:val="28"/>
              </w:rPr>
            </w:pPr>
          </w:p>
        </w:tc>
        <w:tc>
          <w:tcPr>
            <w:tcW w:w="1378" w:type="dxa"/>
          </w:tcPr>
          <w:p w14:paraId="765F585E">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14:paraId="48B3FD8A">
            <w:pPr>
              <w:spacing w:line="560" w:lineRule="exact"/>
              <w:jc w:val="center"/>
              <w:rPr>
                <w:rFonts w:hint="eastAsia" w:ascii="方正小标宋简体" w:eastAsia="方正小标宋简体"/>
                <w:color w:val="FFFFFF" w:themeColor="background1"/>
                <w:sz w:val="28"/>
                <w:szCs w:val="28"/>
              </w:rPr>
            </w:pPr>
          </w:p>
        </w:tc>
        <w:tc>
          <w:tcPr>
            <w:tcW w:w="1379" w:type="dxa"/>
          </w:tcPr>
          <w:p w14:paraId="0D65933E">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14:paraId="23C60E43">
            <w:pPr>
              <w:spacing w:line="560" w:lineRule="exact"/>
              <w:jc w:val="center"/>
              <w:rPr>
                <w:rFonts w:hint="eastAsia" w:ascii="方正小标宋简体" w:eastAsia="方正小标宋简体"/>
                <w:color w:val="FFFFFF" w:themeColor="background1"/>
                <w:sz w:val="28"/>
                <w:szCs w:val="28"/>
              </w:rPr>
            </w:pPr>
          </w:p>
        </w:tc>
      </w:tr>
    </w:tbl>
    <w:p w14:paraId="7B241D42">
      <w:pPr>
        <w:keepNext w:val="0"/>
        <w:keepLines w:val="0"/>
        <w:pageBreakBefore w:val="0"/>
        <w:widowControl w:val="0"/>
        <w:kinsoku/>
        <w:wordWrap/>
        <w:overflowPunct/>
        <w:topLinePunct w:val="0"/>
        <w:autoSpaceDE/>
        <w:autoSpaceDN/>
        <w:bidi w:val="0"/>
        <w:adjustRightInd/>
        <w:snapToGrid w:val="0"/>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 xml:space="preserve">号 </w:t>
      </w:r>
    </w:p>
    <w:p w14:paraId="7EB600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0"/>
          <w:szCs w:val="40"/>
        </w:rPr>
      </w:pPr>
    </w:p>
    <w:p w14:paraId="1B3E86B6">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7CAA1752">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Cs/>
          <w:sz w:val="40"/>
          <w:szCs w:val="40"/>
        </w:rPr>
        <w:t>关于</w:t>
      </w:r>
      <w:r>
        <w:rPr>
          <w:rFonts w:hint="eastAsia" w:ascii="方正小标宋_GBK" w:hAnsi="方正小标宋_GBK" w:eastAsia="方正小标宋_GBK" w:cs="方正小标宋_GBK"/>
          <w:b w:val="0"/>
          <w:bCs w:val="0"/>
          <w:color w:val="000000"/>
          <w:sz w:val="40"/>
          <w:szCs w:val="40"/>
        </w:rPr>
        <w:t>山西霍尔辛赫煤业有限责</w:t>
      </w:r>
      <w:bookmarkStart w:id="2" w:name="_GoBack"/>
      <w:bookmarkEnd w:id="2"/>
      <w:r>
        <w:rPr>
          <w:rFonts w:hint="eastAsia" w:ascii="方正小标宋_GBK" w:hAnsi="方正小标宋_GBK" w:eastAsia="方正小标宋_GBK" w:cs="方正小标宋_GBK"/>
          <w:b w:val="0"/>
          <w:bCs w:val="0"/>
          <w:color w:val="000000"/>
          <w:sz w:val="40"/>
          <w:szCs w:val="40"/>
        </w:rPr>
        <w:t>任公司中部进风</w:t>
      </w:r>
    </w:p>
    <w:p w14:paraId="669FD5F1">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 w:val="0"/>
          <w:bCs w:val="0"/>
          <w:color w:val="000000"/>
          <w:sz w:val="40"/>
          <w:szCs w:val="40"/>
        </w:rPr>
        <w:t>立井技术改造项目</w:t>
      </w:r>
      <w:r>
        <w:rPr>
          <w:rFonts w:hint="eastAsia" w:ascii="方正小标宋_GBK" w:hAnsi="方正小标宋_GBK" w:eastAsia="方正小标宋_GBK" w:cs="方正小标宋_GBK"/>
          <w:bCs/>
          <w:sz w:val="40"/>
          <w:szCs w:val="40"/>
        </w:rPr>
        <w:t>环境影响报告表的批复</w:t>
      </w:r>
    </w:p>
    <w:p w14:paraId="44B1DC8B">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1010072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山西霍尔辛赫煤业有限责任公司</w:t>
      </w:r>
      <w:r>
        <w:rPr>
          <w:rFonts w:hint="eastAsia" w:ascii="仿宋_GB2312" w:hAnsi="仿宋_GB2312" w:eastAsia="仿宋_GB2312" w:cs="仿宋_GB2312"/>
          <w:sz w:val="32"/>
          <w:szCs w:val="32"/>
        </w:rPr>
        <w:t>：</w:t>
      </w:r>
    </w:p>
    <w:p w14:paraId="3FD79C2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rPr>
      </w:pPr>
      <w:r>
        <w:rPr>
          <w:rFonts w:hint="eastAsia" w:ascii="仿宋" w:hAnsi="仿宋" w:eastAsia="仿宋" w:cs="仿宋"/>
          <w:color w:val="000000"/>
          <w:kern w:val="0"/>
          <w:sz w:val="32"/>
          <w:szCs w:val="32"/>
          <w:u w:val="single" w:color="FFFFFF"/>
        </w:rPr>
        <w:t xml:space="preserve">    </w:t>
      </w:r>
      <w:r>
        <w:rPr>
          <w:rFonts w:hint="eastAsia" w:ascii="仿宋_GB2312" w:hAnsi="仿宋_GB2312" w:eastAsia="仿宋_GB2312" w:cs="仿宋_GB2312"/>
          <w:sz w:val="32"/>
          <w:szCs w:val="32"/>
        </w:rPr>
        <w:t>你单位报送的《山西霍尔辛赫煤业有限责任公司中部进风立井技术改造项目环境影响</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报告表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报批</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收悉。经我局</w:t>
      </w:r>
      <w:r>
        <w:rPr>
          <w:rFonts w:hint="eastAsia" w:ascii="仿宋_GB2312" w:hAnsi="仿宋_GB2312" w:eastAsia="仿宋_GB2312" w:cs="仿宋_GB2312"/>
          <w:sz w:val="32"/>
          <w:szCs w:val="32"/>
          <w:lang w:val="en-US" w:eastAsia="zh-CN"/>
        </w:rPr>
        <w:t>研究现</w:t>
      </w:r>
      <w:r>
        <w:rPr>
          <w:rFonts w:hint="eastAsia" w:ascii="仿宋_GB2312" w:hAnsi="仿宋_GB2312" w:eastAsia="仿宋_GB2312" w:cs="仿宋_GB2312"/>
          <w:sz w:val="32"/>
          <w:szCs w:val="32"/>
        </w:rPr>
        <w:t>批复如下：</w:t>
      </w:r>
    </w:p>
    <w:p w14:paraId="3B1D531F">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项目（项目代码：2207-140428-89-05-553391）建设地点位于山西省长治市长子县宋村乡前辛庄村西侧约370m处。工程建设内容主要包括:井筒工程、通风系统、压风系统、公用工程及环保工程等。项目总投资32556.49万元，其中环保投资651万元。</w:t>
      </w:r>
    </w:p>
    <w:p w14:paraId="717C5F4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该项目建设符合国家有关产业政策，在全面落实《报告表》提出的各项生态保护及污染防治措施后，环境不利影响能够得到缓解和控制。我局原则同意你公司按照《报告表》中所列的建设项目性质、规模、地点和环境保护对策措施进行建设。</w:t>
      </w:r>
    </w:p>
    <w:p w14:paraId="676F5474">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二、项目建设及运行中应全面落实《报告表》提出的各项环境保护措施，降低对周边环境的影响，并做好以下几方面工作：</w:t>
      </w:r>
    </w:p>
    <w:p w14:paraId="6FEC943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14:paraId="7D6139A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1、加强施工扬尘管控。施工场地周围设置围挡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val="en-US" w:eastAsia="zh-CN"/>
        </w:rPr>
        <w:t>材料集中堆放，并进行苫盖；</w:t>
      </w:r>
      <w:r>
        <w:rPr>
          <w:rFonts w:hint="eastAsia" w:ascii="仿宋_GB2312" w:hAnsi="仿宋_GB2312" w:eastAsia="仿宋_GB2312" w:cs="仿宋_GB2312"/>
          <w:sz w:val="32"/>
          <w:szCs w:val="32"/>
        </w:rPr>
        <w:t>施工场地内</w:t>
      </w:r>
      <w:r>
        <w:rPr>
          <w:rFonts w:hint="eastAsia" w:ascii="仿宋_GB2312" w:hAnsi="仿宋_GB2312" w:eastAsia="仿宋_GB2312" w:cs="仿宋_GB2312"/>
          <w:sz w:val="32"/>
          <w:szCs w:val="32"/>
          <w:lang w:val="en-US" w:eastAsia="zh-CN"/>
        </w:rPr>
        <w:t>路面</w:t>
      </w:r>
      <w:r>
        <w:rPr>
          <w:rFonts w:hint="eastAsia" w:ascii="仿宋_GB2312" w:hAnsi="仿宋_GB2312" w:eastAsia="仿宋_GB2312" w:cs="仿宋_GB2312"/>
          <w:sz w:val="32"/>
          <w:szCs w:val="32"/>
        </w:rPr>
        <w:t>进行硬化，采取湿</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作业，对产生扬尘的场地进行洒水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运输车辆采取</w:t>
      </w:r>
      <w:r>
        <w:rPr>
          <w:rFonts w:hint="eastAsia" w:ascii="仿宋_GB2312" w:hAnsi="仿宋_GB2312" w:eastAsia="仿宋_GB2312" w:cs="仿宋_GB2312"/>
          <w:sz w:val="32"/>
          <w:szCs w:val="32"/>
          <w:lang w:val="en-US" w:eastAsia="zh-CN"/>
        </w:rPr>
        <w:t>密闭运输，</w:t>
      </w:r>
      <w:r>
        <w:rPr>
          <w:rFonts w:hint="eastAsia" w:ascii="仿宋_GB2312" w:hAnsi="仿宋_GB2312" w:eastAsia="仿宋_GB2312" w:cs="仿宋_GB2312"/>
          <w:sz w:val="32"/>
          <w:szCs w:val="32"/>
        </w:rPr>
        <w:t>保证物料不沿途撒漏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rPr>
        <w:t>工地扬尘污染控制达到“六个百分百”</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w:t>
      </w:r>
    </w:p>
    <w:p w14:paraId="5A816AB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施工场地设置</w:t>
      </w:r>
      <w:r>
        <w:rPr>
          <w:rFonts w:hint="eastAsia" w:ascii="仿宋_GB2312" w:hAnsi="仿宋_GB2312" w:eastAsia="仿宋_GB2312" w:cs="仿宋_GB2312"/>
          <w:sz w:val="32"/>
          <w:szCs w:val="32"/>
        </w:rPr>
        <w:t>沉淀池，施工废水经收集沉淀后</w:t>
      </w:r>
      <w:r>
        <w:rPr>
          <w:rFonts w:hint="eastAsia" w:ascii="仿宋_GB2312" w:hAnsi="仿宋_GB2312" w:eastAsia="仿宋_GB2312" w:cs="仿宋_GB2312"/>
          <w:sz w:val="32"/>
          <w:szCs w:val="32"/>
          <w:lang w:val="en-US" w:eastAsia="zh-CN"/>
        </w:rPr>
        <w:t>循环使用或</w:t>
      </w:r>
      <w:r>
        <w:rPr>
          <w:rFonts w:hint="eastAsia" w:ascii="仿宋_GB2312" w:hAnsi="仿宋_GB2312" w:eastAsia="仿宋_GB2312" w:cs="仿宋_GB2312"/>
          <w:sz w:val="32"/>
          <w:szCs w:val="32"/>
        </w:rPr>
        <w:t>施工现场洒水抑尘，不外排；沉积物定期清掏，与施工建筑垃圾一同运至指定的建筑垃圾填埋场处置。生活污水排入</w:t>
      </w:r>
      <w:r>
        <w:rPr>
          <w:rFonts w:hint="eastAsia" w:ascii="仿宋_GB2312" w:hAnsi="仿宋_GB2312" w:eastAsia="仿宋_GB2312" w:cs="仿宋_GB2312"/>
          <w:sz w:val="32"/>
          <w:szCs w:val="32"/>
          <w:lang w:val="en-US" w:eastAsia="zh-CN"/>
        </w:rPr>
        <w:t>旱厕</w:t>
      </w:r>
      <w:r>
        <w:rPr>
          <w:rFonts w:hint="eastAsia" w:ascii="仿宋_GB2312" w:hAnsi="仿宋_GB2312" w:eastAsia="仿宋_GB2312" w:cs="仿宋_GB2312"/>
          <w:sz w:val="32"/>
          <w:szCs w:val="32"/>
        </w:rPr>
        <w:t>，定期</w:t>
      </w:r>
      <w:r>
        <w:rPr>
          <w:rFonts w:hint="eastAsia" w:ascii="仿宋_GB2312" w:hAnsi="仿宋_GB2312" w:eastAsia="仿宋_GB2312" w:cs="仿宋_GB2312"/>
          <w:sz w:val="32"/>
          <w:szCs w:val="32"/>
          <w:lang w:val="en-US" w:eastAsia="zh-CN"/>
        </w:rPr>
        <w:t>清理外运于农肥</w:t>
      </w:r>
      <w:r>
        <w:rPr>
          <w:rFonts w:hint="eastAsia" w:ascii="仿宋_GB2312" w:hAnsi="仿宋_GB2312" w:eastAsia="仿宋_GB2312" w:cs="仿宋_GB2312"/>
          <w:sz w:val="32"/>
          <w:szCs w:val="32"/>
        </w:rPr>
        <w:t>。</w:t>
      </w:r>
    </w:p>
    <w:p w14:paraId="2FC13171">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3、合理安排施工</w:t>
      </w:r>
      <w:r>
        <w:rPr>
          <w:rFonts w:hint="eastAsia" w:ascii="仿宋_GB2312" w:hAnsi="仿宋_GB2312" w:eastAsia="仿宋_GB2312" w:cs="仿宋_GB2312"/>
          <w:sz w:val="32"/>
          <w:szCs w:val="32"/>
          <w:lang w:val="en-US" w:eastAsia="zh-CN"/>
        </w:rPr>
        <w:t>作业</w:t>
      </w:r>
      <w:r>
        <w:rPr>
          <w:rFonts w:hint="eastAsia" w:ascii="仿宋_GB2312" w:hAnsi="仿宋_GB2312" w:eastAsia="仿宋_GB2312" w:cs="仿宋_GB2312"/>
          <w:sz w:val="32"/>
          <w:szCs w:val="32"/>
        </w:rPr>
        <w:t>时间，尽量避免夜间施工，选用低噪声设备，确保施工场地噪声达标排放。</w:t>
      </w:r>
    </w:p>
    <w:p w14:paraId="68BFE8A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4、施工期间</w:t>
      </w:r>
      <w:r>
        <w:rPr>
          <w:rFonts w:hint="eastAsia" w:ascii="仿宋_GB2312" w:hAnsi="仿宋_GB2312" w:eastAsia="仿宋_GB2312" w:cs="仿宋_GB2312"/>
          <w:sz w:val="32"/>
          <w:szCs w:val="32"/>
          <w:lang w:val="en-US" w:eastAsia="zh-CN"/>
        </w:rPr>
        <w:t>产生的弃土、废渣及时回填清运</w:t>
      </w:r>
      <w:r>
        <w:rPr>
          <w:rFonts w:hint="eastAsia" w:ascii="仿宋_GB2312" w:hAnsi="仿宋_GB2312" w:eastAsia="仿宋_GB2312" w:cs="仿宋_GB2312"/>
          <w:color w:val="auto"/>
          <w:sz w:val="32"/>
          <w:szCs w:val="32"/>
        </w:rPr>
        <w:t>。生活垃圾</w:t>
      </w:r>
      <w:r>
        <w:rPr>
          <w:rFonts w:hint="eastAsia" w:ascii="仿宋_GB2312" w:hAnsi="仿宋_GB2312" w:eastAsia="仿宋_GB2312" w:cs="仿宋_GB2312"/>
          <w:color w:val="auto"/>
          <w:sz w:val="32"/>
          <w:szCs w:val="32"/>
          <w:lang w:val="en-US" w:eastAsia="zh-CN"/>
        </w:rPr>
        <w:t>集中收集、定点存放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定期运往</w:t>
      </w:r>
      <w:r>
        <w:rPr>
          <w:rFonts w:hint="eastAsia" w:ascii="仿宋_GB2312" w:hAnsi="仿宋_GB2312" w:eastAsia="仿宋_GB2312" w:cs="仿宋_GB2312"/>
          <w:color w:val="auto"/>
          <w:sz w:val="32"/>
          <w:szCs w:val="32"/>
        </w:rPr>
        <w:t>环卫部门</w:t>
      </w:r>
      <w:r>
        <w:rPr>
          <w:rFonts w:hint="eastAsia" w:ascii="仿宋_GB2312" w:hAnsi="仿宋_GB2312" w:eastAsia="仿宋_GB2312" w:cs="仿宋_GB2312"/>
          <w:color w:val="auto"/>
          <w:sz w:val="32"/>
          <w:szCs w:val="32"/>
          <w:lang w:val="en-US" w:eastAsia="zh-CN"/>
        </w:rPr>
        <w:t xml:space="preserve">指定地点处置。 </w:t>
      </w:r>
    </w:p>
    <w:p w14:paraId="15EF13E5">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14:paraId="3044E63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1、加强运营期水环境影响和保护。</w:t>
      </w:r>
      <w:bookmarkStart w:id="0" w:name="_Hlk513393583"/>
      <w:r>
        <w:rPr>
          <w:rFonts w:hint="eastAsia" w:ascii="仿宋_GB2312" w:hAnsi="仿宋_GB2312" w:eastAsia="仿宋_GB2312" w:cs="仿宋_GB2312"/>
          <w:kern w:val="0"/>
          <w:sz w:val="32"/>
          <w:szCs w:val="32"/>
          <w:lang w:val="en-US" w:eastAsia="zh-CN"/>
        </w:rPr>
        <w:t>生活污水经污水处理站处理后，全部回用于场地绿化、道路洒水等。初期雨水经收集池收集沉淀后，用于绿化及洒水抑尘。</w:t>
      </w:r>
    </w:p>
    <w:bookmarkEnd w:id="0"/>
    <w:p w14:paraId="2B2A3BFC">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sz w:val="32"/>
          <w:szCs w:val="32"/>
        </w:rPr>
        <w:t>落实噪声污染防治措施。</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用低噪声</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产噪设备设置基础减震，</w:t>
      </w:r>
      <w:r>
        <w:rPr>
          <w:rFonts w:hint="eastAsia" w:ascii="仿宋_GB2312" w:hAnsi="仿宋_GB2312" w:eastAsia="仿宋_GB2312" w:cs="仿宋_GB2312"/>
          <w:sz w:val="32"/>
          <w:szCs w:val="32"/>
          <w:lang w:val="en-US" w:eastAsia="zh-CN"/>
        </w:rPr>
        <w:t>进出管上采用柔韧性接头代替刚性接头，</w:t>
      </w:r>
      <w:r>
        <w:rPr>
          <w:rFonts w:hint="eastAsia" w:ascii="仿宋_GB2312" w:hAnsi="仿宋_GB2312" w:eastAsia="仿宋_GB2312" w:cs="仿宋_GB2312"/>
          <w:sz w:val="32"/>
          <w:szCs w:val="32"/>
          <w:lang w:eastAsia="zh-CN"/>
        </w:rPr>
        <w:t>利用建筑物隔声，</w:t>
      </w:r>
      <w:r>
        <w:rPr>
          <w:rFonts w:hint="eastAsia" w:ascii="仿宋_GB2312" w:hAnsi="仿宋_GB2312" w:eastAsia="仿宋_GB2312" w:cs="仿宋_GB2312"/>
          <w:sz w:val="32"/>
          <w:szCs w:val="32"/>
          <w:lang w:val="en-US" w:eastAsia="zh-CN"/>
        </w:rPr>
        <w:t>场地增加绿化</w:t>
      </w:r>
      <w:r>
        <w:rPr>
          <w:rFonts w:hint="eastAsia" w:ascii="仿宋_GB2312" w:hAnsi="仿宋_GB2312" w:eastAsia="仿宋_GB2312" w:cs="仿宋_GB2312"/>
          <w:sz w:val="32"/>
          <w:szCs w:val="32"/>
          <w:lang w:eastAsia="zh-CN"/>
        </w:rPr>
        <w:t>。</w:t>
      </w:r>
    </w:p>
    <w:p w14:paraId="0AA60E99">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3、做好固体废物的分类处置和综合利用。</w:t>
      </w:r>
      <w:r>
        <w:rPr>
          <w:rFonts w:hint="eastAsia" w:ascii="仿宋_GB2312" w:hAnsi="仿宋_GB2312" w:eastAsia="仿宋_GB2312" w:cs="仿宋_GB2312"/>
          <w:sz w:val="32"/>
          <w:szCs w:val="32"/>
          <w:lang w:val="en-US" w:eastAsia="zh-CN"/>
        </w:rPr>
        <w:t>在厂区内设置危废贮存库，废机油和在线监测废液分别由专用容器存放，其余固态危废分区贮存收集后暂存于危废贮存库，定期交由有资质单位进行处置。生活污水处理站污泥压滤后和</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val="en-US" w:eastAsia="zh-CN"/>
        </w:rPr>
        <w:t>定期交</w:t>
      </w:r>
      <w:r>
        <w:rPr>
          <w:rFonts w:hint="eastAsia" w:ascii="仿宋_GB2312" w:hAnsi="仿宋_GB2312" w:eastAsia="仿宋_GB2312" w:cs="仿宋_GB2312"/>
          <w:sz w:val="32"/>
          <w:szCs w:val="32"/>
        </w:rPr>
        <w:t>由环卫部门统一</w:t>
      </w:r>
      <w:r>
        <w:rPr>
          <w:rFonts w:hint="eastAsia" w:ascii="仿宋_GB2312" w:hAnsi="仿宋_GB2312" w:eastAsia="仿宋_GB2312" w:cs="仿宋_GB2312"/>
          <w:sz w:val="32"/>
          <w:szCs w:val="32"/>
          <w:lang w:val="en-US" w:eastAsia="zh-CN"/>
        </w:rPr>
        <w:t>处理</w:t>
      </w:r>
      <w:r>
        <w:rPr>
          <w:rFonts w:hint="eastAsia" w:ascii="仿宋_GB2312" w:hAnsi="仿宋_GB2312" w:eastAsia="仿宋_GB2312" w:cs="仿宋_GB2312"/>
          <w:sz w:val="32"/>
          <w:szCs w:val="32"/>
        </w:rPr>
        <w:t>。</w:t>
      </w:r>
    </w:p>
    <w:p w14:paraId="2A1BD38A">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三、按要求做好突发环境事件应急预案的编制和备案工作，根据应急状态启动应急响应程序，确保其合理有效控制和降低环境风险。</w:t>
      </w:r>
    </w:p>
    <w:p w14:paraId="08596FF0">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建设必须严格执行配套的环境保护设施与主体工程同时设计、同时施工、同时投产使用的“三同时”制度。工程竣工后，必须按规定程序技术规范进行竣工环境保护验收，经验收合格后，工程方可正式投入运行。</w:t>
      </w:r>
    </w:p>
    <w:p w14:paraId="4A97A56E">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6F14C21B">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六、长治市生态环境局长子分局负责本项目施工期和运营期的日常监督管理工作。</w:t>
      </w:r>
    </w:p>
    <w:p w14:paraId="374E6CA5">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val="en-US" w:eastAsia="zh-CN"/>
        </w:rPr>
      </w:pPr>
    </w:p>
    <w:p w14:paraId="5A54E2D2">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val="en-US" w:eastAsia="zh-CN"/>
        </w:rPr>
      </w:pPr>
    </w:p>
    <w:p w14:paraId="2CF17289">
      <w:pPr>
        <w:keepNext w:val="0"/>
        <w:keepLines w:val="0"/>
        <w:pageBreakBefore w:val="0"/>
        <w:widowControl w:val="0"/>
        <w:kinsoku/>
        <w:wordWrap/>
        <w:overflowPunct/>
        <w:topLinePunct w:val="0"/>
        <w:autoSpaceDE/>
        <w:autoSpaceDN/>
        <w:bidi w:val="0"/>
        <w:adjustRightInd/>
        <w:snapToGrid w:val="0"/>
        <w:spacing w:line="58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长治市生态环境局长子分局</w:t>
      </w:r>
    </w:p>
    <w:p w14:paraId="76FBCE54">
      <w:pPr>
        <w:keepNext w:val="0"/>
        <w:keepLines w:val="0"/>
        <w:pageBreakBefore w:val="0"/>
        <w:widowControl w:val="0"/>
        <w:kinsoku/>
        <w:wordWrap/>
        <w:overflowPunct/>
        <w:topLinePunct w:val="0"/>
        <w:autoSpaceDE/>
        <w:autoSpaceDN/>
        <w:bidi w:val="0"/>
        <w:adjustRightInd/>
        <w:snapToGrid w:val="0"/>
        <w:spacing w:line="580" w:lineRule="exact"/>
        <w:ind w:firstLine="4480" w:firstLineChars="1400"/>
        <w:textAlignment w:val="auto"/>
        <w:rPr>
          <w:rFonts w:hint="eastAsia" w:ascii="仿宋_GB2312" w:hAnsi="仿宋_GB2312" w:eastAsia="仿宋_GB2312" w:cs="仿宋_GB2312"/>
          <w:sz w:val="32"/>
          <w:szCs w:val="32"/>
          <w:lang w:val="en-US" w:eastAsia="zh-CN"/>
        </w:rPr>
      </w:pPr>
      <w:bookmarkStart w:id="1" w:name="_Hlk125035854"/>
      <w:r>
        <w:rPr>
          <w:rFonts w:hint="eastAsia" w:ascii="仿宋_GB2312" w:hAnsi="仿宋_GB2312" w:eastAsia="仿宋_GB2312" w:cs="仿宋_GB2312"/>
          <w:sz w:val="32"/>
          <w:szCs w:val="32"/>
          <w:lang w:val="en-US" w:eastAsia="zh-CN"/>
        </w:rPr>
        <w:t>2024年10月18日</w:t>
      </w:r>
      <w:bookmarkEnd w:id="1"/>
    </w:p>
    <w:p w14:paraId="36FDD4CD">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32"/>
          <w:szCs w:val="32"/>
          <w:lang w:val="en-US" w:eastAsia="zh-CN"/>
        </w:rPr>
      </w:pPr>
    </w:p>
    <w:p w14:paraId="51244F90">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sz w:val="32"/>
          <w:szCs w:val="32"/>
          <w:lang w:val="en-US" w:eastAsia="zh-CN"/>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2580774"/>
    <w:rsid w:val="05F81055"/>
    <w:rsid w:val="07603356"/>
    <w:rsid w:val="0796108C"/>
    <w:rsid w:val="0A7B3C15"/>
    <w:rsid w:val="0B5F13A0"/>
    <w:rsid w:val="0BFB189F"/>
    <w:rsid w:val="0DAE2941"/>
    <w:rsid w:val="0E1B04BC"/>
    <w:rsid w:val="0FB75DCF"/>
    <w:rsid w:val="0FFF56D6"/>
    <w:rsid w:val="10086339"/>
    <w:rsid w:val="132F47A0"/>
    <w:rsid w:val="145D4214"/>
    <w:rsid w:val="14BE346A"/>
    <w:rsid w:val="16C64858"/>
    <w:rsid w:val="1880688E"/>
    <w:rsid w:val="19045B0B"/>
    <w:rsid w:val="1B2606DC"/>
    <w:rsid w:val="1E3A6C59"/>
    <w:rsid w:val="1E765A91"/>
    <w:rsid w:val="1F3A5DE3"/>
    <w:rsid w:val="212113D9"/>
    <w:rsid w:val="21BE65EC"/>
    <w:rsid w:val="24730BAB"/>
    <w:rsid w:val="25A51A16"/>
    <w:rsid w:val="273F48DE"/>
    <w:rsid w:val="27CB739F"/>
    <w:rsid w:val="29F37551"/>
    <w:rsid w:val="2A1A58AE"/>
    <w:rsid w:val="2B9F3B9D"/>
    <w:rsid w:val="30C943BC"/>
    <w:rsid w:val="333A2316"/>
    <w:rsid w:val="35B118FE"/>
    <w:rsid w:val="3CE05DC4"/>
    <w:rsid w:val="3EC97ABA"/>
    <w:rsid w:val="3F7252EA"/>
    <w:rsid w:val="412229E3"/>
    <w:rsid w:val="42160F9F"/>
    <w:rsid w:val="42AB29D0"/>
    <w:rsid w:val="436F39FE"/>
    <w:rsid w:val="4492209A"/>
    <w:rsid w:val="45505B10"/>
    <w:rsid w:val="47C167F2"/>
    <w:rsid w:val="49883A6B"/>
    <w:rsid w:val="49E12BE4"/>
    <w:rsid w:val="4AD11442"/>
    <w:rsid w:val="4B6126FE"/>
    <w:rsid w:val="4C7120BA"/>
    <w:rsid w:val="4D1F0243"/>
    <w:rsid w:val="4D4B318B"/>
    <w:rsid w:val="512E1286"/>
    <w:rsid w:val="549A47A4"/>
    <w:rsid w:val="59CD7278"/>
    <w:rsid w:val="5A717391"/>
    <w:rsid w:val="5D25676E"/>
    <w:rsid w:val="5F9E3937"/>
    <w:rsid w:val="60206CD4"/>
    <w:rsid w:val="61287B52"/>
    <w:rsid w:val="613942EB"/>
    <w:rsid w:val="61665FE8"/>
    <w:rsid w:val="64E93B79"/>
    <w:rsid w:val="663E7534"/>
    <w:rsid w:val="66807A1D"/>
    <w:rsid w:val="673426E5"/>
    <w:rsid w:val="678B09ED"/>
    <w:rsid w:val="67A07D7A"/>
    <w:rsid w:val="6B2A4D8B"/>
    <w:rsid w:val="6BED2843"/>
    <w:rsid w:val="6D1B77C9"/>
    <w:rsid w:val="6E871DEB"/>
    <w:rsid w:val="6E913C1B"/>
    <w:rsid w:val="728726D0"/>
    <w:rsid w:val="75B275F6"/>
    <w:rsid w:val="77476464"/>
    <w:rsid w:val="77A07C57"/>
    <w:rsid w:val="7AF24BE8"/>
    <w:rsid w:val="7BF02C26"/>
    <w:rsid w:val="7C2E2698"/>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440" w:lineRule="exact"/>
      <w:ind w:firstLine="544"/>
    </w:pPr>
    <w:rPr>
      <w:szCs w:val="20"/>
    </w:rPr>
  </w:style>
  <w:style w:type="paragraph" w:styleId="3">
    <w:name w:val="Body Text"/>
    <w:basedOn w:val="1"/>
    <w:next w:val="1"/>
    <w:qFormat/>
    <w:uiPriority w:val="0"/>
    <w:pPr>
      <w:keepNext w:val="0"/>
      <w:keepLines w:val="0"/>
      <w:widowControl w:val="0"/>
      <w:suppressLineNumbers w:val="0"/>
      <w:spacing w:before="0" w:beforeAutospacing="0" w:after="120" w:afterAutospacing="0" w:line="360" w:lineRule="auto"/>
      <w:ind w:left="0" w:right="0"/>
      <w:jc w:val="left"/>
    </w:pPr>
    <w:rPr>
      <w:rFonts w:hint="default" w:ascii="Times New Roman" w:hAnsi="Times New Roman" w:eastAsia="宋体" w:cs="Times New Roman"/>
      <w:kern w:val="2"/>
      <w:sz w:val="24"/>
      <w:szCs w:val="22"/>
      <w:lang w:val="en-US" w:eastAsia="zh-CN" w:bidi="ar"/>
    </w:rPr>
  </w:style>
  <w:style w:type="paragraph" w:styleId="4">
    <w:name w:val="Body Text Indent"/>
    <w:basedOn w:val="1"/>
    <w:link w:val="21"/>
    <w:semiHidden/>
    <w:unhideWhenUsed/>
    <w:qFormat/>
    <w:uiPriority w:val="99"/>
    <w:pPr>
      <w:spacing w:after="120"/>
      <w:ind w:left="420" w:leftChars="200"/>
    </w:pPr>
  </w:style>
  <w:style w:type="paragraph" w:styleId="5">
    <w:name w:val="Plain Text"/>
    <w:basedOn w:val="1"/>
    <w:link w:val="18"/>
    <w:qFormat/>
    <w:uiPriority w:val="0"/>
    <w:rPr>
      <w:rFonts w:ascii="宋体" w:hAnsi="Courier New"/>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jc w:val="left"/>
    </w:pPr>
    <w:rPr>
      <w:rFonts w:ascii="宋体" w:hAnsi="宋体" w:cs="宋体"/>
      <w:kern w:val="0"/>
      <w:sz w:val="24"/>
    </w:rPr>
  </w:style>
  <w:style w:type="paragraph" w:styleId="9">
    <w:name w:val="Body Text First Indent 2"/>
    <w:basedOn w:val="4"/>
    <w:next w:val="1"/>
    <w:link w:val="22"/>
    <w:qFormat/>
    <w:uiPriority w:val="0"/>
    <w:pPr>
      <w:spacing w:line="480" w:lineRule="exact"/>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qFormat/>
    <w:uiPriority w:val="0"/>
    <w:pPr>
      <w:widowControl/>
      <w:spacing w:before="100" w:beforeAutospacing="1" w:after="100" w:afterAutospacing="1"/>
      <w:jc w:val="left"/>
    </w:pPr>
    <w:rPr>
      <w:rFonts w:ascii="宋体" w:cs="宋体"/>
      <w:kern w:val="0"/>
      <w:sz w:val="24"/>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paragraph" w:customStyle="1" w:styleId="16">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7">
    <w:name w:val="纯文本 Char"/>
    <w:basedOn w:val="12"/>
    <w:semiHidden/>
    <w:qFormat/>
    <w:uiPriority w:val="99"/>
    <w:rPr>
      <w:rFonts w:ascii="宋体" w:hAnsi="Courier New" w:cs="Courier New"/>
      <w:kern w:val="2"/>
      <w:sz w:val="21"/>
      <w:szCs w:val="21"/>
    </w:rPr>
  </w:style>
  <w:style w:type="character" w:customStyle="1" w:styleId="18">
    <w:name w:val="纯文本 字符1"/>
    <w:link w:val="5"/>
    <w:qFormat/>
    <w:uiPriority w:val="0"/>
    <w:rPr>
      <w:rFonts w:ascii="宋体" w:hAnsi="Courier New"/>
      <w:kern w:val="2"/>
      <w:sz w:val="21"/>
    </w:rPr>
  </w:style>
  <w:style w:type="paragraph" w:styleId="19">
    <w:name w:val="List Paragraph"/>
    <w:basedOn w:val="1"/>
    <w:qFormat/>
    <w:uiPriority w:val="34"/>
    <w:pPr>
      <w:ind w:firstLine="420" w:firstLineChars="200"/>
    </w:pPr>
  </w:style>
  <w:style w:type="character" w:customStyle="1" w:styleId="20">
    <w:name w:val="纯文本 字符"/>
    <w:qFormat/>
    <w:uiPriority w:val="0"/>
    <w:rPr>
      <w:rFonts w:ascii="宋体" w:hAnsi="Courier New" w:eastAsia="宋体"/>
      <w:kern w:val="2"/>
      <w:sz w:val="21"/>
      <w:lang w:val="en-US" w:eastAsia="zh-CN" w:bidi="ar-SA"/>
    </w:rPr>
  </w:style>
  <w:style w:type="character" w:customStyle="1" w:styleId="21">
    <w:name w:val="正文文本缩进 字符"/>
    <w:basedOn w:val="12"/>
    <w:link w:val="4"/>
    <w:semiHidden/>
    <w:qFormat/>
    <w:uiPriority w:val="99"/>
    <w:rPr>
      <w:rFonts w:ascii="Times New Roman" w:hAnsi="Times New Roman"/>
      <w:kern w:val="2"/>
      <w:sz w:val="21"/>
      <w:szCs w:val="24"/>
    </w:rPr>
  </w:style>
  <w:style w:type="character" w:customStyle="1" w:styleId="22">
    <w:name w:val="正文文本首行缩进 2 字符"/>
    <w:basedOn w:val="21"/>
    <w:link w:val="9"/>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F079B-E1BF-412B-B66D-BD48E8E2F543}">
  <ds:schemaRefs/>
</ds:datastoreItem>
</file>

<file path=docProps/app.xml><?xml version="1.0" encoding="utf-8"?>
<Properties xmlns="http://schemas.openxmlformats.org/officeDocument/2006/extended-properties" xmlns:vt="http://schemas.openxmlformats.org/officeDocument/2006/docPropsVTypes">
  <Template>Normal</Template>
  <Pages>3</Pages>
  <Words>1304</Words>
  <Characters>1347</Characters>
  <Lines>12</Lines>
  <Paragraphs>3</Paragraphs>
  <TotalTime>1109</TotalTime>
  <ScaleCrop>false</ScaleCrop>
  <LinksUpToDate>false</LinksUpToDate>
  <CharactersWithSpaces>1355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2024-10-14T01:14:00Z</cp:lastPrinted>
  <dcterms:modified xsi:type="dcterms:W3CDTF">2024-10-17T01:13:34Z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4CE64CE5DCDB49A7B57BEFE69ACCBEC9_12</vt:lpwstr>
  </property>
</Properties>
</file>