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4D116">
      <w:pPr>
        <w:jc w:val="center"/>
        <w:rPr>
          <w:rFonts w:hint="eastAsia" w:ascii="仿宋_GB2312" w:hAnsi="仿宋_GB2312" w:eastAsia="仿宋_GB2312" w:cs="仿宋_GB2312"/>
          <w:sz w:val="32"/>
          <w:szCs w:val="32"/>
          <w:lang w:val="en-US" w:eastAsia="zh-CN"/>
        </w:rPr>
      </w:pP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 </w:t>
      </w:r>
      <w:r>
        <w:rPr>
          <w:rFonts w:ascii="仿宋" w:hAnsi="仿宋" w:eastAsia="仿宋" w:cs="仿宋"/>
          <w:sz w:val="30"/>
          <w:szCs w:val="30"/>
        </w:rPr>
        <w:t xml:space="preserve">          </w:t>
      </w:r>
      <w:r>
        <w:rPr>
          <w:rFonts w:hint="eastAsia" w:ascii="仿宋_GB2312" w:hAnsi="仿宋_GB2312" w:eastAsia="仿宋_GB2312" w:cs="仿宋_GB2312"/>
          <w:sz w:val="32"/>
          <w:szCs w:val="32"/>
          <w:lang w:val="en-US" w:eastAsia="zh-CN"/>
        </w:rPr>
        <w:t xml:space="preserve">   </w:t>
      </w:r>
    </w:p>
    <w:p w14:paraId="7C304D5A">
      <w:pPr>
        <w:jc w:val="center"/>
        <w:rPr>
          <w:rFonts w:hint="eastAsia" w:ascii="仿宋_GB2312" w:hAnsi="仿宋_GB2312" w:eastAsia="仿宋_GB2312" w:cs="仿宋_GB2312"/>
          <w:sz w:val="32"/>
          <w:szCs w:val="32"/>
          <w:lang w:val="en-US" w:eastAsia="zh-CN"/>
        </w:rPr>
      </w:pPr>
    </w:p>
    <w:p w14:paraId="60F9763C">
      <w:pPr>
        <w:jc w:val="center"/>
        <w:rPr>
          <w:rFonts w:hint="eastAsia" w:ascii="仿宋_GB2312" w:hAnsi="仿宋_GB2312" w:eastAsia="仿宋_GB2312" w:cs="仿宋_GB2312"/>
          <w:sz w:val="32"/>
          <w:szCs w:val="32"/>
          <w:lang w:val="en-US" w:eastAsia="zh-CN"/>
        </w:rPr>
      </w:pPr>
    </w:p>
    <w:p w14:paraId="056D244A">
      <w:pPr>
        <w:jc w:val="right"/>
        <w:rPr>
          <w:rFonts w:ascii="仿宋" w:hAnsi="仿宋" w:eastAsia="仿宋" w:cs="仿宋"/>
          <w:sz w:val="30"/>
          <w:szCs w:val="30"/>
        </w:rPr>
      </w:pPr>
      <w:r>
        <w:rPr>
          <w:rFonts w:hint="eastAsia" w:ascii="仿宋_GB2312" w:hAnsi="仿宋_GB2312" w:eastAsia="仿宋_GB2312" w:cs="仿宋_GB2312"/>
          <w:sz w:val="32"/>
          <w:szCs w:val="32"/>
          <w:lang w:val="en-US" w:eastAsia="zh-CN"/>
        </w:rPr>
        <w:t xml:space="preserve">  长子环函〔2026〕18号</w:t>
      </w:r>
    </w:p>
    <w:p w14:paraId="2E731069">
      <w:pPr>
        <w:jc w:val="center"/>
        <w:rPr>
          <w:rFonts w:ascii="Times New Roman" w:hAnsi="Times New Roman" w:eastAsia="宋体" w:cs="Times New Roman"/>
          <w:b/>
          <w:bCs/>
          <w:sz w:val="36"/>
          <w:szCs w:val="36"/>
        </w:rPr>
      </w:pPr>
    </w:p>
    <w:p w14:paraId="0F0236B9">
      <w:pPr>
        <w:keepNext w:val="0"/>
        <w:keepLines w:val="0"/>
        <w:pageBreakBefore w:val="0"/>
        <w:kinsoku/>
        <w:wordWrap/>
        <w:overflowPunct/>
        <w:topLinePunct w:val="0"/>
        <w:bidi w:val="0"/>
        <w:adjustRightInd/>
        <w:spacing w:beforeAutospacing="0" w:line="600" w:lineRule="exact"/>
        <w:ind w:left="0" w:leftChars="0" w:right="0" w:righ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长治市生态环境局长子分局</w:t>
      </w:r>
    </w:p>
    <w:p w14:paraId="3ABBE343">
      <w:pPr>
        <w:keepNext w:val="0"/>
        <w:keepLines w:val="0"/>
        <w:pageBreakBefore w:val="0"/>
        <w:kinsoku/>
        <w:wordWrap/>
        <w:overflowPunct/>
        <w:topLinePunct w:val="0"/>
        <w:bidi w:val="0"/>
        <w:adjustRightInd/>
        <w:spacing w:beforeAutospacing="0" w:line="600" w:lineRule="exact"/>
        <w:ind w:left="0" w:leftChars="0" w:right="0" w:right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关于山西晋煤集</w:t>
      </w:r>
      <w:bookmarkStart w:id="1" w:name="_GoBack"/>
      <w:bookmarkEnd w:id="1"/>
      <w:r>
        <w:rPr>
          <w:rFonts w:hint="eastAsia" w:ascii="方正小标宋_GBK" w:hAnsi="方正小标宋_GBK" w:eastAsia="方正小标宋_GBK" w:cs="方正小标宋_GBK"/>
          <w:sz w:val="44"/>
          <w:szCs w:val="44"/>
          <w:lang w:val="en-US" w:eastAsia="zh-CN"/>
        </w:rPr>
        <w:t>团赵庄煤业有限责任公司赵庄煤业15号煤配采选煤厂配套工程环境影响报告表的批复</w:t>
      </w:r>
    </w:p>
    <w:p w14:paraId="550A642B">
      <w:pPr>
        <w:jc w:val="center"/>
        <w:rPr>
          <w:rFonts w:ascii="Times New Roman" w:hAnsi="Times New Roman" w:eastAsia="宋体" w:cs="Times New Roman"/>
          <w:sz w:val="44"/>
          <w:szCs w:val="44"/>
        </w:rPr>
      </w:pPr>
    </w:p>
    <w:p w14:paraId="0AB1B5DE">
      <w:pPr>
        <w:autoSpaceDE w:val="0"/>
        <w:autoSpaceDN w:val="0"/>
        <w:snapToGrid w:val="0"/>
        <w:spacing w:line="360" w:lineRule="auto"/>
        <w:rPr>
          <w:rFonts w:hint="eastAsia" w:ascii="仿宋_GB2312" w:hAnsi="仿宋_GB2312" w:eastAsia="仿宋_GB2312" w:cs="仿宋_GB2312"/>
          <w:sz w:val="32"/>
          <w:szCs w:val="32"/>
          <w:lang w:val="en-US" w:eastAsia="zh-CN"/>
        </w:rPr>
      </w:pPr>
      <w:r>
        <w:rPr>
          <w:rFonts w:hint="eastAsia" w:ascii="仿宋" w:hAnsi="仿宋" w:eastAsia="仿宋" w:cs="仿宋"/>
          <w:sz w:val="30"/>
          <w:szCs w:val="30"/>
        </w:rPr>
        <w:t>山</w:t>
      </w:r>
      <w:r>
        <w:rPr>
          <w:rFonts w:hint="eastAsia" w:ascii="仿宋_GB2312" w:hAnsi="仿宋_GB2312" w:eastAsia="仿宋_GB2312" w:cs="仿宋_GB2312"/>
          <w:sz w:val="32"/>
          <w:szCs w:val="32"/>
          <w:lang w:val="en-US" w:eastAsia="zh-CN"/>
        </w:rPr>
        <w:t>西晋煤集团赵庄煤业有限责任公司：</w:t>
      </w:r>
    </w:p>
    <w:p w14:paraId="77FB1ECA">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你公司报送的《关于山西晋煤集团赵庄煤业有限责任公司赵庄煤业15号煤配采选煤厂配套工程环境影响报告表》（以下简称《报告表》）及报批申请已收悉。经研究，现批复如下:</w:t>
      </w:r>
    </w:p>
    <w:p w14:paraId="2CB5DD81">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一、该项目位于长子县慈林镇张店村赵庄煤业洗煤厂西南侧。项目占地面积1164.75m</w:t>
      </w:r>
      <w:r>
        <w:rPr>
          <w:rFonts w:hint="eastAsia" w:ascii="仿宋_GB2312" w:hAnsi="仿宋_GB2312" w:eastAsia="仿宋_GB2312" w:cs="仿宋_GB2312"/>
          <w:sz w:val="32"/>
          <w:szCs w:val="32"/>
          <w:vertAlign w:val="superscript"/>
          <w:lang w:val="en-US" w:eastAsia="zh-CN"/>
        </w:rPr>
        <w:t>2</w:t>
      </w:r>
      <w:r>
        <w:rPr>
          <w:rFonts w:hint="eastAsia" w:ascii="仿宋_GB2312" w:hAnsi="仿宋_GB2312" w:eastAsia="仿宋_GB2312" w:cs="仿宋_GB2312"/>
          <w:sz w:val="32"/>
          <w:szCs w:val="32"/>
          <w:lang w:val="en-US" w:eastAsia="zh-CN"/>
        </w:rPr>
        <w:t>，主要建设内容为：在现有原煤仓东侧新建一座原煤仓、现有末煤仓西侧新建一座末煤仓均采用筒壁与内柱共同支撑式钢筋混凝土圆筒仓。项目总投资8344.83万元，其中环保投资15万元。占总投资的0.18%。</w:t>
      </w:r>
    </w:p>
    <w:p w14:paraId="086337C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二、项目运行中应全面落实《报告表》提出的各项环境保护措施，降低对周边环境的影响，并做好以下几方面工作：</w:t>
      </w:r>
    </w:p>
    <w:p w14:paraId="29B5112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1、落实大气污染防治措施。储煤棚全封闭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地面全部硬化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储煤棚设置喷雾抑尘装置，对进出车辆进行冲洗、并派专人对道路进行定期洒水和清扫。</w:t>
      </w:r>
    </w:p>
    <w:p w14:paraId="682B751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w:t>
      </w:r>
      <w:r>
        <w:rPr>
          <w:rFonts w:hint="eastAsia" w:ascii="仿宋_GB2312" w:hAnsi="仿宋_GB2312" w:eastAsia="仿宋_GB2312" w:cs="仿宋_GB2312"/>
          <w:kern w:val="0"/>
          <w:sz w:val="32"/>
          <w:szCs w:val="32"/>
        </w:rPr>
        <w:t>严格落实水环境保护措施。</w:t>
      </w:r>
      <w:r>
        <w:rPr>
          <w:rFonts w:hint="eastAsia" w:ascii="仿宋_GB2312" w:hAnsi="仿宋_GB2312" w:eastAsia="仿宋_GB2312" w:cs="仿宋_GB2312"/>
          <w:kern w:val="0"/>
          <w:sz w:val="32"/>
          <w:szCs w:val="32"/>
          <w:lang w:val="en-US" w:eastAsia="zh-CN"/>
        </w:rPr>
        <w:t>冲洗废水经地漏收集后</w:t>
      </w:r>
      <w:r>
        <w:rPr>
          <w:rFonts w:hint="eastAsia" w:ascii="仿宋_GB2312" w:hAnsi="仿宋_GB2312" w:eastAsia="仿宋_GB2312" w:cs="仿宋_GB2312"/>
          <w:kern w:val="0"/>
          <w:sz w:val="32"/>
          <w:szCs w:val="32"/>
        </w:rPr>
        <w:t>，</w:t>
      </w:r>
      <w:r>
        <w:rPr>
          <w:rFonts w:hint="eastAsia" w:ascii="仿宋_GB2312" w:hAnsi="仿宋_GB2312" w:eastAsia="仿宋_GB2312" w:cs="仿宋_GB2312"/>
          <w:kern w:val="0"/>
          <w:sz w:val="32"/>
          <w:szCs w:val="32"/>
          <w:lang w:val="en-US" w:eastAsia="zh-CN"/>
        </w:rPr>
        <w:t>排至现有废水收集管网，</w:t>
      </w:r>
      <w:r>
        <w:rPr>
          <w:rFonts w:hint="eastAsia" w:ascii="仿宋_GB2312" w:hAnsi="仿宋_GB2312" w:eastAsia="仿宋_GB2312" w:cs="仿宋_GB2312"/>
          <w:kern w:val="0"/>
          <w:sz w:val="32"/>
          <w:szCs w:val="32"/>
          <w:vertAlign w:val="baseline"/>
          <w:lang w:val="en-US" w:eastAsia="zh-CN"/>
        </w:rPr>
        <w:t>全部回用于洗煤厂用于洗煤用水，</w:t>
      </w:r>
      <w:r>
        <w:rPr>
          <w:rFonts w:hint="eastAsia" w:ascii="仿宋_GB2312" w:hAnsi="仿宋_GB2312" w:eastAsia="仿宋_GB2312" w:cs="仿宋_GB2312"/>
          <w:kern w:val="0"/>
          <w:sz w:val="32"/>
          <w:szCs w:val="32"/>
        </w:rPr>
        <w:t>不外排</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lang w:val="en-US" w:eastAsia="zh-CN"/>
        </w:rPr>
        <w:t>在原煤仓西侧新建一座225</w:t>
      </w:r>
      <w:r>
        <w:rPr>
          <w:rFonts w:hint="eastAsia" w:ascii="仿宋_GB2312" w:hAnsi="仿宋_GB2312" w:eastAsia="仿宋_GB2312" w:cs="仿宋_GB2312"/>
          <w:kern w:val="0"/>
          <w:sz w:val="32"/>
          <w:szCs w:val="32"/>
        </w:rPr>
        <w:t>m</w:t>
      </w:r>
      <w:r>
        <w:rPr>
          <w:rFonts w:hint="eastAsia" w:ascii="仿宋_GB2312" w:hAnsi="仿宋_GB2312" w:eastAsia="仿宋_GB2312" w:cs="仿宋_GB2312"/>
          <w:kern w:val="0"/>
          <w:sz w:val="32"/>
          <w:szCs w:val="32"/>
          <w:vertAlign w:val="superscript"/>
        </w:rPr>
        <w:t>3</w:t>
      </w:r>
      <w:r>
        <w:rPr>
          <w:rFonts w:hint="eastAsia" w:ascii="仿宋_GB2312" w:hAnsi="仿宋_GB2312" w:eastAsia="仿宋_GB2312" w:cs="仿宋_GB2312"/>
          <w:kern w:val="0"/>
          <w:sz w:val="32"/>
          <w:szCs w:val="32"/>
          <w:vertAlign w:val="baseline"/>
          <w:lang w:val="en-US" w:eastAsia="zh-CN"/>
        </w:rPr>
        <w:t>的初期雨水收集池，初期雨水收集后全部回用于洗煤厂用于洗煤用水；</w:t>
      </w:r>
      <w:r>
        <w:rPr>
          <w:rFonts w:hint="eastAsia" w:ascii="仿宋_GB2312" w:hAnsi="仿宋_GB2312" w:eastAsia="仿宋_GB2312" w:cs="仿宋_GB2312"/>
          <w:kern w:val="0"/>
          <w:sz w:val="32"/>
          <w:szCs w:val="32"/>
          <w:lang w:val="en-US" w:eastAsia="zh-CN"/>
        </w:rPr>
        <w:t>生活污水经收集</w:t>
      </w:r>
      <w:r>
        <w:rPr>
          <w:rFonts w:hint="eastAsia" w:ascii="仿宋_GB2312" w:hAnsi="仿宋_GB2312" w:eastAsia="仿宋_GB2312" w:cs="仿宋_GB2312"/>
          <w:sz w:val="32"/>
          <w:szCs w:val="32"/>
        </w:rPr>
        <w:t>后用于洒水抑尘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不外排。</w:t>
      </w:r>
    </w:p>
    <w:p w14:paraId="7734FE0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3、落实噪声污染防治措施。尽量选用低噪声型号及对环境影响小的</w:t>
      </w:r>
      <w:r>
        <w:rPr>
          <w:rFonts w:hint="eastAsia" w:ascii="仿宋_GB2312" w:hAnsi="仿宋_GB2312" w:eastAsia="仿宋_GB2312" w:cs="仿宋_GB2312"/>
          <w:sz w:val="32"/>
          <w:szCs w:val="32"/>
          <w:lang w:val="en-US" w:eastAsia="zh-CN"/>
        </w:rPr>
        <w:t>设备</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产噪设备</w:t>
      </w:r>
      <w:r>
        <w:rPr>
          <w:rFonts w:hint="eastAsia" w:ascii="仿宋_GB2312" w:hAnsi="仿宋_GB2312" w:eastAsia="仿宋_GB2312" w:cs="仿宋_GB2312"/>
          <w:sz w:val="32"/>
          <w:szCs w:val="32"/>
          <w:lang w:val="en-US" w:eastAsia="zh-CN"/>
        </w:rPr>
        <w:t>尽量</w:t>
      </w:r>
      <w:r>
        <w:rPr>
          <w:rFonts w:hint="eastAsia" w:ascii="仿宋_GB2312" w:hAnsi="仿宋_GB2312" w:eastAsia="仿宋_GB2312" w:cs="仿宋_GB2312"/>
          <w:sz w:val="32"/>
          <w:szCs w:val="32"/>
          <w:lang w:eastAsia="zh-CN"/>
        </w:rPr>
        <w:t>设置</w:t>
      </w:r>
      <w:r>
        <w:rPr>
          <w:rFonts w:hint="eastAsia" w:ascii="仿宋_GB2312" w:hAnsi="仿宋_GB2312" w:eastAsia="仿宋_GB2312" w:cs="仿宋_GB2312"/>
          <w:sz w:val="32"/>
          <w:szCs w:val="32"/>
          <w:lang w:val="en-US" w:eastAsia="zh-CN"/>
        </w:rPr>
        <w:t>于生产车间内利用车间隔声，</w:t>
      </w:r>
      <w:r>
        <w:rPr>
          <w:rFonts w:hint="eastAsia" w:ascii="仿宋_GB2312" w:hAnsi="仿宋_GB2312" w:eastAsia="仿宋_GB2312" w:cs="仿宋_GB2312"/>
          <w:sz w:val="32"/>
          <w:szCs w:val="32"/>
        </w:rPr>
        <w:t>确保厂界噪声满足《工业企业厂界环境噪声排放标准》（GB12348-2008）中</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类标准要求。</w:t>
      </w:r>
    </w:p>
    <w:p w14:paraId="1FFA952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4、做好固体废物的分类处置和综合利用。</w:t>
      </w:r>
      <w:r>
        <w:rPr>
          <w:rFonts w:hint="eastAsia" w:ascii="仿宋_GB2312" w:hAnsi="仿宋_GB2312" w:eastAsia="仿宋_GB2312" w:cs="仿宋_GB2312"/>
          <w:sz w:val="32"/>
          <w:szCs w:val="32"/>
          <w:lang w:val="en-US" w:eastAsia="zh-CN"/>
        </w:rPr>
        <w:t>雨水池沉淀煤泥定期清理，经收集后全部掺入煤泥外售；危险废物集中收集后暂存于矿区现有</w:t>
      </w:r>
      <w:r>
        <w:rPr>
          <w:rFonts w:hint="eastAsia" w:ascii="仿宋_GB2312" w:hAnsi="仿宋_GB2312" w:eastAsia="仿宋_GB2312" w:cs="仿宋_GB2312"/>
          <w:kern w:val="0"/>
          <w:sz w:val="32"/>
          <w:szCs w:val="32"/>
          <w:vertAlign w:val="baseline"/>
          <w:lang w:val="en-US" w:eastAsia="zh-CN"/>
        </w:rPr>
        <w:t>危废贮存库</w:t>
      </w:r>
      <w:r>
        <w:rPr>
          <w:rFonts w:hint="eastAsia" w:ascii="仿宋_GB2312" w:hAnsi="仿宋_GB2312" w:eastAsia="仿宋_GB2312" w:cs="仿宋_GB2312"/>
          <w:sz w:val="32"/>
          <w:szCs w:val="32"/>
          <w:lang w:val="en-US" w:eastAsia="zh-CN"/>
        </w:rPr>
        <w:t>，定期交由有资质单位进行处置；</w:t>
      </w:r>
      <w:r>
        <w:rPr>
          <w:rFonts w:hint="eastAsia" w:ascii="仿宋_GB2312" w:hAnsi="仿宋_GB2312" w:eastAsia="仿宋_GB2312" w:cs="仿宋_GB2312"/>
          <w:sz w:val="32"/>
          <w:szCs w:val="32"/>
        </w:rPr>
        <w:t>生活垃圾收集后，由环卫部门统一</w:t>
      </w:r>
      <w:r>
        <w:rPr>
          <w:rFonts w:hint="eastAsia" w:ascii="仿宋_GB2312" w:hAnsi="仿宋_GB2312" w:eastAsia="仿宋_GB2312" w:cs="仿宋_GB2312"/>
          <w:sz w:val="32"/>
          <w:szCs w:val="32"/>
          <w:lang w:val="en-US" w:eastAsia="zh-CN"/>
        </w:rPr>
        <w:t>清运</w:t>
      </w:r>
      <w:r>
        <w:rPr>
          <w:rFonts w:hint="eastAsia" w:ascii="仿宋_GB2312" w:hAnsi="仿宋_GB2312" w:eastAsia="仿宋_GB2312" w:cs="仿宋_GB2312"/>
          <w:sz w:val="32"/>
          <w:szCs w:val="32"/>
        </w:rPr>
        <w:t>。</w:t>
      </w:r>
    </w:p>
    <w:p w14:paraId="0745C9A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三、按要求做好突发环境事件应急预案的编制和备案工作，根据应急状态启动应急响应程序，确保其合理有效控制和降低环境风险。</w:t>
      </w:r>
    </w:p>
    <w:p w14:paraId="5FA3EB7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四、工程竣工后，必须按规定程序技术规范进行竣工环境保护验收，经验收合格后，工程方可正式投入运行。</w:t>
      </w:r>
    </w:p>
    <w:p w14:paraId="3B2D8EAF">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本项目《报告表》经批准后，建设项目的性质、规模、地点或采用的生产工艺、生态保护和污染防治对策措施发生重大变化的，或自批准之日起满5年后决定项目开工建设的，你公司须重新向我局报批《报告表》。</w:t>
      </w:r>
    </w:p>
    <w:p w14:paraId="2DF5612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六、长治市生态环境局长子分局负责本项目施工期和运营期的日常监督管理工作。</w:t>
      </w:r>
    </w:p>
    <w:p w14:paraId="1035239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382A556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18E4BAFC">
      <w:pPr>
        <w:keepNext w:val="0"/>
        <w:keepLines w:val="0"/>
        <w:pageBreakBefore w:val="0"/>
        <w:widowControl w:val="0"/>
        <w:kinsoku/>
        <w:wordWrap/>
        <w:overflowPunct/>
        <w:topLinePunct w:val="0"/>
        <w:autoSpaceDE/>
        <w:autoSpaceDN/>
        <w:bidi w:val="0"/>
        <w:adjustRightInd/>
        <w:snapToGrid w:val="0"/>
        <w:spacing w:line="560" w:lineRule="exact"/>
        <w:ind w:firstLine="3200" w:firstLineChars="10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长治市生态环境局长子分局</w:t>
      </w:r>
    </w:p>
    <w:p w14:paraId="43640F13">
      <w:pPr>
        <w:keepNext w:val="0"/>
        <w:keepLines w:val="0"/>
        <w:pageBreakBefore w:val="0"/>
        <w:widowControl w:val="0"/>
        <w:kinsoku/>
        <w:wordWrap/>
        <w:overflowPunct/>
        <w:topLinePunct w:val="0"/>
        <w:autoSpaceDE/>
        <w:autoSpaceDN/>
        <w:bidi w:val="0"/>
        <w:adjustRightInd/>
        <w:snapToGrid w:val="0"/>
        <w:spacing w:line="560" w:lineRule="exact"/>
        <w:ind w:firstLine="3840" w:firstLineChars="1200"/>
        <w:textAlignment w:val="auto"/>
        <w:rPr>
          <w:rFonts w:hint="eastAsia" w:ascii="仿宋_GB2312" w:hAnsi="仿宋_GB2312" w:eastAsia="仿宋_GB2312" w:cs="仿宋_GB2312"/>
          <w:sz w:val="32"/>
          <w:szCs w:val="32"/>
          <w:lang w:val="en-US" w:eastAsia="zh-CN"/>
        </w:rPr>
      </w:pPr>
      <w:bookmarkStart w:id="0" w:name="_Hlk125035854"/>
      <w:r>
        <w:rPr>
          <w:rFonts w:hint="eastAsia" w:ascii="仿宋_GB2312" w:hAnsi="仿宋_GB2312" w:eastAsia="仿宋_GB2312" w:cs="仿宋_GB2312"/>
          <w:sz w:val="32"/>
          <w:szCs w:val="32"/>
          <w:lang w:val="en-US" w:eastAsia="zh-CN"/>
        </w:rPr>
        <w:t>2026年9月23日</w:t>
      </w:r>
      <w:bookmarkEnd w:id="0"/>
    </w:p>
    <w:p w14:paraId="5FCEE03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仿宋_GB2312" w:eastAsia="仿宋_GB2312" w:cs="仿宋_GB2312"/>
          <w:sz w:val="32"/>
          <w:szCs w:val="32"/>
          <w:lang w:val="en-US" w:eastAsia="zh-CN"/>
        </w:rPr>
      </w:pPr>
    </w:p>
    <w:p w14:paraId="1725CCC6">
      <w:pPr>
        <w:autoSpaceDE w:val="0"/>
        <w:autoSpaceDN w:val="0"/>
        <w:snapToGrid w:val="0"/>
        <w:spacing w:line="360" w:lineRule="auto"/>
        <w:ind w:firstLine="640" w:firstLineChars="200"/>
        <w:rPr>
          <w:rFonts w:hint="default" w:ascii="仿宋_GB2312" w:hAnsi="仿宋_GB2312" w:eastAsia="仿宋_GB2312" w:cs="仿宋_GB2312"/>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7CF91822"/>
    <w:rsid w:val="00071C48"/>
    <w:rsid w:val="001004CD"/>
    <w:rsid w:val="003A39D5"/>
    <w:rsid w:val="00407201"/>
    <w:rsid w:val="00735F3D"/>
    <w:rsid w:val="00951E18"/>
    <w:rsid w:val="00C16B12"/>
    <w:rsid w:val="00DE657B"/>
    <w:rsid w:val="00E73F6F"/>
    <w:rsid w:val="00EC7CAB"/>
    <w:rsid w:val="01753B66"/>
    <w:rsid w:val="02BC106D"/>
    <w:rsid w:val="082841DD"/>
    <w:rsid w:val="0D19235B"/>
    <w:rsid w:val="0E00739B"/>
    <w:rsid w:val="10B12A18"/>
    <w:rsid w:val="10D57106"/>
    <w:rsid w:val="13681F47"/>
    <w:rsid w:val="1966330A"/>
    <w:rsid w:val="1E4F2F9C"/>
    <w:rsid w:val="27A529B7"/>
    <w:rsid w:val="2D9407D6"/>
    <w:rsid w:val="33A83FD8"/>
    <w:rsid w:val="347229EE"/>
    <w:rsid w:val="3D595792"/>
    <w:rsid w:val="45884EF3"/>
    <w:rsid w:val="461C112E"/>
    <w:rsid w:val="4C06640E"/>
    <w:rsid w:val="4C8756F7"/>
    <w:rsid w:val="4D9637F3"/>
    <w:rsid w:val="4DD30465"/>
    <w:rsid w:val="52A115B8"/>
    <w:rsid w:val="58697A46"/>
    <w:rsid w:val="598F1AE5"/>
    <w:rsid w:val="5BBF9D57"/>
    <w:rsid w:val="5FEF8027"/>
    <w:rsid w:val="65BE8C90"/>
    <w:rsid w:val="6B647FFF"/>
    <w:rsid w:val="6E7E5466"/>
    <w:rsid w:val="729C60E5"/>
    <w:rsid w:val="757A4CB6"/>
    <w:rsid w:val="763F403D"/>
    <w:rsid w:val="76493F6A"/>
    <w:rsid w:val="77FB3C67"/>
    <w:rsid w:val="7BC27685"/>
    <w:rsid w:val="7C586A0E"/>
    <w:rsid w:val="7CF91822"/>
    <w:rsid w:val="7DFD1C17"/>
    <w:rsid w:val="7E2F1F5A"/>
    <w:rsid w:val="7FB31B76"/>
    <w:rsid w:val="95EDC913"/>
    <w:rsid w:val="A737222B"/>
    <w:rsid w:val="CBFF5712"/>
    <w:rsid w:val="D75F78C0"/>
    <w:rsid w:val="DBB5AC92"/>
    <w:rsid w:val="EDDBC7D3"/>
    <w:rsid w:val="F37D8328"/>
    <w:rsid w:val="FDDFC21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3">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styleId="4">
    <w:name w:val="Plain Text"/>
    <w:basedOn w:val="1"/>
    <w:next w:val="1"/>
    <w:qFormat/>
    <w:uiPriority w:val="0"/>
    <w:rPr>
      <w:rFonts w:ascii="宋体" w:hAnsi="Courier New"/>
      <w:szCs w:val="20"/>
    </w:rPr>
  </w:style>
  <w:style w:type="paragraph" w:styleId="5">
    <w:name w:val="annotation text"/>
    <w:basedOn w:val="1"/>
    <w:qFormat/>
    <w:uiPriority w:val="0"/>
    <w:pPr>
      <w:jc w:val="left"/>
    </w:pPr>
  </w:style>
  <w:style w:type="paragraph" w:styleId="6">
    <w:name w:val="Body Text"/>
    <w:basedOn w:val="1"/>
    <w:qFormat/>
    <w:uiPriority w:val="0"/>
    <w:pPr>
      <w:spacing w:after="120"/>
    </w:p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customStyle="1" w:styleId="12">
    <w:name w:val="【正文】"/>
    <w:basedOn w:val="1"/>
    <w:qFormat/>
    <w:uiPriority w:val="0"/>
    <w:pPr>
      <w:spacing w:line="440" w:lineRule="exact"/>
      <w:ind w:firstLine="544"/>
    </w:pPr>
    <w:rPr>
      <w:szCs w:val="20"/>
    </w:rPr>
  </w:style>
  <w:style w:type="character" w:customStyle="1" w:styleId="13">
    <w:name w:val="页眉 字符"/>
    <w:basedOn w:val="11"/>
    <w:link w:val="8"/>
    <w:qFormat/>
    <w:uiPriority w:val="0"/>
    <w:rPr>
      <w:rFonts w:asciiTheme="minorHAnsi" w:hAnsiTheme="minorHAnsi" w:eastAsiaTheme="minorEastAsia" w:cstheme="minorBidi"/>
      <w:kern w:val="2"/>
      <w:sz w:val="18"/>
      <w:szCs w:val="18"/>
    </w:rPr>
  </w:style>
  <w:style w:type="character" w:customStyle="1" w:styleId="14">
    <w:name w:val="页脚 字符"/>
    <w:basedOn w:val="11"/>
    <w:link w:val="7"/>
    <w:qFormat/>
    <w:uiPriority w:val="0"/>
    <w:rPr>
      <w:rFonts w:asciiTheme="minorHAnsi" w:hAnsiTheme="minorHAnsi" w:eastAsiaTheme="minorEastAsia" w:cstheme="minorBidi"/>
      <w:kern w:val="2"/>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Pages>
  <Words>958</Words>
  <Characters>1002</Characters>
  <Lines>19</Lines>
  <Paragraphs>5</Paragraphs>
  <TotalTime>69</TotalTime>
  <ScaleCrop>false</ScaleCrop>
  <LinksUpToDate>false</LinksUpToDate>
  <CharactersWithSpaces>1019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2021-11-23T01:12:00Z</dcterms:created>
  <dc:creator>豆豆多</dc:creator>
  <cp:lastModifiedBy>杨洁</cp:lastModifiedBy>
  <cp:lastPrinted>2026-09-22T07:42:53Z</cp:lastPrinted>
  <dcterms:modified xsi:type="dcterms:W3CDTF">2026-09-22T08:28:09Z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3D776EDCC843457CB2EA615B77372382_13</vt:lpwstr>
  </property>
  <property fmtid="{D5CDD505-2E9C-101B-9397-08002B2CF9AE}" pid="4" name="KSOTemplateDocerSaveRecord">
    <vt:lpwstr>eyJoZGlkIjoiMjY1ZmFhZGZmNDlhOTI1ZjQxZDdmZWU0OGRkMGQ1NTQiLCJ1c2VySWQiOiI3ODc4NDYxMTgifQ==</vt:lpwstr>
  </property>
</Properties>
</file>