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67C092">
      <w:pPr>
        <w:rPr>
          <w:rFonts w:hint="default" w:ascii="Times New Roman" w:hAnsi="Times New Roman" w:eastAsia="仿宋_GB2312" w:cs="Times New Roman"/>
          <w:color w:val="auto"/>
          <w:sz w:val="36"/>
          <w:szCs w:val="36"/>
          <w:highlight w:val="none"/>
        </w:rPr>
      </w:pPr>
    </w:p>
    <w:p w14:paraId="48832EFF">
      <w:pPr>
        <w:rPr>
          <w:rFonts w:hint="default"/>
          <w:color w:val="auto"/>
          <w:lang w:eastAsia="zh-CN"/>
        </w:rPr>
      </w:pPr>
    </w:p>
    <w:p w14:paraId="3478A787">
      <w:pPr>
        <w:rPr>
          <w:rFonts w:hint="default"/>
          <w:color w:val="auto"/>
        </w:rPr>
      </w:pPr>
    </w:p>
    <w:p w14:paraId="1BA421DB">
      <w:pPr>
        <w:rPr>
          <w:rFonts w:hint="default"/>
          <w:color w:val="auto"/>
        </w:rPr>
      </w:pPr>
    </w:p>
    <w:p w14:paraId="23969C20">
      <w:pPr>
        <w:rPr>
          <w:rFonts w:hint="default"/>
          <w:color w:val="auto"/>
        </w:rPr>
      </w:pPr>
    </w:p>
    <w:p w14:paraId="4565DB6C">
      <w:pPr>
        <w:rPr>
          <w:rFonts w:hint="default" w:ascii="Times New Roman" w:hAnsi="Times New Roman" w:eastAsia="仿宋_GB2312" w:cs="Times New Roman"/>
          <w:color w:val="auto"/>
          <w:sz w:val="36"/>
          <w:szCs w:val="36"/>
          <w:highlight w:val="none"/>
        </w:rPr>
      </w:pPr>
    </w:p>
    <w:p w14:paraId="5EA4F61D">
      <w:pPr>
        <w:adjustRightInd w:val="0"/>
        <w:snapToGrid w:val="0"/>
        <w:jc w:val="center"/>
        <w:outlineLvl w:val="0"/>
        <w:rPr>
          <w:rFonts w:hint="default" w:ascii="Times New Roman" w:hAnsi="Times New Roman" w:eastAsia="方正小标宋_GBK" w:cs="Times New Roman"/>
          <w:bCs/>
          <w:color w:val="auto"/>
          <w:sz w:val="72"/>
          <w:szCs w:val="72"/>
          <w:highlight w:val="none"/>
        </w:rPr>
      </w:pPr>
      <w:bookmarkStart w:id="0" w:name="_Toc9788"/>
      <w:r>
        <w:rPr>
          <w:rFonts w:hint="default" w:ascii="Times New Roman" w:hAnsi="Times New Roman" w:eastAsia="方正小标宋_GBK" w:cs="Times New Roman"/>
          <w:bCs/>
          <w:color w:val="auto"/>
          <w:sz w:val="72"/>
          <w:szCs w:val="72"/>
          <w:highlight w:val="none"/>
        </w:rPr>
        <w:t>建设项目环境影响报告表</w:t>
      </w:r>
      <w:bookmarkEnd w:id="0"/>
    </w:p>
    <w:p w14:paraId="728E3D33">
      <w:pPr>
        <w:adjustRightInd w:val="0"/>
        <w:snapToGrid w:val="0"/>
        <w:spacing w:before="192" w:beforeLines="80"/>
        <w:jc w:val="center"/>
        <w:rPr>
          <w:rFonts w:hint="default" w:ascii="Times New Roman" w:hAnsi="Times New Roman" w:eastAsia="楷体_GB2312" w:cs="Times New Roman"/>
          <w:bCs/>
          <w:color w:val="auto"/>
          <w:sz w:val="48"/>
          <w:szCs w:val="48"/>
          <w:highlight w:val="none"/>
        </w:rPr>
      </w:pPr>
      <w:r>
        <w:rPr>
          <w:rFonts w:hint="default" w:ascii="Times New Roman" w:hAnsi="Times New Roman" w:eastAsia="楷体_GB2312" w:cs="Times New Roman"/>
          <w:bCs/>
          <w:color w:val="auto"/>
          <w:sz w:val="48"/>
          <w:szCs w:val="48"/>
          <w:highlight w:val="none"/>
        </w:rPr>
        <w:t>（污染影响类）</w:t>
      </w:r>
    </w:p>
    <w:p w14:paraId="13F53561">
      <w:pPr>
        <w:rPr>
          <w:rFonts w:hint="default" w:ascii="Times New Roman" w:hAnsi="Times New Roman" w:eastAsia="仿宋_GB2312" w:cs="Times New Roman"/>
          <w:color w:val="auto"/>
          <w:sz w:val="36"/>
          <w:szCs w:val="36"/>
          <w:highlight w:val="none"/>
        </w:rPr>
      </w:pPr>
    </w:p>
    <w:p w14:paraId="14B5FD38">
      <w:pPr>
        <w:rPr>
          <w:rFonts w:hint="default" w:ascii="Times New Roman" w:hAnsi="Times New Roman" w:eastAsia="仿宋_GB2312" w:cs="Times New Roman"/>
          <w:color w:val="auto"/>
          <w:sz w:val="36"/>
          <w:szCs w:val="36"/>
          <w:highlight w:val="none"/>
        </w:rPr>
      </w:pPr>
    </w:p>
    <w:p w14:paraId="2A9FC4EC">
      <w:pPr>
        <w:rPr>
          <w:rFonts w:hint="default" w:ascii="Times New Roman" w:hAnsi="Times New Roman" w:eastAsia="仿宋_GB2312" w:cs="Times New Roman"/>
          <w:color w:val="auto"/>
          <w:sz w:val="36"/>
          <w:szCs w:val="36"/>
          <w:highlight w:val="none"/>
        </w:rPr>
      </w:pPr>
    </w:p>
    <w:p w14:paraId="38D2E1B3">
      <w:pPr>
        <w:rPr>
          <w:rFonts w:hint="default" w:ascii="Times New Roman" w:hAnsi="Times New Roman" w:eastAsia="仿宋_GB2312" w:cs="Times New Roman"/>
          <w:color w:val="auto"/>
          <w:sz w:val="36"/>
          <w:szCs w:val="36"/>
          <w:highlight w:val="none"/>
        </w:rPr>
      </w:pPr>
    </w:p>
    <w:p w14:paraId="254BAFD3">
      <w:pPr>
        <w:rPr>
          <w:rFonts w:hint="default" w:ascii="Times New Roman" w:hAnsi="Times New Roman" w:eastAsia="仿宋_GB2312" w:cs="Times New Roman"/>
          <w:color w:val="auto"/>
          <w:sz w:val="36"/>
          <w:szCs w:val="36"/>
          <w:highlight w:val="none"/>
        </w:rPr>
      </w:pPr>
    </w:p>
    <w:p w14:paraId="03AF0F3A">
      <w:pPr>
        <w:rPr>
          <w:rFonts w:hint="default" w:ascii="Times New Roman" w:hAnsi="Times New Roman" w:eastAsia="仿宋_GB2312" w:cs="Times New Roman"/>
          <w:color w:val="auto"/>
          <w:sz w:val="36"/>
          <w:szCs w:val="36"/>
          <w:highlight w:val="none"/>
        </w:rPr>
      </w:pPr>
    </w:p>
    <w:p w14:paraId="2D123013">
      <w:pPr>
        <w:rPr>
          <w:rFonts w:hint="default" w:ascii="Times New Roman" w:hAnsi="Times New Roman" w:eastAsia="仿宋_GB2312" w:cs="Times New Roman"/>
          <w:color w:val="auto"/>
          <w:sz w:val="36"/>
          <w:szCs w:val="36"/>
          <w:highlight w:val="none"/>
        </w:rPr>
      </w:pPr>
    </w:p>
    <w:p w14:paraId="13582CF7">
      <w:pPr>
        <w:rPr>
          <w:rFonts w:hint="default" w:ascii="Times New Roman" w:hAnsi="Times New Roman" w:eastAsia="仿宋_GB2312" w:cs="Times New Roman"/>
          <w:color w:val="auto"/>
          <w:sz w:val="36"/>
          <w:szCs w:val="36"/>
          <w:highlight w:val="none"/>
        </w:rPr>
      </w:pPr>
    </w:p>
    <w:p w14:paraId="6AD8FC29">
      <w:pPr>
        <w:rPr>
          <w:rFonts w:hint="default" w:ascii="Times New Roman" w:hAnsi="Times New Roman" w:eastAsia="仿宋_GB2312" w:cs="Times New Roman"/>
          <w:color w:val="auto"/>
          <w:sz w:val="36"/>
          <w:szCs w:val="36"/>
          <w:highlight w:val="none"/>
        </w:rPr>
      </w:pPr>
    </w:p>
    <w:p w14:paraId="7AC6D39A">
      <w:pPr>
        <w:keepNext w:val="0"/>
        <w:keepLines w:val="0"/>
        <w:pageBreakBefore w:val="0"/>
        <w:widowControl w:val="0"/>
        <w:kinsoku/>
        <w:wordWrap/>
        <w:overflowPunct/>
        <w:topLinePunct w:val="0"/>
        <w:autoSpaceDE/>
        <w:autoSpaceDN/>
        <w:bidi w:val="0"/>
        <w:adjustRightInd w:val="0"/>
        <w:snapToGrid w:val="0"/>
        <w:spacing w:line="288" w:lineRule="auto"/>
        <w:ind w:firstLine="737"/>
        <w:textAlignment w:val="auto"/>
        <w:rPr>
          <w:rFonts w:hint="default" w:eastAsia="仿宋" w:cs="Times New Roman"/>
          <w:color w:val="auto"/>
          <w:sz w:val="36"/>
          <w:szCs w:val="36"/>
          <w:highlight w:val="none"/>
          <w:u w:val="single"/>
          <w:lang w:val="en-US" w:eastAsia="zh-CN"/>
        </w:rPr>
      </w:pPr>
      <w:r>
        <w:rPr>
          <w:rFonts w:hint="default" w:ascii="Times New Roman" w:hAnsi="Times New Roman" w:eastAsia="仿宋" w:cs="Times New Roman"/>
          <w:color w:val="auto"/>
          <w:sz w:val="36"/>
          <w:szCs w:val="36"/>
          <w:highlight w:val="none"/>
        </w:rPr>
        <w:t>项目名称：</w:t>
      </w:r>
      <w:r>
        <w:rPr>
          <w:rFonts w:hint="eastAsia" w:eastAsia="仿宋" w:cs="Times New Roman"/>
          <w:color w:val="auto"/>
          <w:sz w:val="36"/>
          <w:szCs w:val="36"/>
          <w:highlight w:val="none"/>
          <w:u w:val="single"/>
          <w:lang w:val="en-US" w:eastAsia="zh-CN"/>
        </w:rPr>
        <w:t xml:space="preserve">    </w:t>
      </w:r>
      <w:r>
        <w:rPr>
          <w:rFonts w:hint="eastAsia" w:eastAsia="仿宋" w:cs="Times New Roman"/>
          <w:color w:val="auto"/>
          <w:sz w:val="36"/>
          <w:szCs w:val="36"/>
          <w:highlight w:val="none"/>
          <w:u w:val="single"/>
          <w:lang w:eastAsia="zh-CN"/>
        </w:rPr>
        <w:t>赵庄煤业15号煤配采选煤厂配套工程</w:t>
      </w:r>
      <w:r>
        <w:rPr>
          <w:rFonts w:hint="eastAsia" w:eastAsia="仿宋" w:cs="Times New Roman"/>
          <w:color w:val="auto"/>
          <w:sz w:val="36"/>
          <w:szCs w:val="36"/>
          <w:highlight w:val="none"/>
          <w:u w:val="single"/>
          <w:lang w:val="en-US" w:eastAsia="zh-CN"/>
        </w:rPr>
        <w:t xml:space="preserve">   </w:t>
      </w:r>
    </w:p>
    <w:p w14:paraId="1EBB454D">
      <w:pPr>
        <w:keepNext w:val="0"/>
        <w:keepLines w:val="0"/>
        <w:pageBreakBefore w:val="0"/>
        <w:widowControl w:val="0"/>
        <w:kinsoku/>
        <w:wordWrap/>
        <w:overflowPunct/>
        <w:topLinePunct w:val="0"/>
        <w:autoSpaceDE/>
        <w:autoSpaceDN/>
        <w:bidi w:val="0"/>
        <w:adjustRightInd w:val="0"/>
        <w:snapToGrid w:val="0"/>
        <w:spacing w:line="288" w:lineRule="auto"/>
        <w:ind w:firstLine="737"/>
        <w:textAlignment w:val="auto"/>
        <w:rPr>
          <w:rFonts w:hint="default" w:ascii="Times New Roman" w:hAnsi="Times New Roman" w:eastAsia="仿宋" w:cs="Times New Roman"/>
          <w:color w:val="auto"/>
          <w:sz w:val="36"/>
          <w:szCs w:val="36"/>
          <w:highlight w:val="none"/>
        </w:rPr>
      </w:pPr>
      <w:r>
        <w:rPr>
          <w:rFonts w:hint="default" w:ascii="Times New Roman" w:hAnsi="Times New Roman" w:eastAsia="仿宋" w:cs="Times New Roman"/>
          <w:color w:val="auto"/>
          <w:sz w:val="36"/>
          <w:szCs w:val="36"/>
          <w:highlight w:val="none"/>
        </w:rPr>
        <w:t>建设单位（盖章）：</w:t>
      </w:r>
      <w:r>
        <w:rPr>
          <w:rFonts w:hint="default" w:ascii="Times New Roman" w:hAnsi="Times New Roman" w:eastAsia="仿宋" w:cs="Times New Roman"/>
          <w:color w:val="auto"/>
          <w:sz w:val="36"/>
          <w:szCs w:val="36"/>
          <w:highlight w:val="none"/>
          <w:u w:val="single"/>
          <w:lang w:val="en-US" w:eastAsia="zh-CN"/>
        </w:rPr>
        <w:t xml:space="preserve"> </w:t>
      </w:r>
      <w:r>
        <w:rPr>
          <w:rFonts w:hint="eastAsia" w:eastAsia="仿宋" w:cs="Times New Roman"/>
          <w:color w:val="auto"/>
          <w:sz w:val="36"/>
          <w:szCs w:val="36"/>
          <w:highlight w:val="none"/>
          <w:u w:val="single"/>
          <w:lang w:eastAsia="zh-CN"/>
        </w:rPr>
        <w:t>山西晋煤集团赵庄煤业有限责任公司</w:t>
      </w:r>
      <w:r>
        <w:rPr>
          <w:rFonts w:hint="default" w:ascii="Times New Roman" w:hAnsi="Times New Roman" w:eastAsia="仿宋" w:cs="Times New Roman"/>
          <w:color w:val="auto"/>
          <w:sz w:val="36"/>
          <w:szCs w:val="36"/>
          <w:highlight w:val="none"/>
          <w:u w:val="single"/>
          <w:lang w:val="en-US" w:eastAsia="zh-CN"/>
        </w:rPr>
        <w:t xml:space="preserve"> </w:t>
      </w:r>
    </w:p>
    <w:p w14:paraId="4475EC46">
      <w:pPr>
        <w:keepNext w:val="0"/>
        <w:keepLines w:val="0"/>
        <w:pageBreakBefore w:val="0"/>
        <w:widowControl w:val="0"/>
        <w:kinsoku/>
        <w:wordWrap/>
        <w:overflowPunct/>
        <w:topLinePunct w:val="0"/>
        <w:autoSpaceDE/>
        <w:autoSpaceDN/>
        <w:bidi w:val="0"/>
        <w:adjustRightInd w:val="0"/>
        <w:snapToGrid w:val="0"/>
        <w:spacing w:line="288" w:lineRule="auto"/>
        <w:ind w:firstLine="737"/>
        <w:textAlignment w:val="auto"/>
        <w:rPr>
          <w:rFonts w:hint="default" w:ascii="Times New Roman" w:hAnsi="Times New Roman" w:eastAsia="仿宋" w:cs="Times New Roman"/>
          <w:color w:val="auto"/>
          <w:sz w:val="36"/>
          <w:szCs w:val="36"/>
          <w:highlight w:val="none"/>
        </w:rPr>
      </w:pPr>
      <w:r>
        <w:rPr>
          <w:rFonts w:hint="default" w:ascii="Times New Roman" w:hAnsi="Times New Roman" w:eastAsia="仿宋" w:cs="Times New Roman"/>
          <w:color w:val="auto"/>
          <w:sz w:val="36"/>
          <w:szCs w:val="36"/>
          <w:highlight w:val="none"/>
        </w:rPr>
        <w:t>编制日期：</w:t>
      </w:r>
      <w:r>
        <w:rPr>
          <w:rFonts w:hint="default" w:ascii="Times New Roman" w:hAnsi="Times New Roman" w:eastAsia="仿宋" w:cs="Times New Roman"/>
          <w:color w:val="auto"/>
          <w:sz w:val="36"/>
          <w:szCs w:val="36"/>
          <w:highlight w:val="none"/>
          <w:u w:val="single"/>
        </w:rPr>
        <w:t xml:space="preserve">      </w:t>
      </w:r>
      <w:r>
        <w:rPr>
          <w:rFonts w:hint="default" w:ascii="Times New Roman" w:hAnsi="Times New Roman" w:eastAsia="仿宋" w:cs="Times New Roman"/>
          <w:color w:val="auto"/>
          <w:sz w:val="36"/>
          <w:szCs w:val="36"/>
          <w:highlight w:val="none"/>
          <w:u w:val="single"/>
          <w:lang w:val="en-US" w:eastAsia="zh-CN"/>
        </w:rPr>
        <w:t xml:space="preserve">  </w:t>
      </w:r>
      <w:r>
        <w:rPr>
          <w:rFonts w:hint="default" w:ascii="Times New Roman" w:hAnsi="Times New Roman" w:eastAsia="仿宋" w:cs="Times New Roman"/>
          <w:color w:val="auto"/>
          <w:sz w:val="36"/>
          <w:szCs w:val="36"/>
          <w:highlight w:val="none"/>
          <w:u w:val="single"/>
        </w:rPr>
        <w:t xml:space="preserve"> </w:t>
      </w:r>
      <w:r>
        <w:rPr>
          <w:rFonts w:hint="eastAsia" w:eastAsia="仿宋" w:cs="Times New Roman"/>
          <w:color w:val="auto"/>
          <w:sz w:val="36"/>
          <w:szCs w:val="36"/>
          <w:highlight w:val="none"/>
          <w:u w:val="single"/>
          <w:lang w:val="en-US" w:eastAsia="zh-CN"/>
        </w:rPr>
        <w:t xml:space="preserve">  </w:t>
      </w:r>
      <w:r>
        <w:rPr>
          <w:rFonts w:hint="default" w:ascii="Times New Roman" w:hAnsi="Times New Roman" w:eastAsia="仿宋" w:cs="Times New Roman"/>
          <w:color w:val="auto"/>
          <w:sz w:val="36"/>
          <w:szCs w:val="36"/>
          <w:highlight w:val="none"/>
          <w:u w:val="single"/>
        </w:rPr>
        <w:t xml:space="preserve">   </w:t>
      </w:r>
      <w:r>
        <w:rPr>
          <w:rFonts w:hint="default" w:ascii="Times New Roman" w:hAnsi="Times New Roman" w:eastAsia="仿宋" w:cs="Times New Roman"/>
          <w:color w:val="auto"/>
          <w:sz w:val="36"/>
          <w:szCs w:val="36"/>
          <w:highlight w:val="none"/>
          <w:u w:val="single"/>
          <w:lang w:val="en-US" w:eastAsia="zh-CN"/>
        </w:rPr>
        <w:t>202</w:t>
      </w:r>
      <w:r>
        <w:rPr>
          <w:rFonts w:hint="eastAsia" w:eastAsia="仿宋" w:cs="Times New Roman"/>
          <w:color w:val="auto"/>
          <w:sz w:val="36"/>
          <w:szCs w:val="36"/>
          <w:highlight w:val="none"/>
          <w:u w:val="single"/>
          <w:lang w:val="en-US" w:eastAsia="zh-CN"/>
        </w:rPr>
        <w:t>6</w:t>
      </w:r>
      <w:r>
        <w:rPr>
          <w:rFonts w:hint="default" w:ascii="Times New Roman" w:hAnsi="Times New Roman" w:eastAsia="仿宋" w:cs="Times New Roman"/>
          <w:color w:val="auto"/>
          <w:sz w:val="36"/>
          <w:szCs w:val="36"/>
          <w:highlight w:val="none"/>
          <w:u w:val="single"/>
          <w:lang w:val="en-US" w:eastAsia="zh-CN"/>
        </w:rPr>
        <w:t>年</w:t>
      </w:r>
      <w:r>
        <w:rPr>
          <w:rFonts w:hint="eastAsia" w:eastAsia="仿宋" w:cs="Times New Roman"/>
          <w:color w:val="auto"/>
          <w:sz w:val="36"/>
          <w:szCs w:val="36"/>
          <w:highlight w:val="none"/>
          <w:u w:val="single"/>
          <w:lang w:val="en-US" w:eastAsia="zh-CN"/>
        </w:rPr>
        <w:t>9</w:t>
      </w:r>
      <w:r>
        <w:rPr>
          <w:rFonts w:hint="default" w:ascii="Times New Roman" w:hAnsi="Times New Roman" w:eastAsia="仿宋" w:cs="Times New Roman"/>
          <w:color w:val="auto"/>
          <w:sz w:val="36"/>
          <w:szCs w:val="36"/>
          <w:highlight w:val="none"/>
          <w:u w:val="single"/>
          <w:lang w:val="en-US" w:eastAsia="zh-CN"/>
        </w:rPr>
        <w:t>月</w:t>
      </w:r>
      <w:r>
        <w:rPr>
          <w:rFonts w:hint="default" w:ascii="Times New Roman" w:hAnsi="Times New Roman" w:eastAsia="仿宋" w:cs="Times New Roman"/>
          <w:color w:val="auto"/>
          <w:sz w:val="36"/>
          <w:szCs w:val="36"/>
          <w:highlight w:val="none"/>
          <w:u w:val="single"/>
        </w:rPr>
        <w:t xml:space="preserve">  </w:t>
      </w:r>
      <w:r>
        <w:rPr>
          <w:rFonts w:hint="eastAsia" w:eastAsia="仿宋" w:cs="Times New Roman"/>
          <w:color w:val="auto"/>
          <w:sz w:val="36"/>
          <w:szCs w:val="36"/>
          <w:highlight w:val="none"/>
          <w:u w:val="single"/>
          <w:lang w:val="en-US" w:eastAsia="zh-CN"/>
        </w:rPr>
        <w:t xml:space="preserve">    </w:t>
      </w:r>
      <w:r>
        <w:rPr>
          <w:rFonts w:hint="default" w:ascii="Times New Roman" w:hAnsi="Times New Roman" w:eastAsia="仿宋" w:cs="Times New Roman"/>
          <w:color w:val="auto"/>
          <w:sz w:val="36"/>
          <w:szCs w:val="36"/>
          <w:highlight w:val="none"/>
          <w:u w:val="single"/>
        </w:rPr>
        <w:t xml:space="preserve"> </w:t>
      </w:r>
      <w:r>
        <w:rPr>
          <w:rFonts w:hint="eastAsia" w:eastAsia="仿宋" w:cs="Times New Roman"/>
          <w:color w:val="auto"/>
          <w:sz w:val="36"/>
          <w:szCs w:val="36"/>
          <w:highlight w:val="none"/>
          <w:u w:val="single"/>
          <w:lang w:val="en-US" w:eastAsia="zh-CN"/>
        </w:rPr>
        <w:t xml:space="preserve"> </w:t>
      </w:r>
      <w:r>
        <w:rPr>
          <w:rFonts w:hint="default" w:ascii="Times New Roman" w:hAnsi="Times New Roman" w:eastAsia="仿宋" w:cs="Times New Roman"/>
          <w:color w:val="auto"/>
          <w:sz w:val="36"/>
          <w:szCs w:val="36"/>
          <w:highlight w:val="none"/>
          <w:u w:val="single"/>
          <w:lang w:val="en-US" w:eastAsia="zh-CN"/>
        </w:rPr>
        <w:t xml:space="preserve"> </w:t>
      </w:r>
      <w:r>
        <w:rPr>
          <w:rFonts w:hint="default" w:ascii="Times New Roman" w:hAnsi="Times New Roman" w:eastAsia="仿宋" w:cs="Times New Roman"/>
          <w:color w:val="auto"/>
          <w:sz w:val="36"/>
          <w:szCs w:val="36"/>
          <w:highlight w:val="none"/>
          <w:u w:val="single"/>
        </w:rPr>
        <w:t xml:space="preserve">       </w:t>
      </w:r>
    </w:p>
    <w:p w14:paraId="433B52AF">
      <w:pPr>
        <w:rPr>
          <w:rFonts w:hint="default" w:ascii="Times New Roman" w:hAnsi="Times New Roman" w:eastAsia="仿宋_GB2312" w:cs="Times New Roman"/>
          <w:color w:val="auto"/>
          <w:sz w:val="36"/>
          <w:szCs w:val="36"/>
          <w:highlight w:val="none"/>
        </w:rPr>
      </w:pPr>
      <w:bookmarkStart w:id="1" w:name="_Hlk57884087"/>
    </w:p>
    <w:p w14:paraId="64785C83">
      <w:pPr>
        <w:rPr>
          <w:rFonts w:hint="default" w:ascii="Times New Roman" w:hAnsi="Times New Roman" w:eastAsia="仿宋_GB2312" w:cs="Times New Roman"/>
          <w:color w:val="auto"/>
          <w:sz w:val="36"/>
          <w:szCs w:val="36"/>
          <w:highlight w:val="none"/>
        </w:rPr>
      </w:pPr>
    </w:p>
    <w:p w14:paraId="09665E8D">
      <w:pPr>
        <w:rPr>
          <w:rFonts w:hint="default" w:ascii="Times New Roman" w:hAnsi="Times New Roman" w:eastAsia="仿宋_GB2312" w:cs="Times New Roman"/>
          <w:color w:val="auto"/>
          <w:sz w:val="36"/>
          <w:szCs w:val="36"/>
          <w:highlight w:val="none"/>
        </w:rPr>
      </w:pPr>
    </w:p>
    <w:p w14:paraId="7844D271">
      <w:pPr>
        <w:rPr>
          <w:rFonts w:hint="default" w:ascii="Times New Roman" w:hAnsi="Times New Roman" w:eastAsia="仿宋_GB2312" w:cs="Times New Roman"/>
          <w:color w:val="auto"/>
          <w:sz w:val="36"/>
          <w:szCs w:val="36"/>
          <w:highlight w:val="none"/>
        </w:rPr>
      </w:pPr>
    </w:p>
    <w:p w14:paraId="270B6660">
      <w:pPr>
        <w:rPr>
          <w:rFonts w:hint="default" w:ascii="Times New Roman" w:hAnsi="Times New Roman" w:eastAsia="仿宋_GB2312" w:cs="Times New Roman"/>
          <w:color w:val="auto"/>
          <w:sz w:val="36"/>
          <w:szCs w:val="36"/>
          <w:highlight w:val="none"/>
        </w:rPr>
      </w:pPr>
    </w:p>
    <w:bookmarkEnd w:id="1"/>
    <w:p w14:paraId="25D6C4FE">
      <w:pPr>
        <w:adjustRightInd w:val="0"/>
        <w:snapToGrid w:val="0"/>
        <w:spacing w:line="288" w:lineRule="auto"/>
        <w:jc w:val="center"/>
        <w:rPr>
          <w:rFonts w:hint="default" w:ascii="Times New Roman" w:hAnsi="Times New Roman" w:eastAsia="楷体_GB2312" w:cs="Times New Roman"/>
          <w:color w:val="auto"/>
          <w:sz w:val="36"/>
          <w:szCs w:val="36"/>
          <w:highlight w:val="none"/>
        </w:rPr>
        <w:sectPr>
          <w:footerReference r:id="rId3" w:type="default"/>
          <w:footerReference r:id="rId4" w:type="even"/>
          <w:pgSz w:w="11906" w:h="16838"/>
          <w:pgMar w:top="1701" w:right="1077" w:bottom="1701" w:left="1077" w:header="851" w:footer="1077" w:gutter="0"/>
          <w:pgBorders>
            <w:top w:val="none" w:sz="0" w:space="0"/>
            <w:left w:val="none" w:sz="0" w:space="0"/>
            <w:bottom w:val="none" w:sz="0" w:space="0"/>
            <w:right w:val="none" w:sz="0" w:space="0"/>
          </w:pgBorders>
          <w:pgNumType w:start="3"/>
          <w:cols w:space="720" w:num="1"/>
          <w:docGrid w:linePitch="312" w:charSpace="0"/>
        </w:sectPr>
      </w:pPr>
      <w:r>
        <w:rPr>
          <w:rFonts w:hint="default" w:ascii="Times New Roman" w:hAnsi="Times New Roman" w:eastAsia="楷体_GB2312" w:cs="Times New Roman"/>
          <w:color w:val="auto"/>
          <w:sz w:val="36"/>
          <w:szCs w:val="36"/>
          <w:highlight w:val="none"/>
        </w:rPr>
        <w:t>中华人民共和国生态环境部制</w:t>
      </w:r>
    </w:p>
    <w:p w14:paraId="1CCE333D">
      <w:pPr>
        <w:rPr>
          <w:rFonts w:hint="eastAsia" w:eastAsia="宋体"/>
          <w:color w:val="auto"/>
          <w:highlight w:val="none"/>
          <w:lang w:eastAsia="zh-CN"/>
        </w:rPr>
        <w:sectPr>
          <w:footerReference r:id="rId5" w:type="default"/>
          <w:pgSz w:w="11906" w:h="16838"/>
          <w:pgMar w:top="0" w:right="0" w:bottom="0" w:left="0" w:header="851" w:footer="992" w:gutter="0"/>
          <w:pgBorders>
            <w:top w:val="none" w:sz="0" w:space="0"/>
            <w:left w:val="none" w:sz="0" w:space="0"/>
            <w:bottom w:val="none" w:sz="0" w:space="0"/>
            <w:right w:val="none" w:sz="0" w:space="0"/>
          </w:pgBorders>
          <w:cols w:space="720" w:num="1"/>
          <w:docGrid w:type="lines" w:linePitch="312" w:charSpace="0"/>
        </w:sectPr>
      </w:pPr>
      <w:r>
        <w:rPr>
          <w:rFonts w:hint="default" w:eastAsia="宋体"/>
          <w:color w:val="auto"/>
          <w:highlight w:val="none"/>
          <w:lang w:eastAsia="zh-CN"/>
        </w:rPr>
        <w:drawing>
          <wp:inline distT="0" distB="0" distL="114300" distR="114300">
            <wp:extent cx="7477125" cy="10581005"/>
            <wp:effectExtent l="0" t="0" r="9525" b="10795"/>
            <wp:docPr id="226" name="图片 226" descr="9月封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图片 226" descr="9月封皮"/>
                    <pic:cNvPicPr>
                      <a:picLocks noChangeAspect="1"/>
                    </pic:cNvPicPr>
                  </pic:nvPicPr>
                  <pic:blipFill>
                    <a:blip r:embed="rId10"/>
                    <a:stretch>
                      <a:fillRect/>
                    </a:stretch>
                  </pic:blipFill>
                  <pic:spPr>
                    <a:xfrm>
                      <a:off x="0" y="0"/>
                      <a:ext cx="7477125" cy="10581005"/>
                    </a:xfrm>
                    <a:prstGeom prst="rect">
                      <a:avLst/>
                    </a:prstGeom>
                  </pic:spPr>
                </pic:pic>
              </a:graphicData>
            </a:graphic>
          </wp:inline>
        </w:drawing>
      </w:r>
      <w:r>
        <w:rPr>
          <w:rFonts w:hint="default" w:eastAsia="宋体"/>
          <w:color w:val="auto"/>
          <w:highlight w:val="none"/>
          <w:lang w:eastAsia="zh-CN"/>
        </w:rPr>
        <w:drawing>
          <wp:inline distT="0" distB="0" distL="114300" distR="114300">
            <wp:extent cx="7525385" cy="10605135"/>
            <wp:effectExtent l="0" t="0" r="18415" b="5715"/>
            <wp:docPr id="198" name="图片 198" descr="SCAN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图片 198" descr="SCAN0000"/>
                    <pic:cNvPicPr>
                      <a:picLocks noChangeAspect="1"/>
                    </pic:cNvPicPr>
                  </pic:nvPicPr>
                  <pic:blipFill>
                    <a:blip r:embed="rId11"/>
                    <a:srcRect t="794" r="534"/>
                    <a:stretch>
                      <a:fillRect/>
                    </a:stretch>
                  </pic:blipFill>
                  <pic:spPr>
                    <a:xfrm>
                      <a:off x="0" y="0"/>
                      <a:ext cx="7525385" cy="10605135"/>
                    </a:xfrm>
                    <a:prstGeom prst="rect">
                      <a:avLst/>
                    </a:prstGeom>
                  </pic:spPr>
                </pic:pic>
              </a:graphicData>
            </a:graphic>
          </wp:inline>
        </w:drawing>
      </w:r>
      <w:r>
        <w:rPr>
          <w:rFonts w:hint="default" w:eastAsia="宋体"/>
          <w:color w:val="auto"/>
          <w:highlight w:val="none"/>
          <w:lang w:eastAsia="zh-CN"/>
        </w:rPr>
        <w:drawing>
          <wp:inline distT="0" distB="0" distL="114300" distR="114300">
            <wp:extent cx="7510780" cy="10624820"/>
            <wp:effectExtent l="0" t="0" r="13970" b="5080"/>
            <wp:docPr id="14" name="图片 14" descr="工程师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工程师证"/>
                    <pic:cNvPicPr>
                      <a:picLocks noChangeAspect="1"/>
                    </pic:cNvPicPr>
                  </pic:nvPicPr>
                  <pic:blipFill>
                    <a:blip r:embed="rId12"/>
                    <a:stretch>
                      <a:fillRect/>
                    </a:stretch>
                  </pic:blipFill>
                  <pic:spPr>
                    <a:xfrm>
                      <a:off x="0" y="0"/>
                      <a:ext cx="7510780" cy="10624820"/>
                    </a:xfrm>
                    <a:prstGeom prst="rect">
                      <a:avLst/>
                    </a:prstGeom>
                  </pic:spPr>
                </pic:pic>
              </a:graphicData>
            </a:graphic>
          </wp:inline>
        </w:drawing>
      </w:r>
      <w:r>
        <w:rPr>
          <w:rFonts w:hint="eastAsia" w:eastAsia="宋体"/>
          <w:color w:val="auto"/>
          <w:highlight w:val="none"/>
          <w:lang w:eastAsia="zh-CN"/>
        </w:rPr>
        <w:drawing>
          <wp:inline distT="0" distB="0" distL="114300" distR="114300">
            <wp:extent cx="7517765" cy="10630535"/>
            <wp:effectExtent l="0" t="0" r="6985" b="18415"/>
            <wp:docPr id="2" name="图片 2" descr="SCAN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SCAN0000"/>
                    <pic:cNvPicPr>
                      <a:picLocks noChangeAspect="1"/>
                    </pic:cNvPicPr>
                  </pic:nvPicPr>
                  <pic:blipFill>
                    <a:blip r:embed="rId13"/>
                    <a:srcRect r="380" b="301"/>
                    <a:stretch>
                      <a:fillRect/>
                    </a:stretch>
                  </pic:blipFill>
                  <pic:spPr>
                    <a:xfrm>
                      <a:off x="0" y="0"/>
                      <a:ext cx="7517765" cy="10630535"/>
                    </a:xfrm>
                    <a:prstGeom prst="rect">
                      <a:avLst/>
                    </a:prstGeom>
                  </pic:spPr>
                </pic:pic>
              </a:graphicData>
            </a:graphic>
          </wp:inline>
        </w:drawing>
      </w:r>
    </w:p>
    <w:p w14:paraId="059CFE8D">
      <w:pPr>
        <w:rPr>
          <w:rFonts w:hint="eastAsia" w:eastAsia="宋体"/>
          <w:color w:val="auto"/>
          <w:highlight w:val="none"/>
          <w:lang w:eastAsia="zh-CN"/>
        </w:rPr>
        <w:sectPr>
          <w:pgSz w:w="11906" w:h="16838"/>
          <w:pgMar w:top="0" w:right="0" w:bottom="0" w:left="0" w:header="851" w:footer="992" w:gutter="0"/>
          <w:pgBorders>
            <w:top w:val="none" w:sz="0" w:space="0"/>
            <w:left w:val="none" w:sz="0" w:space="0"/>
            <w:bottom w:val="none" w:sz="0" w:space="0"/>
            <w:right w:val="none" w:sz="0" w:space="0"/>
          </w:pgBorders>
          <w:cols w:space="720" w:num="1"/>
          <w:docGrid w:type="lines" w:linePitch="312" w:charSpace="0"/>
        </w:sectPr>
      </w:pPr>
      <w:r>
        <w:rPr>
          <w:rFonts w:hint="default" w:eastAsia="宋体"/>
          <w:color w:val="auto"/>
          <w:highlight w:val="none"/>
          <w:lang w:eastAsia="zh-CN"/>
        </w:rPr>
        <w:drawing>
          <wp:inline distT="0" distB="0" distL="114300" distR="114300">
            <wp:extent cx="7536815" cy="10661015"/>
            <wp:effectExtent l="0" t="0" r="6985" b="6985"/>
            <wp:docPr id="211" name="图片 211" descr="营业执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图片 211" descr="营业执照"/>
                    <pic:cNvPicPr>
                      <a:picLocks noChangeAspect="1"/>
                    </pic:cNvPicPr>
                  </pic:nvPicPr>
                  <pic:blipFill>
                    <a:blip r:embed="rId14"/>
                    <a:stretch>
                      <a:fillRect/>
                    </a:stretch>
                  </pic:blipFill>
                  <pic:spPr>
                    <a:xfrm>
                      <a:off x="0" y="0"/>
                      <a:ext cx="7536815" cy="10661015"/>
                    </a:xfrm>
                    <a:prstGeom prst="rect">
                      <a:avLst/>
                    </a:prstGeom>
                  </pic:spPr>
                </pic:pic>
              </a:graphicData>
            </a:graphic>
          </wp:inline>
        </w:drawing>
      </w:r>
      <w:r>
        <w:rPr>
          <w:rFonts w:hint="eastAsia" w:eastAsia="宋体"/>
          <w:color w:val="auto"/>
          <w:highlight w:val="none"/>
          <w:lang w:eastAsia="zh-CN"/>
        </w:rPr>
        <w:drawing>
          <wp:inline distT="0" distB="0" distL="114300" distR="114300">
            <wp:extent cx="7496810" cy="10595610"/>
            <wp:effectExtent l="0" t="0" r="8890" b="15240"/>
            <wp:docPr id="197" name="图片 197" descr="9fe0aab4bbc760ffd17438f37f177d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197" descr="9fe0aab4bbc760ffd17438f37f177da5"/>
                    <pic:cNvPicPr>
                      <a:picLocks noChangeAspect="1"/>
                    </pic:cNvPicPr>
                  </pic:nvPicPr>
                  <pic:blipFill>
                    <a:blip r:embed="rId15"/>
                    <a:srcRect t="896" r="931"/>
                    <a:stretch>
                      <a:fillRect/>
                    </a:stretch>
                  </pic:blipFill>
                  <pic:spPr>
                    <a:xfrm>
                      <a:off x="0" y="0"/>
                      <a:ext cx="7496810" cy="10595610"/>
                    </a:xfrm>
                    <a:prstGeom prst="rect">
                      <a:avLst/>
                    </a:prstGeom>
                  </pic:spPr>
                </pic:pic>
              </a:graphicData>
            </a:graphic>
          </wp:inline>
        </w:drawing>
      </w:r>
    </w:p>
    <w:tbl>
      <w:tblPr>
        <w:tblStyle w:val="2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927"/>
        <w:gridCol w:w="4927"/>
      </w:tblGrid>
      <w:tr w14:paraId="64AA7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927" w:type="dxa"/>
            <w:tcBorders>
              <w:tl2br w:val="nil"/>
              <w:tr2bl w:val="nil"/>
            </w:tcBorders>
            <w:vAlign w:val="center"/>
          </w:tcPr>
          <w:p w14:paraId="2D8206A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4"/>
                <w:szCs w:val="24"/>
                <w:highlight w:val="none"/>
                <w:vertAlign w:val="baseline"/>
                <w:lang w:eastAsia="zh-CN"/>
              </w:rPr>
            </w:pPr>
            <w:r>
              <w:rPr>
                <w:color w:val="auto"/>
              </w:rPr>
              <w:drawing>
                <wp:inline distT="0" distB="0" distL="114300" distR="114300">
                  <wp:extent cx="2959100" cy="2217420"/>
                  <wp:effectExtent l="0" t="0" r="12700" b="11430"/>
                  <wp:docPr id="130" name="图片 4"/>
                  <wp:cNvGraphicFramePr/>
                  <a:graphic xmlns:a="http://schemas.openxmlformats.org/drawingml/2006/main">
                    <a:graphicData uri="http://schemas.openxmlformats.org/drawingml/2006/picture">
                      <pic:pic xmlns:pic="http://schemas.openxmlformats.org/drawingml/2006/picture">
                        <pic:nvPicPr>
                          <pic:cNvPr id="130" name="图片 4"/>
                          <pic:cNvPicPr/>
                        </pic:nvPicPr>
                        <pic:blipFill>
                          <a:blip r:embed="rId16"/>
                          <a:stretch>
                            <a:fillRect/>
                          </a:stretch>
                        </pic:blipFill>
                        <pic:spPr>
                          <a:xfrm>
                            <a:off x="0" y="0"/>
                            <a:ext cx="2959100" cy="2217420"/>
                          </a:xfrm>
                          <a:prstGeom prst="rect">
                            <a:avLst/>
                          </a:prstGeom>
                          <a:noFill/>
                          <a:ln>
                            <a:noFill/>
                          </a:ln>
                        </pic:spPr>
                      </pic:pic>
                    </a:graphicData>
                  </a:graphic>
                </wp:inline>
              </w:drawing>
            </w:r>
          </w:p>
        </w:tc>
        <w:tc>
          <w:tcPr>
            <w:tcW w:w="4927" w:type="dxa"/>
            <w:tcBorders>
              <w:tl2br w:val="nil"/>
              <w:tr2bl w:val="nil"/>
            </w:tcBorders>
            <w:vAlign w:val="center"/>
          </w:tcPr>
          <w:p w14:paraId="1194F74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4"/>
                <w:szCs w:val="24"/>
                <w:highlight w:val="none"/>
                <w:vertAlign w:val="baseline"/>
                <w:lang w:eastAsia="zh-CN"/>
              </w:rPr>
            </w:pPr>
            <w:r>
              <w:rPr>
                <w:color w:val="auto"/>
              </w:rPr>
              <w:drawing>
                <wp:inline distT="0" distB="0" distL="114300" distR="114300">
                  <wp:extent cx="2959100" cy="2217420"/>
                  <wp:effectExtent l="0" t="0" r="12700" b="11430"/>
                  <wp:docPr id="51" name="图片 3"/>
                  <wp:cNvGraphicFramePr/>
                  <a:graphic xmlns:a="http://schemas.openxmlformats.org/drawingml/2006/main">
                    <a:graphicData uri="http://schemas.openxmlformats.org/drawingml/2006/picture">
                      <pic:pic xmlns:pic="http://schemas.openxmlformats.org/drawingml/2006/picture">
                        <pic:nvPicPr>
                          <pic:cNvPr id="51" name="图片 3"/>
                          <pic:cNvPicPr/>
                        </pic:nvPicPr>
                        <pic:blipFill>
                          <a:blip r:embed="rId17"/>
                          <a:stretch>
                            <a:fillRect/>
                          </a:stretch>
                        </pic:blipFill>
                        <pic:spPr>
                          <a:xfrm>
                            <a:off x="0" y="0"/>
                            <a:ext cx="2959100" cy="2217420"/>
                          </a:xfrm>
                          <a:prstGeom prst="rect">
                            <a:avLst/>
                          </a:prstGeom>
                          <a:noFill/>
                          <a:ln>
                            <a:noFill/>
                          </a:ln>
                        </pic:spPr>
                      </pic:pic>
                    </a:graphicData>
                  </a:graphic>
                </wp:inline>
              </w:drawing>
            </w:r>
          </w:p>
        </w:tc>
      </w:tr>
      <w:tr w14:paraId="160CC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927" w:type="dxa"/>
            <w:tcBorders>
              <w:tl2br w:val="nil"/>
              <w:tr2bl w:val="nil"/>
            </w:tcBorders>
            <w:vAlign w:val="center"/>
          </w:tcPr>
          <w:p w14:paraId="3B4C1BF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bCs/>
                <w:color w:val="auto"/>
                <w:sz w:val="24"/>
                <w:szCs w:val="24"/>
                <w:highlight w:val="none"/>
                <w:vertAlign w:val="baseline"/>
                <w:lang w:val="en-US" w:eastAsia="zh-CN"/>
              </w:rPr>
            </w:pPr>
            <w:r>
              <w:rPr>
                <w:rFonts w:hint="eastAsia" w:cs="Times New Roman"/>
                <w:b/>
                <w:bCs/>
                <w:color w:val="auto"/>
                <w:sz w:val="24"/>
                <w:szCs w:val="24"/>
                <w:highlight w:val="none"/>
                <w:vertAlign w:val="baseline"/>
                <w:lang w:val="en-US" w:eastAsia="zh-CN"/>
              </w:rPr>
              <w:t>本项目原煤仓拟建位置</w:t>
            </w:r>
          </w:p>
        </w:tc>
        <w:tc>
          <w:tcPr>
            <w:tcW w:w="4927" w:type="dxa"/>
            <w:tcBorders>
              <w:tl2br w:val="nil"/>
              <w:tr2bl w:val="nil"/>
            </w:tcBorders>
            <w:vAlign w:val="center"/>
          </w:tcPr>
          <w:p w14:paraId="30EE3E3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bCs/>
                <w:color w:val="auto"/>
                <w:sz w:val="24"/>
                <w:szCs w:val="24"/>
                <w:highlight w:val="none"/>
                <w:vertAlign w:val="baseline"/>
                <w:lang w:val="en-US" w:eastAsia="zh-CN"/>
              </w:rPr>
            </w:pPr>
            <w:r>
              <w:rPr>
                <w:rFonts w:hint="eastAsia" w:cs="Times New Roman"/>
                <w:b/>
                <w:bCs/>
                <w:color w:val="auto"/>
                <w:sz w:val="24"/>
                <w:szCs w:val="24"/>
                <w:highlight w:val="none"/>
                <w:vertAlign w:val="baseline"/>
                <w:lang w:val="en-US" w:eastAsia="zh-CN"/>
              </w:rPr>
              <w:t>本项目末煤仓拟建位置</w:t>
            </w:r>
          </w:p>
        </w:tc>
      </w:tr>
      <w:tr w14:paraId="7C9C7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927" w:type="dxa"/>
            <w:tcBorders>
              <w:tl2br w:val="nil"/>
              <w:tr2bl w:val="nil"/>
            </w:tcBorders>
            <w:vAlign w:val="center"/>
          </w:tcPr>
          <w:p w14:paraId="60CB9B6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color w:val="auto"/>
                <w:kern w:val="2"/>
                <w:sz w:val="24"/>
                <w:szCs w:val="24"/>
                <w:highlight w:val="none"/>
                <w:vertAlign w:val="baseline"/>
                <w:lang w:val="en-US" w:eastAsia="zh-CN" w:bidi="ar-SA"/>
              </w:rPr>
            </w:pPr>
            <w:r>
              <w:rPr>
                <w:rFonts w:hint="eastAsia" w:ascii="Times New Roman" w:hAnsi="Times New Roman" w:eastAsia="宋体" w:cs="Times New Roman"/>
                <w:color w:val="auto"/>
                <w:kern w:val="2"/>
                <w:sz w:val="24"/>
                <w:szCs w:val="24"/>
                <w:highlight w:val="none"/>
                <w:vertAlign w:val="baseline"/>
                <w:lang w:val="en-US" w:eastAsia="zh-CN" w:bidi="ar-SA"/>
              </w:rPr>
              <w:drawing>
                <wp:inline distT="0" distB="0" distL="114300" distR="114300">
                  <wp:extent cx="2958465" cy="2218690"/>
                  <wp:effectExtent l="0" t="0" r="13335" b="10160"/>
                  <wp:docPr id="131" name="图片 131" descr="微信图片_20260615085451_1604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31" descr="微信图片_20260615085451_1604_23"/>
                          <pic:cNvPicPr>
                            <a:picLocks noChangeAspect="1"/>
                          </pic:cNvPicPr>
                        </pic:nvPicPr>
                        <pic:blipFill>
                          <a:blip r:embed="rId18"/>
                          <a:stretch>
                            <a:fillRect/>
                          </a:stretch>
                        </pic:blipFill>
                        <pic:spPr>
                          <a:xfrm>
                            <a:off x="0" y="0"/>
                            <a:ext cx="2958465" cy="2218690"/>
                          </a:xfrm>
                          <a:prstGeom prst="rect">
                            <a:avLst/>
                          </a:prstGeom>
                        </pic:spPr>
                      </pic:pic>
                    </a:graphicData>
                  </a:graphic>
                </wp:inline>
              </w:drawing>
            </w:r>
          </w:p>
        </w:tc>
        <w:tc>
          <w:tcPr>
            <w:tcW w:w="4927" w:type="dxa"/>
            <w:tcBorders>
              <w:tl2br w:val="nil"/>
              <w:tr2bl w:val="nil"/>
            </w:tcBorders>
            <w:vAlign w:val="center"/>
          </w:tcPr>
          <w:p w14:paraId="0BB3A13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color w:val="auto"/>
                <w:kern w:val="2"/>
                <w:sz w:val="24"/>
                <w:szCs w:val="24"/>
                <w:highlight w:val="none"/>
                <w:vertAlign w:val="baseline"/>
                <w:lang w:val="en-US" w:eastAsia="zh-CN" w:bidi="ar-SA"/>
              </w:rPr>
            </w:pPr>
            <w:r>
              <w:rPr>
                <w:rFonts w:hint="eastAsia" w:ascii="Times New Roman" w:hAnsi="Times New Roman" w:eastAsia="宋体" w:cs="Times New Roman"/>
                <w:color w:val="auto"/>
                <w:kern w:val="2"/>
                <w:sz w:val="24"/>
                <w:szCs w:val="24"/>
                <w:highlight w:val="none"/>
                <w:vertAlign w:val="baseline"/>
                <w:lang w:val="en-US" w:eastAsia="zh-CN" w:bidi="ar-SA"/>
              </w:rPr>
              <w:drawing>
                <wp:inline distT="0" distB="0" distL="114300" distR="114300">
                  <wp:extent cx="2958465" cy="2218690"/>
                  <wp:effectExtent l="0" t="0" r="13335" b="10160"/>
                  <wp:docPr id="132" name="图片 132" descr="微信图片_20260615085422_1591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32" descr="微信图片_20260615085422_1591_23"/>
                          <pic:cNvPicPr>
                            <a:picLocks noChangeAspect="1"/>
                          </pic:cNvPicPr>
                        </pic:nvPicPr>
                        <pic:blipFill>
                          <a:blip r:embed="rId19"/>
                          <a:stretch>
                            <a:fillRect/>
                          </a:stretch>
                        </pic:blipFill>
                        <pic:spPr>
                          <a:xfrm>
                            <a:off x="0" y="0"/>
                            <a:ext cx="2958465" cy="2218690"/>
                          </a:xfrm>
                          <a:prstGeom prst="rect">
                            <a:avLst/>
                          </a:prstGeom>
                        </pic:spPr>
                      </pic:pic>
                    </a:graphicData>
                  </a:graphic>
                </wp:inline>
              </w:drawing>
            </w:r>
          </w:p>
        </w:tc>
      </w:tr>
      <w:tr w14:paraId="3D80F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4927" w:type="dxa"/>
            <w:tcBorders>
              <w:tl2br w:val="nil"/>
              <w:tr2bl w:val="nil"/>
            </w:tcBorders>
            <w:vAlign w:val="center"/>
          </w:tcPr>
          <w:p w14:paraId="5DDAC2B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bCs/>
                <w:color w:val="auto"/>
                <w:kern w:val="2"/>
                <w:sz w:val="24"/>
                <w:szCs w:val="24"/>
                <w:highlight w:val="none"/>
                <w:vertAlign w:val="baseline"/>
                <w:lang w:val="en-US" w:eastAsia="zh-CN" w:bidi="ar-SA"/>
              </w:rPr>
            </w:pPr>
            <w:r>
              <w:rPr>
                <w:rFonts w:hint="eastAsia" w:cs="Times New Roman"/>
                <w:b/>
                <w:bCs/>
                <w:color w:val="auto"/>
                <w:kern w:val="2"/>
                <w:sz w:val="24"/>
                <w:szCs w:val="24"/>
                <w:highlight w:val="none"/>
                <w:vertAlign w:val="baseline"/>
                <w:lang w:val="en-US" w:eastAsia="zh-CN" w:bidi="ar-SA"/>
              </w:rPr>
              <w:t>现有工程两座原煤仓</w:t>
            </w:r>
          </w:p>
        </w:tc>
        <w:tc>
          <w:tcPr>
            <w:tcW w:w="4927" w:type="dxa"/>
            <w:tcBorders>
              <w:tl2br w:val="nil"/>
              <w:tr2bl w:val="nil"/>
            </w:tcBorders>
            <w:vAlign w:val="center"/>
          </w:tcPr>
          <w:p w14:paraId="4E7BD56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bCs/>
                <w:color w:val="auto"/>
                <w:kern w:val="2"/>
                <w:sz w:val="24"/>
                <w:szCs w:val="24"/>
                <w:highlight w:val="none"/>
                <w:vertAlign w:val="baseline"/>
                <w:lang w:val="en-US" w:eastAsia="zh-CN" w:bidi="ar-SA"/>
              </w:rPr>
            </w:pPr>
            <w:r>
              <w:rPr>
                <w:rFonts w:hint="eastAsia" w:cs="Times New Roman"/>
                <w:b/>
                <w:bCs/>
                <w:color w:val="auto"/>
                <w:kern w:val="2"/>
                <w:sz w:val="24"/>
                <w:szCs w:val="24"/>
                <w:highlight w:val="none"/>
                <w:vertAlign w:val="baseline"/>
                <w:lang w:val="en-US" w:eastAsia="zh-CN" w:bidi="ar-SA"/>
              </w:rPr>
              <w:t>现有工程三座末煤仓</w:t>
            </w:r>
          </w:p>
        </w:tc>
      </w:tr>
      <w:tr w14:paraId="3A191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4927" w:type="dxa"/>
            <w:tcBorders>
              <w:tl2br w:val="nil"/>
              <w:tr2bl w:val="nil"/>
            </w:tcBorders>
            <w:vAlign w:val="center"/>
          </w:tcPr>
          <w:p w14:paraId="7BDE7000">
            <w:pPr>
              <w:keepNext w:val="0"/>
              <w:keepLines w:val="0"/>
              <w:pageBreakBefore w:val="0"/>
              <w:widowControl w:val="0"/>
              <w:kinsoku/>
              <w:wordWrap/>
              <w:overflowPunct/>
              <w:topLinePunct w:val="0"/>
              <w:autoSpaceDE/>
              <w:autoSpaceDN/>
              <w:bidi w:val="0"/>
              <w:adjustRightInd/>
              <w:snapToGrid/>
              <w:jc w:val="center"/>
              <w:textAlignment w:val="auto"/>
              <w:rPr>
                <w:rFonts w:hint="eastAsia" w:cs="Times New Roman"/>
                <w:b/>
                <w:bCs/>
                <w:color w:val="auto"/>
                <w:kern w:val="2"/>
                <w:sz w:val="24"/>
                <w:szCs w:val="24"/>
                <w:highlight w:val="none"/>
                <w:vertAlign w:val="baseline"/>
                <w:lang w:val="en-US" w:eastAsia="zh-CN" w:bidi="ar-SA"/>
              </w:rPr>
            </w:pPr>
            <w:r>
              <w:rPr>
                <w:rFonts w:hint="eastAsia" w:cs="Times New Roman"/>
                <w:b/>
                <w:bCs/>
                <w:color w:val="auto"/>
                <w:kern w:val="2"/>
                <w:sz w:val="24"/>
                <w:szCs w:val="24"/>
                <w:highlight w:val="none"/>
                <w:vertAlign w:val="baseline"/>
                <w:lang w:val="en-US" w:eastAsia="zh-CN" w:bidi="ar-SA"/>
              </w:rPr>
              <w:drawing>
                <wp:inline distT="0" distB="0" distL="114300" distR="114300">
                  <wp:extent cx="2958465" cy="2218690"/>
                  <wp:effectExtent l="0" t="0" r="13335" b="10160"/>
                  <wp:docPr id="124" name="图片 124" descr="微信图片_20260615085444_1601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descr="微信图片_20260615085444_1601_23"/>
                          <pic:cNvPicPr>
                            <a:picLocks noChangeAspect="1"/>
                          </pic:cNvPicPr>
                        </pic:nvPicPr>
                        <pic:blipFill>
                          <a:blip r:embed="rId20"/>
                          <a:stretch>
                            <a:fillRect/>
                          </a:stretch>
                        </pic:blipFill>
                        <pic:spPr>
                          <a:xfrm>
                            <a:off x="0" y="0"/>
                            <a:ext cx="2958465" cy="2218690"/>
                          </a:xfrm>
                          <a:prstGeom prst="rect">
                            <a:avLst/>
                          </a:prstGeom>
                        </pic:spPr>
                      </pic:pic>
                    </a:graphicData>
                  </a:graphic>
                </wp:inline>
              </w:drawing>
            </w:r>
          </w:p>
        </w:tc>
        <w:tc>
          <w:tcPr>
            <w:tcW w:w="4927" w:type="dxa"/>
            <w:tcBorders>
              <w:tl2br w:val="nil"/>
              <w:tr2bl w:val="nil"/>
            </w:tcBorders>
            <w:vAlign w:val="center"/>
          </w:tcPr>
          <w:p w14:paraId="70FF75A1">
            <w:pPr>
              <w:keepNext w:val="0"/>
              <w:keepLines w:val="0"/>
              <w:pageBreakBefore w:val="0"/>
              <w:widowControl w:val="0"/>
              <w:kinsoku/>
              <w:wordWrap/>
              <w:overflowPunct/>
              <w:topLinePunct w:val="0"/>
              <w:autoSpaceDE/>
              <w:autoSpaceDN/>
              <w:bidi w:val="0"/>
              <w:adjustRightInd/>
              <w:snapToGrid/>
              <w:jc w:val="center"/>
              <w:textAlignment w:val="auto"/>
              <w:rPr>
                <w:rFonts w:hint="eastAsia" w:cs="Times New Roman"/>
                <w:b/>
                <w:bCs/>
                <w:color w:val="auto"/>
                <w:kern w:val="2"/>
                <w:sz w:val="24"/>
                <w:szCs w:val="24"/>
                <w:highlight w:val="none"/>
                <w:vertAlign w:val="baseline"/>
                <w:lang w:val="en-US" w:eastAsia="zh-CN" w:bidi="ar-SA"/>
              </w:rPr>
            </w:pPr>
            <w:r>
              <w:rPr>
                <w:rFonts w:hint="eastAsia" w:cs="Times New Roman"/>
                <w:b/>
                <w:bCs/>
                <w:color w:val="auto"/>
                <w:kern w:val="2"/>
                <w:sz w:val="24"/>
                <w:szCs w:val="24"/>
                <w:highlight w:val="none"/>
                <w:vertAlign w:val="baseline"/>
                <w:lang w:val="en-US" w:eastAsia="zh-CN" w:bidi="ar-SA"/>
              </w:rPr>
              <w:drawing>
                <wp:inline distT="0" distB="0" distL="114300" distR="114300">
                  <wp:extent cx="2964815" cy="2223770"/>
                  <wp:effectExtent l="0" t="0" r="6985" b="5080"/>
                  <wp:docPr id="123" name="图片 123" descr="微信图片_20260615085430_1595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23" descr="微信图片_20260615085430_1595_23"/>
                          <pic:cNvPicPr>
                            <a:picLocks noChangeAspect="1"/>
                          </pic:cNvPicPr>
                        </pic:nvPicPr>
                        <pic:blipFill>
                          <a:blip r:embed="rId21"/>
                          <a:stretch>
                            <a:fillRect/>
                          </a:stretch>
                        </pic:blipFill>
                        <pic:spPr>
                          <a:xfrm>
                            <a:off x="0" y="0"/>
                            <a:ext cx="2964815" cy="2223770"/>
                          </a:xfrm>
                          <a:prstGeom prst="rect">
                            <a:avLst/>
                          </a:prstGeom>
                        </pic:spPr>
                      </pic:pic>
                    </a:graphicData>
                  </a:graphic>
                </wp:inline>
              </w:drawing>
            </w:r>
          </w:p>
        </w:tc>
      </w:tr>
      <w:tr w14:paraId="381D6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4927" w:type="dxa"/>
            <w:tcBorders>
              <w:tl2br w:val="nil"/>
              <w:tr2bl w:val="nil"/>
            </w:tcBorders>
            <w:vAlign w:val="center"/>
          </w:tcPr>
          <w:p w14:paraId="48E29696">
            <w:pPr>
              <w:keepNext w:val="0"/>
              <w:keepLines w:val="0"/>
              <w:pageBreakBefore w:val="0"/>
              <w:widowControl w:val="0"/>
              <w:kinsoku/>
              <w:wordWrap/>
              <w:overflowPunct/>
              <w:topLinePunct w:val="0"/>
              <w:autoSpaceDE/>
              <w:autoSpaceDN/>
              <w:bidi w:val="0"/>
              <w:adjustRightInd/>
              <w:snapToGrid/>
              <w:jc w:val="center"/>
              <w:textAlignment w:val="auto"/>
              <w:rPr>
                <w:rFonts w:hint="default" w:cs="Times New Roman"/>
                <w:b/>
                <w:bCs/>
                <w:color w:val="auto"/>
                <w:kern w:val="2"/>
                <w:sz w:val="24"/>
                <w:szCs w:val="24"/>
                <w:highlight w:val="none"/>
                <w:vertAlign w:val="baseline"/>
                <w:lang w:val="en-US" w:eastAsia="zh-CN" w:bidi="ar-SA"/>
              </w:rPr>
            </w:pPr>
            <w:r>
              <w:rPr>
                <w:rFonts w:hint="eastAsia" w:cs="Times New Roman"/>
                <w:b/>
                <w:bCs/>
                <w:color w:val="auto"/>
                <w:kern w:val="2"/>
                <w:sz w:val="24"/>
                <w:szCs w:val="24"/>
                <w:highlight w:val="none"/>
                <w:vertAlign w:val="baseline"/>
                <w:lang w:val="en-US" w:eastAsia="zh-CN" w:bidi="ar-SA"/>
              </w:rPr>
              <w:t>拟拆除现有初期雨水收集池</w:t>
            </w:r>
          </w:p>
        </w:tc>
        <w:tc>
          <w:tcPr>
            <w:tcW w:w="4927" w:type="dxa"/>
            <w:tcBorders>
              <w:tl2br w:val="nil"/>
              <w:tr2bl w:val="nil"/>
            </w:tcBorders>
            <w:vAlign w:val="center"/>
          </w:tcPr>
          <w:p w14:paraId="3212CDA2">
            <w:pPr>
              <w:keepNext w:val="0"/>
              <w:keepLines w:val="0"/>
              <w:pageBreakBefore w:val="0"/>
              <w:widowControl w:val="0"/>
              <w:kinsoku/>
              <w:wordWrap/>
              <w:overflowPunct/>
              <w:topLinePunct w:val="0"/>
              <w:autoSpaceDE/>
              <w:autoSpaceDN/>
              <w:bidi w:val="0"/>
              <w:adjustRightInd/>
              <w:snapToGrid/>
              <w:jc w:val="center"/>
              <w:textAlignment w:val="auto"/>
              <w:rPr>
                <w:rFonts w:hint="default" w:cs="Times New Roman"/>
                <w:b/>
                <w:bCs/>
                <w:color w:val="auto"/>
                <w:kern w:val="2"/>
                <w:sz w:val="24"/>
                <w:szCs w:val="24"/>
                <w:highlight w:val="none"/>
                <w:vertAlign w:val="baseline"/>
                <w:lang w:val="en-US" w:eastAsia="zh-CN" w:bidi="ar-SA"/>
              </w:rPr>
            </w:pPr>
            <w:r>
              <w:rPr>
                <w:rFonts w:hint="eastAsia" w:cs="Times New Roman"/>
                <w:b/>
                <w:bCs/>
                <w:color w:val="auto"/>
                <w:kern w:val="2"/>
                <w:sz w:val="24"/>
                <w:szCs w:val="24"/>
                <w:highlight w:val="none"/>
                <w:vertAlign w:val="baseline"/>
                <w:lang w:val="en-US" w:eastAsia="zh-CN" w:bidi="ar-SA"/>
              </w:rPr>
              <w:t>拟建初期雨水收集池位置</w:t>
            </w:r>
          </w:p>
        </w:tc>
      </w:tr>
    </w:tbl>
    <w:p w14:paraId="23CF6AB9">
      <w:pPr>
        <w:adjustRightInd w:val="0"/>
        <w:snapToGrid w:val="0"/>
        <w:spacing w:line="288" w:lineRule="auto"/>
        <w:jc w:val="both"/>
        <w:rPr>
          <w:rFonts w:hint="default" w:eastAsia="宋体"/>
          <w:color w:val="auto"/>
          <w:highlight w:val="none"/>
          <w:lang w:eastAsia="zh-CN"/>
        </w:rPr>
        <w:sectPr>
          <w:footerReference r:id="rId6" w:type="default"/>
          <w:pgSz w:w="11906" w:h="16838"/>
          <w:pgMar w:top="1701" w:right="1134" w:bottom="1701" w:left="1134" w:header="851" w:footer="1077" w:gutter="0"/>
          <w:pgBorders>
            <w:top w:val="none" w:sz="0" w:space="0"/>
            <w:left w:val="none" w:sz="0" w:space="0"/>
            <w:bottom w:val="none" w:sz="0" w:space="0"/>
            <w:right w:val="none" w:sz="0" w:space="0"/>
          </w:pgBorders>
          <w:pgNumType w:start="3"/>
          <w:cols w:space="720" w:num="1"/>
          <w:docGrid w:linePitch="312" w:charSpace="0"/>
        </w:sectPr>
      </w:pPr>
    </w:p>
    <w:p w14:paraId="0657EB88">
      <w:pPr>
        <w:keepNext w:val="0"/>
        <w:keepLines w:val="0"/>
        <w:pageBreakBefore w:val="0"/>
        <w:kinsoku/>
        <w:wordWrap/>
        <w:overflowPunct/>
        <w:topLinePunct w:val="0"/>
        <w:autoSpaceDE/>
        <w:autoSpaceDN/>
        <w:bidi w:val="0"/>
        <w:spacing w:before="0" w:after="0" w:line="360" w:lineRule="auto"/>
        <w:ind w:left="0" w:leftChars="0" w:right="0" w:rightChars="0" w:firstLine="0" w:firstLineChars="0"/>
        <w:jc w:val="center"/>
        <w:textAlignment w:val="auto"/>
        <w:rPr>
          <w:rFonts w:hint="eastAsia" w:ascii="Times New Roman" w:hAnsi="Times New Roman" w:eastAsia="宋体" w:cs="Times New Roman"/>
          <w:b/>
          <w:bCs/>
          <w:color w:val="auto"/>
          <w:sz w:val="30"/>
          <w:szCs w:val="30"/>
          <w:highlight w:val="none"/>
          <w:lang w:eastAsia="zh-CN"/>
        </w:rPr>
        <w:sectPr>
          <w:pgSz w:w="11906" w:h="16838"/>
          <w:pgMar w:top="0" w:right="0" w:bottom="0" w:left="0" w:header="0" w:footer="0" w:gutter="0"/>
          <w:pgBorders>
            <w:top w:val="none" w:sz="0" w:space="0"/>
            <w:left w:val="none" w:sz="0" w:space="0"/>
            <w:bottom w:val="none" w:sz="0" w:space="0"/>
            <w:right w:val="none" w:sz="0" w:space="0"/>
          </w:pgBorders>
          <w:pgNumType w:start="3"/>
          <w:cols w:space="0" w:num="1"/>
          <w:rtlGutter w:val="0"/>
          <w:docGrid w:linePitch="312" w:charSpace="0"/>
        </w:sectPr>
      </w:pPr>
      <w:r>
        <w:rPr>
          <w:rFonts w:hint="eastAsia" w:ascii="Times New Roman" w:hAnsi="Times New Roman" w:eastAsia="宋体" w:cs="Times New Roman"/>
          <w:b/>
          <w:bCs/>
          <w:color w:val="auto"/>
          <w:sz w:val="30"/>
          <w:szCs w:val="30"/>
          <w:highlight w:val="none"/>
          <w:lang w:eastAsia="zh-CN"/>
        </w:rPr>
        <w:drawing>
          <wp:inline distT="0" distB="0" distL="114300" distR="114300">
            <wp:extent cx="7468235" cy="10551795"/>
            <wp:effectExtent l="0" t="0" r="18415" b="1905"/>
            <wp:docPr id="32" name="图片 32" descr="修改说明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修改说明1"/>
                    <pic:cNvPicPr>
                      <a:picLocks noChangeAspect="1"/>
                    </pic:cNvPicPr>
                  </pic:nvPicPr>
                  <pic:blipFill>
                    <a:blip r:embed="rId22"/>
                    <a:stretch>
                      <a:fillRect/>
                    </a:stretch>
                  </pic:blipFill>
                  <pic:spPr>
                    <a:xfrm>
                      <a:off x="0" y="0"/>
                      <a:ext cx="7468235" cy="10551795"/>
                    </a:xfrm>
                    <a:prstGeom prst="rect">
                      <a:avLst/>
                    </a:prstGeom>
                  </pic:spPr>
                </pic:pic>
              </a:graphicData>
            </a:graphic>
          </wp:inline>
        </w:drawing>
      </w:r>
      <w:r>
        <w:rPr>
          <w:rFonts w:hint="eastAsia" w:ascii="Times New Roman" w:hAnsi="Times New Roman" w:eastAsia="宋体" w:cs="Times New Roman"/>
          <w:b/>
          <w:bCs/>
          <w:color w:val="auto"/>
          <w:sz w:val="30"/>
          <w:szCs w:val="30"/>
          <w:highlight w:val="none"/>
          <w:lang w:eastAsia="zh-CN"/>
        </w:rPr>
        <w:drawing>
          <wp:inline distT="0" distB="0" distL="114300" distR="114300">
            <wp:extent cx="7468235" cy="10551795"/>
            <wp:effectExtent l="0" t="0" r="18415" b="1905"/>
            <wp:docPr id="217" name="图片 217" descr="修改说明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图片 217" descr="修改说明2"/>
                    <pic:cNvPicPr>
                      <a:picLocks noChangeAspect="1"/>
                    </pic:cNvPicPr>
                  </pic:nvPicPr>
                  <pic:blipFill>
                    <a:blip r:embed="rId23"/>
                    <a:stretch>
                      <a:fillRect/>
                    </a:stretch>
                  </pic:blipFill>
                  <pic:spPr>
                    <a:xfrm>
                      <a:off x="0" y="0"/>
                      <a:ext cx="7468235" cy="10551795"/>
                    </a:xfrm>
                    <a:prstGeom prst="rect">
                      <a:avLst/>
                    </a:prstGeom>
                  </pic:spPr>
                </pic:pic>
              </a:graphicData>
            </a:graphic>
          </wp:inline>
        </w:drawing>
      </w:r>
    </w:p>
    <w:p w14:paraId="067F0C49">
      <w:pPr>
        <w:keepNext w:val="0"/>
        <w:keepLines w:val="0"/>
        <w:pageBreakBefore w:val="0"/>
        <w:kinsoku/>
        <w:wordWrap/>
        <w:overflowPunct/>
        <w:topLinePunct w:val="0"/>
        <w:autoSpaceDE/>
        <w:autoSpaceDN/>
        <w:bidi w:val="0"/>
        <w:spacing w:before="0" w:after="0" w:line="360" w:lineRule="auto"/>
        <w:ind w:left="0" w:leftChars="0" w:right="0" w:rightChars="0" w:firstLine="0" w:firstLineChars="0"/>
        <w:jc w:val="center"/>
        <w:textAlignment w:val="auto"/>
        <w:rPr>
          <w:rFonts w:hint="eastAsia" w:ascii="Times New Roman" w:hAnsi="Times New Roman" w:eastAsia="宋体" w:cs="Times New Roman"/>
          <w:b/>
          <w:bCs/>
          <w:color w:val="auto"/>
          <w:sz w:val="30"/>
          <w:szCs w:val="30"/>
          <w:highlight w:val="none"/>
          <w:lang w:val="en-US" w:eastAsia="zh-CN"/>
        </w:rPr>
      </w:pPr>
      <w:r>
        <w:rPr>
          <w:rFonts w:ascii="Times New Roman" w:hAnsi="Times New Roman" w:eastAsia="宋体" w:cs="Times New Roman"/>
          <w:b/>
          <w:bCs/>
          <w:color w:val="auto"/>
          <w:sz w:val="30"/>
          <w:szCs w:val="30"/>
          <w:highlight w:val="none"/>
        </w:rPr>
        <w:t>目</w:t>
      </w:r>
      <w:r>
        <w:rPr>
          <w:rFonts w:hint="eastAsia" w:ascii="Times New Roman" w:hAnsi="Times New Roman" w:eastAsia="宋体" w:cs="Times New Roman"/>
          <w:b/>
          <w:bCs/>
          <w:color w:val="auto"/>
          <w:sz w:val="30"/>
          <w:szCs w:val="30"/>
          <w:highlight w:val="none"/>
          <w:lang w:val="en-US" w:eastAsia="zh-CN"/>
        </w:rPr>
        <w:t xml:space="preserve">  </w:t>
      </w:r>
      <w:r>
        <w:rPr>
          <w:rFonts w:ascii="Times New Roman" w:hAnsi="Times New Roman" w:eastAsia="宋体" w:cs="Times New Roman"/>
          <w:b/>
          <w:bCs/>
          <w:color w:val="auto"/>
          <w:sz w:val="30"/>
          <w:szCs w:val="30"/>
          <w:highlight w:val="none"/>
        </w:rPr>
        <w:t>录</w:t>
      </w:r>
    </w:p>
    <w:p w14:paraId="1E797ABB">
      <w:pPr>
        <w:pStyle w:val="18"/>
        <w:keepNext w:val="0"/>
        <w:keepLines w:val="0"/>
        <w:pageBreakBefore w:val="0"/>
        <w:tabs>
          <w:tab w:val="right" w:leader="dot" w:pos="8306"/>
        </w:tabs>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aps w:val="0"/>
          <w:color w:val="auto"/>
          <w:sz w:val="24"/>
          <w:szCs w:val="24"/>
          <w:highlight w:val="none"/>
        </w:rPr>
        <w:fldChar w:fldCharType="begin"/>
      </w:r>
      <w:r>
        <w:rPr>
          <w:rFonts w:hint="default" w:ascii="Times New Roman" w:hAnsi="Times New Roman" w:eastAsia="宋体" w:cs="Times New Roman"/>
          <w:b/>
          <w:bCs/>
          <w:caps w:val="0"/>
          <w:color w:val="auto"/>
          <w:sz w:val="24"/>
          <w:szCs w:val="24"/>
          <w:highlight w:val="none"/>
        </w:rPr>
        <w:instrText xml:space="preserve">TOC \o "1-1" \h \u </w:instrText>
      </w:r>
      <w:r>
        <w:rPr>
          <w:rFonts w:hint="default" w:ascii="Times New Roman" w:hAnsi="Times New Roman" w:eastAsia="宋体" w:cs="Times New Roman"/>
          <w:b/>
          <w:bCs/>
          <w:caps w:val="0"/>
          <w:color w:val="auto"/>
          <w:sz w:val="24"/>
          <w:szCs w:val="24"/>
          <w:highlight w:val="none"/>
        </w:rPr>
        <w:fldChar w:fldCharType="separate"/>
      </w:r>
      <w:r>
        <w:rPr>
          <w:rFonts w:hint="default" w:ascii="Times New Roman" w:hAnsi="Times New Roman" w:eastAsia="宋体" w:cs="Times New Roman"/>
          <w:bCs/>
          <w:caps w:val="0"/>
          <w:color w:val="auto"/>
          <w:sz w:val="24"/>
          <w:szCs w:val="24"/>
          <w:highlight w:val="none"/>
        </w:rPr>
        <w:fldChar w:fldCharType="begin"/>
      </w:r>
      <w:r>
        <w:rPr>
          <w:rFonts w:hint="default" w:ascii="Times New Roman" w:hAnsi="Times New Roman" w:eastAsia="宋体" w:cs="Times New Roman"/>
          <w:bCs/>
          <w:caps w:val="0"/>
          <w:color w:val="auto"/>
          <w:sz w:val="24"/>
          <w:szCs w:val="24"/>
          <w:highlight w:val="none"/>
        </w:rPr>
        <w:instrText xml:space="preserve"> HYPERLINK \l _Toc12561 </w:instrText>
      </w:r>
      <w:r>
        <w:rPr>
          <w:rFonts w:hint="default" w:ascii="Times New Roman" w:hAnsi="Times New Roman" w:eastAsia="宋体" w:cs="Times New Roman"/>
          <w:bCs/>
          <w:caps w:val="0"/>
          <w:color w:val="auto"/>
          <w:sz w:val="24"/>
          <w:szCs w:val="24"/>
          <w:highlight w:val="none"/>
        </w:rPr>
        <w:fldChar w:fldCharType="separate"/>
      </w:r>
      <w:r>
        <w:rPr>
          <w:rFonts w:hint="default" w:ascii="Times New Roman" w:hAnsi="Times New Roman" w:eastAsia="宋体" w:cs="Times New Roman"/>
          <w:snapToGrid w:val="0"/>
          <w:color w:val="auto"/>
          <w:sz w:val="24"/>
          <w:szCs w:val="24"/>
          <w:highlight w:val="none"/>
        </w:rPr>
        <w:t>一、建设项目基本情况</w:t>
      </w:r>
      <w:r>
        <w:rPr>
          <w:rFonts w:hint="default" w:ascii="Times New Roman" w:hAnsi="Times New Roman" w:eastAsia="宋体" w:cs="Times New Roman"/>
          <w:color w:val="auto"/>
          <w:sz w:val="24"/>
          <w:szCs w:val="24"/>
          <w:highlight w:val="none"/>
        </w:rPr>
        <w:tab/>
      </w:r>
      <w:r>
        <w:rPr>
          <w:rFonts w:hint="default" w:ascii="Times New Roman" w:hAnsi="Times New Roman" w:eastAsia="宋体" w:cs="Times New Roman"/>
          <w:color w:val="auto"/>
          <w:sz w:val="24"/>
          <w:szCs w:val="24"/>
          <w:highlight w:val="none"/>
        </w:rPr>
        <w:fldChar w:fldCharType="begin"/>
      </w:r>
      <w:r>
        <w:rPr>
          <w:rFonts w:hint="default" w:ascii="Times New Roman" w:hAnsi="Times New Roman" w:eastAsia="宋体" w:cs="Times New Roman"/>
          <w:color w:val="auto"/>
          <w:sz w:val="24"/>
          <w:szCs w:val="24"/>
          <w:highlight w:val="none"/>
        </w:rPr>
        <w:instrText xml:space="preserve"> PAGEREF _Toc12561 \h </w:instrText>
      </w:r>
      <w:r>
        <w:rPr>
          <w:rFonts w:hint="default" w:ascii="Times New Roman" w:hAnsi="Times New Roman" w:eastAsia="宋体" w:cs="Times New Roman"/>
          <w:color w:val="auto"/>
          <w:sz w:val="24"/>
          <w:szCs w:val="24"/>
          <w:highlight w:val="none"/>
        </w:rPr>
        <w:fldChar w:fldCharType="separate"/>
      </w:r>
      <w:r>
        <w:rPr>
          <w:rFonts w:hint="default" w:ascii="Times New Roman" w:hAnsi="Times New Roman" w:eastAsia="宋体" w:cs="Times New Roman"/>
          <w:color w:val="auto"/>
          <w:sz w:val="24"/>
          <w:szCs w:val="24"/>
          <w:highlight w:val="none"/>
        </w:rPr>
        <w:t>1</w:t>
      </w:r>
      <w:r>
        <w:rPr>
          <w:rFonts w:hint="default" w:ascii="Times New Roman" w:hAnsi="Times New Roman" w:eastAsia="宋体" w:cs="Times New Roman"/>
          <w:color w:val="auto"/>
          <w:sz w:val="24"/>
          <w:szCs w:val="24"/>
          <w:highlight w:val="none"/>
        </w:rPr>
        <w:fldChar w:fldCharType="end"/>
      </w:r>
      <w:r>
        <w:rPr>
          <w:rFonts w:hint="default" w:ascii="Times New Roman" w:hAnsi="Times New Roman" w:eastAsia="宋体" w:cs="Times New Roman"/>
          <w:bCs/>
          <w:caps w:val="0"/>
          <w:color w:val="auto"/>
          <w:sz w:val="24"/>
          <w:szCs w:val="24"/>
          <w:highlight w:val="none"/>
        </w:rPr>
        <w:fldChar w:fldCharType="end"/>
      </w:r>
    </w:p>
    <w:p w14:paraId="232235A3">
      <w:pPr>
        <w:pStyle w:val="18"/>
        <w:keepNext w:val="0"/>
        <w:keepLines w:val="0"/>
        <w:pageBreakBefore w:val="0"/>
        <w:tabs>
          <w:tab w:val="right" w:leader="dot" w:pos="8306"/>
        </w:tabs>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Cs/>
          <w:caps w:val="0"/>
          <w:color w:val="auto"/>
          <w:sz w:val="24"/>
          <w:szCs w:val="24"/>
          <w:highlight w:val="none"/>
        </w:rPr>
        <w:fldChar w:fldCharType="begin"/>
      </w:r>
      <w:r>
        <w:rPr>
          <w:rFonts w:hint="default" w:ascii="Times New Roman" w:hAnsi="Times New Roman" w:eastAsia="宋体" w:cs="Times New Roman"/>
          <w:bCs/>
          <w:caps w:val="0"/>
          <w:color w:val="auto"/>
          <w:sz w:val="24"/>
          <w:szCs w:val="24"/>
          <w:highlight w:val="none"/>
        </w:rPr>
        <w:instrText xml:space="preserve"> HYPERLINK \l _Toc21071 </w:instrText>
      </w:r>
      <w:r>
        <w:rPr>
          <w:rFonts w:hint="default" w:ascii="Times New Roman" w:hAnsi="Times New Roman" w:eastAsia="宋体" w:cs="Times New Roman"/>
          <w:bCs/>
          <w:caps w:val="0"/>
          <w:color w:val="auto"/>
          <w:sz w:val="24"/>
          <w:szCs w:val="24"/>
          <w:highlight w:val="none"/>
        </w:rPr>
        <w:fldChar w:fldCharType="separate"/>
      </w:r>
      <w:r>
        <w:rPr>
          <w:rFonts w:hint="default" w:ascii="Times New Roman" w:hAnsi="Times New Roman" w:eastAsia="宋体" w:cs="Times New Roman"/>
          <w:snapToGrid w:val="0"/>
          <w:color w:val="auto"/>
          <w:sz w:val="24"/>
          <w:szCs w:val="24"/>
          <w:highlight w:val="none"/>
        </w:rPr>
        <w:t>二、建设项目工程分析</w:t>
      </w:r>
      <w:r>
        <w:rPr>
          <w:rFonts w:hint="default" w:ascii="Times New Roman" w:hAnsi="Times New Roman" w:eastAsia="宋体" w:cs="Times New Roman"/>
          <w:color w:val="auto"/>
          <w:sz w:val="24"/>
          <w:szCs w:val="24"/>
          <w:highlight w:val="none"/>
        </w:rPr>
        <w:tab/>
      </w:r>
      <w:r>
        <w:rPr>
          <w:rFonts w:hint="default" w:ascii="Times New Roman" w:hAnsi="Times New Roman" w:eastAsia="宋体" w:cs="Times New Roman"/>
          <w:color w:val="auto"/>
          <w:sz w:val="24"/>
          <w:szCs w:val="24"/>
          <w:highlight w:val="none"/>
        </w:rPr>
        <w:fldChar w:fldCharType="begin"/>
      </w:r>
      <w:r>
        <w:rPr>
          <w:rFonts w:hint="default" w:ascii="Times New Roman" w:hAnsi="Times New Roman" w:eastAsia="宋体" w:cs="Times New Roman"/>
          <w:color w:val="auto"/>
          <w:sz w:val="24"/>
          <w:szCs w:val="24"/>
          <w:highlight w:val="none"/>
        </w:rPr>
        <w:instrText xml:space="preserve"> PAGEREF _Toc21071 \h </w:instrText>
      </w:r>
      <w:r>
        <w:rPr>
          <w:rFonts w:hint="default" w:ascii="Times New Roman" w:hAnsi="Times New Roman" w:eastAsia="宋体" w:cs="Times New Roman"/>
          <w:color w:val="auto"/>
          <w:sz w:val="24"/>
          <w:szCs w:val="24"/>
          <w:highlight w:val="none"/>
        </w:rPr>
        <w:fldChar w:fldCharType="separate"/>
      </w:r>
      <w:r>
        <w:rPr>
          <w:rFonts w:hint="default" w:ascii="Times New Roman" w:hAnsi="Times New Roman" w:eastAsia="宋体" w:cs="Times New Roman"/>
          <w:color w:val="auto"/>
          <w:sz w:val="24"/>
          <w:szCs w:val="24"/>
          <w:highlight w:val="none"/>
        </w:rPr>
        <w:t>9</w:t>
      </w:r>
      <w:r>
        <w:rPr>
          <w:rFonts w:hint="default" w:ascii="Times New Roman" w:hAnsi="Times New Roman" w:eastAsia="宋体" w:cs="Times New Roman"/>
          <w:color w:val="auto"/>
          <w:sz w:val="24"/>
          <w:szCs w:val="24"/>
          <w:highlight w:val="none"/>
        </w:rPr>
        <w:fldChar w:fldCharType="end"/>
      </w:r>
      <w:r>
        <w:rPr>
          <w:rFonts w:hint="default" w:ascii="Times New Roman" w:hAnsi="Times New Roman" w:eastAsia="宋体" w:cs="Times New Roman"/>
          <w:bCs/>
          <w:caps w:val="0"/>
          <w:color w:val="auto"/>
          <w:sz w:val="24"/>
          <w:szCs w:val="24"/>
          <w:highlight w:val="none"/>
        </w:rPr>
        <w:fldChar w:fldCharType="end"/>
      </w:r>
    </w:p>
    <w:p w14:paraId="5799353F">
      <w:pPr>
        <w:pStyle w:val="18"/>
        <w:keepNext w:val="0"/>
        <w:keepLines w:val="0"/>
        <w:pageBreakBefore w:val="0"/>
        <w:tabs>
          <w:tab w:val="right" w:leader="dot" w:pos="8306"/>
        </w:tabs>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Cs/>
          <w:caps w:val="0"/>
          <w:color w:val="auto"/>
          <w:sz w:val="24"/>
          <w:szCs w:val="24"/>
          <w:highlight w:val="none"/>
        </w:rPr>
        <w:fldChar w:fldCharType="begin"/>
      </w:r>
      <w:r>
        <w:rPr>
          <w:rFonts w:hint="default" w:ascii="Times New Roman" w:hAnsi="Times New Roman" w:eastAsia="宋体" w:cs="Times New Roman"/>
          <w:bCs/>
          <w:caps w:val="0"/>
          <w:color w:val="auto"/>
          <w:sz w:val="24"/>
          <w:szCs w:val="24"/>
          <w:highlight w:val="none"/>
        </w:rPr>
        <w:instrText xml:space="preserve"> HYPERLINK \l _Toc3155 </w:instrText>
      </w:r>
      <w:r>
        <w:rPr>
          <w:rFonts w:hint="default" w:ascii="Times New Roman" w:hAnsi="Times New Roman" w:eastAsia="宋体" w:cs="Times New Roman"/>
          <w:bCs/>
          <w:caps w:val="0"/>
          <w:color w:val="auto"/>
          <w:sz w:val="24"/>
          <w:szCs w:val="24"/>
          <w:highlight w:val="none"/>
        </w:rPr>
        <w:fldChar w:fldCharType="separate"/>
      </w:r>
      <w:r>
        <w:rPr>
          <w:rFonts w:hint="default" w:ascii="Times New Roman" w:hAnsi="Times New Roman" w:eastAsia="宋体" w:cs="Times New Roman"/>
          <w:snapToGrid w:val="0"/>
          <w:color w:val="auto"/>
          <w:sz w:val="24"/>
          <w:szCs w:val="24"/>
          <w:highlight w:val="none"/>
        </w:rPr>
        <w:t>三、区域环境质量现状、环境保护目标及评价标准</w:t>
      </w:r>
      <w:r>
        <w:rPr>
          <w:rFonts w:hint="default" w:ascii="Times New Roman" w:hAnsi="Times New Roman" w:eastAsia="宋体" w:cs="Times New Roman"/>
          <w:color w:val="auto"/>
          <w:sz w:val="24"/>
          <w:szCs w:val="24"/>
          <w:highlight w:val="none"/>
        </w:rPr>
        <w:tab/>
      </w:r>
      <w:r>
        <w:rPr>
          <w:rFonts w:hint="default" w:ascii="Times New Roman" w:hAnsi="Times New Roman" w:eastAsia="宋体" w:cs="Times New Roman"/>
          <w:color w:val="auto"/>
          <w:sz w:val="24"/>
          <w:szCs w:val="24"/>
          <w:highlight w:val="none"/>
        </w:rPr>
        <w:fldChar w:fldCharType="begin"/>
      </w:r>
      <w:r>
        <w:rPr>
          <w:rFonts w:hint="default" w:ascii="Times New Roman" w:hAnsi="Times New Roman" w:eastAsia="宋体" w:cs="Times New Roman"/>
          <w:color w:val="auto"/>
          <w:sz w:val="24"/>
          <w:szCs w:val="24"/>
          <w:highlight w:val="none"/>
        </w:rPr>
        <w:instrText xml:space="preserve"> PAGEREF _Toc3155 \h </w:instrText>
      </w:r>
      <w:r>
        <w:rPr>
          <w:rFonts w:hint="default" w:ascii="Times New Roman" w:hAnsi="Times New Roman" w:eastAsia="宋体" w:cs="Times New Roman"/>
          <w:color w:val="auto"/>
          <w:sz w:val="24"/>
          <w:szCs w:val="24"/>
          <w:highlight w:val="none"/>
        </w:rPr>
        <w:fldChar w:fldCharType="separate"/>
      </w:r>
      <w:r>
        <w:rPr>
          <w:rFonts w:hint="default" w:ascii="Times New Roman" w:hAnsi="Times New Roman" w:eastAsia="宋体" w:cs="Times New Roman"/>
          <w:color w:val="auto"/>
          <w:sz w:val="24"/>
          <w:szCs w:val="24"/>
          <w:highlight w:val="none"/>
        </w:rPr>
        <w:t>21</w:t>
      </w:r>
      <w:r>
        <w:rPr>
          <w:rFonts w:hint="default" w:ascii="Times New Roman" w:hAnsi="Times New Roman" w:eastAsia="宋体" w:cs="Times New Roman"/>
          <w:color w:val="auto"/>
          <w:sz w:val="24"/>
          <w:szCs w:val="24"/>
          <w:highlight w:val="none"/>
        </w:rPr>
        <w:fldChar w:fldCharType="end"/>
      </w:r>
      <w:r>
        <w:rPr>
          <w:rFonts w:hint="default" w:ascii="Times New Roman" w:hAnsi="Times New Roman" w:eastAsia="宋体" w:cs="Times New Roman"/>
          <w:bCs/>
          <w:caps w:val="0"/>
          <w:color w:val="auto"/>
          <w:sz w:val="24"/>
          <w:szCs w:val="24"/>
          <w:highlight w:val="none"/>
        </w:rPr>
        <w:fldChar w:fldCharType="end"/>
      </w:r>
    </w:p>
    <w:p w14:paraId="5AF01620">
      <w:pPr>
        <w:pStyle w:val="18"/>
        <w:keepNext w:val="0"/>
        <w:keepLines w:val="0"/>
        <w:pageBreakBefore w:val="0"/>
        <w:tabs>
          <w:tab w:val="right" w:leader="dot" w:pos="8306"/>
        </w:tabs>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Cs/>
          <w:caps w:val="0"/>
          <w:color w:val="auto"/>
          <w:sz w:val="24"/>
          <w:szCs w:val="24"/>
          <w:highlight w:val="none"/>
        </w:rPr>
        <w:fldChar w:fldCharType="begin"/>
      </w:r>
      <w:r>
        <w:rPr>
          <w:rFonts w:hint="default" w:ascii="Times New Roman" w:hAnsi="Times New Roman" w:eastAsia="宋体" w:cs="Times New Roman"/>
          <w:bCs/>
          <w:caps w:val="0"/>
          <w:color w:val="auto"/>
          <w:sz w:val="24"/>
          <w:szCs w:val="24"/>
          <w:highlight w:val="none"/>
        </w:rPr>
        <w:instrText xml:space="preserve"> HYPERLINK \l _Toc7234 </w:instrText>
      </w:r>
      <w:r>
        <w:rPr>
          <w:rFonts w:hint="default" w:ascii="Times New Roman" w:hAnsi="Times New Roman" w:eastAsia="宋体" w:cs="Times New Roman"/>
          <w:bCs/>
          <w:caps w:val="0"/>
          <w:color w:val="auto"/>
          <w:sz w:val="24"/>
          <w:szCs w:val="24"/>
          <w:highlight w:val="none"/>
        </w:rPr>
        <w:fldChar w:fldCharType="separate"/>
      </w:r>
      <w:r>
        <w:rPr>
          <w:rFonts w:hint="default" w:ascii="Times New Roman" w:hAnsi="Times New Roman" w:eastAsia="宋体" w:cs="Times New Roman"/>
          <w:snapToGrid w:val="0"/>
          <w:color w:val="auto"/>
          <w:sz w:val="24"/>
          <w:szCs w:val="24"/>
          <w:highlight w:val="none"/>
        </w:rPr>
        <w:t>四、主要环境影响和保护措施</w:t>
      </w:r>
      <w:r>
        <w:rPr>
          <w:rFonts w:hint="default" w:ascii="Times New Roman" w:hAnsi="Times New Roman" w:eastAsia="宋体" w:cs="Times New Roman"/>
          <w:color w:val="auto"/>
          <w:sz w:val="24"/>
          <w:szCs w:val="24"/>
          <w:highlight w:val="none"/>
        </w:rPr>
        <w:tab/>
      </w:r>
      <w:r>
        <w:rPr>
          <w:rFonts w:hint="default" w:ascii="Times New Roman" w:hAnsi="Times New Roman" w:eastAsia="宋体" w:cs="Times New Roman"/>
          <w:color w:val="auto"/>
          <w:sz w:val="24"/>
          <w:szCs w:val="24"/>
          <w:highlight w:val="none"/>
        </w:rPr>
        <w:fldChar w:fldCharType="begin"/>
      </w:r>
      <w:r>
        <w:rPr>
          <w:rFonts w:hint="default" w:ascii="Times New Roman" w:hAnsi="Times New Roman" w:eastAsia="宋体" w:cs="Times New Roman"/>
          <w:color w:val="auto"/>
          <w:sz w:val="24"/>
          <w:szCs w:val="24"/>
          <w:highlight w:val="none"/>
        </w:rPr>
        <w:instrText xml:space="preserve"> PAGEREF _Toc7234 \h </w:instrText>
      </w:r>
      <w:r>
        <w:rPr>
          <w:rFonts w:hint="default" w:ascii="Times New Roman" w:hAnsi="Times New Roman" w:eastAsia="宋体" w:cs="Times New Roman"/>
          <w:color w:val="auto"/>
          <w:sz w:val="24"/>
          <w:szCs w:val="24"/>
          <w:highlight w:val="none"/>
        </w:rPr>
        <w:fldChar w:fldCharType="separate"/>
      </w:r>
      <w:r>
        <w:rPr>
          <w:rFonts w:hint="default" w:ascii="Times New Roman" w:hAnsi="Times New Roman" w:eastAsia="宋体" w:cs="Times New Roman"/>
          <w:color w:val="auto"/>
          <w:sz w:val="24"/>
          <w:szCs w:val="24"/>
          <w:highlight w:val="none"/>
        </w:rPr>
        <w:t>26</w:t>
      </w:r>
      <w:r>
        <w:rPr>
          <w:rFonts w:hint="default" w:ascii="Times New Roman" w:hAnsi="Times New Roman" w:eastAsia="宋体" w:cs="Times New Roman"/>
          <w:color w:val="auto"/>
          <w:sz w:val="24"/>
          <w:szCs w:val="24"/>
          <w:highlight w:val="none"/>
        </w:rPr>
        <w:fldChar w:fldCharType="end"/>
      </w:r>
      <w:r>
        <w:rPr>
          <w:rFonts w:hint="default" w:ascii="Times New Roman" w:hAnsi="Times New Roman" w:eastAsia="宋体" w:cs="Times New Roman"/>
          <w:bCs/>
          <w:caps w:val="0"/>
          <w:color w:val="auto"/>
          <w:sz w:val="24"/>
          <w:szCs w:val="24"/>
          <w:highlight w:val="none"/>
        </w:rPr>
        <w:fldChar w:fldCharType="end"/>
      </w:r>
    </w:p>
    <w:p w14:paraId="7626EF4F">
      <w:pPr>
        <w:pStyle w:val="18"/>
        <w:keepNext w:val="0"/>
        <w:keepLines w:val="0"/>
        <w:pageBreakBefore w:val="0"/>
        <w:tabs>
          <w:tab w:val="right" w:leader="dot" w:pos="8306"/>
        </w:tabs>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Cs/>
          <w:caps w:val="0"/>
          <w:color w:val="auto"/>
          <w:sz w:val="24"/>
          <w:szCs w:val="24"/>
          <w:highlight w:val="none"/>
        </w:rPr>
        <w:fldChar w:fldCharType="begin"/>
      </w:r>
      <w:r>
        <w:rPr>
          <w:rFonts w:hint="default" w:ascii="Times New Roman" w:hAnsi="Times New Roman" w:eastAsia="宋体" w:cs="Times New Roman"/>
          <w:bCs/>
          <w:caps w:val="0"/>
          <w:color w:val="auto"/>
          <w:sz w:val="24"/>
          <w:szCs w:val="24"/>
          <w:highlight w:val="none"/>
        </w:rPr>
        <w:instrText xml:space="preserve"> HYPERLINK \l _Toc2591 </w:instrText>
      </w:r>
      <w:r>
        <w:rPr>
          <w:rFonts w:hint="default" w:ascii="Times New Roman" w:hAnsi="Times New Roman" w:eastAsia="宋体" w:cs="Times New Roman"/>
          <w:bCs/>
          <w:caps w:val="0"/>
          <w:color w:val="auto"/>
          <w:sz w:val="24"/>
          <w:szCs w:val="24"/>
          <w:highlight w:val="none"/>
        </w:rPr>
        <w:fldChar w:fldCharType="separate"/>
      </w:r>
      <w:r>
        <w:rPr>
          <w:rFonts w:hint="default" w:ascii="Times New Roman" w:hAnsi="Times New Roman" w:eastAsia="宋体" w:cs="Times New Roman"/>
          <w:snapToGrid w:val="0"/>
          <w:color w:val="auto"/>
          <w:sz w:val="24"/>
          <w:szCs w:val="24"/>
          <w:highlight w:val="none"/>
        </w:rPr>
        <w:t>五、环境保护措施监督检查清单</w:t>
      </w:r>
      <w:r>
        <w:rPr>
          <w:rFonts w:hint="default" w:ascii="Times New Roman" w:hAnsi="Times New Roman" w:eastAsia="宋体" w:cs="Times New Roman"/>
          <w:color w:val="auto"/>
          <w:sz w:val="24"/>
          <w:szCs w:val="24"/>
          <w:highlight w:val="none"/>
        </w:rPr>
        <w:tab/>
      </w:r>
      <w:r>
        <w:rPr>
          <w:rFonts w:hint="default" w:ascii="Times New Roman" w:hAnsi="Times New Roman" w:eastAsia="宋体" w:cs="Times New Roman"/>
          <w:color w:val="auto"/>
          <w:sz w:val="24"/>
          <w:szCs w:val="24"/>
          <w:highlight w:val="none"/>
        </w:rPr>
        <w:fldChar w:fldCharType="begin"/>
      </w:r>
      <w:r>
        <w:rPr>
          <w:rFonts w:hint="default" w:ascii="Times New Roman" w:hAnsi="Times New Roman" w:eastAsia="宋体" w:cs="Times New Roman"/>
          <w:color w:val="auto"/>
          <w:sz w:val="24"/>
          <w:szCs w:val="24"/>
          <w:highlight w:val="none"/>
        </w:rPr>
        <w:instrText xml:space="preserve"> PAGEREF _Toc2591 \h </w:instrText>
      </w:r>
      <w:r>
        <w:rPr>
          <w:rFonts w:hint="default" w:ascii="Times New Roman" w:hAnsi="Times New Roman" w:eastAsia="宋体" w:cs="Times New Roman"/>
          <w:color w:val="auto"/>
          <w:sz w:val="24"/>
          <w:szCs w:val="24"/>
          <w:highlight w:val="none"/>
        </w:rPr>
        <w:fldChar w:fldCharType="separate"/>
      </w:r>
      <w:r>
        <w:rPr>
          <w:rFonts w:hint="default" w:ascii="Times New Roman" w:hAnsi="Times New Roman" w:eastAsia="宋体" w:cs="Times New Roman"/>
          <w:color w:val="auto"/>
          <w:sz w:val="24"/>
          <w:szCs w:val="24"/>
          <w:highlight w:val="none"/>
        </w:rPr>
        <w:t>43</w:t>
      </w:r>
      <w:r>
        <w:rPr>
          <w:rFonts w:hint="default" w:ascii="Times New Roman" w:hAnsi="Times New Roman" w:eastAsia="宋体" w:cs="Times New Roman"/>
          <w:color w:val="auto"/>
          <w:sz w:val="24"/>
          <w:szCs w:val="24"/>
          <w:highlight w:val="none"/>
        </w:rPr>
        <w:fldChar w:fldCharType="end"/>
      </w:r>
      <w:r>
        <w:rPr>
          <w:rFonts w:hint="default" w:ascii="Times New Roman" w:hAnsi="Times New Roman" w:eastAsia="宋体" w:cs="Times New Roman"/>
          <w:bCs/>
          <w:caps w:val="0"/>
          <w:color w:val="auto"/>
          <w:sz w:val="24"/>
          <w:szCs w:val="24"/>
          <w:highlight w:val="none"/>
        </w:rPr>
        <w:fldChar w:fldCharType="end"/>
      </w:r>
    </w:p>
    <w:p w14:paraId="520442A6">
      <w:pPr>
        <w:pStyle w:val="18"/>
        <w:keepNext w:val="0"/>
        <w:keepLines w:val="0"/>
        <w:pageBreakBefore w:val="0"/>
        <w:tabs>
          <w:tab w:val="right" w:leader="dot" w:pos="8306"/>
        </w:tabs>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Cs/>
          <w:caps w:val="0"/>
          <w:color w:val="auto"/>
          <w:sz w:val="24"/>
          <w:szCs w:val="24"/>
          <w:highlight w:val="none"/>
        </w:rPr>
        <w:fldChar w:fldCharType="begin"/>
      </w:r>
      <w:r>
        <w:rPr>
          <w:rFonts w:hint="default" w:ascii="Times New Roman" w:hAnsi="Times New Roman" w:eastAsia="宋体" w:cs="Times New Roman"/>
          <w:bCs/>
          <w:caps w:val="0"/>
          <w:color w:val="auto"/>
          <w:sz w:val="24"/>
          <w:szCs w:val="24"/>
          <w:highlight w:val="none"/>
        </w:rPr>
        <w:instrText xml:space="preserve"> HYPERLINK \l _Toc4819 </w:instrText>
      </w:r>
      <w:r>
        <w:rPr>
          <w:rFonts w:hint="default" w:ascii="Times New Roman" w:hAnsi="Times New Roman" w:eastAsia="宋体" w:cs="Times New Roman"/>
          <w:bCs/>
          <w:caps w:val="0"/>
          <w:color w:val="auto"/>
          <w:sz w:val="24"/>
          <w:szCs w:val="24"/>
          <w:highlight w:val="none"/>
        </w:rPr>
        <w:fldChar w:fldCharType="separate"/>
      </w:r>
      <w:r>
        <w:rPr>
          <w:rFonts w:hint="default" w:ascii="Times New Roman" w:hAnsi="Times New Roman" w:eastAsia="宋体" w:cs="Times New Roman"/>
          <w:snapToGrid w:val="0"/>
          <w:color w:val="auto"/>
          <w:sz w:val="24"/>
          <w:szCs w:val="24"/>
          <w:highlight w:val="none"/>
        </w:rPr>
        <w:t>六、结论</w:t>
      </w:r>
      <w:r>
        <w:rPr>
          <w:rFonts w:hint="default" w:ascii="Times New Roman" w:hAnsi="Times New Roman" w:eastAsia="宋体" w:cs="Times New Roman"/>
          <w:color w:val="auto"/>
          <w:sz w:val="24"/>
          <w:szCs w:val="24"/>
          <w:highlight w:val="none"/>
        </w:rPr>
        <w:tab/>
      </w:r>
      <w:r>
        <w:rPr>
          <w:rFonts w:hint="default" w:ascii="Times New Roman" w:hAnsi="Times New Roman" w:eastAsia="宋体" w:cs="Times New Roman"/>
          <w:color w:val="auto"/>
          <w:sz w:val="24"/>
          <w:szCs w:val="24"/>
          <w:highlight w:val="none"/>
        </w:rPr>
        <w:fldChar w:fldCharType="begin"/>
      </w:r>
      <w:r>
        <w:rPr>
          <w:rFonts w:hint="default" w:ascii="Times New Roman" w:hAnsi="Times New Roman" w:eastAsia="宋体" w:cs="Times New Roman"/>
          <w:color w:val="auto"/>
          <w:sz w:val="24"/>
          <w:szCs w:val="24"/>
          <w:highlight w:val="none"/>
        </w:rPr>
        <w:instrText xml:space="preserve"> PAGEREF _Toc4819 \h </w:instrText>
      </w:r>
      <w:r>
        <w:rPr>
          <w:rFonts w:hint="default" w:ascii="Times New Roman" w:hAnsi="Times New Roman" w:eastAsia="宋体" w:cs="Times New Roman"/>
          <w:color w:val="auto"/>
          <w:sz w:val="24"/>
          <w:szCs w:val="24"/>
          <w:highlight w:val="none"/>
        </w:rPr>
        <w:fldChar w:fldCharType="separate"/>
      </w:r>
      <w:r>
        <w:rPr>
          <w:rFonts w:hint="default" w:ascii="Times New Roman" w:hAnsi="Times New Roman" w:eastAsia="宋体" w:cs="Times New Roman"/>
          <w:color w:val="auto"/>
          <w:sz w:val="24"/>
          <w:szCs w:val="24"/>
          <w:highlight w:val="none"/>
        </w:rPr>
        <w:t>45</w:t>
      </w:r>
      <w:r>
        <w:rPr>
          <w:rFonts w:hint="default" w:ascii="Times New Roman" w:hAnsi="Times New Roman" w:eastAsia="宋体" w:cs="Times New Roman"/>
          <w:color w:val="auto"/>
          <w:sz w:val="24"/>
          <w:szCs w:val="24"/>
          <w:highlight w:val="none"/>
        </w:rPr>
        <w:fldChar w:fldCharType="end"/>
      </w:r>
      <w:r>
        <w:rPr>
          <w:rFonts w:hint="default" w:ascii="Times New Roman" w:hAnsi="Times New Roman" w:eastAsia="宋体" w:cs="Times New Roman"/>
          <w:bCs/>
          <w:caps w:val="0"/>
          <w:color w:val="auto"/>
          <w:sz w:val="24"/>
          <w:szCs w:val="24"/>
          <w:highlight w:val="none"/>
        </w:rPr>
        <w:fldChar w:fldCharType="end"/>
      </w:r>
    </w:p>
    <w:p w14:paraId="0C9C0C09">
      <w:pPr>
        <w:pStyle w:val="86"/>
        <w:keepNext w:val="0"/>
        <w:keepLines w:val="0"/>
        <w:pageBreakBefore w:val="0"/>
        <w:tabs>
          <w:tab w:val="right" w:leader="dot" w:pos="8844"/>
        </w:tabs>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b w:val="0"/>
          <w:bCs/>
          <w:caps w:val="0"/>
          <w:color w:val="auto"/>
          <w:sz w:val="24"/>
          <w:szCs w:val="24"/>
          <w:highlight w:val="none"/>
        </w:rPr>
      </w:pPr>
      <w:r>
        <w:rPr>
          <w:rFonts w:hint="default" w:ascii="Times New Roman" w:hAnsi="Times New Roman" w:eastAsia="宋体" w:cs="Times New Roman"/>
          <w:bCs/>
          <w:caps w:val="0"/>
          <w:color w:val="auto"/>
          <w:sz w:val="24"/>
          <w:szCs w:val="24"/>
          <w:highlight w:val="none"/>
        </w:rPr>
        <w:fldChar w:fldCharType="end"/>
      </w:r>
    </w:p>
    <w:p w14:paraId="2DD1A7BE">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outlineLvl w:val="9"/>
        <w:rPr>
          <w:rFonts w:hint="eastAsia" w:ascii="Times New Roman" w:hAnsi="Times New Roman" w:eastAsia="宋体" w:cs="Times New Roman"/>
          <w:b w:val="0"/>
          <w:bCs/>
          <w:caps w:val="0"/>
          <w:color w:val="auto"/>
          <w:sz w:val="21"/>
          <w:szCs w:val="21"/>
          <w:highlight w:val="none"/>
          <w:lang w:val="en-US" w:eastAsia="zh-CN"/>
        </w:rPr>
      </w:pPr>
      <w:r>
        <w:rPr>
          <w:rFonts w:hint="eastAsia" w:ascii="Times New Roman" w:hAnsi="Times New Roman" w:eastAsia="宋体" w:cs="Times New Roman"/>
          <w:b w:val="0"/>
          <w:bCs/>
          <w:caps w:val="0"/>
          <w:color w:val="auto"/>
          <w:sz w:val="21"/>
          <w:szCs w:val="21"/>
          <w:highlight w:val="none"/>
          <w:lang w:val="en-US" w:eastAsia="zh-CN"/>
        </w:rPr>
        <w:t xml:space="preserve">附图1 </w:t>
      </w:r>
      <w:r>
        <w:rPr>
          <w:rFonts w:hint="eastAsia" w:cs="Times New Roman"/>
          <w:b w:val="0"/>
          <w:bCs/>
          <w:caps w:val="0"/>
          <w:color w:val="auto"/>
          <w:sz w:val="21"/>
          <w:szCs w:val="21"/>
          <w:highlight w:val="none"/>
          <w:lang w:val="en-US" w:eastAsia="zh-CN"/>
        </w:rPr>
        <w:t xml:space="preserve">  </w:t>
      </w:r>
      <w:r>
        <w:rPr>
          <w:rFonts w:hint="eastAsia" w:ascii="Times New Roman" w:hAnsi="Times New Roman" w:eastAsia="宋体" w:cs="Times New Roman"/>
          <w:b w:val="0"/>
          <w:bCs/>
          <w:caps w:val="0"/>
          <w:color w:val="auto"/>
          <w:sz w:val="21"/>
          <w:szCs w:val="21"/>
          <w:highlight w:val="none"/>
          <w:lang w:val="en-US" w:eastAsia="zh-CN"/>
        </w:rPr>
        <w:t>地理位置图</w:t>
      </w:r>
    </w:p>
    <w:p w14:paraId="459BE4A9">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outlineLvl w:val="9"/>
        <w:rPr>
          <w:rFonts w:hint="default" w:ascii="Times New Roman" w:hAnsi="Times New Roman" w:eastAsia="宋体" w:cs="Times New Roman"/>
          <w:b w:val="0"/>
          <w:bCs/>
          <w:caps w:val="0"/>
          <w:color w:val="auto"/>
          <w:sz w:val="21"/>
          <w:szCs w:val="21"/>
          <w:highlight w:val="none"/>
          <w:lang w:val="en-US" w:eastAsia="zh-CN"/>
        </w:rPr>
      </w:pPr>
      <w:r>
        <w:rPr>
          <w:rFonts w:hint="eastAsia" w:ascii="Times New Roman" w:hAnsi="Times New Roman" w:eastAsia="宋体" w:cs="Times New Roman"/>
          <w:b w:val="0"/>
          <w:bCs/>
          <w:caps w:val="0"/>
          <w:color w:val="auto"/>
          <w:sz w:val="21"/>
          <w:szCs w:val="21"/>
          <w:highlight w:val="none"/>
          <w:lang w:val="en-US" w:eastAsia="zh-CN"/>
        </w:rPr>
        <w:t xml:space="preserve">附图2 </w:t>
      </w:r>
      <w:r>
        <w:rPr>
          <w:rFonts w:hint="eastAsia" w:cs="Times New Roman"/>
          <w:b w:val="0"/>
          <w:bCs/>
          <w:caps w:val="0"/>
          <w:color w:val="auto"/>
          <w:sz w:val="21"/>
          <w:szCs w:val="21"/>
          <w:highlight w:val="none"/>
          <w:lang w:val="en-US" w:eastAsia="zh-CN"/>
        </w:rPr>
        <w:t xml:space="preserve">  项目四邻关系和环保目标图（1:15000）</w:t>
      </w:r>
    </w:p>
    <w:p w14:paraId="3BE33499">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outlineLvl w:val="9"/>
        <w:rPr>
          <w:rFonts w:hint="default" w:cs="Times New Roman"/>
          <w:b w:val="0"/>
          <w:bCs/>
          <w:caps w:val="0"/>
          <w:color w:val="auto"/>
          <w:sz w:val="21"/>
          <w:szCs w:val="21"/>
          <w:highlight w:val="none"/>
          <w:lang w:val="en-US" w:eastAsia="zh-CN"/>
        </w:rPr>
      </w:pPr>
      <w:r>
        <w:rPr>
          <w:rFonts w:hint="eastAsia" w:cs="Times New Roman"/>
          <w:b w:val="0"/>
          <w:bCs/>
          <w:caps w:val="0"/>
          <w:color w:val="auto"/>
          <w:sz w:val="21"/>
          <w:szCs w:val="21"/>
          <w:highlight w:val="none"/>
          <w:lang w:val="en-US" w:eastAsia="zh-CN"/>
        </w:rPr>
        <w:t>附图3-1  本项目筒仓位置平面布置图</w:t>
      </w:r>
    </w:p>
    <w:p w14:paraId="34185856">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outlineLvl w:val="9"/>
        <w:rPr>
          <w:rFonts w:hint="eastAsia" w:cs="Times New Roman"/>
          <w:b w:val="0"/>
          <w:bCs/>
          <w:caps w:val="0"/>
          <w:color w:val="auto"/>
          <w:sz w:val="21"/>
          <w:szCs w:val="21"/>
          <w:highlight w:val="none"/>
          <w:lang w:val="en-US" w:eastAsia="zh-CN"/>
        </w:rPr>
      </w:pPr>
      <w:r>
        <w:rPr>
          <w:rFonts w:hint="eastAsia" w:cs="Times New Roman"/>
          <w:b w:val="0"/>
          <w:bCs/>
          <w:caps w:val="0"/>
          <w:color w:val="auto"/>
          <w:sz w:val="21"/>
          <w:szCs w:val="21"/>
          <w:highlight w:val="none"/>
          <w:lang w:val="en-US" w:eastAsia="zh-CN"/>
        </w:rPr>
        <w:t>附图3-2  工业场地及项目位置平面布置图</w:t>
      </w:r>
    </w:p>
    <w:p w14:paraId="7A8FE1F4">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outlineLvl w:val="9"/>
        <w:rPr>
          <w:rFonts w:hint="default" w:ascii="Times New Roman" w:hAnsi="Times New Roman" w:eastAsia="宋体" w:cs="Times New Roman"/>
          <w:b w:val="0"/>
          <w:bCs/>
          <w:caps w:val="0"/>
          <w:color w:val="auto"/>
          <w:sz w:val="21"/>
          <w:szCs w:val="21"/>
          <w:highlight w:val="none"/>
          <w:lang w:val="en-US" w:eastAsia="zh-CN"/>
        </w:rPr>
      </w:pPr>
      <w:r>
        <w:rPr>
          <w:rFonts w:hint="eastAsia" w:ascii="Times New Roman" w:hAnsi="Times New Roman" w:eastAsia="宋体" w:cs="Times New Roman"/>
          <w:b w:val="0"/>
          <w:bCs/>
          <w:caps w:val="0"/>
          <w:color w:val="auto"/>
          <w:sz w:val="21"/>
          <w:szCs w:val="21"/>
          <w:highlight w:val="none"/>
          <w:lang w:val="en-US" w:eastAsia="zh-CN"/>
        </w:rPr>
        <w:t xml:space="preserve">附图4 </w:t>
      </w:r>
      <w:r>
        <w:rPr>
          <w:rFonts w:hint="eastAsia" w:cs="Times New Roman"/>
          <w:b w:val="0"/>
          <w:bCs/>
          <w:caps w:val="0"/>
          <w:color w:val="auto"/>
          <w:sz w:val="21"/>
          <w:szCs w:val="21"/>
          <w:highlight w:val="none"/>
          <w:lang w:val="en-US" w:eastAsia="zh-CN"/>
        </w:rPr>
        <w:t xml:space="preserve">  </w:t>
      </w:r>
      <w:r>
        <w:rPr>
          <w:rFonts w:hint="eastAsia" w:ascii="Times New Roman" w:hAnsi="Times New Roman" w:eastAsia="宋体" w:cs="Times New Roman"/>
          <w:b w:val="0"/>
          <w:bCs/>
          <w:caps w:val="0"/>
          <w:color w:val="auto"/>
          <w:sz w:val="21"/>
          <w:szCs w:val="21"/>
          <w:highlight w:val="none"/>
          <w:lang w:val="en-US" w:eastAsia="zh-CN"/>
        </w:rPr>
        <w:t>地表水系图</w:t>
      </w:r>
    </w:p>
    <w:p w14:paraId="6B0D262C">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outlineLvl w:val="9"/>
        <w:rPr>
          <w:rFonts w:hint="default" w:ascii="Times New Roman" w:hAnsi="Times New Roman" w:eastAsia="宋体" w:cs="Times New Roman"/>
          <w:b w:val="0"/>
          <w:bCs/>
          <w:caps w:val="0"/>
          <w:color w:val="auto"/>
          <w:sz w:val="21"/>
          <w:szCs w:val="21"/>
          <w:highlight w:val="none"/>
          <w:lang w:val="en-US" w:eastAsia="zh-CN"/>
        </w:rPr>
      </w:pPr>
      <w:r>
        <w:rPr>
          <w:rFonts w:hint="eastAsia" w:ascii="Times New Roman" w:hAnsi="Times New Roman" w:eastAsia="宋体" w:cs="Times New Roman"/>
          <w:b w:val="0"/>
          <w:bCs/>
          <w:caps w:val="0"/>
          <w:color w:val="auto"/>
          <w:sz w:val="21"/>
          <w:szCs w:val="21"/>
          <w:highlight w:val="none"/>
          <w:lang w:val="en-US" w:eastAsia="zh-CN"/>
        </w:rPr>
        <w:t>附图</w:t>
      </w:r>
      <w:r>
        <w:rPr>
          <w:rFonts w:hint="eastAsia" w:cs="Times New Roman"/>
          <w:b w:val="0"/>
          <w:bCs/>
          <w:caps w:val="0"/>
          <w:color w:val="auto"/>
          <w:sz w:val="21"/>
          <w:szCs w:val="21"/>
          <w:highlight w:val="none"/>
          <w:lang w:val="en-US" w:eastAsia="zh-CN"/>
        </w:rPr>
        <w:t>5</w:t>
      </w:r>
      <w:r>
        <w:rPr>
          <w:rFonts w:hint="eastAsia" w:ascii="Times New Roman" w:hAnsi="Times New Roman" w:eastAsia="宋体" w:cs="Times New Roman"/>
          <w:b w:val="0"/>
          <w:bCs/>
          <w:caps w:val="0"/>
          <w:color w:val="auto"/>
          <w:sz w:val="21"/>
          <w:szCs w:val="21"/>
          <w:highlight w:val="none"/>
          <w:lang w:val="en-US" w:eastAsia="zh-CN"/>
        </w:rPr>
        <w:t xml:space="preserve"> </w:t>
      </w:r>
      <w:r>
        <w:rPr>
          <w:rFonts w:hint="eastAsia" w:cs="Times New Roman"/>
          <w:b w:val="0"/>
          <w:bCs/>
          <w:caps w:val="0"/>
          <w:color w:val="auto"/>
          <w:sz w:val="21"/>
          <w:szCs w:val="21"/>
          <w:highlight w:val="none"/>
          <w:lang w:val="en-US" w:eastAsia="zh-CN"/>
        </w:rPr>
        <w:t xml:space="preserve">  </w:t>
      </w:r>
      <w:r>
        <w:rPr>
          <w:rFonts w:hint="eastAsia" w:ascii="Times New Roman" w:hAnsi="Times New Roman" w:eastAsia="宋体" w:cs="Times New Roman"/>
          <w:b w:val="0"/>
          <w:bCs/>
          <w:caps w:val="0"/>
          <w:color w:val="auto"/>
          <w:sz w:val="21"/>
          <w:szCs w:val="21"/>
          <w:highlight w:val="none"/>
          <w:lang w:val="en-US" w:eastAsia="zh-CN"/>
        </w:rPr>
        <w:t>与辛安泉域位置关系图</w:t>
      </w:r>
    </w:p>
    <w:p w14:paraId="30F81774">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outlineLvl w:val="9"/>
        <w:rPr>
          <w:rFonts w:hint="eastAsia" w:ascii="Times New Roman" w:hAnsi="Times New Roman" w:eastAsia="宋体" w:cs="Times New Roman"/>
          <w:b w:val="0"/>
          <w:bCs/>
          <w:caps w:val="0"/>
          <w:color w:val="auto"/>
          <w:sz w:val="21"/>
          <w:szCs w:val="21"/>
          <w:highlight w:val="none"/>
          <w:lang w:val="en-US" w:eastAsia="zh-CN"/>
        </w:rPr>
      </w:pPr>
      <w:r>
        <w:rPr>
          <w:rFonts w:hint="eastAsia" w:ascii="Times New Roman" w:hAnsi="Times New Roman" w:eastAsia="宋体" w:cs="Times New Roman"/>
          <w:b w:val="0"/>
          <w:bCs/>
          <w:caps w:val="0"/>
          <w:color w:val="auto"/>
          <w:sz w:val="21"/>
          <w:szCs w:val="21"/>
          <w:highlight w:val="none"/>
          <w:lang w:val="en-US" w:eastAsia="zh-CN"/>
        </w:rPr>
        <w:t>附图</w:t>
      </w:r>
      <w:r>
        <w:rPr>
          <w:rFonts w:hint="eastAsia" w:cs="Times New Roman"/>
          <w:b w:val="0"/>
          <w:bCs/>
          <w:caps w:val="0"/>
          <w:color w:val="auto"/>
          <w:sz w:val="21"/>
          <w:szCs w:val="21"/>
          <w:highlight w:val="none"/>
          <w:lang w:val="en-US" w:eastAsia="zh-CN"/>
        </w:rPr>
        <w:t>6</w:t>
      </w:r>
      <w:r>
        <w:rPr>
          <w:rFonts w:hint="eastAsia" w:ascii="Times New Roman" w:hAnsi="Times New Roman" w:eastAsia="宋体" w:cs="Times New Roman"/>
          <w:b w:val="0"/>
          <w:bCs/>
          <w:caps w:val="0"/>
          <w:color w:val="auto"/>
          <w:sz w:val="21"/>
          <w:szCs w:val="21"/>
          <w:highlight w:val="none"/>
          <w:lang w:val="en-US" w:eastAsia="zh-CN"/>
        </w:rPr>
        <w:t xml:space="preserve"> </w:t>
      </w:r>
      <w:r>
        <w:rPr>
          <w:rFonts w:hint="eastAsia" w:cs="Times New Roman"/>
          <w:b w:val="0"/>
          <w:bCs/>
          <w:caps w:val="0"/>
          <w:color w:val="auto"/>
          <w:sz w:val="21"/>
          <w:szCs w:val="21"/>
          <w:highlight w:val="none"/>
          <w:lang w:val="en-US" w:eastAsia="zh-CN"/>
        </w:rPr>
        <w:t xml:space="preserve">  </w:t>
      </w:r>
      <w:r>
        <w:rPr>
          <w:rFonts w:hint="eastAsia" w:ascii="Times New Roman" w:hAnsi="Times New Roman" w:eastAsia="宋体" w:cs="Times New Roman"/>
          <w:b w:val="0"/>
          <w:bCs/>
          <w:caps w:val="0"/>
          <w:color w:val="auto"/>
          <w:sz w:val="21"/>
          <w:szCs w:val="21"/>
          <w:highlight w:val="none"/>
          <w:lang w:val="en-US" w:eastAsia="zh-CN"/>
        </w:rPr>
        <w:t>与长治市生态环境管控单元分布相对位置图</w:t>
      </w:r>
    </w:p>
    <w:p w14:paraId="7CC97C6F">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outlineLvl w:val="9"/>
        <w:rPr>
          <w:rFonts w:hint="eastAsia" w:ascii="Times New Roman" w:hAnsi="Times New Roman" w:eastAsia="宋体" w:cs="Times New Roman"/>
          <w:b w:val="0"/>
          <w:bCs/>
          <w:caps w:val="0"/>
          <w:color w:val="auto"/>
          <w:sz w:val="21"/>
          <w:szCs w:val="21"/>
          <w:highlight w:val="none"/>
          <w:lang w:val="en-US" w:eastAsia="zh-CN"/>
        </w:rPr>
      </w:pPr>
      <w:r>
        <w:rPr>
          <w:rFonts w:hint="eastAsia" w:ascii="Times New Roman" w:hAnsi="Times New Roman" w:eastAsia="宋体" w:cs="Times New Roman"/>
          <w:b w:val="0"/>
          <w:bCs/>
          <w:caps w:val="0"/>
          <w:color w:val="auto"/>
          <w:sz w:val="21"/>
          <w:szCs w:val="21"/>
          <w:highlight w:val="none"/>
          <w:lang w:val="en-US" w:eastAsia="zh-CN"/>
        </w:rPr>
        <w:t>附图</w:t>
      </w:r>
      <w:r>
        <w:rPr>
          <w:rFonts w:hint="eastAsia" w:cs="Times New Roman"/>
          <w:b w:val="0"/>
          <w:bCs/>
          <w:caps w:val="0"/>
          <w:color w:val="auto"/>
          <w:sz w:val="21"/>
          <w:szCs w:val="21"/>
          <w:highlight w:val="none"/>
          <w:lang w:val="en-US" w:eastAsia="zh-CN"/>
        </w:rPr>
        <w:t>7</w:t>
      </w:r>
      <w:r>
        <w:rPr>
          <w:rFonts w:hint="eastAsia" w:ascii="Times New Roman" w:hAnsi="Times New Roman" w:eastAsia="宋体" w:cs="Times New Roman"/>
          <w:b w:val="0"/>
          <w:bCs/>
          <w:caps w:val="0"/>
          <w:color w:val="auto"/>
          <w:sz w:val="21"/>
          <w:szCs w:val="21"/>
          <w:highlight w:val="none"/>
          <w:lang w:val="en-US" w:eastAsia="zh-CN"/>
        </w:rPr>
        <w:t xml:space="preserve"> </w:t>
      </w:r>
      <w:r>
        <w:rPr>
          <w:rFonts w:hint="eastAsia" w:cs="Times New Roman"/>
          <w:b w:val="0"/>
          <w:bCs/>
          <w:caps w:val="0"/>
          <w:color w:val="auto"/>
          <w:sz w:val="21"/>
          <w:szCs w:val="21"/>
          <w:highlight w:val="none"/>
          <w:lang w:val="en-US" w:eastAsia="zh-CN"/>
        </w:rPr>
        <w:t xml:space="preserve">  长子县</w:t>
      </w:r>
      <w:r>
        <w:rPr>
          <w:rFonts w:hint="eastAsia" w:ascii="Times New Roman" w:hAnsi="Times New Roman" w:eastAsia="宋体" w:cs="Times New Roman"/>
          <w:b w:val="0"/>
          <w:bCs/>
          <w:caps w:val="0"/>
          <w:color w:val="auto"/>
          <w:sz w:val="21"/>
          <w:szCs w:val="21"/>
          <w:highlight w:val="none"/>
          <w:lang w:val="en-US" w:eastAsia="zh-CN"/>
        </w:rPr>
        <w:t>国土空间规划三线划定图</w:t>
      </w:r>
    </w:p>
    <w:p w14:paraId="026A7D62">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outlineLvl w:val="9"/>
        <w:rPr>
          <w:rFonts w:hint="eastAsia" w:ascii="Times New Roman" w:hAnsi="Times New Roman" w:eastAsia="宋体" w:cs="Times New Roman"/>
          <w:b w:val="0"/>
          <w:bCs/>
          <w:caps w:val="0"/>
          <w:color w:val="auto"/>
          <w:sz w:val="21"/>
          <w:szCs w:val="21"/>
          <w:highlight w:val="none"/>
          <w:lang w:val="en-US" w:eastAsia="zh-CN"/>
        </w:rPr>
      </w:pPr>
    </w:p>
    <w:p w14:paraId="27D7B0BD">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outlineLvl w:val="9"/>
        <w:rPr>
          <w:rFonts w:hint="eastAsia" w:ascii="Times New Roman" w:hAnsi="Times New Roman" w:eastAsia="宋体" w:cs="Times New Roman"/>
          <w:b w:val="0"/>
          <w:bCs/>
          <w:caps w:val="0"/>
          <w:color w:val="auto"/>
          <w:sz w:val="21"/>
          <w:szCs w:val="21"/>
          <w:highlight w:val="none"/>
          <w:lang w:val="en-US" w:eastAsia="zh-CN"/>
        </w:rPr>
      </w:pPr>
      <w:r>
        <w:rPr>
          <w:rFonts w:hint="eastAsia" w:ascii="Times New Roman" w:hAnsi="Times New Roman" w:eastAsia="宋体" w:cs="Times New Roman"/>
          <w:b w:val="0"/>
          <w:bCs/>
          <w:caps w:val="0"/>
          <w:color w:val="auto"/>
          <w:sz w:val="21"/>
          <w:szCs w:val="21"/>
          <w:highlight w:val="none"/>
          <w:lang w:val="en-US" w:eastAsia="zh-CN"/>
        </w:rPr>
        <w:t xml:space="preserve">附件1 </w:t>
      </w:r>
      <w:r>
        <w:rPr>
          <w:rFonts w:hint="eastAsia" w:cs="Times New Roman"/>
          <w:b w:val="0"/>
          <w:bCs/>
          <w:caps w:val="0"/>
          <w:color w:val="auto"/>
          <w:sz w:val="21"/>
          <w:szCs w:val="21"/>
          <w:highlight w:val="none"/>
          <w:lang w:val="en-US" w:eastAsia="zh-CN"/>
        </w:rPr>
        <w:t xml:space="preserve"> </w:t>
      </w:r>
      <w:r>
        <w:rPr>
          <w:rFonts w:hint="eastAsia" w:ascii="Times New Roman" w:hAnsi="Times New Roman" w:eastAsia="宋体" w:cs="Times New Roman"/>
          <w:b w:val="0"/>
          <w:bCs/>
          <w:caps w:val="0"/>
          <w:color w:val="auto"/>
          <w:sz w:val="21"/>
          <w:szCs w:val="21"/>
          <w:highlight w:val="none"/>
          <w:lang w:val="en-US" w:eastAsia="zh-CN"/>
        </w:rPr>
        <w:t>委托书</w:t>
      </w:r>
    </w:p>
    <w:p w14:paraId="7A6DAC9A">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outlineLvl w:val="9"/>
        <w:rPr>
          <w:rFonts w:hint="default" w:ascii="Times New Roman" w:hAnsi="Times New Roman" w:eastAsia="宋体" w:cs="Times New Roman"/>
          <w:b w:val="0"/>
          <w:bCs/>
          <w:caps w:val="0"/>
          <w:color w:val="auto"/>
          <w:sz w:val="21"/>
          <w:szCs w:val="21"/>
          <w:highlight w:val="none"/>
          <w:lang w:val="en-US" w:eastAsia="zh-CN"/>
        </w:rPr>
      </w:pPr>
      <w:r>
        <w:rPr>
          <w:rFonts w:hint="eastAsia" w:ascii="Times New Roman" w:hAnsi="Times New Roman" w:eastAsia="宋体" w:cs="Times New Roman"/>
          <w:b w:val="0"/>
          <w:bCs/>
          <w:caps w:val="0"/>
          <w:color w:val="auto"/>
          <w:sz w:val="21"/>
          <w:szCs w:val="21"/>
          <w:highlight w:val="none"/>
          <w:lang w:val="en-US" w:eastAsia="zh-CN"/>
        </w:rPr>
        <w:t xml:space="preserve">附件2 </w:t>
      </w:r>
      <w:r>
        <w:rPr>
          <w:rFonts w:hint="eastAsia" w:cs="Times New Roman"/>
          <w:b w:val="0"/>
          <w:bCs/>
          <w:caps w:val="0"/>
          <w:color w:val="auto"/>
          <w:sz w:val="21"/>
          <w:szCs w:val="21"/>
          <w:highlight w:val="none"/>
          <w:lang w:val="en-US" w:eastAsia="zh-CN"/>
        </w:rPr>
        <w:t xml:space="preserve"> 项目立项的批复</w:t>
      </w:r>
    </w:p>
    <w:p w14:paraId="24621E0B">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outlineLvl w:val="9"/>
        <w:rPr>
          <w:rFonts w:hint="default" w:ascii="Times New Roman" w:hAnsi="Times New Roman" w:eastAsia="宋体" w:cs="Times New Roman"/>
          <w:b w:val="0"/>
          <w:bCs/>
          <w:caps w:val="0"/>
          <w:color w:val="auto"/>
          <w:sz w:val="21"/>
          <w:szCs w:val="21"/>
          <w:highlight w:val="none"/>
          <w:lang w:val="en-US" w:eastAsia="zh-CN"/>
        </w:rPr>
      </w:pPr>
      <w:r>
        <w:rPr>
          <w:rFonts w:hint="eastAsia" w:ascii="Times New Roman" w:hAnsi="Times New Roman" w:eastAsia="宋体" w:cs="Times New Roman"/>
          <w:b w:val="0"/>
          <w:bCs/>
          <w:caps w:val="0"/>
          <w:color w:val="auto"/>
          <w:sz w:val="21"/>
          <w:szCs w:val="21"/>
          <w:highlight w:val="none"/>
          <w:lang w:val="en-US" w:eastAsia="zh-CN"/>
        </w:rPr>
        <w:t xml:space="preserve">附件3 </w:t>
      </w:r>
      <w:r>
        <w:rPr>
          <w:rFonts w:hint="eastAsia" w:cs="Times New Roman"/>
          <w:b w:val="0"/>
          <w:bCs/>
          <w:caps w:val="0"/>
          <w:color w:val="auto"/>
          <w:sz w:val="21"/>
          <w:szCs w:val="21"/>
          <w:highlight w:val="none"/>
          <w:lang w:val="en-US" w:eastAsia="zh-CN"/>
        </w:rPr>
        <w:t xml:space="preserve"> </w:t>
      </w:r>
      <w:r>
        <w:rPr>
          <w:rFonts w:hint="eastAsia" w:ascii="Times New Roman" w:hAnsi="Times New Roman" w:eastAsia="宋体" w:cs="Times New Roman"/>
          <w:b w:val="0"/>
          <w:bCs/>
          <w:caps w:val="0"/>
          <w:color w:val="auto"/>
          <w:sz w:val="21"/>
          <w:szCs w:val="21"/>
          <w:highlight w:val="none"/>
          <w:lang w:val="en-US" w:eastAsia="zh-CN"/>
        </w:rPr>
        <w:t>营业执照</w:t>
      </w:r>
    </w:p>
    <w:p w14:paraId="38A827BC">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outlineLvl w:val="9"/>
        <w:rPr>
          <w:rFonts w:hint="default" w:ascii="Times New Roman" w:hAnsi="Times New Roman" w:eastAsia="宋体" w:cs="Times New Roman"/>
          <w:b w:val="0"/>
          <w:bCs/>
          <w:caps w:val="0"/>
          <w:color w:val="auto"/>
          <w:sz w:val="21"/>
          <w:szCs w:val="21"/>
          <w:highlight w:val="none"/>
          <w:lang w:val="en-US" w:eastAsia="zh-CN"/>
        </w:rPr>
      </w:pPr>
      <w:r>
        <w:rPr>
          <w:rFonts w:hint="eastAsia" w:ascii="Times New Roman" w:hAnsi="Times New Roman" w:eastAsia="宋体" w:cs="Times New Roman"/>
          <w:b w:val="0"/>
          <w:bCs/>
          <w:caps w:val="0"/>
          <w:color w:val="auto"/>
          <w:sz w:val="21"/>
          <w:szCs w:val="21"/>
          <w:highlight w:val="none"/>
          <w:lang w:val="en-US" w:eastAsia="zh-CN"/>
        </w:rPr>
        <w:t>附件</w:t>
      </w:r>
      <w:r>
        <w:rPr>
          <w:rFonts w:hint="eastAsia" w:cs="Times New Roman"/>
          <w:b w:val="0"/>
          <w:bCs/>
          <w:caps w:val="0"/>
          <w:color w:val="auto"/>
          <w:sz w:val="21"/>
          <w:szCs w:val="21"/>
          <w:highlight w:val="none"/>
          <w:lang w:val="en-US" w:eastAsia="zh-CN"/>
        </w:rPr>
        <w:t>4</w:t>
      </w:r>
      <w:r>
        <w:rPr>
          <w:rFonts w:hint="eastAsia" w:ascii="Times New Roman" w:hAnsi="Times New Roman" w:eastAsia="宋体" w:cs="Times New Roman"/>
          <w:b w:val="0"/>
          <w:bCs/>
          <w:caps w:val="0"/>
          <w:color w:val="auto"/>
          <w:sz w:val="21"/>
          <w:szCs w:val="21"/>
          <w:highlight w:val="none"/>
          <w:lang w:val="en-US" w:eastAsia="zh-CN"/>
        </w:rPr>
        <w:t xml:space="preserve"> </w:t>
      </w:r>
      <w:r>
        <w:rPr>
          <w:rFonts w:hint="eastAsia" w:cs="Times New Roman"/>
          <w:b w:val="0"/>
          <w:bCs/>
          <w:caps w:val="0"/>
          <w:color w:val="auto"/>
          <w:sz w:val="21"/>
          <w:szCs w:val="21"/>
          <w:highlight w:val="none"/>
          <w:lang w:val="en-US" w:eastAsia="zh-CN"/>
        </w:rPr>
        <w:t xml:space="preserve"> 采矿许可证</w:t>
      </w:r>
    </w:p>
    <w:p w14:paraId="30228483">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outlineLvl w:val="9"/>
        <w:rPr>
          <w:rFonts w:hint="eastAsia" w:cs="Times New Roman"/>
          <w:b w:val="0"/>
          <w:bCs/>
          <w:caps w:val="0"/>
          <w:color w:val="auto"/>
          <w:sz w:val="21"/>
          <w:szCs w:val="21"/>
          <w:highlight w:val="none"/>
          <w:lang w:val="en-US" w:eastAsia="zh-CN"/>
        </w:rPr>
      </w:pPr>
      <w:r>
        <w:rPr>
          <w:rFonts w:hint="eastAsia" w:cs="Times New Roman"/>
          <w:b w:val="0"/>
          <w:bCs/>
          <w:caps w:val="0"/>
          <w:color w:val="auto"/>
          <w:sz w:val="21"/>
          <w:szCs w:val="21"/>
          <w:highlight w:val="none"/>
          <w:lang w:val="en-US" w:eastAsia="zh-CN"/>
        </w:rPr>
        <w:t>附件5  现有工程环保手续</w:t>
      </w:r>
    </w:p>
    <w:p w14:paraId="1168928E">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outlineLvl w:val="9"/>
        <w:rPr>
          <w:rFonts w:hint="default" w:cs="Times New Roman"/>
          <w:b w:val="0"/>
          <w:bCs/>
          <w:caps w:val="0"/>
          <w:color w:val="auto"/>
          <w:sz w:val="21"/>
          <w:szCs w:val="21"/>
          <w:highlight w:val="none"/>
          <w:lang w:val="en-US" w:eastAsia="zh-CN"/>
        </w:rPr>
      </w:pPr>
      <w:r>
        <w:rPr>
          <w:rFonts w:hint="eastAsia" w:cs="Times New Roman"/>
          <w:b w:val="0"/>
          <w:bCs/>
          <w:caps w:val="0"/>
          <w:color w:val="auto"/>
          <w:sz w:val="21"/>
          <w:szCs w:val="21"/>
          <w:highlight w:val="none"/>
          <w:lang w:val="en-US" w:eastAsia="zh-CN"/>
        </w:rPr>
        <w:t>附件6  排污许可证</w:t>
      </w:r>
    </w:p>
    <w:p w14:paraId="4BF2BAC4">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outlineLvl w:val="9"/>
        <w:rPr>
          <w:rFonts w:hint="default" w:cs="Times New Roman"/>
          <w:b w:val="0"/>
          <w:bCs/>
          <w:caps w:val="0"/>
          <w:color w:val="auto"/>
          <w:sz w:val="21"/>
          <w:szCs w:val="21"/>
          <w:highlight w:val="none"/>
          <w:lang w:val="en-US" w:eastAsia="zh-CN"/>
        </w:rPr>
      </w:pPr>
      <w:r>
        <w:rPr>
          <w:rFonts w:hint="eastAsia" w:ascii="Times New Roman" w:hAnsi="Times New Roman" w:eastAsia="宋体" w:cs="Times New Roman"/>
          <w:b w:val="0"/>
          <w:bCs/>
          <w:caps w:val="0"/>
          <w:color w:val="auto"/>
          <w:sz w:val="21"/>
          <w:szCs w:val="21"/>
          <w:highlight w:val="none"/>
          <w:lang w:val="en-US" w:eastAsia="zh-CN"/>
        </w:rPr>
        <w:t>附件</w:t>
      </w:r>
      <w:r>
        <w:rPr>
          <w:rFonts w:hint="eastAsia" w:cs="Times New Roman"/>
          <w:b w:val="0"/>
          <w:bCs/>
          <w:caps w:val="0"/>
          <w:color w:val="auto"/>
          <w:sz w:val="21"/>
          <w:szCs w:val="21"/>
          <w:highlight w:val="none"/>
          <w:lang w:val="en-US" w:eastAsia="zh-CN"/>
        </w:rPr>
        <w:t>7  现有工程监测报告</w:t>
      </w:r>
    </w:p>
    <w:p w14:paraId="15DC8A44">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outlineLvl w:val="9"/>
        <w:rPr>
          <w:rFonts w:hint="eastAsia" w:cs="Times New Roman"/>
          <w:b w:val="0"/>
          <w:bCs/>
          <w:caps w:val="0"/>
          <w:color w:val="auto"/>
          <w:sz w:val="21"/>
          <w:szCs w:val="21"/>
          <w:highlight w:val="none"/>
          <w:lang w:val="en-US" w:eastAsia="zh-CN"/>
        </w:rPr>
      </w:pPr>
      <w:r>
        <w:rPr>
          <w:rFonts w:hint="eastAsia" w:ascii="Times New Roman" w:hAnsi="Times New Roman" w:eastAsia="宋体" w:cs="Times New Roman"/>
          <w:b w:val="0"/>
          <w:bCs/>
          <w:caps w:val="0"/>
          <w:color w:val="auto"/>
          <w:sz w:val="21"/>
          <w:szCs w:val="21"/>
          <w:highlight w:val="none"/>
          <w:lang w:val="en-US" w:eastAsia="zh-CN"/>
        </w:rPr>
        <w:t>附件</w:t>
      </w:r>
      <w:r>
        <w:rPr>
          <w:rFonts w:hint="eastAsia" w:cs="Times New Roman"/>
          <w:b w:val="0"/>
          <w:bCs/>
          <w:caps w:val="0"/>
          <w:color w:val="auto"/>
          <w:sz w:val="21"/>
          <w:szCs w:val="21"/>
          <w:highlight w:val="none"/>
          <w:lang w:val="en-US" w:eastAsia="zh-CN"/>
        </w:rPr>
        <w:t>8</w:t>
      </w:r>
      <w:r>
        <w:rPr>
          <w:rFonts w:hint="eastAsia" w:ascii="Times New Roman" w:hAnsi="Times New Roman" w:eastAsia="宋体" w:cs="Times New Roman"/>
          <w:b w:val="0"/>
          <w:bCs/>
          <w:caps w:val="0"/>
          <w:color w:val="auto"/>
          <w:sz w:val="21"/>
          <w:szCs w:val="21"/>
          <w:highlight w:val="none"/>
          <w:lang w:val="en-US" w:eastAsia="zh-CN"/>
        </w:rPr>
        <w:t xml:space="preserve"> </w:t>
      </w:r>
      <w:r>
        <w:rPr>
          <w:rFonts w:hint="eastAsia" w:cs="Times New Roman"/>
          <w:b w:val="0"/>
          <w:bCs/>
          <w:caps w:val="0"/>
          <w:color w:val="auto"/>
          <w:sz w:val="21"/>
          <w:szCs w:val="21"/>
          <w:highlight w:val="none"/>
          <w:lang w:val="en-US" w:eastAsia="zh-CN"/>
        </w:rPr>
        <w:t xml:space="preserve"> 入河排污口设置的批复</w:t>
      </w:r>
    </w:p>
    <w:p w14:paraId="5C8DB3C7">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outlineLvl w:val="9"/>
        <w:rPr>
          <w:rFonts w:hint="default" w:ascii="Times New Roman" w:hAnsi="Times New Roman" w:eastAsia="宋体" w:cs="Times New Roman"/>
          <w:b w:val="0"/>
          <w:bCs/>
          <w:caps w:val="0"/>
          <w:color w:val="auto"/>
          <w:sz w:val="21"/>
          <w:szCs w:val="21"/>
          <w:highlight w:val="none"/>
          <w:lang w:val="en-US" w:eastAsia="zh-CN"/>
        </w:rPr>
      </w:pPr>
      <w:r>
        <w:rPr>
          <w:rFonts w:hint="eastAsia" w:ascii="Times New Roman" w:hAnsi="Times New Roman" w:eastAsia="宋体" w:cs="Times New Roman"/>
          <w:b w:val="0"/>
          <w:bCs/>
          <w:caps w:val="0"/>
          <w:color w:val="auto"/>
          <w:sz w:val="21"/>
          <w:szCs w:val="21"/>
          <w:highlight w:val="none"/>
          <w:lang w:val="en-US" w:eastAsia="zh-CN"/>
        </w:rPr>
        <w:t>附件</w:t>
      </w:r>
      <w:r>
        <w:rPr>
          <w:rFonts w:hint="eastAsia" w:cs="Times New Roman"/>
          <w:b w:val="0"/>
          <w:bCs/>
          <w:caps w:val="0"/>
          <w:color w:val="auto"/>
          <w:sz w:val="21"/>
          <w:szCs w:val="21"/>
          <w:highlight w:val="none"/>
          <w:lang w:val="en-US" w:eastAsia="zh-CN"/>
        </w:rPr>
        <w:t>9  危废协议</w:t>
      </w:r>
    </w:p>
    <w:p w14:paraId="719F1988">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outlineLvl w:val="9"/>
        <w:rPr>
          <w:rFonts w:hint="default" w:ascii="Times New Roman" w:hAnsi="Times New Roman" w:eastAsia="宋体" w:cs="Times New Roman"/>
          <w:b w:val="0"/>
          <w:bCs/>
          <w:caps w:val="0"/>
          <w:color w:val="auto"/>
          <w:sz w:val="21"/>
          <w:szCs w:val="21"/>
          <w:highlight w:val="none"/>
          <w:lang w:val="en-US" w:eastAsia="zh-CN"/>
        </w:rPr>
      </w:pPr>
      <w:r>
        <w:rPr>
          <w:rFonts w:hint="eastAsia" w:ascii="Times New Roman" w:hAnsi="Times New Roman" w:eastAsia="宋体" w:cs="Times New Roman"/>
          <w:b w:val="0"/>
          <w:bCs/>
          <w:caps w:val="0"/>
          <w:color w:val="auto"/>
          <w:sz w:val="21"/>
          <w:szCs w:val="21"/>
          <w:highlight w:val="none"/>
          <w:lang w:val="en-US" w:eastAsia="zh-CN"/>
        </w:rPr>
        <w:t>附件</w:t>
      </w:r>
      <w:r>
        <w:rPr>
          <w:rFonts w:hint="eastAsia" w:cs="Times New Roman"/>
          <w:b w:val="0"/>
          <w:bCs/>
          <w:caps w:val="0"/>
          <w:color w:val="auto"/>
          <w:sz w:val="21"/>
          <w:szCs w:val="21"/>
          <w:highlight w:val="none"/>
          <w:lang w:val="en-US" w:eastAsia="zh-CN"/>
        </w:rPr>
        <w:t>10</w:t>
      </w:r>
      <w:r>
        <w:rPr>
          <w:rFonts w:hint="eastAsia" w:ascii="Times New Roman" w:hAnsi="Times New Roman" w:eastAsia="宋体" w:cs="Times New Roman"/>
          <w:b w:val="0"/>
          <w:bCs/>
          <w:caps w:val="0"/>
          <w:color w:val="auto"/>
          <w:sz w:val="21"/>
          <w:szCs w:val="21"/>
          <w:highlight w:val="none"/>
          <w:lang w:val="en-US" w:eastAsia="zh-CN"/>
        </w:rPr>
        <w:t xml:space="preserve"> </w:t>
      </w:r>
      <w:r>
        <w:rPr>
          <w:rFonts w:hint="eastAsia" w:cs="Times New Roman"/>
          <w:b w:val="0"/>
          <w:bCs/>
          <w:caps w:val="0"/>
          <w:color w:val="auto"/>
          <w:sz w:val="21"/>
          <w:szCs w:val="21"/>
          <w:highlight w:val="none"/>
          <w:lang w:val="en-US" w:eastAsia="zh-CN"/>
        </w:rPr>
        <w:t xml:space="preserve"> 现状监测报告</w:t>
      </w:r>
    </w:p>
    <w:p w14:paraId="5AB5EE39">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outlineLvl w:val="9"/>
        <w:rPr>
          <w:rFonts w:hint="eastAsia" w:ascii="Times New Roman" w:hAnsi="Times New Roman" w:eastAsia="宋体" w:cs="Times New Roman"/>
          <w:b w:val="0"/>
          <w:bCs/>
          <w:caps w:val="0"/>
          <w:color w:val="auto"/>
          <w:sz w:val="21"/>
          <w:szCs w:val="21"/>
          <w:highlight w:val="none"/>
          <w:lang w:val="en-US" w:eastAsia="zh-CN"/>
        </w:rPr>
      </w:pPr>
      <w:r>
        <w:rPr>
          <w:rFonts w:hint="eastAsia" w:ascii="Times New Roman" w:hAnsi="Times New Roman" w:eastAsia="宋体" w:cs="Times New Roman"/>
          <w:b w:val="0"/>
          <w:bCs/>
          <w:caps w:val="0"/>
          <w:color w:val="auto"/>
          <w:sz w:val="21"/>
          <w:szCs w:val="21"/>
          <w:highlight w:val="none"/>
          <w:lang w:val="en-US" w:eastAsia="zh-CN"/>
        </w:rPr>
        <w:t>附件</w:t>
      </w:r>
      <w:r>
        <w:rPr>
          <w:rFonts w:hint="eastAsia" w:cs="Times New Roman"/>
          <w:b w:val="0"/>
          <w:bCs/>
          <w:caps w:val="0"/>
          <w:color w:val="auto"/>
          <w:sz w:val="21"/>
          <w:szCs w:val="21"/>
          <w:highlight w:val="none"/>
          <w:lang w:val="en-US" w:eastAsia="zh-CN"/>
        </w:rPr>
        <w:t>11</w:t>
      </w:r>
      <w:r>
        <w:rPr>
          <w:rFonts w:hint="eastAsia" w:ascii="Times New Roman" w:hAnsi="Times New Roman" w:eastAsia="宋体" w:cs="Times New Roman"/>
          <w:b w:val="0"/>
          <w:bCs/>
          <w:caps w:val="0"/>
          <w:color w:val="auto"/>
          <w:sz w:val="21"/>
          <w:szCs w:val="21"/>
          <w:highlight w:val="none"/>
          <w:lang w:val="en-US" w:eastAsia="zh-CN"/>
        </w:rPr>
        <w:t xml:space="preserve"> </w:t>
      </w:r>
      <w:r>
        <w:rPr>
          <w:rFonts w:hint="eastAsia" w:cs="Times New Roman"/>
          <w:b w:val="0"/>
          <w:bCs/>
          <w:caps w:val="0"/>
          <w:color w:val="auto"/>
          <w:sz w:val="21"/>
          <w:szCs w:val="21"/>
          <w:highlight w:val="none"/>
          <w:lang w:val="en-US" w:eastAsia="zh-CN"/>
        </w:rPr>
        <w:t xml:space="preserve"> </w:t>
      </w:r>
      <w:r>
        <w:rPr>
          <w:rFonts w:hint="eastAsia" w:ascii="Times New Roman" w:hAnsi="Times New Roman" w:eastAsia="宋体" w:cs="Times New Roman"/>
          <w:b w:val="0"/>
          <w:bCs/>
          <w:caps w:val="0"/>
          <w:color w:val="auto"/>
          <w:sz w:val="21"/>
          <w:szCs w:val="21"/>
          <w:highlight w:val="none"/>
          <w:lang w:val="en-US" w:eastAsia="zh-CN"/>
        </w:rPr>
        <w:t>“生态环境分区管控”研判结果</w:t>
      </w:r>
    </w:p>
    <w:p w14:paraId="2E60E42B">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outlineLvl w:val="9"/>
        <w:rPr>
          <w:rFonts w:hint="default" w:ascii="Times New Roman" w:hAnsi="Times New Roman" w:eastAsia="宋体" w:cs="Times New Roman"/>
          <w:b w:val="0"/>
          <w:bCs/>
          <w:caps w:val="0"/>
          <w:color w:val="auto"/>
          <w:sz w:val="21"/>
          <w:szCs w:val="21"/>
          <w:highlight w:val="none"/>
          <w:lang w:val="en-US" w:eastAsia="zh-CN"/>
        </w:rPr>
        <w:sectPr>
          <w:pgSz w:w="11906" w:h="16838"/>
          <w:pgMar w:top="1440" w:right="1800" w:bottom="1440" w:left="1800" w:header="851" w:footer="1077" w:gutter="0"/>
          <w:pgBorders>
            <w:top w:val="none" w:sz="0" w:space="0"/>
            <w:left w:val="none" w:sz="0" w:space="0"/>
            <w:bottom w:val="none" w:sz="0" w:space="0"/>
            <w:right w:val="none" w:sz="0" w:space="0"/>
          </w:pgBorders>
          <w:pgNumType w:start="3"/>
          <w:cols w:space="720" w:num="1"/>
          <w:docGrid w:linePitch="312" w:charSpace="0"/>
        </w:sectPr>
      </w:pPr>
      <w:r>
        <w:rPr>
          <w:rFonts w:hint="eastAsia" w:cs="Times New Roman"/>
          <w:b w:val="0"/>
          <w:bCs/>
          <w:caps w:val="0"/>
          <w:color w:val="auto"/>
          <w:sz w:val="21"/>
          <w:szCs w:val="21"/>
          <w:highlight w:val="none"/>
          <w:lang w:val="en-US" w:eastAsia="zh-CN"/>
        </w:rPr>
        <w:t>附件12  技术审查意见</w:t>
      </w:r>
    </w:p>
    <w:p w14:paraId="7BC0632C">
      <w:pPr>
        <w:pStyle w:val="19"/>
        <w:jc w:val="center"/>
        <w:outlineLvl w:val="0"/>
        <w:rPr>
          <w:rFonts w:hint="default" w:ascii="Times New Roman" w:hAnsi="Times New Roman" w:eastAsia="黑体" w:cs="Times New Roman"/>
          <w:snapToGrid w:val="0"/>
          <w:color w:val="auto"/>
          <w:sz w:val="30"/>
          <w:szCs w:val="30"/>
          <w:highlight w:val="none"/>
        </w:rPr>
      </w:pPr>
      <w:bookmarkStart w:id="2" w:name="_Toc12561"/>
      <w:r>
        <w:rPr>
          <w:rFonts w:hint="default" w:ascii="Times New Roman" w:hAnsi="Times New Roman" w:eastAsia="黑体" w:cs="Times New Roman"/>
          <w:snapToGrid w:val="0"/>
          <w:color w:val="auto"/>
          <w:sz w:val="30"/>
          <w:szCs w:val="30"/>
          <w:highlight w:val="none"/>
        </w:rPr>
        <w:t>一、建设项目基本情况</w:t>
      </w:r>
      <w:bookmarkEnd w:id="2"/>
    </w:p>
    <w:tbl>
      <w:tblPr>
        <w:tblStyle w:val="2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118"/>
        <w:gridCol w:w="768"/>
        <w:gridCol w:w="2209"/>
        <w:gridCol w:w="2212"/>
        <w:gridCol w:w="2547"/>
      </w:tblGrid>
      <w:tr w14:paraId="47FB36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86" w:type="dxa"/>
            <w:gridSpan w:val="2"/>
            <w:tcMar>
              <w:top w:w="16" w:type="dxa"/>
              <w:left w:w="16" w:type="dxa"/>
              <w:right w:w="16" w:type="dxa"/>
            </w:tcMar>
            <w:vAlign w:val="center"/>
          </w:tcPr>
          <w:p w14:paraId="20EA9DF8">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建设项目名称</w:t>
            </w:r>
          </w:p>
        </w:tc>
        <w:tc>
          <w:tcPr>
            <w:tcW w:w="6968" w:type="dxa"/>
            <w:gridSpan w:val="3"/>
            <w:vAlign w:val="center"/>
          </w:tcPr>
          <w:p w14:paraId="01637978">
            <w:pPr>
              <w:adjustRightInd w:val="0"/>
              <w:snapToGrid w:val="0"/>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eastAsia="zh-CN"/>
              </w:rPr>
              <w:t>赵庄煤业15号煤配采选煤厂配套工程</w:t>
            </w:r>
          </w:p>
        </w:tc>
      </w:tr>
      <w:tr w14:paraId="37624B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86" w:type="dxa"/>
            <w:gridSpan w:val="2"/>
            <w:tcMar>
              <w:top w:w="16" w:type="dxa"/>
              <w:left w:w="16" w:type="dxa"/>
              <w:right w:w="16" w:type="dxa"/>
            </w:tcMar>
            <w:vAlign w:val="center"/>
          </w:tcPr>
          <w:p w14:paraId="6B613BA0">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项目代码</w:t>
            </w:r>
          </w:p>
        </w:tc>
        <w:tc>
          <w:tcPr>
            <w:tcW w:w="6968" w:type="dxa"/>
            <w:gridSpan w:val="3"/>
            <w:vAlign w:val="center"/>
          </w:tcPr>
          <w:p w14:paraId="41666CA4">
            <w:pPr>
              <w:adjustRightInd w:val="0"/>
              <w:snapToGrid w:val="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507A08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86" w:type="dxa"/>
            <w:gridSpan w:val="2"/>
            <w:tcMar>
              <w:top w:w="16" w:type="dxa"/>
              <w:left w:w="16" w:type="dxa"/>
              <w:right w:w="16" w:type="dxa"/>
            </w:tcMar>
            <w:vAlign w:val="center"/>
          </w:tcPr>
          <w:p w14:paraId="6F26033F">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建设单位联系人</w:t>
            </w:r>
          </w:p>
        </w:tc>
        <w:tc>
          <w:tcPr>
            <w:tcW w:w="2209" w:type="dxa"/>
            <w:vAlign w:val="center"/>
          </w:tcPr>
          <w:p w14:paraId="6324D8DD">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212" w:type="dxa"/>
            <w:vAlign w:val="center"/>
          </w:tcPr>
          <w:p w14:paraId="5A95D3C5">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联系方式</w:t>
            </w:r>
          </w:p>
        </w:tc>
        <w:tc>
          <w:tcPr>
            <w:tcW w:w="2547" w:type="dxa"/>
            <w:vAlign w:val="center"/>
          </w:tcPr>
          <w:p w14:paraId="468F8298">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66EEA2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86" w:type="dxa"/>
            <w:gridSpan w:val="2"/>
            <w:tcMar>
              <w:top w:w="16" w:type="dxa"/>
              <w:left w:w="16" w:type="dxa"/>
              <w:right w:w="16" w:type="dxa"/>
            </w:tcMar>
            <w:vAlign w:val="center"/>
          </w:tcPr>
          <w:p w14:paraId="15C812DD">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建设地点</w:t>
            </w:r>
          </w:p>
        </w:tc>
        <w:tc>
          <w:tcPr>
            <w:tcW w:w="6968" w:type="dxa"/>
            <w:gridSpan w:val="3"/>
            <w:vAlign w:val="center"/>
          </w:tcPr>
          <w:p w14:paraId="15C4CDE3">
            <w:pPr>
              <w:adjustRightInd w:val="0"/>
              <w:snapToGrid w:val="0"/>
              <w:jc w:val="center"/>
              <w:rPr>
                <w:rFonts w:hint="default" w:ascii="Times New Roman" w:hAnsi="Times New Roman" w:cs="Times New Roman"/>
                <w:color w:val="auto"/>
                <w:sz w:val="21"/>
                <w:szCs w:val="21"/>
                <w:highlight w:val="none"/>
                <w:lang w:val="en-US"/>
              </w:rPr>
            </w:pPr>
            <w:r>
              <w:rPr>
                <w:rFonts w:hint="eastAsia" w:cs="Times New Roman"/>
                <w:color w:val="auto"/>
                <w:sz w:val="21"/>
                <w:szCs w:val="21"/>
                <w:highlight w:val="none"/>
                <w:lang w:val="en-US" w:eastAsia="zh-CN"/>
              </w:rPr>
              <w:t>山西省长治市长子县慈林镇张店村赵庄煤业洗煤厂西南侧</w:t>
            </w:r>
          </w:p>
        </w:tc>
      </w:tr>
      <w:tr w14:paraId="5452AD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86" w:type="dxa"/>
            <w:gridSpan w:val="2"/>
            <w:tcMar>
              <w:top w:w="16" w:type="dxa"/>
              <w:left w:w="16" w:type="dxa"/>
              <w:right w:w="16" w:type="dxa"/>
            </w:tcMar>
            <w:vAlign w:val="center"/>
          </w:tcPr>
          <w:p w14:paraId="565F2CE6">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地理坐标</w:t>
            </w:r>
          </w:p>
        </w:tc>
        <w:tc>
          <w:tcPr>
            <w:tcW w:w="6968" w:type="dxa"/>
            <w:gridSpan w:val="3"/>
            <w:vAlign w:val="center"/>
          </w:tcPr>
          <w:p w14:paraId="447DBB75">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u w:val="single"/>
              </w:rPr>
              <w:t>11</w:t>
            </w:r>
            <w:r>
              <w:rPr>
                <w:rFonts w:hint="eastAsia" w:cs="Times New Roman"/>
                <w:color w:val="auto"/>
                <w:sz w:val="21"/>
                <w:szCs w:val="21"/>
                <w:highlight w:val="none"/>
                <w:u w:val="single"/>
                <w:lang w:val="en-US" w:eastAsia="zh-CN"/>
              </w:rPr>
              <w:t>2</w:t>
            </w:r>
            <w:r>
              <w:rPr>
                <w:rFonts w:hint="default" w:ascii="Times New Roman" w:hAnsi="Times New Roman" w:cs="Times New Roman"/>
                <w:color w:val="auto"/>
                <w:sz w:val="21"/>
                <w:szCs w:val="21"/>
                <w:highlight w:val="none"/>
              </w:rPr>
              <w:t>度</w:t>
            </w:r>
            <w:r>
              <w:rPr>
                <w:rFonts w:hint="eastAsia" w:cs="Times New Roman"/>
                <w:color w:val="auto"/>
                <w:sz w:val="21"/>
                <w:szCs w:val="21"/>
                <w:highlight w:val="none"/>
                <w:u w:val="single"/>
                <w:lang w:val="en-US" w:eastAsia="zh-CN"/>
              </w:rPr>
              <w:t>53</w:t>
            </w:r>
            <w:r>
              <w:rPr>
                <w:rFonts w:hint="default" w:ascii="Times New Roman" w:hAnsi="Times New Roman" w:cs="Times New Roman"/>
                <w:color w:val="auto"/>
                <w:sz w:val="21"/>
                <w:szCs w:val="21"/>
                <w:highlight w:val="none"/>
              </w:rPr>
              <w:t>分</w:t>
            </w:r>
            <w:r>
              <w:rPr>
                <w:rFonts w:hint="eastAsia" w:ascii="Times New Roman" w:hAnsi="Times New Roman" w:cs="Times New Roman"/>
                <w:color w:val="auto"/>
                <w:sz w:val="21"/>
                <w:szCs w:val="21"/>
                <w:highlight w:val="none"/>
                <w:u w:val="single"/>
                <w:lang w:val="en-US" w:eastAsia="zh-CN"/>
              </w:rPr>
              <w:t>2</w:t>
            </w:r>
            <w:r>
              <w:rPr>
                <w:rFonts w:hint="eastAsia" w:cs="Times New Roman"/>
                <w:color w:val="auto"/>
                <w:sz w:val="21"/>
                <w:szCs w:val="21"/>
                <w:highlight w:val="none"/>
                <w:u w:val="single"/>
                <w:lang w:val="en-US" w:eastAsia="zh-CN"/>
              </w:rPr>
              <w:t>2.330</w:t>
            </w:r>
            <w:r>
              <w:rPr>
                <w:rFonts w:hint="default" w:ascii="Times New Roman" w:hAnsi="Times New Roman" w:cs="Times New Roman"/>
                <w:color w:val="auto"/>
                <w:sz w:val="21"/>
                <w:szCs w:val="21"/>
                <w:highlight w:val="none"/>
              </w:rPr>
              <w:t>秒，</w:t>
            </w:r>
            <w:r>
              <w:rPr>
                <w:rFonts w:hint="default" w:ascii="Times New Roman" w:hAnsi="Times New Roman" w:cs="Times New Roman"/>
                <w:color w:val="auto"/>
                <w:sz w:val="21"/>
                <w:szCs w:val="21"/>
                <w:highlight w:val="none"/>
                <w:u w:val="single"/>
              </w:rPr>
              <w:t>3</w:t>
            </w:r>
            <w:r>
              <w:rPr>
                <w:rFonts w:hint="eastAsia" w:cs="Times New Roman"/>
                <w:color w:val="auto"/>
                <w:sz w:val="21"/>
                <w:szCs w:val="21"/>
                <w:highlight w:val="none"/>
                <w:u w:val="single"/>
                <w:lang w:val="en-US" w:eastAsia="zh-CN"/>
              </w:rPr>
              <w:t>5</w:t>
            </w:r>
            <w:r>
              <w:rPr>
                <w:rFonts w:hint="default" w:ascii="Times New Roman" w:hAnsi="Times New Roman" w:cs="Times New Roman"/>
                <w:color w:val="auto"/>
                <w:sz w:val="21"/>
                <w:szCs w:val="21"/>
                <w:highlight w:val="none"/>
              </w:rPr>
              <w:t>度</w:t>
            </w:r>
            <w:r>
              <w:rPr>
                <w:rFonts w:hint="eastAsia" w:cs="Times New Roman"/>
                <w:color w:val="auto"/>
                <w:sz w:val="21"/>
                <w:szCs w:val="21"/>
                <w:highlight w:val="none"/>
                <w:u w:val="single"/>
                <w:lang w:val="en-US" w:eastAsia="zh-CN"/>
              </w:rPr>
              <w:t>59</w:t>
            </w:r>
            <w:r>
              <w:rPr>
                <w:rFonts w:hint="default" w:ascii="Times New Roman" w:hAnsi="Times New Roman" w:cs="Times New Roman"/>
                <w:color w:val="auto"/>
                <w:sz w:val="21"/>
                <w:szCs w:val="21"/>
                <w:highlight w:val="none"/>
              </w:rPr>
              <w:t>分</w:t>
            </w:r>
            <w:r>
              <w:rPr>
                <w:rFonts w:hint="eastAsia" w:cs="Times New Roman"/>
                <w:color w:val="auto"/>
                <w:sz w:val="21"/>
                <w:szCs w:val="21"/>
                <w:highlight w:val="none"/>
                <w:u w:val="single"/>
                <w:lang w:val="en-US" w:eastAsia="zh-CN"/>
              </w:rPr>
              <w:t>41.080</w:t>
            </w:r>
            <w:r>
              <w:rPr>
                <w:rFonts w:hint="default" w:ascii="Times New Roman" w:hAnsi="Times New Roman" w:cs="Times New Roman"/>
                <w:color w:val="auto"/>
                <w:sz w:val="21"/>
                <w:szCs w:val="21"/>
                <w:highlight w:val="none"/>
              </w:rPr>
              <w:t>秒</w:t>
            </w:r>
            <w:r>
              <w:rPr>
                <w:color w:val="auto"/>
                <w:sz w:val="21"/>
                <w:szCs w:val="21"/>
                <w:highlight w:val="none"/>
              </w:rPr>
              <w:t>）</w:t>
            </w:r>
          </w:p>
        </w:tc>
      </w:tr>
      <w:tr w14:paraId="25E476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1886" w:type="dxa"/>
            <w:gridSpan w:val="2"/>
            <w:tcMar>
              <w:top w:w="16" w:type="dxa"/>
              <w:left w:w="16" w:type="dxa"/>
              <w:right w:w="16" w:type="dxa"/>
            </w:tcMar>
            <w:vAlign w:val="center"/>
          </w:tcPr>
          <w:p w14:paraId="12237282">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国民经济</w:t>
            </w:r>
          </w:p>
          <w:p w14:paraId="7494F27C">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行业类别</w:t>
            </w:r>
          </w:p>
        </w:tc>
        <w:tc>
          <w:tcPr>
            <w:tcW w:w="2209" w:type="dxa"/>
            <w:vAlign w:val="center"/>
          </w:tcPr>
          <w:p w14:paraId="68380546">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G5990其他仓储业</w:t>
            </w:r>
          </w:p>
        </w:tc>
        <w:tc>
          <w:tcPr>
            <w:tcW w:w="2212" w:type="dxa"/>
            <w:vAlign w:val="center"/>
          </w:tcPr>
          <w:p w14:paraId="40616C0B">
            <w:pPr>
              <w:adjustRightInd w:val="0"/>
              <w:snapToGrid w:val="0"/>
              <w:jc w:val="center"/>
              <w:rPr>
                <w:rFonts w:hint="default" w:ascii="Times New Roman" w:hAnsi="Times New Roman" w:cs="Times New Roman"/>
                <w:color w:val="auto"/>
                <w:sz w:val="21"/>
                <w:szCs w:val="21"/>
                <w:highlight w:val="none"/>
              </w:rPr>
            </w:pPr>
            <w:bookmarkStart w:id="3" w:name="_Hlk49843745"/>
            <w:r>
              <w:rPr>
                <w:rFonts w:hint="default" w:ascii="Times New Roman" w:hAnsi="Times New Roman" w:cs="Times New Roman"/>
                <w:color w:val="auto"/>
                <w:sz w:val="21"/>
                <w:szCs w:val="21"/>
                <w:highlight w:val="none"/>
              </w:rPr>
              <w:t>建设项目</w:t>
            </w:r>
          </w:p>
          <w:p w14:paraId="4EDFD9EC">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行业类别</w:t>
            </w:r>
            <w:bookmarkEnd w:id="3"/>
          </w:p>
        </w:tc>
        <w:tc>
          <w:tcPr>
            <w:tcW w:w="2547" w:type="dxa"/>
            <w:vAlign w:val="center"/>
          </w:tcPr>
          <w:p w14:paraId="1A45A139">
            <w:pPr>
              <w:adjustRightInd w:val="0"/>
              <w:snapToGrid w:val="0"/>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四、煤炭开采和洗选业06--6、烟煤和无烟煤开采洗选--煤炭储存、集运</w:t>
            </w:r>
          </w:p>
        </w:tc>
      </w:tr>
      <w:tr w14:paraId="2C67A3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1886" w:type="dxa"/>
            <w:gridSpan w:val="2"/>
            <w:tcMar>
              <w:top w:w="16" w:type="dxa"/>
              <w:left w:w="16" w:type="dxa"/>
              <w:right w:w="16" w:type="dxa"/>
            </w:tcMar>
            <w:vAlign w:val="center"/>
          </w:tcPr>
          <w:p w14:paraId="73B1D5F7">
            <w:pPr>
              <w:adjustRightInd w:val="0"/>
              <w:snapToGrid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建设性质</w:t>
            </w:r>
          </w:p>
        </w:tc>
        <w:tc>
          <w:tcPr>
            <w:tcW w:w="2209" w:type="dxa"/>
            <w:vAlign w:val="center"/>
          </w:tcPr>
          <w:p w14:paraId="2CEECA88">
            <w:pPr>
              <w:adjustRightInd w:val="0"/>
              <w:snapToGrid w:val="0"/>
              <w:jc w:val="both"/>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新建（迁建）</w:t>
            </w:r>
          </w:p>
          <w:p w14:paraId="496FAD33">
            <w:pPr>
              <w:adjustRightInd w:val="0"/>
              <w:snapToGrid w:val="0"/>
              <w:jc w:val="both"/>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改建</w:t>
            </w:r>
          </w:p>
          <w:p w14:paraId="40F77C60">
            <w:pPr>
              <w:adjustRightInd w:val="0"/>
              <w:snapToGrid w:val="0"/>
              <w:jc w:val="both"/>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扩建</w:t>
            </w:r>
          </w:p>
          <w:p w14:paraId="19F30B62">
            <w:pPr>
              <w:adjustRightInd w:val="0"/>
              <w:snapToGrid w:val="0"/>
              <w:jc w:val="both"/>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技术改造</w:t>
            </w:r>
          </w:p>
        </w:tc>
        <w:tc>
          <w:tcPr>
            <w:tcW w:w="2212" w:type="dxa"/>
            <w:vAlign w:val="center"/>
          </w:tcPr>
          <w:p w14:paraId="185BA9EB">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建设项目</w:t>
            </w:r>
          </w:p>
          <w:p w14:paraId="14E3FE5B">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申报情形</w:t>
            </w:r>
          </w:p>
        </w:tc>
        <w:tc>
          <w:tcPr>
            <w:tcW w:w="2547" w:type="dxa"/>
            <w:vAlign w:val="center"/>
          </w:tcPr>
          <w:p w14:paraId="10C25924">
            <w:pPr>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首次申报项目</w:t>
            </w:r>
          </w:p>
          <w:p w14:paraId="69CBC959">
            <w:pPr>
              <w:jc w:val="left"/>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不予批准后再次申报项目</w:t>
            </w:r>
          </w:p>
          <w:p w14:paraId="1CBA2364">
            <w:pPr>
              <w:jc w:val="left"/>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超五年重新审核项目</w:t>
            </w:r>
          </w:p>
          <w:p w14:paraId="71E0B316">
            <w:pPr>
              <w:jc w:val="left"/>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重大变动重新报批项目</w:t>
            </w:r>
          </w:p>
        </w:tc>
      </w:tr>
      <w:tr w14:paraId="66BC81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886" w:type="dxa"/>
            <w:gridSpan w:val="2"/>
            <w:tcMar>
              <w:top w:w="16" w:type="dxa"/>
              <w:left w:w="16" w:type="dxa"/>
              <w:right w:w="16" w:type="dxa"/>
            </w:tcMar>
            <w:vAlign w:val="center"/>
          </w:tcPr>
          <w:p w14:paraId="42175DD2">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项目审批（备案）部门（选填）</w:t>
            </w:r>
          </w:p>
        </w:tc>
        <w:tc>
          <w:tcPr>
            <w:tcW w:w="2209" w:type="dxa"/>
            <w:vAlign w:val="center"/>
          </w:tcPr>
          <w:p w14:paraId="4BE49E7F">
            <w:pPr>
              <w:adjustRightInd w:val="0"/>
              <w:snapToGrid w:val="0"/>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w:t>
            </w:r>
          </w:p>
        </w:tc>
        <w:tc>
          <w:tcPr>
            <w:tcW w:w="2212" w:type="dxa"/>
            <w:vAlign w:val="center"/>
          </w:tcPr>
          <w:p w14:paraId="1B21DF69">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项目审批（核准/</w:t>
            </w:r>
          </w:p>
          <w:p w14:paraId="1F90525D">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备案）文号（选填）</w:t>
            </w:r>
          </w:p>
        </w:tc>
        <w:tc>
          <w:tcPr>
            <w:tcW w:w="2547" w:type="dxa"/>
            <w:vAlign w:val="center"/>
          </w:tcPr>
          <w:p w14:paraId="05800D57">
            <w:pPr>
              <w:adjustRightInd w:val="0"/>
              <w:snapToGrid w:val="0"/>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w:t>
            </w:r>
          </w:p>
        </w:tc>
      </w:tr>
      <w:tr w14:paraId="40A941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3" w:hRule="atLeast"/>
          <w:jc w:val="center"/>
        </w:trPr>
        <w:tc>
          <w:tcPr>
            <w:tcW w:w="1886" w:type="dxa"/>
            <w:gridSpan w:val="2"/>
            <w:tcMar>
              <w:top w:w="16" w:type="dxa"/>
              <w:left w:w="16" w:type="dxa"/>
              <w:right w:w="16" w:type="dxa"/>
            </w:tcMar>
            <w:vAlign w:val="center"/>
          </w:tcPr>
          <w:p w14:paraId="281D1468">
            <w:pPr>
              <w:adjustRightInd w:val="0"/>
              <w:snapToGrid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总投资（万元）</w:t>
            </w:r>
          </w:p>
        </w:tc>
        <w:tc>
          <w:tcPr>
            <w:tcW w:w="2209" w:type="dxa"/>
            <w:vAlign w:val="center"/>
          </w:tcPr>
          <w:p w14:paraId="74FFF562">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8344.83</w:t>
            </w:r>
          </w:p>
        </w:tc>
        <w:tc>
          <w:tcPr>
            <w:tcW w:w="2212" w:type="dxa"/>
            <w:tcMar>
              <w:top w:w="16" w:type="dxa"/>
              <w:left w:w="16" w:type="dxa"/>
              <w:right w:w="16" w:type="dxa"/>
            </w:tcMar>
            <w:vAlign w:val="center"/>
          </w:tcPr>
          <w:p w14:paraId="062503B1">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环保投资（万元）</w:t>
            </w:r>
          </w:p>
        </w:tc>
        <w:tc>
          <w:tcPr>
            <w:tcW w:w="2547" w:type="dxa"/>
            <w:vAlign w:val="center"/>
          </w:tcPr>
          <w:p w14:paraId="51B80163">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15</w:t>
            </w:r>
          </w:p>
        </w:tc>
      </w:tr>
      <w:tr w14:paraId="60F86C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86" w:type="dxa"/>
            <w:gridSpan w:val="2"/>
            <w:tcMar>
              <w:top w:w="16" w:type="dxa"/>
              <w:left w:w="16" w:type="dxa"/>
              <w:right w:w="16" w:type="dxa"/>
            </w:tcMar>
            <w:vAlign w:val="center"/>
          </w:tcPr>
          <w:p w14:paraId="327109AD">
            <w:pPr>
              <w:adjustRightInd w:val="0"/>
              <w:snapToGrid w:val="0"/>
              <w:jc w:val="center"/>
              <w:rPr>
                <w:rFonts w:hint="eastAsia"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rPr>
              <w:t>环保投资占比</w:t>
            </w:r>
            <w:r>
              <w:rPr>
                <w:rFonts w:hint="eastAsia" w:cs="Times New Roman"/>
                <w:color w:val="auto"/>
                <w:sz w:val="21"/>
                <w:szCs w:val="21"/>
                <w:highlight w:val="none"/>
                <w:lang w:eastAsia="zh-CN"/>
              </w:rPr>
              <w:t>（</w:t>
            </w:r>
            <w:r>
              <w:rPr>
                <w:rFonts w:hint="eastAsia" w:ascii="Times New Roman" w:hAnsi="Times New Roman" w:cs="Times New Roman"/>
                <w:color w:val="auto"/>
                <w:sz w:val="21"/>
                <w:szCs w:val="21"/>
                <w:highlight w:val="none"/>
                <w:lang w:val="en-US" w:eastAsia="zh-CN"/>
              </w:rPr>
              <w:t>%</w:t>
            </w:r>
            <w:r>
              <w:rPr>
                <w:rFonts w:hint="eastAsia" w:cs="Times New Roman"/>
                <w:color w:val="auto"/>
                <w:sz w:val="21"/>
                <w:szCs w:val="21"/>
                <w:highlight w:val="none"/>
                <w:lang w:eastAsia="zh-CN"/>
              </w:rPr>
              <w:t>）</w:t>
            </w:r>
          </w:p>
        </w:tc>
        <w:tc>
          <w:tcPr>
            <w:tcW w:w="2209" w:type="dxa"/>
            <w:vAlign w:val="center"/>
          </w:tcPr>
          <w:p w14:paraId="73FCEE67">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0.18</w:t>
            </w:r>
          </w:p>
        </w:tc>
        <w:tc>
          <w:tcPr>
            <w:tcW w:w="2212" w:type="dxa"/>
            <w:tcMar>
              <w:top w:w="16" w:type="dxa"/>
              <w:left w:w="16" w:type="dxa"/>
              <w:right w:w="16" w:type="dxa"/>
            </w:tcMar>
            <w:vAlign w:val="center"/>
          </w:tcPr>
          <w:p w14:paraId="5DABB384">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施工工期</w:t>
            </w:r>
          </w:p>
        </w:tc>
        <w:tc>
          <w:tcPr>
            <w:tcW w:w="2547" w:type="dxa"/>
            <w:vAlign w:val="center"/>
          </w:tcPr>
          <w:p w14:paraId="700CE2B7">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21</w:t>
            </w:r>
            <w:r>
              <w:rPr>
                <w:rFonts w:hint="eastAsia" w:ascii="Times New Roman" w:hAnsi="Times New Roman" w:cs="Times New Roman"/>
                <w:color w:val="auto"/>
                <w:sz w:val="21"/>
                <w:szCs w:val="21"/>
                <w:highlight w:val="none"/>
                <w:lang w:val="en-US" w:eastAsia="zh-CN"/>
              </w:rPr>
              <w:t>个</w:t>
            </w:r>
            <w:r>
              <w:rPr>
                <w:rFonts w:hint="default" w:ascii="Times New Roman" w:hAnsi="Times New Roman" w:cs="Times New Roman"/>
                <w:color w:val="auto"/>
                <w:sz w:val="21"/>
                <w:szCs w:val="21"/>
                <w:highlight w:val="none"/>
                <w:lang w:val="en-US" w:eastAsia="zh-CN"/>
              </w:rPr>
              <w:t>月</w:t>
            </w:r>
          </w:p>
        </w:tc>
      </w:tr>
      <w:tr w14:paraId="53ECD3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886" w:type="dxa"/>
            <w:gridSpan w:val="2"/>
            <w:tcMar>
              <w:top w:w="16" w:type="dxa"/>
              <w:left w:w="16" w:type="dxa"/>
              <w:right w:w="16" w:type="dxa"/>
            </w:tcMar>
            <w:vAlign w:val="center"/>
          </w:tcPr>
          <w:p w14:paraId="203A7BFA">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是否开工建设</w:t>
            </w:r>
          </w:p>
        </w:tc>
        <w:tc>
          <w:tcPr>
            <w:tcW w:w="2209" w:type="dxa"/>
            <w:vAlign w:val="center"/>
          </w:tcPr>
          <w:p w14:paraId="4DB1AAE4">
            <w:pPr>
              <w:adjustRightInd w:val="0"/>
              <w:snapToGrid w:val="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否</w:t>
            </w:r>
          </w:p>
          <w:p w14:paraId="4E1F81E6">
            <w:pPr>
              <w:adjustRightInd w:val="0"/>
              <w:snapToGrid w:val="0"/>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是：</w:t>
            </w:r>
            <w:r>
              <w:rPr>
                <w:rFonts w:hint="default" w:ascii="Times New Roman" w:hAnsi="Times New Roman" w:cs="Times New Roman"/>
                <w:color w:val="auto"/>
                <w:sz w:val="21"/>
                <w:szCs w:val="21"/>
                <w:highlight w:val="none"/>
                <w:u w:val="single"/>
              </w:rPr>
              <w:t xml:space="preserve">             </w:t>
            </w:r>
          </w:p>
        </w:tc>
        <w:tc>
          <w:tcPr>
            <w:tcW w:w="2212" w:type="dxa"/>
            <w:tcMar>
              <w:top w:w="16" w:type="dxa"/>
              <w:left w:w="16" w:type="dxa"/>
              <w:right w:w="16" w:type="dxa"/>
            </w:tcMar>
            <w:vAlign w:val="center"/>
          </w:tcPr>
          <w:p w14:paraId="05DB1BE6">
            <w:pPr>
              <w:adjustRightInd w:val="0"/>
              <w:snapToGrid w:val="0"/>
              <w:jc w:val="center"/>
              <w:rPr>
                <w:rFonts w:hint="default" w:ascii="Times New Roman" w:hAnsi="Times New Roman" w:cs="Times New Roman"/>
                <w:color w:val="auto"/>
                <w:spacing w:val="-6"/>
                <w:sz w:val="21"/>
                <w:szCs w:val="21"/>
                <w:highlight w:val="none"/>
              </w:rPr>
            </w:pPr>
            <w:r>
              <w:rPr>
                <w:rFonts w:hint="default" w:ascii="Times New Roman" w:hAnsi="Times New Roman" w:cs="Times New Roman"/>
                <w:color w:val="auto"/>
                <w:spacing w:val="-6"/>
                <w:sz w:val="21"/>
                <w:szCs w:val="21"/>
                <w:highlight w:val="none"/>
              </w:rPr>
              <w:t>用地（用海）</w:t>
            </w:r>
          </w:p>
          <w:p w14:paraId="729BD2E9">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pacing w:val="-6"/>
                <w:sz w:val="21"/>
                <w:szCs w:val="21"/>
                <w:highlight w:val="none"/>
              </w:rPr>
              <w:t>面积（m</w:t>
            </w:r>
            <w:r>
              <w:rPr>
                <w:rFonts w:hint="default" w:ascii="Times New Roman" w:hAnsi="Times New Roman" w:cs="Times New Roman"/>
                <w:color w:val="auto"/>
                <w:spacing w:val="-6"/>
                <w:sz w:val="21"/>
                <w:szCs w:val="21"/>
                <w:highlight w:val="none"/>
                <w:vertAlign w:val="superscript"/>
              </w:rPr>
              <w:t>2</w:t>
            </w:r>
            <w:r>
              <w:rPr>
                <w:rFonts w:hint="default" w:ascii="Times New Roman" w:hAnsi="Times New Roman" w:cs="Times New Roman"/>
                <w:color w:val="auto"/>
                <w:spacing w:val="-6"/>
                <w:sz w:val="21"/>
                <w:szCs w:val="21"/>
                <w:highlight w:val="none"/>
              </w:rPr>
              <w:t>）</w:t>
            </w:r>
          </w:p>
        </w:tc>
        <w:tc>
          <w:tcPr>
            <w:tcW w:w="2547" w:type="dxa"/>
            <w:vAlign w:val="center"/>
          </w:tcPr>
          <w:p w14:paraId="6A65EC95">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不新增用地（本项目占地1164.75m</w:t>
            </w:r>
            <w:r>
              <w:rPr>
                <w:rFonts w:hint="eastAsia" w:cs="Times New Roman"/>
                <w:color w:val="auto"/>
                <w:sz w:val="21"/>
                <w:szCs w:val="21"/>
                <w:highlight w:val="none"/>
                <w:vertAlign w:val="superscript"/>
                <w:lang w:val="en-US" w:eastAsia="zh-CN"/>
              </w:rPr>
              <w:t>2</w:t>
            </w:r>
            <w:r>
              <w:rPr>
                <w:rFonts w:hint="eastAsia" w:cs="Times New Roman"/>
                <w:color w:val="auto"/>
                <w:sz w:val="21"/>
                <w:szCs w:val="21"/>
                <w:highlight w:val="none"/>
                <w:lang w:val="en-US" w:eastAsia="zh-CN"/>
              </w:rPr>
              <w:t>）</w:t>
            </w:r>
          </w:p>
        </w:tc>
      </w:tr>
      <w:tr w14:paraId="4825A1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85" w:hRule="atLeast"/>
          <w:jc w:val="center"/>
        </w:trPr>
        <w:tc>
          <w:tcPr>
            <w:tcW w:w="1886" w:type="dxa"/>
            <w:gridSpan w:val="2"/>
            <w:vAlign w:val="center"/>
          </w:tcPr>
          <w:p w14:paraId="37110A70">
            <w:pPr>
              <w:autoSpaceDE w:val="0"/>
              <w:autoSpaceDN w:val="0"/>
              <w:adjustRightInd w:val="0"/>
              <w:snapToGrid w:val="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专项评价</w:t>
            </w:r>
          </w:p>
          <w:p w14:paraId="44E7AC86">
            <w:pPr>
              <w:autoSpaceDE w:val="0"/>
              <w:autoSpaceDN w:val="0"/>
              <w:adjustRightInd w:val="0"/>
              <w:snapToGrid w:val="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设置情况</w:t>
            </w:r>
          </w:p>
        </w:tc>
        <w:tc>
          <w:tcPr>
            <w:tcW w:w="6968" w:type="dxa"/>
            <w:gridSpan w:val="3"/>
            <w:vAlign w:val="center"/>
          </w:tcPr>
          <w:p w14:paraId="1485AE6E">
            <w:pPr>
              <w:autoSpaceDE w:val="0"/>
              <w:autoSpaceDN w:val="0"/>
              <w:adjustRightInd w:val="0"/>
              <w:snapToGrid w:val="0"/>
              <w:jc w:val="center"/>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rPr>
              <w:t>无</w:t>
            </w:r>
          </w:p>
        </w:tc>
      </w:tr>
      <w:tr w14:paraId="58D4F5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1886" w:type="dxa"/>
            <w:gridSpan w:val="2"/>
            <w:vAlign w:val="center"/>
          </w:tcPr>
          <w:p w14:paraId="264863A3">
            <w:pPr>
              <w:autoSpaceDE w:val="0"/>
              <w:autoSpaceDN w:val="0"/>
              <w:adjustRightInd w:val="0"/>
              <w:snapToGrid w:val="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sz w:val="21"/>
                <w:szCs w:val="21"/>
                <w:highlight w:val="none"/>
              </w:rPr>
              <w:t>规划情况</w:t>
            </w:r>
          </w:p>
        </w:tc>
        <w:tc>
          <w:tcPr>
            <w:tcW w:w="6968" w:type="dxa"/>
            <w:gridSpan w:val="3"/>
            <w:vAlign w:val="center"/>
          </w:tcPr>
          <w:p w14:paraId="69B2A155">
            <w:pPr>
              <w:keepNext w:val="0"/>
              <w:keepLines w:val="0"/>
              <w:pageBreakBefore w:val="0"/>
              <w:widowControl w:val="0"/>
              <w:kinsoku/>
              <w:wordWrap/>
              <w:overflowPunct/>
              <w:topLinePunct w:val="0"/>
              <w:autoSpaceDE w:val="0"/>
              <w:autoSpaceDN w:val="0"/>
              <w:bidi w:val="0"/>
              <w:adjustRightInd w:val="0"/>
              <w:snapToGrid w:val="0"/>
              <w:spacing w:line="480" w:lineRule="exact"/>
              <w:jc w:val="center"/>
              <w:textAlignment w:val="auto"/>
              <w:rPr>
                <w:rFonts w:hint="default"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无</w:t>
            </w:r>
          </w:p>
        </w:tc>
      </w:tr>
      <w:tr w14:paraId="0BFA47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1886" w:type="dxa"/>
            <w:gridSpan w:val="2"/>
            <w:vAlign w:val="center"/>
          </w:tcPr>
          <w:p w14:paraId="38BEAA1C">
            <w:pPr>
              <w:autoSpaceDE w:val="0"/>
              <w:autoSpaceDN w:val="0"/>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规划环境影响</w:t>
            </w:r>
          </w:p>
          <w:p w14:paraId="394ADC26">
            <w:pPr>
              <w:autoSpaceDE w:val="0"/>
              <w:autoSpaceDN w:val="0"/>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评价情况</w:t>
            </w:r>
          </w:p>
        </w:tc>
        <w:tc>
          <w:tcPr>
            <w:tcW w:w="6968" w:type="dxa"/>
            <w:gridSpan w:val="3"/>
            <w:vAlign w:val="center"/>
          </w:tcPr>
          <w:p w14:paraId="4F953A35">
            <w:pPr>
              <w:keepNext w:val="0"/>
              <w:keepLines w:val="0"/>
              <w:pageBreakBefore w:val="0"/>
              <w:widowControl w:val="0"/>
              <w:kinsoku/>
              <w:wordWrap/>
              <w:overflowPunct/>
              <w:topLinePunct w:val="0"/>
              <w:autoSpaceDE w:val="0"/>
              <w:autoSpaceDN w:val="0"/>
              <w:bidi w:val="0"/>
              <w:adjustRightInd w:val="0"/>
              <w:snapToGrid w:val="0"/>
              <w:spacing w:line="480" w:lineRule="exact"/>
              <w:jc w:val="center"/>
              <w:textAlignment w:val="auto"/>
              <w:rPr>
                <w:rFonts w:hint="eastAsia"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无</w:t>
            </w:r>
          </w:p>
        </w:tc>
      </w:tr>
      <w:tr w14:paraId="49B87F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1886" w:type="dxa"/>
            <w:gridSpan w:val="2"/>
            <w:vAlign w:val="center"/>
          </w:tcPr>
          <w:p w14:paraId="3FDC4F6F">
            <w:pPr>
              <w:autoSpaceDE w:val="0"/>
              <w:autoSpaceDN w:val="0"/>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规划及规划环境影响评价符合性分析</w:t>
            </w:r>
          </w:p>
        </w:tc>
        <w:tc>
          <w:tcPr>
            <w:tcW w:w="6968" w:type="dxa"/>
            <w:gridSpan w:val="3"/>
            <w:vAlign w:val="center"/>
          </w:tcPr>
          <w:p w14:paraId="31C4C42B">
            <w:pPr>
              <w:keepNext w:val="0"/>
              <w:keepLines w:val="0"/>
              <w:pageBreakBefore w:val="0"/>
              <w:widowControl w:val="0"/>
              <w:kinsoku/>
              <w:wordWrap/>
              <w:overflowPunct/>
              <w:topLinePunct w:val="0"/>
              <w:autoSpaceDE w:val="0"/>
              <w:autoSpaceDN w:val="0"/>
              <w:bidi w:val="0"/>
              <w:adjustRightInd w:val="0"/>
              <w:snapToGrid w:val="0"/>
              <w:spacing w:line="480" w:lineRule="exact"/>
              <w:jc w:val="center"/>
              <w:textAlignment w:val="auto"/>
              <w:rPr>
                <w:rFonts w:hint="eastAsia"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无</w:t>
            </w:r>
          </w:p>
        </w:tc>
      </w:tr>
      <w:tr w14:paraId="567C28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118" w:type="dxa"/>
            <w:vAlign w:val="center"/>
          </w:tcPr>
          <w:p w14:paraId="0CC8DEE2">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其他符合性分析</w:t>
            </w:r>
          </w:p>
        </w:tc>
        <w:tc>
          <w:tcPr>
            <w:tcW w:w="7736" w:type="dxa"/>
            <w:gridSpan w:val="4"/>
            <w:vAlign w:val="center"/>
          </w:tcPr>
          <w:p w14:paraId="4236DE15">
            <w:pPr>
              <w:keepNext w:val="0"/>
              <w:keepLines w:val="0"/>
              <w:pageBreakBefore w:val="0"/>
              <w:widowControl w:val="0"/>
              <w:kinsoku/>
              <w:wordWrap/>
              <w:overflowPunct/>
              <w:topLinePunct w:val="0"/>
              <w:autoSpaceDE w:val="0"/>
              <w:autoSpaceDN w:val="0"/>
              <w:bidi w:val="0"/>
              <w:adjustRightInd w:val="0"/>
              <w:snapToGrid w:val="0"/>
              <w:spacing w:line="480" w:lineRule="exact"/>
              <w:ind w:firstLine="482" w:firstLineChars="200"/>
              <w:jc w:val="both"/>
              <w:textAlignment w:val="auto"/>
              <w:rPr>
                <w:rFonts w:hint="default" w:ascii="Times New Roman" w:hAnsi="Times New Roman" w:eastAsia="宋体" w:cs="Times New Roman"/>
                <w:b/>
                <w:bCs/>
                <w:color w:val="auto"/>
                <w:kern w:val="0"/>
                <w:sz w:val="24"/>
                <w:szCs w:val="24"/>
                <w:highlight w:val="none"/>
              </w:rPr>
            </w:pPr>
            <w:r>
              <w:rPr>
                <w:rFonts w:hint="eastAsia" w:ascii="Times New Roman" w:hAnsi="Times New Roman" w:eastAsia="宋体" w:cs="Times New Roman"/>
                <w:b/>
                <w:bCs/>
                <w:color w:val="auto"/>
                <w:kern w:val="0"/>
                <w:sz w:val="24"/>
                <w:szCs w:val="24"/>
                <w:highlight w:val="none"/>
                <w:lang w:val="en-US" w:eastAsia="zh-CN"/>
              </w:rPr>
              <w:t>1.</w:t>
            </w:r>
            <w:r>
              <w:rPr>
                <w:rFonts w:hint="eastAsia" w:cs="Times New Roman"/>
                <w:b/>
                <w:bCs/>
                <w:color w:val="auto"/>
                <w:kern w:val="0"/>
                <w:sz w:val="24"/>
                <w:szCs w:val="24"/>
                <w:highlight w:val="none"/>
                <w:lang w:val="en-US" w:eastAsia="zh-CN"/>
              </w:rPr>
              <w:t>1</w:t>
            </w:r>
            <w:r>
              <w:rPr>
                <w:rFonts w:hint="default" w:ascii="Times New Roman" w:hAnsi="Times New Roman" w:eastAsia="宋体" w:cs="Times New Roman"/>
                <w:b/>
                <w:bCs/>
                <w:color w:val="auto"/>
                <w:kern w:val="0"/>
                <w:sz w:val="24"/>
                <w:szCs w:val="24"/>
                <w:highlight w:val="none"/>
                <w:lang w:val="en-US" w:eastAsia="zh-CN"/>
              </w:rPr>
              <w:t>与长治市2023年度生态环境分区管控动态更新成果符合性分析</w:t>
            </w:r>
          </w:p>
          <w:p w14:paraId="2EBB0A9F">
            <w:pPr>
              <w:keepNext w:val="0"/>
              <w:keepLines w:val="0"/>
              <w:pageBreakBefore w:val="0"/>
              <w:widowControl w:val="0"/>
              <w:kinsoku/>
              <w:wordWrap/>
              <w:overflowPunct/>
              <w:topLinePunct w:val="0"/>
              <w:autoSpaceDE w:val="0"/>
              <w:autoSpaceDN w:val="0"/>
              <w:bidi w:val="0"/>
              <w:adjustRightInd w:val="0"/>
              <w:snapToGrid w:val="0"/>
              <w:spacing w:line="480" w:lineRule="exact"/>
              <w:ind w:firstLine="504" w:firstLineChars="200"/>
              <w:jc w:val="both"/>
              <w:textAlignment w:val="auto"/>
              <w:rPr>
                <w:rFonts w:hint="default" w:ascii="Times New Roman" w:hAnsi="Times New Roman" w:eastAsia="宋体" w:cs="Times New Roman"/>
                <w:bCs/>
                <w:color w:val="auto"/>
                <w:spacing w:val="6"/>
                <w:kern w:val="2"/>
                <w:sz w:val="24"/>
                <w:highlight w:val="none"/>
                <w:lang w:val="en-US" w:eastAsia="zh-CN"/>
              </w:rPr>
            </w:pPr>
            <w:r>
              <w:rPr>
                <w:rFonts w:hint="eastAsia" w:ascii="Times New Roman" w:hAnsi="Times New Roman" w:eastAsia="宋体" w:cs="Times New Roman"/>
                <w:bCs/>
                <w:color w:val="auto"/>
                <w:spacing w:val="6"/>
                <w:kern w:val="2"/>
                <w:sz w:val="24"/>
                <w:highlight w:val="none"/>
                <w:lang w:val="en-US" w:eastAsia="zh-CN"/>
              </w:rPr>
              <w:t>根据《山西省生态环境分区管控成果动态更新工作方案》（晋环函〔2023〕149号）、“长治市2023年度生态环境分区管控动态更新成果公告”，且查阅山西省“三线一单”数据管理及应用平台，本项目位于“一般管控单元”，管控单元编码：ZH14042830001，管控单元名称为：长治市长子县一般管控单元。符合性分析见表1.1-1。</w:t>
            </w:r>
          </w:p>
          <w:p w14:paraId="4FA8822C">
            <w:pPr>
              <w:keepNext w:val="0"/>
              <w:keepLines w:val="0"/>
              <w:pageBreakBefore w:val="0"/>
              <w:widowControl w:val="0"/>
              <w:kinsoku/>
              <w:wordWrap/>
              <w:overflowPunct/>
              <w:topLinePunct w:val="0"/>
              <w:autoSpaceDE/>
              <w:autoSpaceDN/>
              <w:bidi w:val="0"/>
              <w:adjustRightInd/>
              <w:snapToGrid/>
              <w:spacing w:before="0" w:after="0" w:line="480" w:lineRule="exact"/>
              <w:ind w:firstLine="0" w:firstLineChars="0"/>
              <w:jc w:val="center"/>
              <w:textAlignment w:val="baseline"/>
              <w:rPr>
                <w:rFonts w:hint="default" w:ascii="Times New Roman" w:hAnsi="Times New Roman" w:eastAsia="黑体" w:cs="Times New Roman"/>
                <w:iCs/>
                <w:snapToGrid w:val="0"/>
                <w:color w:val="auto"/>
                <w:kern w:val="0"/>
                <w:sz w:val="21"/>
                <w:szCs w:val="20"/>
                <w:highlight w:val="none"/>
                <w:lang w:val="en-US" w:eastAsia="zh-CN" w:bidi="ar-SA"/>
              </w:rPr>
            </w:pPr>
            <w:r>
              <w:rPr>
                <w:rFonts w:hint="default" w:ascii="Times New Roman" w:hAnsi="Times New Roman" w:eastAsia="黑体" w:cs="Times New Roman"/>
                <w:iCs/>
                <w:snapToGrid w:val="0"/>
                <w:color w:val="auto"/>
                <w:kern w:val="0"/>
                <w:sz w:val="21"/>
                <w:szCs w:val="20"/>
                <w:highlight w:val="none"/>
                <w:lang w:val="en-US" w:eastAsia="zh-CN" w:bidi="ar-SA"/>
              </w:rPr>
              <w:t>表1</w:t>
            </w:r>
            <w:r>
              <w:rPr>
                <w:rFonts w:hint="eastAsia" w:ascii="Times New Roman" w:hAnsi="Times New Roman" w:eastAsia="黑体" w:cs="Times New Roman"/>
                <w:iCs/>
                <w:snapToGrid w:val="0"/>
                <w:color w:val="auto"/>
                <w:kern w:val="0"/>
                <w:sz w:val="21"/>
                <w:szCs w:val="20"/>
                <w:highlight w:val="none"/>
                <w:lang w:val="en-US" w:eastAsia="zh-CN" w:bidi="ar-SA"/>
              </w:rPr>
              <w:t>.</w:t>
            </w:r>
            <w:r>
              <w:rPr>
                <w:rFonts w:hint="eastAsia" w:eastAsia="黑体" w:cs="Times New Roman"/>
                <w:iCs/>
                <w:snapToGrid w:val="0"/>
                <w:color w:val="auto"/>
                <w:kern w:val="0"/>
                <w:sz w:val="21"/>
                <w:szCs w:val="20"/>
                <w:highlight w:val="none"/>
                <w:lang w:val="en-US" w:eastAsia="zh-CN" w:bidi="ar-SA"/>
              </w:rPr>
              <w:t>1</w:t>
            </w:r>
            <w:r>
              <w:rPr>
                <w:rFonts w:hint="eastAsia" w:ascii="Times New Roman" w:hAnsi="Times New Roman" w:eastAsia="黑体" w:cs="Times New Roman"/>
                <w:iCs/>
                <w:snapToGrid w:val="0"/>
                <w:color w:val="auto"/>
                <w:kern w:val="0"/>
                <w:sz w:val="21"/>
                <w:szCs w:val="20"/>
                <w:highlight w:val="none"/>
                <w:lang w:val="en-US" w:eastAsia="zh-CN" w:bidi="ar-SA"/>
              </w:rPr>
              <w:t>-1</w:t>
            </w:r>
            <w:r>
              <w:rPr>
                <w:rFonts w:hint="default" w:ascii="Times New Roman" w:hAnsi="Times New Roman" w:eastAsia="黑体" w:cs="Times New Roman"/>
                <w:iCs/>
                <w:snapToGrid w:val="0"/>
                <w:color w:val="auto"/>
                <w:kern w:val="0"/>
                <w:sz w:val="21"/>
                <w:szCs w:val="20"/>
                <w:highlight w:val="none"/>
                <w:lang w:val="en-US" w:eastAsia="zh-CN" w:bidi="ar-SA"/>
              </w:rPr>
              <w:t xml:space="preserve">  与生态环境</w:t>
            </w:r>
            <w:r>
              <w:rPr>
                <w:rFonts w:hint="eastAsia" w:eastAsia="黑体" w:cs="Times New Roman"/>
                <w:iCs/>
                <w:snapToGrid w:val="0"/>
                <w:color w:val="auto"/>
                <w:kern w:val="0"/>
                <w:sz w:val="21"/>
                <w:szCs w:val="20"/>
                <w:highlight w:val="none"/>
                <w:lang w:val="en-US" w:eastAsia="zh-CN" w:bidi="ar-SA"/>
              </w:rPr>
              <w:t>分区管控</w:t>
            </w:r>
            <w:r>
              <w:rPr>
                <w:rFonts w:hint="default" w:ascii="Times New Roman" w:hAnsi="Times New Roman" w:eastAsia="黑体" w:cs="Times New Roman"/>
                <w:iCs/>
                <w:snapToGrid w:val="0"/>
                <w:color w:val="auto"/>
                <w:kern w:val="0"/>
                <w:sz w:val="21"/>
                <w:szCs w:val="20"/>
                <w:highlight w:val="none"/>
                <w:lang w:val="en-US" w:eastAsia="zh-CN" w:bidi="ar-SA"/>
              </w:rPr>
              <w:t>要求的符合性分析</w:t>
            </w:r>
          </w:p>
          <w:tbl>
            <w:tblPr>
              <w:tblStyle w:val="26"/>
              <w:tblW w:w="750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09"/>
              <w:gridCol w:w="950"/>
              <w:gridCol w:w="783"/>
              <w:gridCol w:w="867"/>
              <w:gridCol w:w="1905"/>
              <w:gridCol w:w="1994"/>
            </w:tblGrid>
            <w:tr w14:paraId="0FB3E8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009" w:type="dxa"/>
                  <w:tcBorders>
                    <w:tl2br w:val="nil"/>
                    <w:tr2bl w:val="nil"/>
                  </w:tcBorders>
                  <w:vAlign w:val="center"/>
                </w:tcPr>
                <w:p w14:paraId="3B909EA6">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环境管控单元编码</w:t>
                  </w:r>
                </w:p>
              </w:tc>
              <w:tc>
                <w:tcPr>
                  <w:tcW w:w="950" w:type="dxa"/>
                  <w:tcBorders>
                    <w:tl2br w:val="nil"/>
                    <w:tr2bl w:val="nil"/>
                  </w:tcBorders>
                  <w:vAlign w:val="center"/>
                </w:tcPr>
                <w:p w14:paraId="2AF824FB">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环境管控单元名称</w:t>
                  </w:r>
                </w:p>
              </w:tc>
              <w:tc>
                <w:tcPr>
                  <w:tcW w:w="783" w:type="dxa"/>
                  <w:tcBorders>
                    <w:tl2br w:val="nil"/>
                    <w:tr2bl w:val="nil"/>
                  </w:tcBorders>
                  <w:vAlign w:val="center"/>
                </w:tcPr>
                <w:p w14:paraId="09171610">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管控单元分类</w:t>
                  </w:r>
                </w:p>
              </w:tc>
              <w:tc>
                <w:tcPr>
                  <w:tcW w:w="867" w:type="dxa"/>
                  <w:tcBorders>
                    <w:tl2br w:val="nil"/>
                    <w:tr2bl w:val="nil"/>
                  </w:tcBorders>
                  <w:shd w:val="clear" w:color="auto" w:fill="auto"/>
                  <w:vAlign w:val="center"/>
                </w:tcPr>
                <w:p w14:paraId="3544EA40">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管控类别</w:t>
                  </w:r>
                </w:p>
              </w:tc>
              <w:tc>
                <w:tcPr>
                  <w:tcW w:w="1905" w:type="dxa"/>
                  <w:tcBorders>
                    <w:tl2br w:val="nil"/>
                    <w:tr2bl w:val="nil"/>
                  </w:tcBorders>
                  <w:vAlign w:val="center"/>
                </w:tcPr>
                <w:p w14:paraId="51623B9F">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管控要求</w:t>
                  </w:r>
                </w:p>
              </w:tc>
              <w:tc>
                <w:tcPr>
                  <w:tcW w:w="1994" w:type="dxa"/>
                  <w:tcBorders>
                    <w:tl2br w:val="nil"/>
                    <w:tr2bl w:val="nil"/>
                  </w:tcBorders>
                  <w:vAlign w:val="center"/>
                </w:tcPr>
                <w:p w14:paraId="1FC6706D">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符合性分析</w:t>
                  </w:r>
                </w:p>
              </w:tc>
            </w:tr>
            <w:tr w14:paraId="3BD3DF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009" w:type="dxa"/>
                  <w:vMerge w:val="restart"/>
                  <w:tcBorders>
                    <w:tl2br w:val="nil"/>
                    <w:tr2bl w:val="nil"/>
                  </w:tcBorders>
                  <w:vAlign w:val="center"/>
                </w:tcPr>
                <w:p w14:paraId="369E4CB2">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ZH14042830001</w:t>
                  </w:r>
                </w:p>
              </w:tc>
              <w:tc>
                <w:tcPr>
                  <w:tcW w:w="950" w:type="dxa"/>
                  <w:vMerge w:val="restart"/>
                  <w:tcBorders>
                    <w:tl2br w:val="nil"/>
                    <w:tr2bl w:val="nil"/>
                  </w:tcBorders>
                  <w:vAlign w:val="center"/>
                </w:tcPr>
                <w:p w14:paraId="43035E9C">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长治市长子县一般管控单元</w:t>
                  </w:r>
                </w:p>
              </w:tc>
              <w:tc>
                <w:tcPr>
                  <w:tcW w:w="783" w:type="dxa"/>
                  <w:vMerge w:val="restart"/>
                  <w:tcBorders>
                    <w:tl2br w:val="nil"/>
                    <w:tr2bl w:val="nil"/>
                  </w:tcBorders>
                  <w:vAlign w:val="center"/>
                </w:tcPr>
                <w:p w14:paraId="6FFCF939">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一般管控单元</w:t>
                  </w:r>
                </w:p>
              </w:tc>
              <w:tc>
                <w:tcPr>
                  <w:tcW w:w="867" w:type="dxa"/>
                  <w:tcBorders>
                    <w:tl2br w:val="nil"/>
                    <w:tr2bl w:val="nil"/>
                  </w:tcBorders>
                  <w:shd w:val="clear" w:color="auto" w:fill="auto"/>
                  <w:vAlign w:val="center"/>
                </w:tcPr>
                <w:p w14:paraId="7C050B88">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空间布局约束</w:t>
                  </w:r>
                </w:p>
              </w:tc>
              <w:tc>
                <w:tcPr>
                  <w:tcW w:w="1905" w:type="dxa"/>
                  <w:tcBorders>
                    <w:tl2br w:val="nil"/>
                    <w:tr2bl w:val="nil"/>
                  </w:tcBorders>
                  <w:vAlign w:val="center"/>
                </w:tcPr>
                <w:p w14:paraId="791A3DAA">
                  <w:pPr>
                    <w:keepNext w:val="0"/>
                    <w:keepLines w:val="0"/>
                    <w:pageBreakBefore w:val="0"/>
                    <w:widowControl w:val="0"/>
                    <w:numPr>
                      <w:ilvl w:val="0"/>
                      <w:numId w:val="3"/>
                    </w:numPr>
                    <w:kinsoku/>
                    <w:wordWrap/>
                    <w:overflowPunct/>
                    <w:topLinePunct w:val="0"/>
                    <w:autoSpaceDE/>
                    <w:autoSpaceDN/>
                    <w:bidi w:val="0"/>
                    <w:adjustRightInd w:val="0"/>
                    <w:snapToGrid w:val="0"/>
                    <w:spacing w:line="320" w:lineRule="exact"/>
                    <w:ind w:firstLine="0" w:firstLineChars="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执行山西省、长治市空间布局准入的要求。</w:t>
                  </w:r>
                </w:p>
                <w:p w14:paraId="125C0AD2">
                  <w:pPr>
                    <w:keepNext w:val="0"/>
                    <w:keepLines w:val="0"/>
                    <w:pageBreakBefore w:val="0"/>
                    <w:widowControl w:val="0"/>
                    <w:numPr>
                      <w:ilvl w:val="0"/>
                      <w:numId w:val="3"/>
                    </w:numPr>
                    <w:kinsoku/>
                    <w:wordWrap/>
                    <w:overflowPunct/>
                    <w:topLinePunct w:val="0"/>
                    <w:autoSpaceDE/>
                    <w:autoSpaceDN/>
                    <w:bidi w:val="0"/>
                    <w:adjustRightInd w:val="0"/>
                    <w:snapToGrid w:val="0"/>
                    <w:spacing w:line="320" w:lineRule="exact"/>
                    <w:ind w:left="0" w:leftChars="0" w:firstLine="0" w:firstLineChars="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排放大气污染物的工业项目应当按照规划和环境保护规定进入工业园区。</w:t>
                  </w:r>
                </w:p>
                <w:p w14:paraId="741D1463">
                  <w:pPr>
                    <w:keepNext w:val="0"/>
                    <w:keepLines w:val="0"/>
                    <w:pageBreakBefore w:val="0"/>
                    <w:widowControl w:val="0"/>
                    <w:numPr>
                      <w:ilvl w:val="0"/>
                      <w:numId w:val="0"/>
                    </w:numPr>
                    <w:kinsoku/>
                    <w:wordWrap/>
                    <w:overflowPunct/>
                    <w:topLinePunct w:val="0"/>
                    <w:autoSpaceDE/>
                    <w:autoSpaceDN/>
                    <w:bidi w:val="0"/>
                    <w:adjustRightInd w:val="0"/>
                    <w:snapToGrid w:val="0"/>
                    <w:spacing w:line="320" w:lineRule="exact"/>
                    <w:ind w:leftChars="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3.禁止在邻近基本农田区域排放重金属和多环芳烃、石油烃等有机污染物的开发建设活动。</w:t>
                  </w:r>
                </w:p>
              </w:tc>
              <w:tc>
                <w:tcPr>
                  <w:tcW w:w="1994" w:type="dxa"/>
                  <w:tcBorders>
                    <w:tl2br w:val="nil"/>
                    <w:tr2bl w:val="nil"/>
                  </w:tcBorders>
                  <w:vAlign w:val="center"/>
                </w:tcPr>
                <w:p w14:paraId="1585B326">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both"/>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bidi="ar-SA"/>
                    </w:rPr>
                    <w:t>本项目属于选煤厂配套工程建设项目，</w:t>
                  </w:r>
                  <w:r>
                    <w:rPr>
                      <w:rFonts w:hint="eastAsia"/>
                      <w:color w:val="auto"/>
                      <w:szCs w:val="21"/>
                      <w:highlight w:val="none"/>
                      <w:lang w:val="en-US" w:eastAsia="zh-CN"/>
                    </w:rPr>
                    <w:t>建设符合</w:t>
                  </w:r>
                  <w:r>
                    <w:rPr>
                      <w:rFonts w:hint="eastAsia"/>
                      <w:color w:val="auto"/>
                      <w:szCs w:val="21"/>
                      <w:highlight w:val="none"/>
                    </w:rPr>
                    <w:t>山西省、</w:t>
                  </w:r>
                  <w:r>
                    <w:rPr>
                      <w:rFonts w:hint="eastAsia"/>
                      <w:color w:val="auto"/>
                      <w:szCs w:val="21"/>
                      <w:highlight w:val="none"/>
                      <w:lang w:val="en-US" w:eastAsia="zh-CN"/>
                    </w:rPr>
                    <w:t>长治</w:t>
                  </w:r>
                  <w:r>
                    <w:rPr>
                      <w:rFonts w:hint="eastAsia"/>
                      <w:color w:val="auto"/>
                      <w:szCs w:val="21"/>
                      <w:highlight w:val="none"/>
                    </w:rPr>
                    <w:t>市空间布局的准入要求</w:t>
                  </w:r>
                  <w:r>
                    <w:rPr>
                      <w:rFonts w:hint="eastAsia"/>
                      <w:color w:val="auto"/>
                      <w:szCs w:val="21"/>
                      <w:highlight w:val="none"/>
                      <w:lang w:eastAsia="zh-CN"/>
                    </w:rPr>
                    <w:t>。</w:t>
                  </w:r>
                  <w:r>
                    <w:rPr>
                      <w:rFonts w:hint="eastAsia"/>
                      <w:color w:val="auto"/>
                      <w:szCs w:val="21"/>
                      <w:highlight w:val="none"/>
                      <w:lang w:val="en-US" w:eastAsia="zh-CN"/>
                    </w:rPr>
                    <w:t>项目位于现有洗煤厂内，不新增占地、不涉及基本农田。</w:t>
                  </w:r>
                </w:p>
              </w:tc>
            </w:tr>
            <w:tr w14:paraId="4684D9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009" w:type="dxa"/>
                  <w:vMerge w:val="continue"/>
                  <w:tcBorders>
                    <w:tl2br w:val="nil"/>
                    <w:tr2bl w:val="nil"/>
                  </w:tcBorders>
                  <w:vAlign w:val="center"/>
                </w:tcPr>
                <w:p w14:paraId="7411DF3F">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950" w:type="dxa"/>
                  <w:vMerge w:val="continue"/>
                  <w:tcBorders>
                    <w:tl2br w:val="nil"/>
                    <w:tr2bl w:val="nil"/>
                  </w:tcBorders>
                  <w:vAlign w:val="center"/>
                </w:tcPr>
                <w:p w14:paraId="3663DEB7">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both"/>
                    <w:textAlignment w:val="auto"/>
                    <w:rPr>
                      <w:rFonts w:hint="default" w:ascii="Times New Roman" w:hAnsi="Times New Roman" w:eastAsia="宋体" w:cs="Times New Roman"/>
                      <w:color w:val="auto"/>
                      <w:sz w:val="21"/>
                      <w:szCs w:val="21"/>
                      <w:highlight w:val="none"/>
                    </w:rPr>
                  </w:pPr>
                </w:p>
              </w:tc>
              <w:tc>
                <w:tcPr>
                  <w:tcW w:w="783" w:type="dxa"/>
                  <w:vMerge w:val="continue"/>
                  <w:tcBorders>
                    <w:tl2br w:val="nil"/>
                    <w:tr2bl w:val="nil"/>
                  </w:tcBorders>
                  <w:vAlign w:val="center"/>
                </w:tcPr>
                <w:p w14:paraId="586D0266">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both"/>
                    <w:textAlignment w:val="auto"/>
                    <w:rPr>
                      <w:rFonts w:hint="default" w:ascii="Times New Roman" w:hAnsi="Times New Roman" w:eastAsia="宋体" w:cs="Times New Roman"/>
                      <w:color w:val="auto"/>
                      <w:sz w:val="21"/>
                      <w:szCs w:val="21"/>
                      <w:highlight w:val="none"/>
                    </w:rPr>
                  </w:pPr>
                </w:p>
              </w:tc>
              <w:tc>
                <w:tcPr>
                  <w:tcW w:w="867" w:type="dxa"/>
                  <w:tcBorders>
                    <w:tl2br w:val="nil"/>
                    <w:tr2bl w:val="nil"/>
                  </w:tcBorders>
                  <w:shd w:val="clear" w:color="auto" w:fill="auto"/>
                  <w:vAlign w:val="center"/>
                </w:tcPr>
                <w:p w14:paraId="7689ED14">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污染物排放管控</w:t>
                  </w:r>
                </w:p>
              </w:tc>
              <w:tc>
                <w:tcPr>
                  <w:tcW w:w="1905" w:type="dxa"/>
                  <w:tcBorders>
                    <w:tl2br w:val="nil"/>
                    <w:tr2bl w:val="nil"/>
                  </w:tcBorders>
                  <w:vAlign w:val="center"/>
                </w:tcPr>
                <w:p w14:paraId="76FC85D5">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both"/>
                    <w:textAlignment w:val="auto"/>
                    <w:rPr>
                      <w:rFonts w:hint="default" w:ascii="Times New Roman" w:hAnsi="Times New Roman" w:eastAsia="宋体" w:cs="Times New Roman"/>
                      <w:color w:val="auto"/>
                      <w:sz w:val="21"/>
                      <w:szCs w:val="21"/>
                      <w:highlight w:val="none"/>
                    </w:rPr>
                  </w:pPr>
                  <w:r>
                    <w:rPr>
                      <w:rFonts w:hint="eastAsia"/>
                      <w:color w:val="auto"/>
                      <w:szCs w:val="21"/>
                      <w:highlight w:val="none"/>
                      <w:lang w:val="en-US" w:eastAsia="zh-CN"/>
                    </w:rPr>
                    <w:t>1.</w:t>
                  </w:r>
                  <w:r>
                    <w:rPr>
                      <w:rFonts w:hint="eastAsia"/>
                      <w:color w:val="auto"/>
                      <w:szCs w:val="21"/>
                      <w:highlight w:val="none"/>
                    </w:rPr>
                    <w:t>执行山西省、</w:t>
                  </w:r>
                  <w:r>
                    <w:rPr>
                      <w:rFonts w:hint="eastAsia"/>
                      <w:color w:val="auto"/>
                      <w:szCs w:val="21"/>
                      <w:highlight w:val="none"/>
                      <w:lang w:val="en-US" w:eastAsia="zh-CN"/>
                    </w:rPr>
                    <w:t>长治</w:t>
                  </w:r>
                  <w:r>
                    <w:rPr>
                      <w:rFonts w:hint="eastAsia"/>
                      <w:color w:val="auto"/>
                      <w:szCs w:val="21"/>
                      <w:highlight w:val="none"/>
                    </w:rPr>
                    <w:t xml:space="preserve">市的污染物排放控制要求。 </w:t>
                  </w:r>
                </w:p>
              </w:tc>
              <w:tc>
                <w:tcPr>
                  <w:tcW w:w="1994" w:type="dxa"/>
                  <w:tcBorders>
                    <w:tl2br w:val="nil"/>
                    <w:tr2bl w:val="nil"/>
                  </w:tcBorders>
                  <w:vAlign w:val="center"/>
                </w:tcPr>
                <w:p w14:paraId="633B71B8">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both"/>
                    <w:textAlignment w:val="auto"/>
                    <w:rPr>
                      <w:rFonts w:hint="default" w:ascii="Times New Roman" w:hAnsi="Times New Roman" w:eastAsia="宋体" w:cs="Times New Roman"/>
                      <w:color w:val="auto"/>
                      <w:sz w:val="21"/>
                      <w:szCs w:val="21"/>
                      <w:highlight w:val="none"/>
                      <w:lang w:val="en-US"/>
                    </w:rPr>
                  </w:pPr>
                  <w:r>
                    <w:rPr>
                      <w:rFonts w:hint="eastAsia" w:ascii="Times New Roman" w:hAnsi="Times New Roman" w:eastAsia="宋体" w:cs="Times New Roman"/>
                      <w:color w:val="auto"/>
                      <w:kern w:val="2"/>
                      <w:sz w:val="21"/>
                      <w:szCs w:val="21"/>
                      <w:highlight w:val="none"/>
                      <w:lang w:val="en-US" w:eastAsia="zh-CN" w:bidi="ar-SA"/>
                    </w:rPr>
                    <w:t>本项目属于选煤厂配套工程建设项目，</w:t>
                  </w:r>
                  <w:r>
                    <w:rPr>
                      <w:rFonts w:hint="eastAsia" w:ascii="Times New Roman" w:hAnsi="Times New Roman" w:cs="Times New Roman"/>
                      <w:color w:val="auto"/>
                      <w:kern w:val="2"/>
                      <w:sz w:val="21"/>
                      <w:szCs w:val="21"/>
                      <w:highlight w:val="none"/>
                      <w:lang w:val="en-US" w:eastAsia="zh-CN" w:bidi="ar-SA"/>
                    </w:rPr>
                    <w:t>污染物满足《煤炭洗选行业污染物排放标准》（DB14/2270-2021）中标准限值。</w:t>
                  </w:r>
                </w:p>
              </w:tc>
            </w:tr>
            <w:tr w14:paraId="61E085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009" w:type="dxa"/>
                  <w:vMerge w:val="continue"/>
                  <w:tcBorders>
                    <w:tl2br w:val="nil"/>
                    <w:tr2bl w:val="nil"/>
                  </w:tcBorders>
                  <w:vAlign w:val="center"/>
                </w:tcPr>
                <w:p w14:paraId="4C64594C">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950" w:type="dxa"/>
                  <w:vMerge w:val="continue"/>
                  <w:tcBorders>
                    <w:tl2br w:val="nil"/>
                    <w:tr2bl w:val="nil"/>
                  </w:tcBorders>
                  <w:vAlign w:val="center"/>
                </w:tcPr>
                <w:p w14:paraId="7D08C9A2">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both"/>
                    <w:textAlignment w:val="auto"/>
                    <w:rPr>
                      <w:rFonts w:hint="default" w:ascii="Times New Roman" w:hAnsi="Times New Roman" w:eastAsia="宋体" w:cs="Times New Roman"/>
                      <w:color w:val="auto"/>
                      <w:sz w:val="21"/>
                      <w:szCs w:val="21"/>
                      <w:highlight w:val="none"/>
                    </w:rPr>
                  </w:pPr>
                </w:p>
              </w:tc>
              <w:tc>
                <w:tcPr>
                  <w:tcW w:w="783" w:type="dxa"/>
                  <w:vMerge w:val="continue"/>
                  <w:tcBorders>
                    <w:tl2br w:val="nil"/>
                    <w:tr2bl w:val="nil"/>
                  </w:tcBorders>
                  <w:vAlign w:val="center"/>
                </w:tcPr>
                <w:p w14:paraId="6D4A2597">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both"/>
                    <w:textAlignment w:val="auto"/>
                    <w:rPr>
                      <w:rFonts w:hint="default" w:ascii="Times New Roman" w:hAnsi="Times New Roman" w:eastAsia="宋体" w:cs="Times New Roman"/>
                      <w:color w:val="auto"/>
                      <w:sz w:val="21"/>
                      <w:szCs w:val="21"/>
                      <w:highlight w:val="none"/>
                    </w:rPr>
                  </w:pPr>
                </w:p>
              </w:tc>
              <w:tc>
                <w:tcPr>
                  <w:tcW w:w="867" w:type="dxa"/>
                  <w:tcBorders>
                    <w:tl2br w:val="nil"/>
                    <w:tr2bl w:val="nil"/>
                  </w:tcBorders>
                  <w:shd w:val="clear" w:color="auto" w:fill="auto"/>
                  <w:vAlign w:val="center"/>
                </w:tcPr>
                <w:p w14:paraId="407CB31E">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环境风险防控</w:t>
                  </w:r>
                </w:p>
              </w:tc>
              <w:tc>
                <w:tcPr>
                  <w:tcW w:w="1905" w:type="dxa"/>
                  <w:tcBorders>
                    <w:tl2br w:val="nil"/>
                    <w:tr2bl w:val="nil"/>
                  </w:tcBorders>
                  <w:vAlign w:val="center"/>
                </w:tcPr>
                <w:p w14:paraId="6DF9A6C0">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center"/>
                    <w:textAlignment w:val="auto"/>
                    <w:rPr>
                      <w:rFonts w:hint="default" w:ascii="Times New Roman" w:hAnsi="Times New Roman" w:eastAsia="宋体" w:cs="Times New Roman"/>
                      <w:color w:val="auto"/>
                      <w:sz w:val="21"/>
                      <w:szCs w:val="21"/>
                      <w:highlight w:val="none"/>
                      <w:lang w:val="en-US"/>
                    </w:rPr>
                  </w:pPr>
                  <w:r>
                    <w:rPr>
                      <w:rFonts w:hint="eastAsia" w:cs="Times New Roman"/>
                      <w:color w:val="auto"/>
                      <w:sz w:val="21"/>
                      <w:szCs w:val="21"/>
                      <w:highlight w:val="none"/>
                      <w:lang w:val="en-US" w:eastAsia="zh-CN"/>
                    </w:rPr>
                    <w:t>/</w:t>
                  </w:r>
                </w:p>
              </w:tc>
              <w:tc>
                <w:tcPr>
                  <w:tcW w:w="1994" w:type="dxa"/>
                  <w:tcBorders>
                    <w:tl2br w:val="nil"/>
                    <w:tr2bl w:val="nil"/>
                  </w:tcBorders>
                  <w:vAlign w:val="center"/>
                </w:tcPr>
                <w:p w14:paraId="2F89603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33F6CF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009" w:type="dxa"/>
                  <w:vMerge w:val="continue"/>
                  <w:tcBorders>
                    <w:tl2br w:val="nil"/>
                    <w:tr2bl w:val="nil"/>
                  </w:tcBorders>
                  <w:vAlign w:val="center"/>
                </w:tcPr>
                <w:p w14:paraId="307CD286">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950" w:type="dxa"/>
                  <w:vMerge w:val="continue"/>
                  <w:tcBorders>
                    <w:tl2br w:val="nil"/>
                    <w:tr2bl w:val="nil"/>
                  </w:tcBorders>
                  <w:vAlign w:val="center"/>
                </w:tcPr>
                <w:p w14:paraId="1FDCA30F">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both"/>
                    <w:textAlignment w:val="auto"/>
                    <w:rPr>
                      <w:rFonts w:hint="default" w:ascii="Times New Roman" w:hAnsi="Times New Roman" w:eastAsia="宋体" w:cs="Times New Roman"/>
                      <w:color w:val="auto"/>
                      <w:sz w:val="21"/>
                      <w:szCs w:val="21"/>
                      <w:highlight w:val="none"/>
                    </w:rPr>
                  </w:pPr>
                </w:p>
              </w:tc>
              <w:tc>
                <w:tcPr>
                  <w:tcW w:w="783" w:type="dxa"/>
                  <w:vMerge w:val="continue"/>
                  <w:tcBorders>
                    <w:tl2br w:val="nil"/>
                    <w:tr2bl w:val="nil"/>
                  </w:tcBorders>
                  <w:vAlign w:val="center"/>
                </w:tcPr>
                <w:p w14:paraId="187B9880">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both"/>
                    <w:textAlignment w:val="auto"/>
                    <w:rPr>
                      <w:rFonts w:hint="default" w:ascii="Times New Roman" w:hAnsi="Times New Roman" w:eastAsia="宋体" w:cs="Times New Roman"/>
                      <w:color w:val="auto"/>
                      <w:sz w:val="21"/>
                      <w:szCs w:val="21"/>
                      <w:highlight w:val="none"/>
                    </w:rPr>
                  </w:pPr>
                </w:p>
              </w:tc>
              <w:tc>
                <w:tcPr>
                  <w:tcW w:w="867" w:type="dxa"/>
                  <w:tcBorders>
                    <w:tl2br w:val="nil"/>
                    <w:tr2bl w:val="nil"/>
                  </w:tcBorders>
                  <w:shd w:val="clear" w:color="auto" w:fill="auto"/>
                  <w:vAlign w:val="center"/>
                </w:tcPr>
                <w:p w14:paraId="756E38CE">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资源开发效率要求</w:t>
                  </w:r>
                </w:p>
              </w:tc>
              <w:tc>
                <w:tcPr>
                  <w:tcW w:w="1905" w:type="dxa"/>
                  <w:tcBorders>
                    <w:tl2br w:val="nil"/>
                    <w:tr2bl w:val="nil"/>
                  </w:tcBorders>
                  <w:vAlign w:val="center"/>
                </w:tcPr>
                <w:p w14:paraId="4229B094">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1994" w:type="dxa"/>
                  <w:tcBorders>
                    <w:tl2br w:val="nil"/>
                    <w:tr2bl w:val="nil"/>
                  </w:tcBorders>
                  <w:vAlign w:val="center"/>
                </w:tcPr>
                <w:p w14:paraId="08100BA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bl>
          <w:p w14:paraId="20413A6F">
            <w:pPr>
              <w:keepNext w:val="0"/>
              <w:keepLines w:val="0"/>
              <w:pageBreakBefore w:val="0"/>
              <w:widowControl w:val="0"/>
              <w:kinsoku/>
              <w:wordWrap/>
              <w:overflowPunct/>
              <w:topLinePunct w:val="0"/>
              <w:autoSpaceDE w:val="0"/>
              <w:autoSpaceDN w:val="0"/>
              <w:bidi w:val="0"/>
              <w:adjustRightInd w:val="0"/>
              <w:snapToGrid w:val="0"/>
              <w:spacing w:line="480" w:lineRule="exact"/>
              <w:ind w:firstLine="504" w:firstLineChars="200"/>
              <w:jc w:val="both"/>
              <w:textAlignment w:val="auto"/>
              <w:rPr>
                <w:rFonts w:hint="default" w:ascii="Times New Roman" w:hAnsi="Times New Roman" w:eastAsia="宋体" w:cs="Times New Roman"/>
                <w:bCs/>
                <w:color w:val="auto"/>
                <w:spacing w:val="6"/>
                <w:kern w:val="2"/>
                <w:sz w:val="24"/>
                <w:highlight w:val="none"/>
              </w:rPr>
            </w:pPr>
            <w:r>
              <w:rPr>
                <w:rFonts w:hint="default" w:ascii="Times New Roman" w:hAnsi="Times New Roman" w:eastAsia="宋体" w:cs="Times New Roman"/>
                <w:bCs/>
                <w:color w:val="auto"/>
                <w:spacing w:val="6"/>
                <w:kern w:val="2"/>
                <w:sz w:val="24"/>
                <w:highlight w:val="none"/>
              </w:rPr>
              <w:t>综上所述，</w:t>
            </w:r>
            <w:r>
              <w:rPr>
                <w:rFonts w:hint="eastAsia" w:ascii="Times New Roman" w:hAnsi="Times New Roman" w:cs="Times New Roman"/>
                <w:color w:val="auto"/>
                <w:sz w:val="24"/>
                <w:highlight w:val="none"/>
                <w:lang w:val="en-US" w:eastAsia="zh-CN"/>
              </w:rPr>
              <w:t>项目建设符合长治市生态环境分区管控成果动态更新结果中相关要求</w:t>
            </w:r>
            <w:r>
              <w:rPr>
                <w:rFonts w:hint="default" w:ascii="Times New Roman" w:hAnsi="Times New Roman" w:eastAsia="宋体" w:cs="Times New Roman"/>
                <w:bCs/>
                <w:color w:val="auto"/>
                <w:spacing w:val="6"/>
                <w:kern w:val="2"/>
                <w:sz w:val="24"/>
                <w:highlight w:val="none"/>
              </w:rPr>
              <w:t>。</w:t>
            </w:r>
          </w:p>
          <w:p w14:paraId="333EDB31">
            <w:pPr>
              <w:keepNext w:val="0"/>
              <w:keepLines w:val="0"/>
              <w:pageBreakBefore w:val="0"/>
              <w:widowControl w:val="0"/>
              <w:kinsoku/>
              <w:wordWrap/>
              <w:overflowPunct/>
              <w:topLinePunct w:val="0"/>
              <w:autoSpaceDE w:val="0"/>
              <w:autoSpaceDN w:val="0"/>
              <w:bidi w:val="0"/>
              <w:adjustRightInd w:val="0"/>
              <w:snapToGrid w:val="0"/>
              <w:spacing w:line="480" w:lineRule="exact"/>
              <w:ind w:firstLine="482" w:firstLineChars="200"/>
              <w:jc w:val="both"/>
              <w:textAlignment w:val="auto"/>
              <w:rPr>
                <w:rFonts w:hint="default" w:ascii="Times New Roman" w:hAnsi="Times New Roman" w:eastAsia="宋体" w:cs="Times New Roman"/>
                <w:b/>
                <w:bCs/>
                <w:color w:val="auto"/>
                <w:kern w:val="0"/>
                <w:sz w:val="24"/>
                <w:szCs w:val="24"/>
                <w:highlight w:val="none"/>
                <w:lang w:eastAsia="zh-CN"/>
              </w:rPr>
            </w:pPr>
            <w:r>
              <w:rPr>
                <w:rFonts w:hint="eastAsia" w:ascii="Times New Roman" w:hAnsi="Times New Roman" w:eastAsia="宋体" w:cs="Times New Roman"/>
                <w:b/>
                <w:bCs/>
                <w:color w:val="auto"/>
                <w:kern w:val="0"/>
                <w:sz w:val="24"/>
                <w:szCs w:val="24"/>
                <w:highlight w:val="none"/>
                <w:lang w:val="en-US" w:eastAsia="zh-CN"/>
              </w:rPr>
              <w:t>1.</w:t>
            </w:r>
            <w:r>
              <w:rPr>
                <w:rFonts w:hint="eastAsia" w:cs="Times New Roman"/>
                <w:b/>
                <w:bCs/>
                <w:color w:val="auto"/>
                <w:kern w:val="0"/>
                <w:sz w:val="24"/>
                <w:szCs w:val="24"/>
                <w:highlight w:val="none"/>
                <w:lang w:val="en-US" w:eastAsia="zh-CN"/>
              </w:rPr>
              <w:t>2</w:t>
            </w:r>
            <w:r>
              <w:rPr>
                <w:rFonts w:hint="eastAsia" w:ascii="Times New Roman" w:hAnsi="Times New Roman" w:eastAsia="宋体" w:cs="Times New Roman"/>
                <w:b/>
                <w:bCs/>
                <w:color w:val="auto"/>
                <w:kern w:val="0"/>
                <w:sz w:val="24"/>
                <w:szCs w:val="24"/>
                <w:highlight w:val="none"/>
                <w:lang w:val="en-US" w:eastAsia="zh-CN"/>
              </w:rPr>
              <w:t xml:space="preserve"> </w:t>
            </w:r>
            <w:r>
              <w:rPr>
                <w:rFonts w:hint="default" w:ascii="Times New Roman" w:hAnsi="Times New Roman" w:eastAsia="宋体" w:cs="Times New Roman"/>
                <w:b/>
                <w:bCs/>
                <w:color w:val="auto"/>
                <w:kern w:val="0"/>
                <w:sz w:val="24"/>
                <w:szCs w:val="24"/>
                <w:highlight w:val="none"/>
                <w:lang w:eastAsia="zh-CN"/>
              </w:rPr>
              <w:t>产业政策相符性分析</w:t>
            </w:r>
          </w:p>
          <w:p w14:paraId="51B2785D">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本项目已于</w:t>
            </w:r>
            <w:r>
              <w:rPr>
                <w:rFonts w:hint="eastAsia" w:ascii="Times New Roman" w:hAnsi="Times New Roman" w:eastAsia="宋体" w:cs="Times New Roman"/>
                <w:color w:val="auto"/>
                <w:kern w:val="0"/>
                <w:sz w:val="24"/>
                <w:szCs w:val="24"/>
                <w:highlight w:val="none"/>
                <w:lang w:eastAsia="zh-CN"/>
              </w:rPr>
              <w:t>202</w:t>
            </w:r>
            <w:r>
              <w:rPr>
                <w:rFonts w:hint="eastAsia" w:ascii="Times New Roman" w:hAnsi="Times New Roman" w:eastAsia="宋体" w:cs="Times New Roman"/>
                <w:color w:val="auto"/>
                <w:kern w:val="0"/>
                <w:sz w:val="24"/>
                <w:szCs w:val="24"/>
                <w:highlight w:val="none"/>
                <w:lang w:val="en-US" w:eastAsia="zh-CN"/>
              </w:rPr>
              <w:t>5</w:t>
            </w:r>
            <w:r>
              <w:rPr>
                <w:rFonts w:hint="eastAsia" w:ascii="Times New Roman" w:hAnsi="Times New Roman" w:eastAsia="宋体" w:cs="Times New Roman"/>
                <w:color w:val="auto"/>
                <w:kern w:val="0"/>
                <w:sz w:val="24"/>
                <w:szCs w:val="24"/>
                <w:highlight w:val="none"/>
                <w:lang w:eastAsia="zh-CN"/>
              </w:rPr>
              <w:t>年</w:t>
            </w:r>
            <w:r>
              <w:rPr>
                <w:rFonts w:hint="eastAsia" w:cs="Times New Roman"/>
                <w:color w:val="auto"/>
                <w:kern w:val="0"/>
                <w:sz w:val="24"/>
                <w:szCs w:val="24"/>
                <w:highlight w:val="none"/>
                <w:lang w:val="en-US" w:eastAsia="zh-CN"/>
              </w:rPr>
              <w:t>11</w:t>
            </w:r>
            <w:r>
              <w:rPr>
                <w:rFonts w:hint="eastAsia" w:ascii="Times New Roman" w:hAnsi="Times New Roman" w:eastAsia="宋体" w:cs="Times New Roman"/>
                <w:color w:val="auto"/>
                <w:kern w:val="0"/>
                <w:sz w:val="24"/>
                <w:szCs w:val="24"/>
                <w:highlight w:val="none"/>
                <w:lang w:eastAsia="zh-CN"/>
              </w:rPr>
              <w:t>月</w:t>
            </w:r>
            <w:r>
              <w:rPr>
                <w:rFonts w:hint="eastAsia" w:cs="Times New Roman"/>
                <w:color w:val="auto"/>
                <w:kern w:val="0"/>
                <w:sz w:val="24"/>
                <w:szCs w:val="24"/>
                <w:highlight w:val="none"/>
                <w:lang w:val="en-US" w:eastAsia="zh-CN"/>
              </w:rPr>
              <w:t>26</w:t>
            </w:r>
            <w:r>
              <w:rPr>
                <w:rFonts w:hint="eastAsia" w:ascii="Times New Roman" w:hAnsi="Times New Roman" w:eastAsia="宋体" w:cs="Times New Roman"/>
                <w:color w:val="auto"/>
                <w:kern w:val="0"/>
                <w:sz w:val="24"/>
                <w:szCs w:val="24"/>
                <w:highlight w:val="none"/>
                <w:lang w:eastAsia="zh-CN"/>
              </w:rPr>
              <w:t>日</w:t>
            </w:r>
            <w:r>
              <w:rPr>
                <w:rFonts w:hint="eastAsia" w:cs="Times New Roman"/>
                <w:color w:val="auto"/>
                <w:kern w:val="0"/>
                <w:sz w:val="24"/>
                <w:szCs w:val="24"/>
                <w:highlight w:val="none"/>
                <w:lang w:val="en-US" w:eastAsia="zh-CN"/>
              </w:rPr>
              <w:t>取得由晋能控股装备制造集团有限公司关于赵庄煤业15号煤配采选煤厂配套工程立项的批复</w:t>
            </w:r>
            <w:r>
              <w:rPr>
                <w:rFonts w:hint="default" w:ascii="Times New Roman" w:hAnsi="Times New Roman" w:eastAsia="宋体" w:cs="Times New Roman"/>
                <w:color w:val="auto"/>
                <w:kern w:val="0"/>
                <w:sz w:val="24"/>
                <w:szCs w:val="24"/>
                <w:highlight w:val="none"/>
                <w:lang w:eastAsia="zh-CN"/>
              </w:rPr>
              <w:t>，</w:t>
            </w:r>
            <w:r>
              <w:rPr>
                <w:rFonts w:hint="eastAsia" w:cs="Times New Roman"/>
                <w:color w:val="auto"/>
                <w:kern w:val="0"/>
                <w:sz w:val="24"/>
                <w:szCs w:val="24"/>
                <w:highlight w:val="none"/>
                <w:lang w:val="en-US" w:eastAsia="zh-CN"/>
              </w:rPr>
              <w:t>批复文号为晋控装备计发函〔2025〕416号，</w:t>
            </w:r>
            <w:r>
              <w:rPr>
                <w:rFonts w:hint="default" w:ascii="Times New Roman" w:hAnsi="Times New Roman" w:eastAsia="宋体" w:cs="Times New Roman"/>
                <w:color w:val="auto"/>
                <w:kern w:val="0"/>
                <w:sz w:val="24"/>
                <w:szCs w:val="24"/>
                <w:highlight w:val="none"/>
                <w:lang w:eastAsia="zh-CN"/>
              </w:rPr>
              <w:t>见附件2。</w:t>
            </w:r>
            <w:r>
              <w:rPr>
                <w:rFonts w:hint="default" w:ascii="Times New Roman" w:hAnsi="Times New Roman" w:eastAsia="宋体" w:cs="Times New Roman"/>
                <w:color w:val="auto"/>
                <w:kern w:val="0"/>
                <w:sz w:val="24"/>
                <w:szCs w:val="24"/>
                <w:highlight w:val="none"/>
                <w:lang w:val="en-US" w:eastAsia="zh-CN"/>
              </w:rPr>
              <w:t>本项目所属行业为G5990其他仓储业，</w:t>
            </w:r>
            <w:r>
              <w:rPr>
                <w:rFonts w:hint="default" w:ascii="Times New Roman" w:hAnsi="Times New Roman" w:eastAsia="宋体" w:cs="Times New Roman"/>
                <w:color w:val="auto"/>
                <w:kern w:val="0"/>
                <w:sz w:val="24"/>
                <w:szCs w:val="24"/>
                <w:highlight w:val="none"/>
                <w:lang w:eastAsia="zh-CN"/>
              </w:rPr>
              <w:t>根据《产业结构调整指导目录（</w:t>
            </w:r>
            <w:r>
              <w:rPr>
                <w:rFonts w:hint="eastAsia" w:ascii="Times New Roman" w:hAnsi="Times New Roman" w:eastAsia="宋体" w:cs="Times New Roman"/>
                <w:color w:val="auto"/>
                <w:kern w:val="0"/>
                <w:sz w:val="24"/>
                <w:szCs w:val="24"/>
                <w:highlight w:val="none"/>
                <w:lang w:val="en-US" w:eastAsia="zh-CN"/>
              </w:rPr>
              <w:t>2024</w:t>
            </w:r>
            <w:r>
              <w:rPr>
                <w:rFonts w:hint="default" w:ascii="Times New Roman" w:hAnsi="Times New Roman" w:eastAsia="宋体" w:cs="Times New Roman"/>
                <w:color w:val="auto"/>
                <w:kern w:val="0"/>
                <w:sz w:val="24"/>
                <w:szCs w:val="24"/>
                <w:highlight w:val="none"/>
                <w:lang w:eastAsia="zh-CN"/>
              </w:rPr>
              <w:t>年本）》中规定，</w:t>
            </w:r>
            <w:r>
              <w:rPr>
                <w:rFonts w:hint="default" w:ascii="Times New Roman" w:hAnsi="Times New Roman" w:eastAsia="宋体" w:cs="Times New Roman"/>
                <w:color w:val="auto"/>
                <w:kern w:val="0"/>
                <w:sz w:val="24"/>
                <w:szCs w:val="24"/>
                <w:highlight w:val="none"/>
                <w:lang w:val="en-US" w:eastAsia="zh-CN"/>
              </w:rPr>
              <w:t>本项目</w:t>
            </w:r>
            <w:r>
              <w:rPr>
                <w:rFonts w:hint="eastAsia" w:cs="Times New Roman"/>
                <w:color w:val="auto"/>
                <w:kern w:val="0"/>
                <w:sz w:val="24"/>
                <w:szCs w:val="24"/>
                <w:highlight w:val="none"/>
                <w:lang w:val="en-US" w:eastAsia="zh-CN"/>
              </w:rPr>
              <w:t>不</w:t>
            </w:r>
            <w:r>
              <w:rPr>
                <w:rFonts w:hint="default" w:ascii="Times New Roman" w:hAnsi="Times New Roman" w:eastAsia="宋体" w:cs="Times New Roman"/>
                <w:color w:val="auto"/>
                <w:kern w:val="0"/>
                <w:sz w:val="24"/>
                <w:szCs w:val="24"/>
                <w:highlight w:val="none"/>
                <w:lang w:val="en-US" w:eastAsia="zh-CN"/>
              </w:rPr>
              <w:t>属于鼓励类</w:t>
            </w:r>
            <w:r>
              <w:rPr>
                <w:rFonts w:hint="eastAsia" w:cs="Times New Roman"/>
                <w:color w:val="auto"/>
                <w:kern w:val="0"/>
                <w:sz w:val="24"/>
                <w:szCs w:val="24"/>
                <w:highlight w:val="none"/>
                <w:lang w:val="en-US" w:eastAsia="zh-CN"/>
              </w:rPr>
              <w:t>、限制类、淘汰类项目，为允许类</w:t>
            </w:r>
            <w:r>
              <w:rPr>
                <w:rFonts w:hint="default" w:ascii="Times New Roman" w:hAnsi="Times New Roman" w:eastAsia="宋体" w:cs="Times New Roman"/>
                <w:color w:val="auto"/>
                <w:kern w:val="0"/>
                <w:sz w:val="24"/>
                <w:szCs w:val="24"/>
                <w:highlight w:val="none"/>
                <w:lang w:val="en-US" w:eastAsia="zh-CN"/>
              </w:rPr>
              <w:t>，因此本项目符合国家和地方产业政策的要求</w:t>
            </w:r>
            <w:r>
              <w:rPr>
                <w:rFonts w:hint="default" w:ascii="Times New Roman" w:hAnsi="Times New Roman" w:eastAsia="宋体" w:cs="Times New Roman"/>
                <w:color w:val="auto"/>
                <w:kern w:val="0"/>
                <w:sz w:val="24"/>
                <w:szCs w:val="24"/>
                <w:highlight w:val="none"/>
                <w:lang w:eastAsia="zh-CN"/>
              </w:rPr>
              <w:t>。</w:t>
            </w:r>
          </w:p>
          <w:p w14:paraId="554AF3FB">
            <w:pPr>
              <w:keepNext w:val="0"/>
              <w:keepLines w:val="0"/>
              <w:pageBreakBefore w:val="0"/>
              <w:widowControl w:val="0"/>
              <w:kinsoku/>
              <w:wordWrap/>
              <w:overflowPunct/>
              <w:topLinePunct w:val="0"/>
              <w:autoSpaceDE w:val="0"/>
              <w:autoSpaceDN w:val="0"/>
              <w:bidi w:val="0"/>
              <w:adjustRightInd w:val="0"/>
              <w:snapToGrid w:val="0"/>
              <w:spacing w:line="480" w:lineRule="exact"/>
              <w:ind w:firstLine="482" w:firstLineChars="200"/>
              <w:jc w:val="both"/>
              <w:textAlignment w:val="auto"/>
              <w:rPr>
                <w:rFonts w:hint="default" w:ascii="Times New Roman" w:hAnsi="Times New Roman" w:eastAsia="宋体" w:cs="Times New Roman"/>
                <w:b/>
                <w:bCs/>
                <w:strike w:val="0"/>
                <w:dstrike w:val="0"/>
                <w:color w:val="auto"/>
                <w:kern w:val="0"/>
                <w:sz w:val="24"/>
                <w:szCs w:val="24"/>
                <w:highlight w:val="none"/>
                <w:u w:val="none"/>
                <w:lang w:val="en-US" w:eastAsia="zh-CN"/>
              </w:rPr>
            </w:pPr>
            <w:r>
              <w:rPr>
                <w:rFonts w:hint="default" w:ascii="Times New Roman" w:hAnsi="Times New Roman" w:eastAsia="宋体" w:cs="Times New Roman"/>
                <w:b/>
                <w:bCs/>
                <w:strike w:val="0"/>
                <w:dstrike w:val="0"/>
                <w:color w:val="auto"/>
                <w:kern w:val="0"/>
                <w:sz w:val="24"/>
                <w:szCs w:val="24"/>
                <w:highlight w:val="none"/>
                <w:u w:val="none"/>
                <w:lang w:val="en-US" w:eastAsia="zh-CN"/>
              </w:rPr>
              <w:t>1.</w:t>
            </w:r>
            <w:r>
              <w:rPr>
                <w:rFonts w:hint="eastAsia" w:cs="Times New Roman"/>
                <w:b/>
                <w:bCs/>
                <w:strike w:val="0"/>
                <w:dstrike w:val="0"/>
                <w:color w:val="auto"/>
                <w:kern w:val="0"/>
                <w:sz w:val="24"/>
                <w:szCs w:val="24"/>
                <w:highlight w:val="none"/>
                <w:u w:val="none"/>
                <w:lang w:val="en-US" w:eastAsia="zh-CN"/>
              </w:rPr>
              <w:t>3</w:t>
            </w:r>
            <w:r>
              <w:rPr>
                <w:rFonts w:hint="default" w:ascii="Times New Roman" w:hAnsi="Times New Roman" w:eastAsia="宋体" w:cs="Times New Roman"/>
                <w:b/>
                <w:bCs/>
                <w:strike w:val="0"/>
                <w:dstrike w:val="0"/>
                <w:color w:val="auto"/>
                <w:kern w:val="0"/>
                <w:sz w:val="24"/>
                <w:szCs w:val="24"/>
                <w:highlight w:val="none"/>
                <w:u w:val="none"/>
                <w:lang w:val="en-US" w:eastAsia="zh-CN"/>
              </w:rPr>
              <w:t xml:space="preserve"> 相关政策及规划符合性分析</w:t>
            </w:r>
          </w:p>
          <w:p w14:paraId="4A4092FA">
            <w:pPr>
              <w:spacing w:line="480" w:lineRule="atLeast"/>
              <w:ind w:firstLine="506" w:firstLineChars="200"/>
              <w:rPr>
                <w:rFonts w:hint="default" w:ascii="Times New Roman" w:hAnsi="Times New Roman" w:eastAsia="宋体" w:cs="Times New Roman"/>
                <w:b/>
                <w:bCs w:val="0"/>
                <w:color w:val="auto"/>
                <w:spacing w:val="6"/>
                <w:kern w:val="2"/>
                <w:sz w:val="24"/>
                <w:highlight w:val="none"/>
                <w:lang w:val="en-US" w:eastAsia="zh-CN"/>
              </w:rPr>
            </w:pPr>
            <w:r>
              <w:rPr>
                <w:rFonts w:hint="eastAsia" w:cs="Times New Roman"/>
                <w:b/>
                <w:bCs w:val="0"/>
                <w:color w:val="auto"/>
                <w:spacing w:val="6"/>
                <w:kern w:val="2"/>
                <w:sz w:val="24"/>
                <w:highlight w:val="none"/>
                <w:lang w:val="en-US" w:eastAsia="zh-CN"/>
              </w:rPr>
              <w:t>1</w:t>
            </w:r>
            <w:r>
              <w:rPr>
                <w:rFonts w:hint="eastAsia" w:ascii="Times New Roman" w:hAnsi="Times New Roman" w:eastAsia="宋体" w:cs="Times New Roman"/>
                <w:b/>
                <w:bCs w:val="0"/>
                <w:color w:val="auto"/>
                <w:spacing w:val="6"/>
                <w:kern w:val="2"/>
                <w:sz w:val="24"/>
                <w:highlight w:val="none"/>
                <w:lang w:val="en-US" w:eastAsia="zh-CN"/>
              </w:rPr>
              <w:t>.</w:t>
            </w:r>
            <w:r>
              <w:rPr>
                <w:rFonts w:hint="eastAsia" w:cs="Times New Roman"/>
                <w:b/>
                <w:bCs w:val="0"/>
                <w:color w:val="auto"/>
                <w:spacing w:val="6"/>
                <w:kern w:val="2"/>
                <w:sz w:val="24"/>
                <w:highlight w:val="none"/>
                <w:lang w:val="en-US" w:eastAsia="zh-CN"/>
              </w:rPr>
              <w:t>3.1</w:t>
            </w:r>
            <w:r>
              <w:rPr>
                <w:rFonts w:hint="eastAsia" w:ascii="Times New Roman" w:hAnsi="Times New Roman" w:eastAsia="宋体" w:cs="Times New Roman"/>
                <w:b/>
                <w:bCs w:val="0"/>
                <w:color w:val="auto"/>
                <w:spacing w:val="6"/>
                <w:kern w:val="2"/>
                <w:sz w:val="24"/>
                <w:highlight w:val="none"/>
                <w:lang w:val="en-US" w:eastAsia="zh-CN"/>
              </w:rPr>
              <w:t>与《长治市辛安泉饮用水水源地保护条例》符合性分析</w:t>
            </w:r>
          </w:p>
          <w:p w14:paraId="72A2ABE3">
            <w:pPr>
              <w:keepNext w:val="0"/>
              <w:keepLines w:val="0"/>
              <w:pageBreakBefore w:val="0"/>
              <w:widowControl w:val="0"/>
              <w:kinsoku/>
              <w:wordWrap/>
              <w:overflowPunct/>
              <w:topLinePunct w:val="0"/>
              <w:autoSpaceDE w:val="0"/>
              <w:autoSpaceDN w:val="0"/>
              <w:bidi w:val="0"/>
              <w:adjustRightInd w:val="0"/>
              <w:snapToGrid w:val="0"/>
              <w:spacing w:line="480" w:lineRule="exact"/>
              <w:ind w:firstLine="504" w:firstLineChars="200"/>
              <w:jc w:val="both"/>
              <w:textAlignment w:val="auto"/>
              <w:rPr>
                <w:rFonts w:hint="default" w:ascii="Times New Roman" w:hAnsi="Times New Roman" w:eastAsia="宋体" w:cs="Times New Roman"/>
                <w:bCs/>
                <w:color w:val="auto"/>
                <w:spacing w:val="6"/>
                <w:kern w:val="2"/>
                <w:sz w:val="24"/>
                <w:highlight w:val="none"/>
                <w:lang w:val="en-US" w:eastAsia="zh-CN"/>
              </w:rPr>
            </w:pPr>
            <w:r>
              <w:rPr>
                <w:rFonts w:hint="default" w:ascii="Times New Roman" w:hAnsi="Times New Roman" w:eastAsia="宋体" w:cs="Times New Roman"/>
                <w:bCs/>
                <w:color w:val="auto"/>
                <w:spacing w:val="6"/>
                <w:kern w:val="2"/>
                <w:sz w:val="24"/>
                <w:highlight w:val="none"/>
                <w:lang w:val="en-US" w:eastAsia="zh-CN"/>
              </w:rPr>
              <w:t>符合性分析</w:t>
            </w:r>
            <w:r>
              <w:rPr>
                <w:rFonts w:hint="eastAsia" w:ascii="Times New Roman" w:hAnsi="Times New Roman" w:eastAsia="宋体" w:cs="Times New Roman"/>
                <w:bCs/>
                <w:color w:val="auto"/>
                <w:spacing w:val="6"/>
                <w:kern w:val="2"/>
                <w:sz w:val="24"/>
                <w:highlight w:val="none"/>
                <w:lang w:val="en-US" w:eastAsia="zh-CN"/>
              </w:rPr>
              <w:t>详</w:t>
            </w:r>
            <w:r>
              <w:rPr>
                <w:rFonts w:hint="default" w:ascii="Times New Roman" w:hAnsi="Times New Roman" w:eastAsia="宋体" w:cs="Times New Roman"/>
                <w:bCs/>
                <w:color w:val="auto"/>
                <w:spacing w:val="6"/>
                <w:kern w:val="2"/>
                <w:sz w:val="24"/>
                <w:highlight w:val="none"/>
                <w:lang w:val="en-US" w:eastAsia="zh-CN"/>
              </w:rPr>
              <w:t>见表</w:t>
            </w:r>
            <w:r>
              <w:rPr>
                <w:rFonts w:hint="eastAsia" w:ascii="Times New Roman" w:hAnsi="Times New Roman" w:eastAsia="宋体" w:cs="Times New Roman"/>
                <w:bCs/>
                <w:color w:val="auto"/>
                <w:spacing w:val="6"/>
                <w:kern w:val="2"/>
                <w:sz w:val="24"/>
                <w:highlight w:val="none"/>
                <w:lang w:val="en-US" w:eastAsia="zh-CN"/>
              </w:rPr>
              <w:t>1.</w:t>
            </w:r>
            <w:r>
              <w:rPr>
                <w:rFonts w:hint="eastAsia" w:cs="Times New Roman"/>
                <w:bCs/>
                <w:color w:val="auto"/>
                <w:spacing w:val="6"/>
                <w:kern w:val="2"/>
                <w:sz w:val="24"/>
                <w:highlight w:val="none"/>
                <w:lang w:val="en-US" w:eastAsia="zh-CN"/>
              </w:rPr>
              <w:t>3</w:t>
            </w:r>
            <w:r>
              <w:rPr>
                <w:rFonts w:hint="eastAsia" w:ascii="Times New Roman" w:hAnsi="Times New Roman" w:eastAsia="宋体" w:cs="Times New Roman"/>
                <w:bCs/>
                <w:color w:val="auto"/>
                <w:spacing w:val="6"/>
                <w:kern w:val="2"/>
                <w:sz w:val="24"/>
                <w:highlight w:val="none"/>
                <w:lang w:val="en-US" w:eastAsia="zh-CN"/>
              </w:rPr>
              <w:t>-</w:t>
            </w:r>
            <w:r>
              <w:rPr>
                <w:rFonts w:hint="eastAsia" w:cs="Times New Roman"/>
                <w:bCs/>
                <w:color w:val="auto"/>
                <w:spacing w:val="6"/>
                <w:kern w:val="2"/>
                <w:sz w:val="24"/>
                <w:highlight w:val="none"/>
                <w:lang w:val="en-US" w:eastAsia="zh-CN"/>
              </w:rPr>
              <w:t>1</w:t>
            </w:r>
            <w:r>
              <w:rPr>
                <w:rFonts w:hint="eastAsia" w:ascii="Times New Roman" w:hAnsi="Times New Roman" w:eastAsia="宋体" w:cs="Times New Roman"/>
                <w:bCs/>
                <w:color w:val="auto"/>
                <w:spacing w:val="6"/>
                <w:kern w:val="2"/>
                <w:sz w:val="24"/>
                <w:highlight w:val="none"/>
                <w:lang w:val="en-US" w:eastAsia="zh-CN"/>
              </w:rPr>
              <w:t>。</w:t>
            </w:r>
          </w:p>
          <w:p w14:paraId="4D6385E6">
            <w:pPr>
              <w:keepNext w:val="0"/>
              <w:keepLines w:val="0"/>
              <w:pageBreakBefore w:val="0"/>
              <w:widowControl w:val="0"/>
              <w:kinsoku/>
              <w:wordWrap/>
              <w:overflowPunct/>
              <w:topLinePunct w:val="0"/>
              <w:autoSpaceDE/>
              <w:autoSpaceDN/>
              <w:bidi w:val="0"/>
              <w:adjustRightInd/>
              <w:snapToGrid/>
              <w:spacing w:before="0" w:after="0" w:line="480" w:lineRule="exact"/>
              <w:ind w:firstLine="0" w:firstLineChars="0"/>
              <w:jc w:val="center"/>
              <w:textAlignment w:val="baseline"/>
              <w:rPr>
                <w:rFonts w:hint="eastAsia" w:ascii="Times New Roman" w:hAnsi="Times New Roman" w:eastAsia="黑体" w:cs="Times New Roman"/>
                <w:iCs/>
                <w:snapToGrid w:val="0"/>
                <w:color w:val="auto"/>
                <w:kern w:val="0"/>
                <w:sz w:val="21"/>
                <w:szCs w:val="20"/>
                <w:highlight w:val="none"/>
                <w:lang w:val="en-US" w:eastAsia="zh-CN" w:bidi="ar-SA"/>
              </w:rPr>
            </w:pPr>
            <w:r>
              <w:rPr>
                <w:rFonts w:hint="default" w:ascii="Times New Roman" w:hAnsi="Times New Roman" w:eastAsia="黑体" w:cs="Times New Roman"/>
                <w:iCs/>
                <w:snapToGrid w:val="0"/>
                <w:color w:val="auto"/>
                <w:kern w:val="0"/>
                <w:sz w:val="21"/>
                <w:szCs w:val="20"/>
                <w:highlight w:val="none"/>
                <w:lang w:val="en-US" w:eastAsia="zh-CN" w:bidi="ar-SA"/>
              </w:rPr>
              <w:t>表1</w:t>
            </w:r>
            <w:r>
              <w:rPr>
                <w:rFonts w:hint="eastAsia" w:ascii="Times New Roman" w:hAnsi="Times New Roman" w:eastAsia="黑体" w:cs="Times New Roman"/>
                <w:iCs/>
                <w:snapToGrid w:val="0"/>
                <w:color w:val="auto"/>
                <w:kern w:val="0"/>
                <w:sz w:val="21"/>
                <w:szCs w:val="20"/>
                <w:highlight w:val="none"/>
                <w:lang w:val="en-US" w:eastAsia="zh-CN" w:bidi="ar-SA"/>
              </w:rPr>
              <w:t>.</w:t>
            </w:r>
            <w:r>
              <w:rPr>
                <w:rFonts w:hint="eastAsia" w:eastAsia="黑体" w:cs="Times New Roman"/>
                <w:iCs/>
                <w:snapToGrid w:val="0"/>
                <w:color w:val="auto"/>
                <w:kern w:val="0"/>
                <w:sz w:val="21"/>
                <w:szCs w:val="20"/>
                <w:highlight w:val="none"/>
                <w:lang w:val="en-US" w:eastAsia="zh-CN" w:bidi="ar-SA"/>
              </w:rPr>
              <w:t>3</w:t>
            </w:r>
            <w:r>
              <w:rPr>
                <w:rFonts w:hint="eastAsia" w:ascii="Times New Roman" w:hAnsi="Times New Roman" w:eastAsia="黑体" w:cs="Times New Roman"/>
                <w:iCs/>
                <w:snapToGrid w:val="0"/>
                <w:color w:val="auto"/>
                <w:kern w:val="0"/>
                <w:sz w:val="21"/>
                <w:szCs w:val="20"/>
                <w:highlight w:val="none"/>
                <w:lang w:val="en-US" w:eastAsia="zh-CN" w:bidi="ar-SA"/>
              </w:rPr>
              <w:t>-</w:t>
            </w:r>
            <w:r>
              <w:rPr>
                <w:rFonts w:hint="eastAsia" w:eastAsia="黑体" w:cs="Times New Roman"/>
                <w:iCs/>
                <w:snapToGrid w:val="0"/>
                <w:color w:val="auto"/>
                <w:kern w:val="0"/>
                <w:sz w:val="21"/>
                <w:szCs w:val="20"/>
                <w:highlight w:val="none"/>
                <w:lang w:val="en-US" w:eastAsia="zh-CN" w:bidi="ar-SA"/>
              </w:rPr>
              <w:t>1</w:t>
            </w:r>
            <w:r>
              <w:rPr>
                <w:rFonts w:hint="default" w:ascii="Times New Roman" w:hAnsi="Times New Roman" w:eastAsia="黑体" w:cs="Times New Roman"/>
                <w:iCs/>
                <w:snapToGrid w:val="0"/>
                <w:color w:val="auto"/>
                <w:kern w:val="0"/>
                <w:sz w:val="21"/>
                <w:szCs w:val="20"/>
                <w:highlight w:val="none"/>
                <w:lang w:val="en-US" w:eastAsia="zh-CN" w:bidi="ar-SA"/>
              </w:rPr>
              <w:t xml:space="preserve">  与《长治市辛安泉饮用水水源地保护条例》的符合性分析</w:t>
            </w:r>
          </w:p>
          <w:tbl>
            <w:tblPr>
              <w:tblStyle w:val="26"/>
              <w:tblW w:w="4991"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12"/>
              <w:gridCol w:w="4941"/>
              <w:gridCol w:w="1843"/>
            </w:tblGrid>
            <w:tr w14:paraId="34A434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blHeader/>
                <w:jc w:val="center"/>
              </w:trPr>
              <w:tc>
                <w:tcPr>
                  <w:tcW w:w="3770" w:type="pct"/>
                  <w:gridSpan w:val="2"/>
                  <w:tcBorders>
                    <w:tl2br w:val="nil"/>
                    <w:tr2bl w:val="nil"/>
                  </w:tcBorders>
                  <w:vAlign w:val="center"/>
                </w:tcPr>
                <w:p w14:paraId="3B67110D">
                  <w:pPr>
                    <w:keepNext w:val="0"/>
                    <w:keepLines w:val="0"/>
                    <w:pageBreakBefore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与本项目相关的要求</w:t>
                  </w:r>
                </w:p>
              </w:tc>
              <w:tc>
                <w:tcPr>
                  <w:tcW w:w="1229" w:type="pct"/>
                  <w:tcBorders>
                    <w:tl2br w:val="nil"/>
                    <w:tr2bl w:val="nil"/>
                  </w:tcBorders>
                  <w:vAlign w:val="center"/>
                </w:tcPr>
                <w:p w14:paraId="418A7C28">
                  <w:pPr>
                    <w:keepNext w:val="0"/>
                    <w:keepLines w:val="0"/>
                    <w:pageBreakBefore w:val="0"/>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kern w:val="0"/>
                      <w:sz w:val="21"/>
                      <w:szCs w:val="21"/>
                      <w:highlight w:val="none"/>
                      <w:lang w:val="en-US" w:eastAsia="zh-CN"/>
                    </w:rPr>
                    <w:t>符合性分析</w:t>
                  </w:r>
                </w:p>
              </w:tc>
            </w:tr>
            <w:tr w14:paraId="5D0B46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475" w:type="pct"/>
                  <w:tcBorders>
                    <w:tl2br w:val="nil"/>
                    <w:tr2bl w:val="nil"/>
                  </w:tcBorders>
                  <w:vAlign w:val="center"/>
                </w:tcPr>
                <w:p w14:paraId="6B87B9E2">
                  <w:pPr>
                    <w:keepNext w:val="0"/>
                    <w:keepLines w:val="0"/>
                    <w:pageBreakBefore w:val="0"/>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第十四条</w:t>
                  </w:r>
                </w:p>
              </w:tc>
              <w:tc>
                <w:tcPr>
                  <w:tcW w:w="3295" w:type="pct"/>
                  <w:tcBorders>
                    <w:tl2br w:val="nil"/>
                    <w:tr2bl w:val="nil"/>
                  </w:tcBorders>
                  <w:vAlign w:val="center"/>
                </w:tcPr>
                <w:p w14:paraId="02A04AE5">
                  <w:pPr>
                    <w:pStyle w:val="9"/>
                    <w:keepNext w:val="0"/>
                    <w:keepLines w:val="0"/>
                    <w:pageBreakBefore w:val="0"/>
                    <w:kinsoku/>
                    <w:wordWrap/>
                    <w:overflowPunct/>
                    <w:topLinePunct w:val="0"/>
                    <w:autoSpaceDE/>
                    <w:autoSpaceDN/>
                    <w:bidi w:val="0"/>
                    <w:adjustRightInd w:val="0"/>
                    <w:snapToGrid w:val="0"/>
                    <w:spacing w:before="0" w:after="0" w:line="320" w:lineRule="exact"/>
                    <w:ind w:right="0" w:firstLine="0" w:firstLineChars="0"/>
                    <w:textAlignment w:val="auto"/>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在</w:t>
                  </w:r>
                  <w:r>
                    <w:rPr>
                      <w:rFonts w:hint="default" w:ascii="Times New Roman" w:hAnsi="Times New Roman" w:eastAsia="宋体" w:cs="Times New Roman"/>
                      <w:bCs/>
                      <w:color w:val="auto"/>
                      <w:sz w:val="21"/>
                      <w:szCs w:val="21"/>
                      <w:highlight w:val="none"/>
                      <w:lang w:val="en-US" w:eastAsia="zh-CN"/>
                    </w:rPr>
                    <w:t>辛安泉饮用水水源地准保护区范围内禁止下列行为：</w:t>
                  </w:r>
                </w:p>
                <w:p w14:paraId="399F5D41">
                  <w:pPr>
                    <w:pStyle w:val="9"/>
                    <w:keepNext w:val="0"/>
                    <w:keepLines w:val="0"/>
                    <w:pageBreakBefore w:val="0"/>
                    <w:kinsoku/>
                    <w:wordWrap/>
                    <w:overflowPunct/>
                    <w:topLinePunct w:val="0"/>
                    <w:autoSpaceDE/>
                    <w:autoSpaceDN/>
                    <w:bidi w:val="0"/>
                    <w:adjustRightInd w:val="0"/>
                    <w:snapToGrid w:val="0"/>
                    <w:spacing w:before="0" w:after="0" w:line="320" w:lineRule="exact"/>
                    <w:ind w:right="0" w:firstLine="0" w:firstLineChars="0"/>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（一）直接或者间接向水域排放不符合国家以及地方规定排放标准的废水；</w:t>
                  </w:r>
                </w:p>
                <w:p w14:paraId="178C4140">
                  <w:pPr>
                    <w:pStyle w:val="9"/>
                    <w:keepNext w:val="0"/>
                    <w:keepLines w:val="0"/>
                    <w:pageBreakBefore w:val="0"/>
                    <w:kinsoku/>
                    <w:wordWrap/>
                    <w:overflowPunct/>
                    <w:topLinePunct w:val="0"/>
                    <w:autoSpaceDE/>
                    <w:autoSpaceDN/>
                    <w:bidi w:val="0"/>
                    <w:adjustRightInd w:val="0"/>
                    <w:snapToGrid w:val="0"/>
                    <w:spacing w:before="0" w:after="0" w:line="320" w:lineRule="exact"/>
                    <w:ind w:right="0" w:firstLine="0" w:firstLineChars="0"/>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（二）新建、扩建对水体污染严重的建设项目，改建建设项目增加排污量；</w:t>
                  </w:r>
                </w:p>
                <w:p w14:paraId="3F4A82AD">
                  <w:pPr>
                    <w:pStyle w:val="9"/>
                    <w:keepNext w:val="0"/>
                    <w:keepLines w:val="0"/>
                    <w:pageBreakBefore w:val="0"/>
                    <w:kinsoku/>
                    <w:wordWrap/>
                    <w:overflowPunct/>
                    <w:topLinePunct w:val="0"/>
                    <w:autoSpaceDE/>
                    <w:autoSpaceDN/>
                    <w:bidi w:val="0"/>
                    <w:adjustRightInd w:val="0"/>
                    <w:snapToGrid w:val="0"/>
                    <w:spacing w:before="0" w:after="0" w:line="320" w:lineRule="exact"/>
                    <w:ind w:right="0" w:firstLine="0" w:firstLineChars="0"/>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（三）使用不符合《农田灌溉水质标准》的污水灌溉农田；</w:t>
                  </w:r>
                </w:p>
                <w:p w14:paraId="08DAF3E3">
                  <w:pPr>
                    <w:pStyle w:val="9"/>
                    <w:keepNext w:val="0"/>
                    <w:keepLines w:val="0"/>
                    <w:pageBreakBefore w:val="0"/>
                    <w:kinsoku/>
                    <w:wordWrap/>
                    <w:overflowPunct/>
                    <w:topLinePunct w:val="0"/>
                    <w:autoSpaceDE/>
                    <w:autoSpaceDN/>
                    <w:bidi w:val="0"/>
                    <w:adjustRightInd w:val="0"/>
                    <w:snapToGrid w:val="0"/>
                    <w:spacing w:before="0" w:after="0" w:line="320" w:lineRule="exact"/>
                    <w:ind w:right="0" w:firstLine="0" w:firstLineChars="0"/>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（四）利用渗井、废弃矿井、废弃井孔等排放工业废水、生活污水和矿坑水；</w:t>
                  </w:r>
                </w:p>
                <w:p w14:paraId="3604D000">
                  <w:pPr>
                    <w:pStyle w:val="9"/>
                    <w:keepNext w:val="0"/>
                    <w:keepLines w:val="0"/>
                    <w:pageBreakBefore w:val="0"/>
                    <w:kinsoku/>
                    <w:wordWrap/>
                    <w:overflowPunct/>
                    <w:topLinePunct w:val="0"/>
                    <w:autoSpaceDE/>
                    <w:autoSpaceDN/>
                    <w:bidi w:val="0"/>
                    <w:adjustRightInd w:val="0"/>
                    <w:snapToGrid w:val="0"/>
                    <w:spacing w:before="0" w:after="0" w:line="320" w:lineRule="exact"/>
                    <w:ind w:right="0" w:firstLine="0" w:firstLineChars="0"/>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（五）法律、法规规定的其他禁止行为。</w:t>
                  </w:r>
                </w:p>
              </w:tc>
              <w:tc>
                <w:tcPr>
                  <w:tcW w:w="1229" w:type="pct"/>
                  <w:tcBorders>
                    <w:tl2br w:val="nil"/>
                    <w:tr2bl w:val="nil"/>
                  </w:tcBorders>
                  <w:vAlign w:val="center"/>
                </w:tcPr>
                <w:p w14:paraId="302C4BBE">
                  <w:pPr>
                    <w:keepNext w:val="0"/>
                    <w:keepLines w:val="0"/>
                    <w:pageBreakBefore w:val="0"/>
                    <w:kinsoku/>
                    <w:wordWrap/>
                    <w:overflowPunct/>
                    <w:topLinePunct w:val="0"/>
                    <w:autoSpaceDE/>
                    <w:autoSpaceDN/>
                    <w:bidi w:val="0"/>
                    <w:adjustRightInd w:val="0"/>
                    <w:snapToGrid w:val="0"/>
                    <w:spacing w:line="320" w:lineRule="exact"/>
                    <w:ind w:firstLine="0" w:firstLineChars="0"/>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sz w:val="21"/>
                      <w:szCs w:val="21"/>
                      <w:highlight w:val="none"/>
                    </w:rPr>
                    <w:t>本项目厂址不</w:t>
                  </w:r>
                  <w:r>
                    <w:rPr>
                      <w:rFonts w:hint="eastAsia" w:ascii="Times New Roman" w:hAnsi="Times New Roman" w:eastAsia="宋体" w:cs="Times New Roman"/>
                      <w:color w:val="auto"/>
                      <w:sz w:val="21"/>
                      <w:szCs w:val="21"/>
                      <w:highlight w:val="none"/>
                      <w:lang w:val="en-US" w:eastAsia="zh-CN"/>
                    </w:rPr>
                    <w:t>在辛安泉饮用水水源地准保护区范围内</w:t>
                  </w:r>
                  <w:r>
                    <w:rPr>
                      <w:rFonts w:hint="default" w:ascii="Times New Roman" w:hAnsi="Times New Roman" w:eastAsia="宋体" w:cs="Times New Roman"/>
                      <w:bCs/>
                      <w:color w:val="auto"/>
                      <w:sz w:val="21"/>
                      <w:szCs w:val="21"/>
                      <w:highlight w:val="none"/>
                      <w:lang w:val="zh-CN"/>
                    </w:rPr>
                    <w:t>。</w:t>
                  </w:r>
                </w:p>
              </w:tc>
            </w:tr>
            <w:tr w14:paraId="22DFFD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475" w:type="pct"/>
                  <w:tcBorders>
                    <w:tl2br w:val="nil"/>
                    <w:tr2bl w:val="nil"/>
                  </w:tcBorders>
                  <w:vAlign w:val="center"/>
                </w:tcPr>
                <w:p w14:paraId="507D760B">
                  <w:pPr>
                    <w:keepNext w:val="0"/>
                    <w:keepLines w:val="0"/>
                    <w:pageBreakBefore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lang w:val="en-US" w:eastAsia="zh-CN"/>
                    </w:rPr>
                    <w:t>第十五条</w:t>
                  </w:r>
                </w:p>
              </w:tc>
              <w:tc>
                <w:tcPr>
                  <w:tcW w:w="3295" w:type="pct"/>
                  <w:tcBorders>
                    <w:tl2br w:val="nil"/>
                    <w:tr2bl w:val="nil"/>
                  </w:tcBorders>
                  <w:vAlign w:val="center"/>
                </w:tcPr>
                <w:p w14:paraId="2733871E">
                  <w:pPr>
                    <w:pStyle w:val="9"/>
                    <w:keepNext w:val="0"/>
                    <w:keepLines w:val="0"/>
                    <w:pageBreakBefore w:val="0"/>
                    <w:kinsoku/>
                    <w:wordWrap/>
                    <w:overflowPunct/>
                    <w:topLinePunct w:val="0"/>
                    <w:autoSpaceDE/>
                    <w:autoSpaceDN/>
                    <w:bidi w:val="0"/>
                    <w:adjustRightInd w:val="0"/>
                    <w:snapToGrid w:val="0"/>
                    <w:spacing w:before="0" w:after="0" w:line="320" w:lineRule="exact"/>
                    <w:ind w:right="0" w:firstLine="0" w:firstLineChars="0"/>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在辛安泉饮用水水源地二级保护区除禁止本条例第十四条规定的行为外，还禁止下列行为：</w:t>
                  </w:r>
                </w:p>
                <w:p w14:paraId="0B159A5F">
                  <w:pPr>
                    <w:pStyle w:val="9"/>
                    <w:keepNext w:val="0"/>
                    <w:keepLines w:val="0"/>
                    <w:pageBreakBefore w:val="0"/>
                    <w:kinsoku/>
                    <w:wordWrap/>
                    <w:overflowPunct/>
                    <w:topLinePunct w:val="0"/>
                    <w:autoSpaceDE/>
                    <w:autoSpaceDN/>
                    <w:bidi w:val="0"/>
                    <w:adjustRightInd w:val="0"/>
                    <w:snapToGrid w:val="0"/>
                    <w:spacing w:before="0" w:after="0" w:line="320" w:lineRule="exact"/>
                    <w:ind w:right="0" w:firstLine="0" w:firstLineChars="0"/>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（一）新建、改建、扩建炼焦、化工、炼油、冶炼、电镀、皮革、造纸、制浆、印染、染料、放射性以及其他排放污染物的建设项目；</w:t>
                  </w:r>
                </w:p>
                <w:p w14:paraId="27B20F0A">
                  <w:pPr>
                    <w:pStyle w:val="9"/>
                    <w:keepNext w:val="0"/>
                    <w:keepLines w:val="0"/>
                    <w:pageBreakBefore w:val="0"/>
                    <w:kinsoku/>
                    <w:wordWrap/>
                    <w:overflowPunct/>
                    <w:topLinePunct w:val="0"/>
                    <w:autoSpaceDE/>
                    <w:autoSpaceDN/>
                    <w:bidi w:val="0"/>
                    <w:adjustRightInd w:val="0"/>
                    <w:snapToGrid w:val="0"/>
                    <w:spacing w:before="0" w:after="0" w:line="320" w:lineRule="exact"/>
                    <w:ind w:right="0" w:firstLine="0" w:firstLineChars="0"/>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（二）使用农药，丢弃农药、农药包装物或者清洗施药器械；</w:t>
                  </w:r>
                </w:p>
                <w:p w14:paraId="49EE82C7">
                  <w:pPr>
                    <w:pStyle w:val="9"/>
                    <w:keepNext w:val="0"/>
                    <w:keepLines w:val="0"/>
                    <w:pageBreakBefore w:val="0"/>
                    <w:kinsoku/>
                    <w:wordWrap/>
                    <w:overflowPunct/>
                    <w:topLinePunct w:val="0"/>
                    <w:autoSpaceDE/>
                    <w:autoSpaceDN/>
                    <w:bidi w:val="0"/>
                    <w:adjustRightInd w:val="0"/>
                    <w:snapToGrid w:val="0"/>
                    <w:spacing w:before="0" w:after="0" w:line="320" w:lineRule="exact"/>
                    <w:ind w:right="0" w:firstLine="0" w:firstLineChars="0"/>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（三）建设畜禽养殖场、养殖小区；</w:t>
                  </w:r>
                </w:p>
                <w:p w14:paraId="1B473203">
                  <w:pPr>
                    <w:pStyle w:val="9"/>
                    <w:keepNext w:val="0"/>
                    <w:keepLines w:val="0"/>
                    <w:pageBreakBefore w:val="0"/>
                    <w:kinsoku/>
                    <w:wordWrap/>
                    <w:overflowPunct/>
                    <w:topLinePunct w:val="0"/>
                    <w:autoSpaceDE/>
                    <w:autoSpaceDN/>
                    <w:bidi w:val="0"/>
                    <w:adjustRightInd w:val="0"/>
                    <w:snapToGrid w:val="0"/>
                    <w:spacing w:before="0" w:after="0" w:line="320" w:lineRule="exact"/>
                    <w:ind w:right="0" w:firstLine="0" w:firstLineChars="0"/>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（四）利用未经净化的污水灌溉农田；</w:t>
                  </w:r>
                </w:p>
                <w:p w14:paraId="0748AA2C">
                  <w:pPr>
                    <w:pStyle w:val="9"/>
                    <w:keepNext w:val="0"/>
                    <w:keepLines w:val="0"/>
                    <w:pageBreakBefore w:val="0"/>
                    <w:kinsoku/>
                    <w:wordWrap/>
                    <w:overflowPunct/>
                    <w:topLinePunct w:val="0"/>
                    <w:autoSpaceDE/>
                    <w:autoSpaceDN/>
                    <w:bidi w:val="0"/>
                    <w:adjustRightInd w:val="0"/>
                    <w:snapToGrid w:val="0"/>
                    <w:spacing w:before="0" w:after="0" w:line="320" w:lineRule="exact"/>
                    <w:ind w:right="0" w:firstLine="0" w:firstLineChars="0"/>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（五）倾倒、堆放、储存危险化学品和有毒有害废弃物；</w:t>
                  </w:r>
                </w:p>
                <w:p w14:paraId="62510A9A">
                  <w:pPr>
                    <w:pStyle w:val="9"/>
                    <w:keepNext w:val="0"/>
                    <w:keepLines w:val="0"/>
                    <w:pageBreakBefore w:val="0"/>
                    <w:kinsoku/>
                    <w:wordWrap/>
                    <w:overflowPunct/>
                    <w:topLinePunct w:val="0"/>
                    <w:autoSpaceDE/>
                    <w:autoSpaceDN/>
                    <w:bidi w:val="0"/>
                    <w:adjustRightInd w:val="0"/>
                    <w:snapToGrid w:val="0"/>
                    <w:spacing w:before="0" w:after="0" w:line="320" w:lineRule="exact"/>
                    <w:ind w:right="0" w:firstLine="0" w:firstLineChars="0"/>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（六）建设工业固体废物、粪便和易溶、有毒有害废弃物集中贮存、处置的设施、场所和生活垃圾填埋场、转运站；</w:t>
                  </w:r>
                </w:p>
                <w:p w14:paraId="59033AA3">
                  <w:pPr>
                    <w:pStyle w:val="9"/>
                    <w:keepNext w:val="0"/>
                    <w:keepLines w:val="0"/>
                    <w:pageBreakBefore w:val="0"/>
                    <w:kinsoku/>
                    <w:wordWrap/>
                    <w:overflowPunct/>
                    <w:topLinePunct w:val="0"/>
                    <w:autoSpaceDE/>
                    <w:autoSpaceDN/>
                    <w:bidi w:val="0"/>
                    <w:adjustRightInd w:val="0"/>
                    <w:snapToGrid w:val="0"/>
                    <w:spacing w:before="0" w:after="0" w:line="320" w:lineRule="exact"/>
                    <w:ind w:right="0" w:firstLine="0" w:firstLineChars="0"/>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（七）可能对辛安泉饮用水水源地二级保护区水环境安全造成危害的其他行为。</w:t>
                  </w:r>
                </w:p>
              </w:tc>
              <w:tc>
                <w:tcPr>
                  <w:tcW w:w="1229" w:type="pct"/>
                  <w:tcBorders>
                    <w:tl2br w:val="nil"/>
                    <w:tr2bl w:val="nil"/>
                  </w:tcBorders>
                  <w:vAlign w:val="center"/>
                </w:tcPr>
                <w:p w14:paraId="49DED4F4">
                  <w:pPr>
                    <w:keepNext w:val="0"/>
                    <w:keepLines w:val="0"/>
                    <w:pageBreakBefore w:val="0"/>
                    <w:kinsoku/>
                    <w:wordWrap/>
                    <w:overflowPunct/>
                    <w:topLinePunct w:val="0"/>
                    <w:autoSpaceDE/>
                    <w:autoSpaceDN/>
                    <w:bidi w:val="0"/>
                    <w:adjustRightInd w:val="0"/>
                    <w:snapToGrid w:val="0"/>
                    <w:spacing w:line="320" w:lineRule="exact"/>
                    <w:ind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本项目不在</w:t>
                  </w:r>
                  <w:r>
                    <w:rPr>
                      <w:rFonts w:hint="default" w:ascii="Times New Roman" w:hAnsi="Times New Roman" w:eastAsia="宋体" w:cs="Times New Roman"/>
                      <w:bCs/>
                      <w:color w:val="auto"/>
                      <w:sz w:val="21"/>
                      <w:szCs w:val="21"/>
                      <w:highlight w:val="none"/>
                    </w:rPr>
                    <w:t>辛安</w:t>
                  </w:r>
                  <w:r>
                    <w:rPr>
                      <w:rFonts w:hint="default" w:ascii="Times New Roman" w:hAnsi="Times New Roman" w:eastAsia="宋体" w:cs="Times New Roman"/>
                      <w:color w:val="auto"/>
                      <w:sz w:val="21"/>
                      <w:szCs w:val="21"/>
                      <w:highlight w:val="none"/>
                      <w:lang w:val="zh-CN"/>
                    </w:rPr>
                    <w:t>泉饮用水水源地</w:t>
                  </w:r>
                  <w:r>
                    <w:rPr>
                      <w:rFonts w:hint="default" w:ascii="Times New Roman" w:hAnsi="Times New Roman" w:eastAsia="宋体" w:cs="Times New Roman"/>
                      <w:color w:val="auto"/>
                      <w:sz w:val="21"/>
                      <w:szCs w:val="21"/>
                      <w:highlight w:val="none"/>
                    </w:rPr>
                    <w:t>二</w:t>
                  </w:r>
                  <w:r>
                    <w:rPr>
                      <w:rFonts w:hint="default" w:ascii="Times New Roman" w:hAnsi="Times New Roman" w:eastAsia="宋体" w:cs="Times New Roman"/>
                      <w:color w:val="auto"/>
                      <w:sz w:val="21"/>
                      <w:szCs w:val="21"/>
                      <w:highlight w:val="none"/>
                      <w:lang w:val="zh-CN"/>
                    </w:rPr>
                    <w:t>级保护区内。</w:t>
                  </w:r>
                </w:p>
              </w:tc>
            </w:tr>
            <w:tr w14:paraId="715A3D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475" w:type="pct"/>
                  <w:tcBorders>
                    <w:tl2br w:val="nil"/>
                    <w:tr2bl w:val="nil"/>
                  </w:tcBorders>
                  <w:vAlign w:val="center"/>
                </w:tcPr>
                <w:p w14:paraId="0BE825CF">
                  <w:pPr>
                    <w:keepNext w:val="0"/>
                    <w:keepLines w:val="0"/>
                    <w:pageBreakBefore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lang w:val="en-US" w:eastAsia="zh-CN"/>
                    </w:rPr>
                    <w:t>第十六条</w:t>
                  </w:r>
                </w:p>
              </w:tc>
              <w:tc>
                <w:tcPr>
                  <w:tcW w:w="3295" w:type="pct"/>
                  <w:tcBorders>
                    <w:tl2br w:val="nil"/>
                    <w:tr2bl w:val="nil"/>
                  </w:tcBorders>
                  <w:vAlign w:val="center"/>
                </w:tcPr>
                <w:p w14:paraId="0BE96E20">
                  <w:pPr>
                    <w:pStyle w:val="9"/>
                    <w:keepNext w:val="0"/>
                    <w:keepLines w:val="0"/>
                    <w:pageBreakBefore w:val="0"/>
                    <w:kinsoku/>
                    <w:wordWrap/>
                    <w:overflowPunct/>
                    <w:topLinePunct w:val="0"/>
                    <w:autoSpaceDE/>
                    <w:autoSpaceDN/>
                    <w:bidi w:val="0"/>
                    <w:adjustRightInd w:val="0"/>
                    <w:snapToGrid w:val="0"/>
                    <w:spacing w:before="0" w:after="0" w:line="320" w:lineRule="exact"/>
                    <w:ind w:right="0" w:firstLine="0" w:firstLineChars="0"/>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在辛安泉饮用水水源地一级保护区内除禁止本条例第十四条和第十五条规定的行为外，还禁止下列行为：</w:t>
                  </w:r>
                </w:p>
                <w:p w14:paraId="2A12A07A">
                  <w:pPr>
                    <w:pStyle w:val="9"/>
                    <w:keepNext w:val="0"/>
                    <w:keepLines w:val="0"/>
                    <w:pageBreakBefore w:val="0"/>
                    <w:kinsoku/>
                    <w:wordWrap/>
                    <w:overflowPunct/>
                    <w:topLinePunct w:val="0"/>
                    <w:autoSpaceDE/>
                    <w:autoSpaceDN/>
                    <w:bidi w:val="0"/>
                    <w:adjustRightInd w:val="0"/>
                    <w:snapToGrid w:val="0"/>
                    <w:spacing w:before="0" w:after="0" w:line="320" w:lineRule="exact"/>
                    <w:ind w:right="0" w:firstLine="0" w:firstLineChars="0"/>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（一）新建、改建、扩建与供水设施、防洪设施和保护水源无关的建设项目；</w:t>
                  </w:r>
                </w:p>
                <w:p w14:paraId="0E84F72D">
                  <w:pPr>
                    <w:pStyle w:val="9"/>
                    <w:keepNext w:val="0"/>
                    <w:keepLines w:val="0"/>
                    <w:pageBreakBefore w:val="0"/>
                    <w:kinsoku/>
                    <w:wordWrap/>
                    <w:overflowPunct/>
                    <w:topLinePunct w:val="0"/>
                    <w:autoSpaceDE/>
                    <w:autoSpaceDN/>
                    <w:bidi w:val="0"/>
                    <w:adjustRightInd w:val="0"/>
                    <w:snapToGrid w:val="0"/>
                    <w:spacing w:before="0" w:after="0" w:line="320" w:lineRule="exact"/>
                    <w:ind w:right="0" w:firstLine="0" w:firstLineChars="0"/>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（二）倾倒、堆放工业废渣、废液、垃圾、粪便、油类和其他有害废弃物；</w:t>
                  </w:r>
                </w:p>
                <w:p w14:paraId="45A15D15">
                  <w:pPr>
                    <w:pStyle w:val="9"/>
                    <w:keepNext w:val="0"/>
                    <w:keepLines w:val="0"/>
                    <w:pageBreakBefore w:val="0"/>
                    <w:kinsoku/>
                    <w:wordWrap/>
                    <w:overflowPunct/>
                    <w:topLinePunct w:val="0"/>
                    <w:autoSpaceDE/>
                    <w:autoSpaceDN/>
                    <w:bidi w:val="0"/>
                    <w:adjustRightInd w:val="0"/>
                    <w:snapToGrid w:val="0"/>
                    <w:spacing w:before="0" w:after="0" w:line="320" w:lineRule="exact"/>
                    <w:ind w:right="0" w:firstLine="0" w:firstLineChars="0"/>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（三）从事农牧业活动；</w:t>
                  </w:r>
                </w:p>
                <w:p w14:paraId="4D4E8B66">
                  <w:pPr>
                    <w:pStyle w:val="9"/>
                    <w:keepNext w:val="0"/>
                    <w:keepLines w:val="0"/>
                    <w:pageBreakBefore w:val="0"/>
                    <w:kinsoku/>
                    <w:wordWrap/>
                    <w:overflowPunct/>
                    <w:topLinePunct w:val="0"/>
                    <w:autoSpaceDE/>
                    <w:autoSpaceDN/>
                    <w:bidi w:val="0"/>
                    <w:adjustRightInd w:val="0"/>
                    <w:snapToGrid w:val="0"/>
                    <w:spacing w:before="0" w:after="0" w:line="320" w:lineRule="exact"/>
                    <w:ind w:right="0" w:firstLine="0" w:firstLineChars="0"/>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（四）从事网箱养殖、旅游、游泳、垂钓、水上训练或者其他可能污染饮用水水体的活动；</w:t>
                  </w:r>
                </w:p>
                <w:p w14:paraId="3C5DFB70">
                  <w:pPr>
                    <w:pStyle w:val="9"/>
                    <w:keepNext w:val="0"/>
                    <w:keepLines w:val="0"/>
                    <w:pageBreakBefore w:val="0"/>
                    <w:kinsoku/>
                    <w:wordWrap/>
                    <w:overflowPunct/>
                    <w:topLinePunct w:val="0"/>
                    <w:autoSpaceDE/>
                    <w:autoSpaceDN/>
                    <w:bidi w:val="0"/>
                    <w:adjustRightInd w:val="0"/>
                    <w:snapToGrid w:val="0"/>
                    <w:spacing w:before="0" w:after="0" w:line="320" w:lineRule="exact"/>
                    <w:ind w:right="0" w:firstLine="0" w:firstLineChars="0"/>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（五）设置与供水需要无关的码头、停靠船舶；</w:t>
                  </w:r>
                </w:p>
                <w:p w14:paraId="03F7A17D">
                  <w:pPr>
                    <w:pStyle w:val="9"/>
                    <w:keepNext w:val="0"/>
                    <w:keepLines w:val="0"/>
                    <w:pageBreakBefore w:val="0"/>
                    <w:kinsoku/>
                    <w:wordWrap/>
                    <w:overflowPunct/>
                    <w:topLinePunct w:val="0"/>
                    <w:autoSpaceDE/>
                    <w:autoSpaceDN/>
                    <w:bidi w:val="0"/>
                    <w:adjustRightInd w:val="0"/>
                    <w:snapToGrid w:val="0"/>
                    <w:spacing w:before="0" w:after="0" w:line="320" w:lineRule="exact"/>
                    <w:ind w:right="0" w:firstLine="0" w:firstLineChars="0"/>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（六）设置旅游娱乐设施、餐饮服务项目；</w:t>
                  </w:r>
                </w:p>
                <w:p w14:paraId="2C523BA7">
                  <w:pPr>
                    <w:pStyle w:val="9"/>
                    <w:keepNext w:val="0"/>
                    <w:keepLines w:val="0"/>
                    <w:pageBreakBefore w:val="0"/>
                    <w:kinsoku/>
                    <w:wordWrap/>
                    <w:overflowPunct/>
                    <w:topLinePunct w:val="0"/>
                    <w:autoSpaceDE/>
                    <w:autoSpaceDN/>
                    <w:bidi w:val="0"/>
                    <w:adjustRightInd w:val="0"/>
                    <w:snapToGrid w:val="0"/>
                    <w:spacing w:before="0" w:after="0" w:line="320" w:lineRule="exact"/>
                    <w:ind w:right="0" w:firstLine="0" w:firstLineChars="0"/>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（七）可能对辛安泉饮用水水源地一级保护区水环境安全造成危害的其他行为</w:t>
                  </w:r>
                  <w:r>
                    <w:rPr>
                      <w:rFonts w:hint="eastAsia" w:ascii="Times New Roman" w:hAnsi="Times New Roman" w:eastAsia="宋体" w:cs="Times New Roman"/>
                      <w:bCs/>
                      <w:color w:val="auto"/>
                      <w:sz w:val="21"/>
                      <w:szCs w:val="21"/>
                      <w:highlight w:val="none"/>
                      <w:lang w:val="en-US" w:eastAsia="zh-CN"/>
                    </w:rPr>
                    <w:t>。</w:t>
                  </w:r>
                </w:p>
              </w:tc>
              <w:tc>
                <w:tcPr>
                  <w:tcW w:w="1229" w:type="pct"/>
                  <w:tcBorders>
                    <w:tl2br w:val="nil"/>
                    <w:tr2bl w:val="nil"/>
                  </w:tcBorders>
                  <w:vAlign w:val="center"/>
                </w:tcPr>
                <w:p w14:paraId="09A3C6D5">
                  <w:pPr>
                    <w:keepNext w:val="0"/>
                    <w:keepLines w:val="0"/>
                    <w:pageBreakBefore w:val="0"/>
                    <w:kinsoku/>
                    <w:wordWrap/>
                    <w:overflowPunct/>
                    <w:topLinePunct w:val="0"/>
                    <w:autoSpaceDE/>
                    <w:autoSpaceDN/>
                    <w:bidi w:val="0"/>
                    <w:adjustRightInd w:val="0"/>
                    <w:snapToGrid w:val="0"/>
                    <w:spacing w:line="320" w:lineRule="exact"/>
                    <w:ind w:firstLine="0" w:firstLineChars="0"/>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sz w:val="21"/>
                      <w:szCs w:val="21"/>
                      <w:highlight w:val="none"/>
                    </w:rPr>
                    <w:t>本项目不在</w:t>
                  </w:r>
                  <w:r>
                    <w:rPr>
                      <w:rFonts w:hint="default" w:ascii="Times New Roman" w:hAnsi="Times New Roman" w:eastAsia="宋体" w:cs="Times New Roman"/>
                      <w:bCs/>
                      <w:color w:val="auto"/>
                      <w:sz w:val="21"/>
                      <w:szCs w:val="21"/>
                      <w:highlight w:val="none"/>
                    </w:rPr>
                    <w:t>辛安</w:t>
                  </w:r>
                  <w:r>
                    <w:rPr>
                      <w:rFonts w:hint="default" w:ascii="Times New Roman" w:hAnsi="Times New Roman" w:eastAsia="宋体" w:cs="Times New Roman"/>
                      <w:color w:val="auto"/>
                      <w:sz w:val="21"/>
                      <w:szCs w:val="21"/>
                      <w:highlight w:val="none"/>
                      <w:lang w:val="zh-CN"/>
                    </w:rPr>
                    <w:t>泉饮用水水源地一级保护区内。</w:t>
                  </w:r>
                </w:p>
              </w:tc>
            </w:tr>
          </w:tbl>
          <w:p w14:paraId="1B770F51">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eastAsia" w:ascii="Times New Roman" w:hAnsi="Times New Roman" w:eastAsia="宋体" w:cs="Times New Roman"/>
                <w:b/>
                <w:bCs/>
                <w:color w:val="auto"/>
                <w:kern w:val="0"/>
                <w:sz w:val="24"/>
                <w:szCs w:val="24"/>
                <w:highlight w:val="none"/>
                <w:lang w:val="en-US" w:eastAsia="zh-CN"/>
              </w:rPr>
            </w:pPr>
            <w:r>
              <w:rPr>
                <w:rFonts w:hint="default" w:ascii="Times New Roman" w:hAnsi="Times New Roman" w:eastAsia="宋体" w:cs="Times New Roman"/>
                <w:b w:val="0"/>
                <w:bCs w:val="0"/>
                <w:color w:val="auto"/>
                <w:kern w:val="0"/>
                <w:sz w:val="24"/>
                <w:szCs w:val="24"/>
                <w:highlight w:val="none"/>
                <w:lang w:val="en-US" w:eastAsia="zh-CN"/>
              </w:rPr>
              <w:t>因此，本项目的建设不违背</w:t>
            </w:r>
            <w:r>
              <w:rPr>
                <w:rFonts w:hint="eastAsia" w:ascii="Times New Roman" w:hAnsi="Times New Roman" w:eastAsia="宋体" w:cs="Times New Roman"/>
                <w:bCs/>
                <w:color w:val="auto"/>
                <w:spacing w:val="6"/>
                <w:kern w:val="2"/>
                <w:sz w:val="24"/>
                <w:highlight w:val="none"/>
                <w:lang w:val="en-US" w:eastAsia="zh-CN"/>
              </w:rPr>
              <w:t>《长治市辛安泉饮用水水源地保护条例》</w:t>
            </w:r>
            <w:r>
              <w:rPr>
                <w:rFonts w:hint="default" w:ascii="Times New Roman" w:hAnsi="Times New Roman" w:eastAsia="宋体" w:cs="Times New Roman"/>
                <w:bCs/>
                <w:color w:val="auto"/>
                <w:spacing w:val="6"/>
                <w:kern w:val="2"/>
                <w:sz w:val="24"/>
                <w:highlight w:val="none"/>
                <w:lang w:val="en-US" w:eastAsia="zh-CN"/>
              </w:rPr>
              <w:t>文中有关要求。</w:t>
            </w:r>
          </w:p>
          <w:p w14:paraId="7EB48376">
            <w:pPr>
              <w:keepNext w:val="0"/>
              <w:keepLines w:val="0"/>
              <w:pageBreakBefore w:val="0"/>
              <w:widowControl w:val="0"/>
              <w:kinsoku/>
              <w:wordWrap/>
              <w:overflowPunct/>
              <w:topLinePunct w:val="0"/>
              <w:autoSpaceDE w:val="0"/>
              <w:autoSpaceDN w:val="0"/>
              <w:bidi w:val="0"/>
              <w:adjustRightInd w:val="0"/>
              <w:snapToGrid w:val="0"/>
              <w:spacing w:line="480" w:lineRule="exact"/>
              <w:ind w:firstLine="482" w:firstLineChars="200"/>
              <w:jc w:val="left"/>
              <w:textAlignment w:val="auto"/>
              <w:rPr>
                <w:rFonts w:hint="default" w:ascii="Times New Roman" w:hAnsi="Times New Roman" w:eastAsia="宋体" w:cs="Times New Roman"/>
                <w:b/>
                <w:bCs/>
                <w:color w:val="auto"/>
                <w:kern w:val="0"/>
                <w:sz w:val="24"/>
                <w:szCs w:val="24"/>
                <w:highlight w:val="none"/>
                <w:lang w:val="en-US" w:eastAsia="zh-CN"/>
              </w:rPr>
            </w:pPr>
            <w:r>
              <w:rPr>
                <w:rFonts w:hint="eastAsia" w:cs="Times New Roman"/>
                <w:b/>
                <w:bCs/>
                <w:color w:val="auto"/>
                <w:kern w:val="0"/>
                <w:sz w:val="24"/>
                <w:szCs w:val="24"/>
                <w:highlight w:val="none"/>
                <w:lang w:val="en-US" w:eastAsia="zh-CN"/>
              </w:rPr>
              <w:t>1.3.2</w:t>
            </w:r>
            <w:r>
              <w:rPr>
                <w:rFonts w:hint="default" w:ascii="Times New Roman" w:hAnsi="Times New Roman" w:eastAsia="宋体" w:cs="Times New Roman"/>
                <w:b/>
                <w:bCs/>
                <w:color w:val="auto"/>
                <w:kern w:val="0"/>
                <w:sz w:val="24"/>
                <w:szCs w:val="24"/>
                <w:highlight w:val="none"/>
                <w:lang w:val="en-US" w:eastAsia="zh-CN"/>
              </w:rPr>
              <w:t>与山西省生态环境保护委员会办公室关于印发《山西省深入推进扬尘污染防治工作方案》的通知（晋环委办函〔2022〕4号）符合性分析</w:t>
            </w:r>
          </w:p>
          <w:p w14:paraId="664849F5">
            <w:pPr>
              <w:keepNext w:val="0"/>
              <w:keepLines w:val="0"/>
              <w:pageBreakBefore w:val="0"/>
              <w:widowControl w:val="0"/>
              <w:kinsoku/>
              <w:wordWrap/>
              <w:overflowPunct/>
              <w:topLinePunct w:val="0"/>
              <w:autoSpaceDE/>
              <w:autoSpaceDN/>
              <w:bidi w:val="0"/>
              <w:adjustRightInd/>
              <w:snapToGrid/>
              <w:spacing w:before="0" w:after="0" w:line="480" w:lineRule="exact"/>
              <w:ind w:firstLine="0" w:firstLineChars="0"/>
              <w:jc w:val="center"/>
              <w:textAlignment w:val="baseline"/>
              <w:rPr>
                <w:rFonts w:hint="default" w:ascii="Times New Roman" w:hAnsi="Times New Roman" w:eastAsia="黑体" w:cs="Times New Roman"/>
                <w:iCs/>
                <w:snapToGrid w:val="0"/>
                <w:color w:val="auto"/>
                <w:kern w:val="0"/>
                <w:sz w:val="21"/>
                <w:szCs w:val="20"/>
                <w:highlight w:val="none"/>
                <w:lang w:val="en-US" w:eastAsia="zh-CN" w:bidi="ar-SA"/>
              </w:rPr>
            </w:pPr>
            <w:r>
              <w:rPr>
                <w:rFonts w:hint="default" w:ascii="Times New Roman" w:hAnsi="Times New Roman" w:eastAsia="黑体" w:cs="Times New Roman"/>
                <w:iCs/>
                <w:snapToGrid w:val="0"/>
                <w:color w:val="auto"/>
                <w:kern w:val="0"/>
                <w:sz w:val="21"/>
                <w:szCs w:val="20"/>
                <w:highlight w:val="none"/>
                <w:lang w:val="en-US" w:eastAsia="zh-CN" w:bidi="ar-SA"/>
              </w:rPr>
              <w:t xml:space="preserve">表 </w:t>
            </w:r>
            <w:r>
              <w:rPr>
                <w:rFonts w:hint="eastAsia" w:ascii="Times New Roman" w:hAnsi="Times New Roman" w:eastAsia="黑体" w:cs="Times New Roman"/>
                <w:iCs/>
                <w:snapToGrid w:val="0"/>
                <w:color w:val="auto"/>
                <w:kern w:val="0"/>
                <w:sz w:val="21"/>
                <w:szCs w:val="20"/>
                <w:highlight w:val="none"/>
                <w:lang w:val="en-US" w:eastAsia="zh-CN" w:bidi="ar-SA"/>
              </w:rPr>
              <w:t>1.</w:t>
            </w:r>
            <w:r>
              <w:rPr>
                <w:rFonts w:hint="eastAsia" w:eastAsia="黑体" w:cs="Times New Roman"/>
                <w:iCs/>
                <w:snapToGrid w:val="0"/>
                <w:color w:val="auto"/>
                <w:kern w:val="0"/>
                <w:sz w:val="21"/>
                <w:szCs w:val="20"/>
                <w:highlight w:val="none"/>
                <w:lang w:val="en-US" w:eastAsia="zh-CN" w:bidi="ar-SA"/>
              </w:rPr>
              <w:t>3</w:t>
            </w:r>
            <w:r>
              <w:rPr>
                <w:rFonts w:hint="eastAsia" w:ascii="Times New Roman" w:hAnsi="Times New Roman" w:eastAsia="黑体" w:cs="Times New Roman"/>
                <w:iCs/>
                <w:snapToGrid w:val="0"/>
                <w:color w:val="auto"/>
                <w:kern w:val="0"/>
                <w:sz w:val="21"/>
                <w:szCs w:val="20"/>
                <w:highlight w:val="none"/>
                <w:lang w:val="en-US" w:eastAsia="zh-CN" w:bidi="ar-SA"/>
              </w:rPr>
              <w:t>-2</w:t>
            </w:r>
            <w:r>
              <w:rPr>
                <w:rFonts w:hint="default" w:ascii="Times New Roman" w:hAnsi="Times New Roman" w:eastAsia="黑体" w:cs="Times New Roman"/>
                <w:iCs/>
                <w:snapToGrid w:val="0"/>
                <w:color w:val="auto"/>
                <w:kern w:val="0"/>
                <w:sz w:val="21"/>
                <w:szCs w:val="20"/>
                <w:highlight w:val="none"/>
                <w:lang w:val="en-US" w:eastAsia="zh-CN" w:bidi="ar-SA"/>
              </w:rPr>
              <w:t xml:space="preserve"> </w:t>
            </w:r>
            <w:r>
              <w:rPr>
                <w:rFonts w:hint="eastAsia" w:ascii="Times New Roman" w:hAnsi="Times New Roman" w:eastAsia="黑体" w:cs="Times New Roman"/>
                <w:iCs/>
                <w:snapToGrid w:val="0"/>
                <w:color w:val="auto"/>
                <w:kern w:val="0"/>
                <w:sz w:val="21"/>
                <w:szCs w:val="20"/>
                <w:highlight w:val="none"/>
                <w:lang w:val="en-US" w:eastAsia="zh-CN" w:bidi="ar-SA"/>
              </w:rPr>
              <w:t xml:space="preserve"> </w:t>
            </w:r>
            <w:r>
              <w:rPr>
                <w:rFonts w:hint="default" w:ascii="Times New Roman" w:hAnsi="Times New Roman" w:eastAsia="黑体" w:cs="Times New Roman"/>
                <w:iCs/>
                <w:snapToGrid w:val="0"/>
                <w:color w:val="auto"/>
                <w:kern w:val="0"/>
                <w:sz w:val="21"/>
                <w:szCs w:val="20"/>
                <w:highlight w:val="none"/>
                <w:lang w:val="en-US" w:eastAsia="zh-CN" w:bidi="ar-SA"/>
              </w:rPr>
              <w:t>与《山西省深入推进扬尘污染防治工作方案》符合性分析</w:t>
            </w:r>
          </w:p>
          <w:tbl>
            <w:tblPr>
              <w:tblStyle w:val="26"/>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5"/>
              <w:gridCol w:w="4160"/>
              <w:gridCol w:w="1845"/>
              <w:gridCol w:w="884"/>
            </w:tblGrid>
            <w:tr w14:paraId="635DA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410" w:type="pct"/>
                  <w:noWrap w:val="0"/>
                  <w:vAlign w:val="center"/>
                </w:tcPr>
                <w:p w14:paraId="1A043D8E">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cs="Times New Roman"/>
                      <w:color w:val="auto"/>
                      <w:kern w:val="0"/>
                      <w:sz w:val="21"/>
                      <w:szCs w:val="21"/>
                      <w:highlight w:val="none"/>
                      <w:lang w:val="en-US" w:eastAsia="zh-CN"/>
                    </w:rPr>
                    <w:t>序号</w:t>
                  </w:r>
                </w:p>
              </w:tc>
              <w:tc>
                <w:tcPr>
                  <w:tcW w:w="2771" w:type="pct"/>
                  <w:noWrap w:val="0"/>
                  <w:vAlign w:val="center"/>
                </w:tcPr>
                <w:p w14:paraId="5006186D">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要求</w:t>
                  </w:r>
                </w:p>
              </w:tc>
              <w:tc>
                <w:tcPr>
                  <w:tcW w:w="1229" w:type="pct"/>
                  <w:noWrap w:val="0"/>
                  <w:vAlign w:val="center"/>
                </w:tcPr>
                <w:p w14:paraId="62ABDA5F">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本项目具体情况</w:t>
                  </w:r>
                </w:p>
              </w:tc>
              <w:tc>
                <w:tcPr>
                  <w:tcW w:w="589" w:type="pct"/>
                  <w:noWrap w:val="0"/>
                  <w:vAlign w:val="center"/>
                </w:tcPr>
                <w:p w14:paraId="33C56170">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eastAsia="宋体" w:cs="Times New Roman"/>
                      <w:b w:val="0"/>
                      <w:bCs/>
                      <w:color w:val="auto"/>
                      <w:sz w:val="21"/>
                      <w:szCs w:val="21"/>
                    </w:rPr>
                    <w:t>符合性</w:t>
                  </w:r>
                </w:p>
              </w:tc>
            </w:tr>
            <w:tr w14:paraId="4865A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410" w:type="pct"/>
                  <w:noWrap w:val="0"/>
                  <w:vAlign w:val="center"/>
                </w:tcPr>
                <w:p w14:paraId="04838422">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cs="Times New Roman"/>
                      <w:color w:val="auto"/>
                      <w:kern w:val="0"/>
                      <w:sz w:val="21"/>
                      <w:szCs w:val="21"/>
                      <w:highlight w:val="none"/>
                      <w:lang w:val="en-US" w:eastAsia="zh-CN"/>
                    </w:rPr>
                    <w:t>1</w:t>
                  </w:r>
                </w:p>
              </w:tc>
              <w:tc>
                <w:tcPr>
                  <w:tcW w:w="2771" w:type="pct"/>
                  <w:noWrap w:val="0"/>
                  <w:vAlign w:val="center"/>
                </w:tcPr>
                <w:p w14:paraId="5AE1E330">
                  <w:pPr>
                    <w:pStyle w:val="5"/>
                    <w:keepNext w:val="0"/>
                    <w:keepLines w:val="0"/>
                    <w:pageBreakBefore w:val="0"/>
                    <w:widowControl w:val="0"/>
                    <w:kinsoku/>
                    <w:wordWrap/>
                    <w:overflowPunct/>
                    <w:topLinePunct w:val="0"/>
                    <w:bidi w:val="0"/>
                    <w:spacing w:line="300" w:lineRule="exact"/>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深入开展工业企业无组织排放治理，开展钢铁、水泥、建材、有色、火电、焦化、铸造等重点行业及燃煤锅炉无组织排放排查，建立管理台账，对物料（含废渣）运输、装卸、储存、转移和工艺过程等无组织排放实施深度治理。易产生扬尘的粉状、粒状物料及燃料应当密闭储存，运输采用密闭皮带、封闭通廊、管状带式输送机或密闭车厢、真空罐车、气力输送等密闭运输方式。厂区料场路面应实施硬化，出入口应配备车轮、车身清洗装置或者采取其他控制措施。装卸过程中，应配备除尘设施，同时采取洒水</w:t>
                  </w:r>
                  <w:r>
                    <w:rPr>
                      <w:rFonts w:hint="eastAsia" w:ascii="Times New Roman" w:hAnsi="Times New Roman" w:cs="Times New Roman"/>
                      <w:color w:val="auto"/>
                      <w:sz w:val="21"/>
                      <w:szCs w:val="21"/>
                      <w:highlight w:val="none"/>
                      <w:lang w:val="en-US" w:eastAsia="zh-CN"/>
                    </w:rPr>
                    <w:t>喷枪</w:t>
                  </w:r>
                  <w:r>
                    <w:rPr>
                      <w:rFonts w:hint="default" w:ascii="Times New Roman" w:hAnsi="Times New Roman" w:cs="Times New Roman"/>
                      <w:color w:val="auto"/>
                      <w:sz w:val="21"/>
                      <w:szCs w:val="21"/>
                      <w:highlight w:val="none"/>
                      <w:lang w:val="en-US" w:eastAsia="zh-CN"/>
                    </w:rPr>
                    <w:t>措施。物料储存应采用入棚、入仓储存，并设有洒水、</w:t>
                  </w:r>
                  <w:r>
                    <w:rPr>
                      <w:rFonts w:hint="eastAsia" w:ascii="Times New Roman" w:hAnsi="Times New Roman" w:cs="Times New Roman"/>
                      <w:color w:val="auto"/>
                      <w:sz w:val="21"/>
                      <w:szCs w:val="21"/>
                      <w:highlight w:val="none"/>
                      <w:lang w:val="en-US" w:eastAsia="zh-CN"/>
                    </w:rPr>
                    <w:t>喷枪</w:t>
                  </w:r>
                  <w:r>
                    <w:rPr>
                      <w:rFonts w:hint="default" w:ascii="Times New Roman" w:hAnsi="Times New Roman" w:cs="Times New Roman"/>
                      <w:color w:val="auto"/>
                      <w:sz w:val="21"/>
                      <w:szCs w:val="21"/>
                      <w:highlight w:val="none"/>
                      <w:lang w:val="en-US" w:eastAsia="zh-CN"/>
                    </w:rPr>
                    <w:t>、苫盖等综合措施进行抑尘。工业企业生产过程中，上料系统应密闭运行，生产设备、废气收集、除尘收集系统应同步运行，确保废气有效收集，车间不可有可见烟尘外逸。上料系统、生产设备、废气收集系统或者污染治理设施发生故障或者检修时，应停止运转对应的生产工艺设备，待检修完毕后投入使用。</w:t>
                  </w:r>
                </w:p>
              </w:tc>
              <w:tc>
                <w:tcPr>
                  <w:tcW w:w="1229" w:type="pct"/>
                  <w:noWrap w:val="0"/>
                  <w:vAlign w:val="center"/>
                </w:tcPr>
                <w:p w14:paraId="357617DE">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firstLine="0" w:firstLineChars="0"/>
                    <w:jc w:val="both"/>
                    <w:textAlignment w:val="auto"/>
                    <w:rPr>
                      <w:rFonts w:hint="default" w:ascii="Times New Roman" w:hAnsi="Times New Roman" w:cs="Times New Roman"/>
                      <w:color w:val="auto"/>
                      <w:kern w:val="0"/>
                      <w:sz w:val="21"/>
                      <w:szCs w:val="21"/>
                      <w:highlight w:val="none"/>
                      <w:lang w:val="en-US"/>
                    </w:rPr>
                  </w:pPr>
                  <w:r>
                    <w:rPr>
                      <w:rFonts w:hint="default" w:ascii="Times New Roman" w:hAnsi="Times New Roman" w:cs="Times New Roman"/>
                      <w:color w:val="auto"/>
                      <w:kern w:val="0"/>
                      <w:sz w:val="21"/>
                      <w:szCs w:val="21"/>
                      <w:highlight w:val="none"/>
                      <w:lang w:val="en-US" w:eastAsia="zh-CN"/>
                    </w:rPr>
                    <w:t>本项目煤炭储存</w:t>
                  </w:r>
                  <w:r>
                    <w:rPr>
                      <w:rFonts w:hint="eastAsia" w:ascii="Times New Roman" w:hAnsi="Times New Roman" w:cs="Times New Roman"/>
                      <w:color w:val="auto"/>
                      <w:kern w:val="0"/>
                      <w:sz w:val="21"/>
                      <w:szCs w:val="21"/>
                      <w:highlight w:val="none"/>
                      <w:lang w:val="en-US" w:eastAsia="zh-CN"/>
                    </w:rPr>
                    <w:t>于</w:t>
                  </w:r>
                  <w:r>
                    <w:rPr>
                      <w:rFonts w:hint="default" w:ascii="Times New Roman" w:hAnsi="Times New Roman" w:cs="Times New Roman"/>
                      <w:color w:val="auto"/>
                      <w:kern w:val="0"/>
                      <w:sz w:val="21"/>
                      <w:szCs w:val="21"/>
                      <w:highlight w:val="none"/>
                      <w:lang w:val="en-US" w:eastAsia="zh-CN"/>
                    </w:rPr>
                    <w:t>全封闭</w:t>
                  </w:r>
                  <w:r>
                    <w:rPr>
                      <w:rFonts w:hint="eastAsia" w:cs="Times New Roman"/>
                      <w:color w:val="auto"/>
                      <w:kern w:val="0"/>
                      <w:sz w:val="21"/>
                      <w:szCs w:val="21"/>
                      <w:highlight w:val="none"/>
                      <w:lang w:val="en-US" w:eastAsia="zh-CN"/>
                    </w:rPr>
                    <w:t>筒仓</w:t>
                  </w:r>
                  <w:r>
                    <w:rPr>
                      <w:rFonts w:hint="default" w:ascii="Times New Roman" w:hAnsi="Times New Roman" w:cs="Times New Roman"/>
                      <w:color w:val="auto"/>
                      <w:kern w:val="0"/>
                      <w:sz w:val="21"/>
                      <w:szCs w:val="21"/>
                      <w:highlight w:val="none"/>
                      <w:lang w:val="en-US" w:eastAsia="zh-CN"/>
                    </w:rPr>
                    <w:t>内，并设有通风机排风及瓦斯检测探头装置</w:t>
                  </w:r>
                  <w:r>
                    <w:rPr>
                      <w:rFonts w:hint="eastAsia" w:cs="Times New Roman"/>
                      <w:color w:val="auto"/>
                      <w:kern w:val="0"/>
                      <w:sz w:val="21"/>
                      <w:szCs w:val="21"/>
                      <w:highlight w:val="none"/>
                      <w:lang w:val="en-US" w:eastAsia="zh-CN"/>
                    </w:rPr>
                    <w:t>，输送皮带转载点均设喷雾抑尘装置</w:t>
                  </w:r>
                  <w:r>
                    <w:rPr>
                      <w:rFonts w:hint="default" w:ascii="Times New Roman" w:hAnsi="Times New Roman" w:cs="Times New Roman"/>
                      <w:color w:val="auto"/>
                      <w:kern w:val="0"/>
                      <w:sz w:val="21"/>
                      <w:szCs w:val="21"/>
                      <w:highlight w:val="none"/>
                      <w:lang w:val="en-US" w:eastAsia="zh-CN"/>
                    </w:rPr>
                    <w:t>。</w:t>
                  </w:r>
                </w:p>
              </w:tc>
              <w:tc>
                <w:tcPr>
                  <w:tcW w:w="589" w:type="pct"/>
                  <w:noWrap w:val="0"/>
                  <w:vAlign w:val="center"/>
                </w:tcPr>
                <w:p w14:paraId="3791FCDC">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符合</w:t>
                  </w:r>
                </w:p>
              </w:tc>
            </w:tr>
            <w:tr w14:paraId="5BA20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410" w:type="pct"/>
                  <w:noWrap w:val="0"/>
                  <w:vAlign w:val="center"/>
                </w:tcPr>
                <w:p w14:paraId="2325BEDF">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cs="Times New Roman"/>
                      <w:color w:val="auto"/>
                      <w:kern w:val="0"/>
                      <w:sz w:val="21"/>
                      <w:szCs w:val="21"/>
                      <w:highlight w:val="none"/>
                      <w:lang w:val="en-US" w:eastAsia="zh-CN"/>
                    </w:rPr>
                    <w:t>2</w:t>
                  </w:r>
                </w:p>
              </w:tc>
              <w:tc>
                <w:tcPr>
                  <w:tcW w:w="2771" w:type="pct"/>
                  <w:noWrap w:val="0"/>
                  <w:vAlign w:val="center"/>
                </w:tcPr>
                <w:p w14:paraId="740AA8CE">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firstLine="0" w:firstLineChars="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严格落实建筑施工扬尘“六个百分之百”，将防治扬尘污染费用纳入工程造价，规模以上施工工地安装视频监控设施，并接入当地监管平台。各类土石方开挖施工，必须采取有效抑尘措施，确保不产生扬尘污染。</w:t>
                  </w:r>
                </w:p>
              </w:tc>
              <w:tc>
                <w:tcPr>
                  <w:tcW w:w="1229" w:type="pct"/>
                  <w:noWrap w:val="0"/>
                  <w:vAlign w:val="center"/>
                </w:tcPr>
                <w:p w14:paraId="3971CD1E">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firstLine="0" w:firstLineChars="0"/>
                    <w:jc w:val="both"/>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rPr>
                    <w:t>施工前</w:t>
                  </w:r>
                  <w:r>
                    <w:rPr>
                      <w:rFonts w:hint="default" w:ascii="Times New Roman" w:hAnsi="Times New Roman" w:eastAsia="宋体" w:cs="Times New Roman"/>
                      <w:color w:val="auto"/>
                      <w:kern w:val="0"/>
                      <w:sz w:val="21"/>
                      <w:szCs w:val="21"/>
                      <w:highlight w:val="none"/>
                    </w:rPr>
                    <w:t>严格落实建筑施工工地“</w:t>
                  </w:r>
                  <w:r>
                    <w:rPr>
                      <w:rFonts w:hint="default" w:ascii="Times New Roman" w:hAnsi="Times New Roman" w:eastAsia="宋体" w:cs="Times New Roman"/>
                      <w:color w:val="auto"/>
                      <w:kern w:val="0"/>
                      <w:sz w:val="21"/>
                      <w:szCs w:val="21"/>
                      <w:highlight w:val="none"/>
                      <w:lang w:val="en-US" w:eastAsia="zh-CN"/>
                    </w:rPr>
                    <w:t>六</w:t>
                  </w:r>
                  <w:r>
                    <w:rPr>
                      <w:rFonts w:hint="default" w:ascii="Times New Roman" w:hAnsi="Times New Roman" w:eastAsia="宋体" w:cs="Times New Roman"/>
                      <w:color w:val="auto"/>
                      <w:kern w:val="0"/>
                      <w:sz w:val="21"/>
                      <w:szCs w:val="21"/>
                      <w:highlight w:val="none"/>
                    </w:rPr>
                    <w:t>个百分百”</w:t>
                  </w:r>
                  <w:r>
                    <w:rPr>
                      <w:rFonts w:hint="default" w:ascii="Times New Roman" w:hAnsi="Times New Roman" w:eastAsia="宋体" w:cs="Times New Roman"/>
                      <w:color w:val="auto"/>
                      <w:kern w:val="0"/>
                      <w:sz w:val="21"/>
                      <w:szCs w:val="21"/>
                      <w:highlight w:val="none"/>
                      <w:lang w:val="en-US" w:eastAsia="zh-CN"/>
                    </w:rPr>
                    <w:t>管控措施</w:t>
                  </w:r>
                  <w:r>
                    <w:rPr>
                      <w:rFonts w:hint="default" w:ascii="Times New Roman" w:hAnsi="Times New Roman" w:eastAsia="宋体" w:cs="Times New Roman"/>
                      <w:color w:val="auto"/>
                      <w:kern w:val="0"/>
                      <w:sz w:val="21"/>
                      <w:szCs w:val="21"/>
                      <w:highlight w:val="none"/>
                    </w:rPr>
                    <w:t>。</w:t>
                  </w:r>
                </w:p>
                <w:p w14:paraId="02058756">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firstLine="0" w:firstLineChars="0"/>
                    <w:jc w:val="both"/>
                    <w:textAlignment w:val="auto"/>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rPr>
                    <w:t>道路运输严格按照规定路线行驶，厂区道路硬化，厂区与周边道路连接路段路面硬化。</w:t>
                  </w:r>
                </w:p>
              </w:tc>
              <w:tc>
                <w:tcPr>
                  <w:tcW w:w="589" w:type="pct"/>
                  <w:noWrap w:val="0"/>
                  <w:vAlign w:val="center"/>
                </w:tcPr>
                <w:p w14:paraId="73BAD1FD">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符合</w:t>
                  </w:r>
                </w:p>
              </w:tc>
            </w:tr>
            <w:tr w14:paraId="52E8E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410" w:type="pct"/>
                  <w:noWrap w:val="0"/>
                  <w:vAlign w:val="center"/>
                </w:tcPr>
                <w:p w14:paraId="7EBB1019">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cs="Times New Roman"/>
                      <w:color w:val="auto"/>
                      <w:kern w:val="0"/>
                      <w:sz w:val="21"/>
                      <w:szCs w:val="21"/>
                      <w:highlight w:val="none"/>
                      <w:lang w:val="en-US" w:eastAsia="zh-CN"/>
                    </w:rPr>
                    <w:t>3</w:t>
                  </w:r>
                </w:p>
              </w:tc>
              <w:tc>
                <w:tcPr>
                  <w:tcW w:w="2771" w:type="pct"/>
                  <w:noWrap w:val="0"/>
                  <w:vAlign w:val="center"/>
                </w:tcPr>
                <w:p w14:paraId="08C7F1DE">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firstLine="0" w:firstLineChars="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强化散装物料运输源头监管。督促货运源头单位采取密闭或其他措施防止出场(厂)车辆发生遗撒。严禁未采取有效封闭措施货车出场(厂)。运输渣土、土方、砂石、垃圾、灰浆、煤炭等散装、流体物料的车辆，应当采取密闭措施，按照规定安装卫星定位装置，并按照规定的路线、时间行驶，在运输过程中不得遗撒、泄漏物料。加强对重点区域(路段)、重点时段、重点对象的执法检查,严查未有效密闭运输车辆</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依法重处违法装载行为。</w:t>
                  </w:r>
                </w:p>
              </w:tc>
              <w:tc>
                <w:tcPr>
                  <w:tcW w:w="1229" w:type="pct"/>
                  <w:noWrap w:val="0"/>
                  <w:vAlign w:val="center"/>
                </w:tcPr>
                <w:p w14:paraId="7EA317B8">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firstLine="0" w:firstLineChars="0"/>
                    <w:jc w:val="both"/>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highlight w:val="none"/>
                      <w:lang w:val="en-US" w:eastAsia="zh-CN"/>
                    </w:rPr>
                    <w:t>本项目原煤由煤矿井下全封闭皮带输送，末煤由仓下全封闭皮带输送至铁路装车站</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不涉及汽车运输。</w:t>
                  </w:r>
                </w:p>
              </w:tc>
              <w:tc>
                <w:tcPr>
                  <w:tcW w:w="589" w:type="pct"/>
                  <w:noWrap w:val="0"/>
                  <w:vAlign w:val="center"/>
                </w:tcPr>
                <w:p w14:paraId="0D353ECB">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符合</w:t>
                  </w:r>
                </w:p>
              </w:tc>
            </w:tr>
            <w:tr w14:paraId="3F0EA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410" w:type="pct"/>
                  <w:noWrap w:val="0"/>
                  <w:vAlign w:val="center"/>
                </w:tcPr>
                <w:p w14:paraId="7B629A40">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firstLine="0" w:firstLineChars="0"/>
                    <w:jc w:val="center"/>
                    <w:textAlignment w:val="auto"/>
                    <w:rPr>
                      <w:rFonts w:hint="default" w:ascii="Times New Roman" w:hAnsi="Times New Roman"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4</w:t>
                  </w:r>
                </w:p>
              </w:tc>
              <w:tc>
                <w:tcPr>
                  <w:tcW w:w="2771" w:type="pct"/>
                  <w:noWrap w:val="0"/>
                  <w:vAlign w:val="center"/>
                </w:tcPr>
                <w:p w14:paraId="7CC60F98">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firstLine="0" w:firstLineChars="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工业企业堆场料场要建立防止扬尘的责任制度和记录</w:t>
                  </w:r>
                  <w:r>
                    <w:rPr>
                      <w:rFonts w:hint="eastAsia" w:cs="Times New Roman"/>
                      <w:color w:val="auto"/>
                      <w:sz w:val="21"/>
                      <w:szCs w:val="21"/>
                      <w:highlight w:val="none"/>
                      <w:lang w:eastAsia="zh-CN"/>
                    </w:rPr>
                    <w:t>台账</w:t>
                  </w:r>
                  <w:r>
                    <w:rPr>
                      <w:rFonts w:hint="default" w:ascii="Times New Roman" w:hAnsi="Times New Roman" w:cs="Times New Roman"/>
                      <w:color w:val="auto"/>
                      <w:sz w:val="21"/>
                      <w:szCs w:val="21"/>
                      <w:highlight w:val="none"/>
                    </w:rPr>
                    <w:t>。粉末状的物料全部存入封闭式料库或料仓；颗粒状的物料全部入棚，暂时无法入棚的必须规范堆放，进行全覆盖，并采取洒水或者防风抑尘网等措施减少扬尘污染；块状的物料全部覆盖，暂时无法覆盖的必须规范堆放，并采取洒水或者防风抑尘网等措施减少扬尘污染。露天矿山、垃圾填埋场、建筑垃圾消纳场等应采取苫盖、</w:t>
                  </w:r>
                  <w:r>
                    <w:rPr>
                      <w:rFonts w:hint="eastAsia" w:ascii="Times New Roman" w:hAnsi="Times New Roman" w:cs="Times New Roman"/>
                      <w:color w:val="auto"/>
                      <w:sz w:val="21"/>
                      <w:szCs w:val="21"/>
                      <w:highlight w:val="none"/>
                      <w:lang w:eastAsia="zh-CN"/>
                    </w:rPr>
                    <w:t>喷枪</w:t>
                  </w:r>
                  <w:r>
                    <w:rPr>
                      <w:rFonts w:hint="default" w:ascii="Times New Roman" w:hAnsi="Times New Roman" w:cs="Times New Roman"/>
                      <w:color w:val="auto"/>
                      <w:sz w:val="21"/>
                      <w:szCs w:val="21"/>
                      <w:highlight w:val="none"/>
                    </w:rPr>
                    <w:t>、道路硬化等防治扬尘污染措施，设置车辆清洗设施。</w:t>
                  </w:r>
                </w:p>
              </w:tc>
              <w:tc>
                <w:tcPr>
                  <w:tcW w:w="1229" w:type="pct"/>
                  <w:noWrap w:val="0"/>
                  <w:vAlign w:val="center"/>
                </w:tcPr>
                <w:p w14:paraId="7F84EE45">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firstLine="0" w:firstLineChars="0"/>
                    <w:jc w:val="both"/>
                    <w:textAlignment w:val="auto"/>
                    <w:rPr>
                      <w:rFonts w:hint="default" w:ascii="Times New Roman" w:hAnsi="Times New Roman" w:cs="Times New Roman"/>
                      <w:color w:val="auto"/>
                      <w:kern w:val="0"/>
                      <w:sz w:val="21"/>
                      <w:szCs w:val="21"/>
                      <w:highlight w:val="none"/>
                      <w:lang w:val="en-US"/>
                    </w:rPr>
                  </w:pPr>
                  <w:r>
                    <w:rPr>
                      <w:rFonts w:hint="default" w:ascii="Times New Roman" w:hAnsi="Times New Roman" w:cs="Times New Roman"/>
                      <w:color w:val="auto"/>
                      <w:kern w:val="0"/>
                      <w:sz w:val="21"/>
                      <w:szCs w:val="21"/>
                      <w:highlight w:val="none"/>
                      <w:lang w:val="en-US" w:eastAsia="zh-CN"/>
                    </w:rPr>
                    <w:t>本项目煤炭储存</w:t>
                  </w:r>
                  <w:r>
                    <w:rPr>
                      <w:rFonts w:hint="eastAsia" w:ascii="Times New Roman" w:hAnsi="Times New Roman" w:cs="Times New Roman"/>
                      <w:color w:val="auto"/>
                      <w:kern w:val="0"/>
                      <w:sz w:val="21"/>
                      <w:szCs w:val="21"/>
                      <w:highlight w:val="none"/>
                      <w:lang w:val="en-US" w:eastAsia="zh-CN"/>
                    </w:rPr>
                    <w:t>于</w:t>
                  </w:r>
                  <w:r>
                    <w:rPr>
                      <w:rFonts w:hint="default" w:ascii="Times New Roman" w:hAnsi="Times New Roman" w:cs="Times New Roman"/>
                      <w:color w:val="auto"/>
                      <w:kern w:val="0"/>
                      <w:sz w:val="21"/>
                      <w:szCs w:val="21"/>
                      <w:highlight w:val="none"/>
                      <w:lang w:val="en-US" w:eastAsia="zh-CN"/>
                    </w:rPr>
                    <w:t>全封闭</w:t>
                  </w:r>
                  <w:r>
                    <w:rPr>
                      <w:rFonts w:hint="eastAsia" w:cs="Times New Roman"/>
                      <w:color w:val="auto"/>
                      <w:kern w:val="0"/>
                      <w:sz w:val="21"/>
                      <w:szCs w:val="21"/>
                      <w:highlight w:val="none"/>
                      <w:lang w:val="en-US" w:eastAsia="zh-CN"/>
                    </w:rPr>
                    <w:t>筒仓</w:t>
                  </w:r>
                  <w:r>
                    <w:rPr>
                      <w:rFonts w:hint="default" w:ascii="Times New Roman" w:hAnsi="Times New Roman" w:cs="Times New Roman"/>
                      <w:color w:val="auto"/>
                      <w:kern w:val="0"/>
                      <w:sz w:val="21"/>
                      <w:szCs w:val="21"/>
                      <w:highlight w:val="none"/>
                      <w:lang w:val="en-US" w:eastAsia="zh-CN"/>
                    </w:rPr>
                    <w:t>内，</w:t>
                  </w:r>
                  <w:r>
                    <w:rPr>
                      <w:rFonts w:hint="eastAsia" w:ascii="Times New Roman" w:hAnsi="Times New Roman" w:cs="Times New Roman"/>
                      <w:color w:val="auto"/>
                      <w:spacing w:val="0"/>
                      <w:lang w:val="en-US" w:eastAsia="zh-CN"/>
                    </w:rPr>
                    <w:t>并设有通风机排风及瓦斯检测探头装置，</w:t>
                  </w:r>
                  <w:r>
                    <w:rPr>
                      <w:rFonts w:hint="eastAsia" w:cs="Times New Roman"/>
                      <w:color w:val="auto"/>
                      <w:kern w:val="0"/>
                      <w:sz w:val="21"/>
                      <w:szCs w:val="21"/>
                      <w:highlight w:val="none"/>
                      <w:lang w:val="en-US" w:eastAsia="zh-CN"/>
                    </w:rPr>
                    <w:t>输送皮带转载点均设喷雾抑尘装置</w:t>
                  </w:r>
                  <w:r>
                    <w:rPr>
                      <w:rFonts w:hint="default" w:ascii="Times New Roman" w:hAnsi="Times New Roman" w:cs="Times New Roman"/>
                      <w:color w:val="auto"/>
                      <w:kern w:val="0"/>
                      <w:sz w:val="21"/>
                      <w:szCs w:val="21"/>
                      <w:highlight w:val="none"/>
                      <w:lang w:val="en-US" w:eastAsia="zh-CN"/>
                    </w:rPr>
                    <w:t>。</w:t>
                  </w:r>
                </w:p>
              </w:tc>
              <w:tc>
                <w:tcPr>
                  <w:tcW w:w="589" w:type="pct"/>
                  <w:noWrap w:val="0"/>
                  <w:vAlign w:val="center"/>
                </w:tcPr>
                <w:p w14:paraId="2EFA3720">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符合</w:t>
                  </w:r>
                </w:p>
              </w:tc>
            </w:tr>
          </w:tbl>
          <w:p w14:paraId="1DB68B45">
            <w:pPr>
              <w:spacing w:line="480" w:lineRule="atLeast"/>
              <w:ind w:firstLine="506" w:firstLineChars="200"/>
              <w:rPr>
                <w:rFonts w:hint="eastAsia" w:cs="Times New Roman"/>
                <w:b/>
                <w:bCs w:val="0"/>
                <w:color w:val="auto"/>
                <w:spacing w:val="6"/>
                <w:kern w:val="2"/>
                <w:sz w:val="24"/>
                <w:highlight w:val="none"/>
                <w:lang w:val="en-US" w:eastAsia="zh-CN"/>
              </w:rPr>
            </w:pPr>
            <w:r>
              <w:rPr>
                <w:rFonts w:hint="eastAsia" w:cs="Times New Roman"/>
                <w:b/>
                <w:bCs w:val="0"/>
                <w:color w:val="auto"/>
                <w:spacing w:val="6"/>
                <w:kern w:val="2"/>
                <w:sz w:val="24"/>
                <w:highlight w:val="none"/>
                <w:lang w:val="en-US" w:eastAsia="zh-CN"/>
              </w:rPr>
              <w:t>1</w:t>
            </w:r>
            <w:r>
              <w:rPr>
                <w:rFonts w:hint="eastAsia" w:ascii="Times New Roman" w:hAnsi="Times New Roman" w:eastAsia="宋体" w:cs="Times New Roman"/>
                <w:b/>
                <w:bCs w:val="0"/>
                <w:color w:val="auto"/>
                <w:spacing w:val="6"/>
                <w:kern w:val="2"/>
                <w:sz w:val="24"/>
                <w:highlight w:val="none"/>
                <w:lang w:val="en-US" w:eastAsia="zh-CN"/>
              </w:rPr>
              <w:t>.</w:t>
            </w:r>
            <w:r>
              <w:rPr>
                <w:rFonts w:hint="eastAsia" w:cs="Times New Roman"/>
                <w:b/>
                <w:bCs w:val="0"/>
                <w:color w:val="auto"/>
                <w:spacing w:val="6"/>
                <w:kern w:val="2"/>
                <w:sz w:val="24"/>
                <w:highlight w:val="none"/>
                <w:lang w:val="en-US" w:eastAsia="zh-CN"/>
              </w:rPr>
              <w:t>3.3与辛安泉域影响分析</w:t>
            </w:r>
          </w:p>
          <w:p w14:paraId="683FC029">
            <w:pPr>
              <w:keepNext w:val="0"/>
              <w:keepLines w:val="0"/>
              <w:pageBreakBefore w:val="0"/>
              <w:widowControl w:val="0"/>
              <w:kinsoku/>
              <w:wordWrap/>
              <w:overflowPunct/>
              <w:topLinePunct w:val="0"/>
              <w:autoSpaceDE w:val="0"/>
              <w:autoSpaceDN w:val="0"/>
              <w:bidi w:val="0"/>
              <w:adjustRightInd w:val="0"/>
              <w:snapToGrid w:val="0"/>
              <w:spacing w:line="480" w:lineRule="exact"/>
              <w:ind w:firstLine="504" w:firstLineChars="200"/>
              <w:jc w:val="both"/>
              <w:textAlignment w:val="auto"/>
              <w:rPr>
                <w:rFonts w:hint="default" w:ascii="Times New Roman" w:hAnsi="Times New Roman" w:eastAsia="宋体" w:cs="Times New Roman"/>
                <w:bCs/>
                <w:color w:val="auto"/>
                <w:spacing w:val="6"/>
                <w:kern w:val="2"/>
                <w:sz w:val="24"/>
                <w:highlight w:val="none"/>
                <w:lang w:val="en-US" w:eastAsia="zh-CN"/>
              </w:rPr>
            </w:pPr>
            <w:r>
              <w:rPr>
                <w:rFonts w:hint="default" w:ascii="Times New Roman" w:hAnsi="Times New Roman" w:eastAsia="宋体" w:cs="Times New Roman"/>
                <w:bCs/>
                <w:color w:val="auto"/>
                <w:spacing w:val="6"/>
                <w:kern w:val="2"/>
                <w:sz w:val="24"/>
                <w:highlight w:val="none"/>
                <w:lang w:val="en-US" w:eastAsia="zh-CN"/>
              </w:rPr>
              <w:t>辛安泉域位于山西省东南部，区域面积主要为长治市大部分地区和晋中地区榆社县。它作为长治市、潞城市城市生活用水的主要来源，是我省第二大岩溶泉群。该泉群出露于长治市东北约30公里的潞城、黎城和平顺县交界的浊漳河河谷之中，泉水沿河谷分散出流，分布于自西流至北耽车，长约15公里的河谷地带，出露高程600～643m，出露地层为奥陶系中统。泉域多年平均流量为11.9m</w:t>
            </w:r>
            <w:r>
              <w:rPr>
                <w:rFonts w:hint="default" w:ascii="Times New Roman" w:hAnsi="Times New Roman" w:eastAsia="宋体" w:cs="Times New Roman"/>
                <w:bCs/>
                <w:color w:val="auto"/>
                <w:spacing w:val="6"/>
                <w:kern w:val="2"/>
                <w:sz w:val="24"/>
                <w:highlight w:val="none"/>
                <w:vertAlign w:val="superscript"/>
                <w:lang w:val="en-US" w:eastAsia="zh-CN"/>
              </w:rPr>
              <w:t>3</w:t>
            </w:r>
            <w:r>
              <w:rPr>
                <w:rFonts w:hint="default" w:ascii="Times New Roman" w:hAnsi="Times New Roman" w:eastAsia="宋体" w:cs="Times New Roman"/>
                <w:bCs/>
                <w:color w:val="auto"/>
                <w:spacing w:val="6"/>
                <w:kern w:val="2"/>
                <w:sz w:val="24"/>
                <w:highlight w:val="none"/>
                <w:lang w:val="en-US" w:eastAsia="zh-CN"/>
              </w:rPr>
              <w:t>/s，受季节影响，浊漳河丰、枯水期水量变化相对较大。泉域总面积10950km</w:t>
            </w:r>
            <w:r>
              <w:rPr>
                <w:rFonts w:hint="default" w:ascii="Times New Roman" w:hAnsi="Times New Roman" w:eastAsia="宋体" w:cs="Times New Roman"/>
                <w:bCs/>
                <w:color w:val="auto"/>
                <w:spacing w:val="6"/>
                <w:kern w:val="2"/>
                <w:sz w:val="24"/>
                <w:highlight w:val="none"/>
                <w:vertAlign w:val="superscript"/>
                <w:lang w:val="en-US" w:eastAsia="zh-CN"/>
              </w:rPr>
              <w:t>2</w:t>
            </w:r>
            <w:r>
              <w:rPr>
                <w:rFonts w:hint="default" w:ascii="Times New Roman" w:hAnsi="Times New Roman" w:eastAsia="宋体" w:cs="Times New Roman"/>
                <w:bCs/>
                <w:color w:val="auto"/>
                <w:spacing w:val="6"/>
                <w:kern w:val="2"/>
                <w:sz w:val="24"/>
                <w:highlight w:val="none"/>
                <w:lang w:val="en-US" w:eastAsia="zh-CN"/>
              </w:rPr>
              <w:t>，其中碳酸盐岩裸露区面积2200km</w:t>
            </w:r>
            <w:r>
              <w:rPr>
                <w:rFonts w:hint="default" w:ascii="Times New Roman" w:hAnsi="Times New Roman" w:eastAsia="宋体" w:cs="Times New Roman"/>
                <w:bCs/>
                <w:color w:val="auto"/>
                <w:spacing w:val="6"/>
                <w:kern w:val="2"/>
                <w:sz w:val="24"/>
                <w:highlight w:val="none"/>
                <w:vertAlign w:val="superscript"/>
                <w:lang w:val="en-US" w:eastAsia="zh-CN"/>
              </w:rPr>
              <w:t>2</w:t>
            </w:r>
            <w:r>
              <w:rPr>
                <w:rFonts w:hint="default" w:ascii="Times New Roman" w:hAnsi="Times New Roman" w:eastAsia="宋体" w:cs="Times New Roman"/>
                <w:bCs/>
                <w:color w:val="auto"/>
                <w:spacing w:val="6"/>
                <w:kern w:val="2"/>
                <w:sz w:val="24"/>
                <w:highlight w:val="none"/>
                <w:lang w:val="en-US" w:eastAsia="zh-CN"/>
              </w:rPr>
              <w:t>，覆盖、埋藏区8750km</w:t>
            </w:r>
            <w:r>
              <w:rPr>
                <w:rFonts w:hint="default" w:ascii="Times New Roman" w:hAnsi="Times New Roman" w:eastAsia="宋体" w:cs="Times New Roman"/>
                <w:bCs/>
                <w:color w:val="auto"/>
                <w:spacing w:val="6"/>
                <w:kern w:val="2"/>
                <w:sz w:val="24"/>
                <w:highlight w:val="none"/>
                <w:vertAlign w:val="superscript"/>
                <w:lang w:val="en-US" w:eastAsia="zh-CN"/>
              </w:rPr>
              <w:t>2</w:t>
            </w:r>
            <w:r>
              <w:rPr>
                <w:rFonts w:hint="default" w:ascii="Times New Roman" w:hAnsi="Times New Roman" w:eastAsia="宋体" w:cs="Times New Roman"/>
                <w:bCs/>
                <w:color w:val="auto"/>
                <w:spacing w:val="6"/>
                <w:kern w:val="2"/>
                <w:sz w:val="24"/>
                <w:highlight w:val="none"/>
                <w:lang w:val="en-US" w:eastAsia="zh-CN"/>
              </w:rPr>
              <w:t>。</w:t>
            </w:r>
          </w:p>
          <w:p w14:paraId="3B3889E1">
            <w:pPr>
              <w:keepNext w:val="0"/>
              <w:keepLines w:val="0"/>
              <w:pageBreakBefore w:val="0"/>
              <w:widowControl w:val="0"/>
              <w:kinsoku/>
              <w:wordWrap/>
              <w:overflowPunct/>
              <w:topLinePunct w:val="0"/>
              <w:autoSpaceDE w:val="0"/>
              <w:autoSpaceDN w:val="0"/>
              <w:bidi w:val="0"/>
              <w:adjustRightInd w:val="0"/>
              <w:snapToGrid w:val="0"/>
              <w:spacing w:line="480" w:lineRule="exact"/>
              <w:ind w:firstLine="504" w:firstLineChars="200"/>
              <w:jc w:val="both"/>
              <w:textAlignment w:val="auto"/>
              <w:rPr>
                <w:rFonts w:hint="default" w:ascii="Times New Roman" w:hAnsi="Times New Roman" w:eastAsia="宋体" w:cs="Times New Roman"/>
                <w:bCs/>
                <w:color w:val="auto"/>
                <w:spacing w:val="6"/>
                <w:kern w:val="2"/>
                <w:sz w:val="24"/>
                <w:highlight w:val="none"/>
                <w:lang w:val="en-US" w:eastAsia="zh-CN"/>
              </w:rPr>
            </w:pPr>
            <w:r>
              <w:rPr>
                <w:rFonts w:hint="default" w:ascii="Times New Roman" w:hAnsi="Times New Roman" w:eastAsia="宋体" w:cs="Times New Roman"/>
                <w:bCs/>
                <w:color w:val="auto"/>
                <w:spacing w:val="6"/>
                <w:kern w:val="2"/>
                <w:sz w:val="24"/>
                <w:highlight w:val="none"/>
                <w:lang w:val="en-US" w:eastAsia="zh-CN"/>
              </w:rPr>
              <w:t>泉域边界：北界以浊漳河和汾河及沁河的地表水分岭为界。西界以沁县和沁源县的行政边界为界。南界以浊漳河和沁河及丹河的地表水分岭为界。东界以浊漳河与清漳河的地表水分岭和娘子关泉域为界。</w:t>
            </w:r>
          </w:p>
          <w:p w14:paraId="7B5BF462">
            <w:pPr>
              <w:keepNext w:val="0"/>
              <w:keepLines w:val="0"/>
              <w:pageBreakBefore w:val="0"/>
              <w:widowControl w:val="0"/>
              <w:kinsoku/>
              <w:wordWrap/>
              <w:overflowPunct/>
              <w:topLinePunct w:val="0"/>
              <w:autoSpaceDE w:val="0"/>
              <w:autoSpaceDN w:val="0"/>
              <w:bidi w:val="0"/>
              <w:adjustRightInd w:val="0"/>
              <w:snapToGrid w:val="0"/>
              <w:spacing w:line="480" w:lineRule="exact"/>
              <w:ind w:firstLine="504" w:firstLineChars="200"/>
              <w:jc w:val="both"/>
              <w:textAlignment w:val="auto"/>
              <w:rPr>
                <w:rFonts w:hint="default" w:ascii="Times New Roman" w:hAnsi="Times New Roman" w:eastAsia="宋体" w:cs="Times New Roman"/>
                <w:bCs/>
                <w:color w:val="auto"/>
                <w:spacing w:val="6"/>
                <w:kern w:val="2"/>
                <w:sz w:val="24"/>
                <w:highlight w:val="none"/>
                <w:lang w:val="en-US" w:eastAsia="zh-CN"/>
              </w:rPr>
            </w:pPr>
            <w:r>
              <w:rPr>
                <w:rFonts w:hint="default" w:ascii="Times New Roman" w:hAnsi="Times New Roman" w:eastAsia="宋体" w:cs="Times New Roman"/>
                <w:bCs/>
                <w:color w:val="auto"/>
                <w:spacing w:val="6"/>
                <w:kern w:val="2"/>
                <w:sz w:val="24"/>
                <w:highlight w:val="none"/>
                <w:lang w:val="en-US" w:eastAsia="zh-CN"/>
              </w:rPr>
              <w:t>泉域重点保护范围：</w:t>
            </w:r>
          </w:p>
          <w:p w14:paraId="75AB12DA">
            <w:pPr>
              <w:keepNext w:val="0"/>
              <w:keepLines w:val="0"/>
              <w:pageBreakBefore w:val="0"/>
              <w:widowControl w:val="0"/>
              <w:kinsoku/>
              <w:wordWrap/>
              <w:overflowPunct/>
              <w:topLinePunct w:val="0"/>
              <w:autoSpaceDE w:val="0"/>
              <w:autoSpaceDN w:val="0"/>
              <w:bidi w:val="0"/>
              <w:adjustRightInd w:val="0"/>
              <w:snapToGrid w:val="0"/>
              <w:spacing w:line="480" w:lineRule="exact"/>
              <w:ind w:firstLine="504" w:firstLineChars="200"/>
              <w:jc w:val="both"/>
              <w:textAlignment w:val="auto"/>
              <w:rPr>
                <w:rFonts w:hint="default" w:ascii="Times New Roman" w:hAnsi="Times New Roman" w:eastAsia="宋体" w:cs="Times New Roman"/>
                <w:bCs/>
                <w:color w:val="auto"/>
                <w:spacing w:val="6"/>
                <w:kern w:val="2"/>
                <w:sz w:val="24"/>
                <w:highlight w:val="none"/>
                <w:lang w:val="en-US" w:eastAsia="zh-CN"/>
              </w:rPr>
            </w:pPr>
            <w:r>
              <w:rPr>
                <w:rFonts w:hint="default" w:ascii="Times New Roman" w:hAnsi="Times New Roman" w:eastAsia="宋体" w:cs="Times New Roman"/>
                <w:bCs/>
                <w:color w:val="auto"/>
                <w:spacing w:val="6"/>
                <w:kern w:val="2"/>
                <w:sz w:val="24"/>
                <w:highlight w:val="none"/>
                <w:lang w:val="en-US" w:eastAsia="zh-CN"/>
              </w:rPr>
              <w:t>（1）泉水集中出露带：以浊漳河为轴线，北起黎城县南赵店桥，顺浊漳河谷向下游，至平顺县北耽车，包括河谷两岸地带；西起山西化肥厂排污渠道，两侧宽200m，至辛安桥下河道，面积48km</w:t>
            </w:r>
            <w:r>
              <w:rPr>
                <w:rFonts w:hint="default" w:ascii="Times New Roman" w:hAnsi="Times New Roman" w:eastAsia="宋体" w:cs="Times New Roman"/>
                <w:bCs/>
                <w:color w:val="auto"/>
                <w:spacing w:val="6"/>
                <w:kern w:val="2"/>
                <w:sz w:val="24"/>
                <w:highlight w:val="none"/>
                <w:vertAlign w:val="superscript"/>
                <w:lang w:val="en-US" w:eastAsia="zh-CN"/>
              </w:rPr>
              <w:t>2</w:t>
            </w:r>
            <w:r>
              <w:rPr>
                <w:rFonts w:hint="default" w:ascii="Times New Roman" w:hAnsi="Times New Roman" w:eastAsia="宋体" w:cs="Times New Roman"/>
                <w:bCs/>
                <w:color w:val="auto"/>
                <w:spacing w:val="6"/>
                <w:kern w:val="2"/>
                <w:sz w:val="24"/>
                <w:highlight w:val="none"/>
                <w:lang w:val="en-US" w:eastAsia="zh-CN"/>
              </w:rPr>
              <w:t>。</w:t>
            </w:r>
          </w:p>
          <w:p w14:paraId="535EC6D6">
            <w:pPr>
              <w:keepNext w:val="0"/>
              <w:keepLines w:val="0"/>
              <w:pageBreakBefore w:val="0"/>
              <w:widowControl w:val="0"/>
              <w:kinsoku/>
              <w:wordWrap/>
              <w:overflowPunct/>
              <w:topLinePunct w:val="0"/>
              <w:autoSpaceDE w:val="0"/>
              <w:autoSpaceDN w:val="0"/>
              <w:bidi w:val="0"/>
              <w:adjustRightInd w:val="0"/>
              <w:snapToGrid w:val="0"/>
              <w:spacing w:line="480" w:lineRule="exact"/>
              <w:ind w:firstLine="504" w:firstLineChars="200"/>
              <w:jc w:val="both"/>
              <w:textAlignment w:val="auto"/>
              <w:rPr>
                <w:rFonts w:hint="default" w:ascii="Times New Roman" w:hAnsi="Times New Roman" w:eastAsia="宋体" w:cs="Times New Roman"/>
                <w:bCs/>
                <w:color w:val="auto"/>
                <w:spacing w:val="6"/>
                <w:kern w:val="2"/>
                <w:sz w:val="24"/>
                <w:highlight w:val="none"/>
                <w:lang w:val="en-US" w:eastAsia="zh-CN"/>
              </w:rPr>
            </w:pPr>
            <w:r>
              <w:rPr>
                <w:rFonts w:hint="default" w:ascii="Times New Roman" w:hAnsi="Times New Roman" w:eastAsia="宋体" w:cs="Times New Roman"/>
                <w:bCs/>
                <w:color w:val="auto"/>
                <w:spacing w:val="6"/>
                <w:kern w:val="2"/>
                <w:sz w:val="24"/>
                <w:highlight w:val="none"/>
                <w:lang w:val="en-US" w:eastAsia="zh-CN"/>
              </w:rPr>
              <w:t>（2）文王山地垒渗漏段：自黄碾南铁路桥上游500m起，顺浊漳河南源主河道，左右两侧各500m，向下游至与浊漳河西源汇流处，面积18km</w:t>
            </w:r>
            <w:r>
              <w:rPr>
                <w:rFonts w:hint="default" w:ascii="Times New Roman" w:hAnsi="Times New Roman" w:eastAsia="宋体" w:cs="Times New Roman"/>
                <w:bCs/>
                <w:color w:val="auto"/>
                <w:spacing w:val="6"/>
                <w:kern w:val="2"/>
                <w:sz w:val="24"/>
                <w:highlight w:val="none"/>
                <w:vertAlign w:val="superscript"/>
                <w:lang w:val="en-US" w:eastAsia="zh-CN"/>
              </w:rPr>
              <w:t>2</w:t>
            </w:r>
            <w:r>
              <w:rPr>
                <w:rFonts w:hint="default" w:ascii="Times New Roman" w:hAnsi="Times New Roman" w:eastAsia="宋体" w:cs="Times New Roman"/>
                <w:bCs/>
                <w:color w:val="auto"/>
                <w:spacing w:val="6"/>
                <w:kern w:val="2"/>
                <w:sz w:val="24"/>
                <w:highlight w:val="none"/>
                <w:lang w:val="en-US" w:eastAsia="zh-CN"/>
              </w:rPr>
              <w:t>。两处合计面积66km</w:t>
            </w:r>
            <w:r>
              <w:rPr>
                <w:rFonts w:hint="default" w:ascii="Times New Roman" w:hAnsi="Times New Roman" w:eastAsia="宋体" w:cs="Times New Roman"/>
                <w:bCs/>
                <w:color w:val="auto"/>
                <w:spacing w:val="6"/>
                <w:kern w:val="2"/>
                <w:sz w:val="24"/>
                <w:highlight w:val="none"/>
                <w:vertAlign w:val="superscript"/>
                <w:lang w:val="en-US" w:eastAsia="zh-CN"/>
              </w:rPr>
              <w:t>2</w:t>
            </w:r>
            <w:r>
              <w:rPr>
                <w:rFonts w:hint="default" w:ascii="Times New Roman" w:hAnsi="Times New Roman" w:eastAsia="宋体" w:cs="Times New Roman"/>
                <w:bCs/>
                <w:color w:val="auto"/>
                <w:spacing w:val="6"/>
                <w:kern w:val="2"/>
                <w:sz w:val="24"/>
                <w:highlight w:val="none"/>
                <w:lang w:val="en-US" w:eastAsia="zh-CN"/>
              </w:rPr>
              <w:t>。</w:t>
            </w:r>
          </w:p>
          <w:p w14:paraId="6690A6F1">
            <w:pPr>
              <w:keepNext w:val="0"/>
              <w:keepLines w:val="0"/>
              <w:pageBreakBefore w:val="0"/>
              <w:widowControl w:val="0"/>
              <w:kinsoku/>
              <w:wordWrap/>
              <w:overflowPunct/>
              <w:topLinePunct w:val="0"/>
              <w:autoSpaceDE w:val="0"/>
              <w:autoSpaceDN w:val="0"/>
              <w:bidi w:val="0"/>
              <w:adjustRightInd w:val="0"/>
              <w:snapToGrid w:val="0"/>
              <w:spacing w:line="480" w:lineRule="exact"/>
              <w:ind w:firstLine="504" w:firstLineChars="200"/>
              <w:jc w:val="both"/>
              <w:textAlignment w:val="auto"/>
              <w:rPr>
                <w:rFonts w:hint="eastAsia" w:cs="Times New Roman"/>
                <w:b/>
                <w:bCs/>
                <w:color w:val="auto"/>
                <w:kern w:val="0"/>
                <w:sz w:val="24"/>
                <w:szCs w:val="24"/>
                <w:highlight w:val="none"/>
                <w:lang w:val="en-US" w:eastAsia="zh-CN"/>
              </w:rPr>
            </w:pPr>
            <w:r>
              <w:rPr>
                <w:rFonts w:hint="default" w:ascii="Times New Roman" w:hAnsi="Times New Roman" w:eastAsia="宋体" w:cs="Times New Roman"/>
                <w:bCs/>
                <w:color w:val="auto"/>
                <w:spacing w:val="6"/>
                <w:kern w:val="2"/>
                <w:sz w:val="24"/>
                <w:highlight w:val="none"/>
                <w:lang w:val="en-US" w:eastAsia="zh-CN"/>
              </w:rPr>
              <w:t>本项目厂址位于辛安泉域内，但不在泉域的重点保护范围之内。</w:t>
            </w:r>
          </w:p>
          <w:p w14:paraId="6FF2559E">
            <w:pPr>
              <w:keepNext w:val="0"/>
              <w:keepLines w:val="0"/>
              <w:pageBreakBefore w:val="0"/>
              <w:widowControl w:val="0"/>
              <w:kinsoku/>
              <w:wordWrap/>
              <w:overflowPunct/>
              <w:topLinePunct w:val="0"/>
              <w:autoSpaceDE w:val="0"/>
              <w:autoSpaceDN w:val="0"/>
              <w:bidi w:val="0"/>
              <w:adjustRightInd w:val="0"/>
              <w:snapToGrid w:val="0"/>
              <w:spacing w:line="480" w:lineRule="exact"/>
              <w:ind w:firstLine="482" w:firstLineChars="200"/>
              <w:jc w:val="both"/>
              <w:textAlignment w:val="auto"/>
              <w:rPr>
                <w:rFonts w:hint="default" w:ascii="Times New Roman" w:hAnsi="Times New Roman" w:eastAsia="宋体" w:cs="Times New Roman"/>
                <w:b/>
                <w:bCs/>
                <w:color w:val="auto"/>
                <w:kern w:val="0"/>
                <w:sz w:val="24"/>
                <w:szCs w:val="24"/>
                <w:highlight w:val="none"/>
                <w:lang w:eastAsia="zh-CN"/>
              </w:rPr>
            </w:pPr>
            <w:r>
              <w:rPr>
                <w:rFonts w:hint="eastAsia" w:cs="Times New Roman"/>
                <w:b/>
                <w:bCs/>
                <w:color w:val="auto"/>
                <w:kern w:val="0"/>
                <w:sz w:val="24"/>
                <w:szCs w:val="24"/>
                <w:highlight w:val="none"/>
                <w:lang w:val="en-US" w:eastAsia="zh-CN"/>
              </w:rPr>
              <w:t>1.3.4</w:t>
            </w:r>
            <w:r>
              <w:rPr>
                <w:rFonts w:hint="default" w:ascii="Times New Roman" w:hAnsi="Times New Roman" w:eastAsia="宋体" w:cs="Times New Roman"/>
                <w:b/>
                <w:bCs/>
                <w:color w:val="auto"/>
                <w:kern w:val="0"/>
                <w:sz w:val="24"/>
                <w:szCs w:val="24"/>
                <w:highlight w:val="none"/>
              </w:rPr>
              <w:t>与</w:t>
            </w:r>
            <w:r>
              <w:rPr>
                <w:rFonts w:hint="default" w:ascii="Times New Roman" w:hAnsi="Times New Roman" w:eastAsia="宋体" w:cs="Times New Roman"/>
                <w:b/>
                <w:bCs/>
                <w:color w:val="auto"/>
                <w:kern w:val="0"/>
                <w:sz w:val="24"/>
                <w:szCs w:val="24"/>
                <w:highlight w:val="none"/>
                <w:lang w:val="en-US" w:eastAsia="zh-CN"/>
              </w:rPr>
              <w:t>《长子县国土空间总体规划（2021-2035年）》</w:t>
            </w:r>
            <w:r>
              <w:rPr>
                <w:rFonts w:hint="default" w:ascii="Times New Roman" w:hAnsi="Times New Roman" w:eastAsia="宋体" w:cs="Times New Roman"/>
                <w:b/>
                <w:bCs/>
                <w:color w:val="auto"/>
                <w:kern w:val="0"/>
                <w:sz w:val="24"/>
                <w:szCs w:val="24"/>
                <w:highlight w:val="none"/>
              </w:rPr>
              <w:t>符合性分析</w:t>
            </w:r>
          </w:p>
          <w:p w14:paraId="123D66E5">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（1）规划期限</w:t>
            </w:r>
          </w:p>
          <w:p w14:paraId="2AA79D00">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规划期限为2021年至2035年。近期目标年为2025年，</w:t>
            </w:r>
            <w:r>
              <w:rPr>
                <w:rFonts w:hint="default" w:ascii="Times New Roman" w:hAnsi="Times New Roman" w:eastAsia="宋体" w:cs="Times New Roman"/>
                <w:color w:val="auto"/>
                <w:kern w:val="0"/>
                <w:sz w:val="24"/>
                <w:szCs w:val="24"/>
                <w:highlight w:val="none"/>
                <w:lang w:val="en-US" w:eastAsia="zh-CN"/>
              </w:rPr>
              <w:t>远期</w:t>
            </w:r>
            <w:r>
              <w:rPr>
                <w:rFonts w:hint="default" w:ascii="Times New Roman" w:hAnsi="Times New Roman" w:eastAsia="宋体" w:cs="Times New Roman"/>
                <w:color w:val="auto"/>
                <w:kern w:val="0"/>
                <w:sz w:val="24"/>
                <w:szCs w:val="24"/>
                <w:highlight w:val="none"/>
                <w:lang w:eastAsia="zh-CN"/>
              </w:rPr>
              <w:t>目标年为2035年，</w:t>
            </w:r>
            <w:r>
              <w:rPr>
                <w:rFonts w:hint="default" w:ascii="Times New Roman" w:hAnsi="Times New Roman" w:eastAsia="宋体" w:cs="Times New Roman"/>
                <w:color w:val="auto"/>
                <w:kern w:val="0"/>
                <w:sz w:val="24"/>
                <w:szCs w:val="24"/>
                <w:highlight w:val="none"/>
                <w:lang w:val="en-US" w:eastAsia="zh-CN"/>
              </w:rPr>
              <w:t>远景</w:t>
            </w:r>
            <w:r>
              <w:rPr>
                <w:rFonts w:hint="default" w:ascii="Times New Roman" w:hAnsi="Times New Roman" w:eastAsia="宋体" w:cs="Times New Roman"/>
                <w:color w:val="auto"/>
                <w:kern w:val="0"/>
                <w:sz w:val="24"/>
                <w:szCs w:val="24"/>
                <w:highlight w:val="none"/>
                <w:lang w:eastAsia="zh-CN"/>
              </w:rPr>
              <w:t>展望至2050年。</w:t>
            </w:r>
          </w:p>
          <w:p w14:paraId="6D170CA3">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 xml:space="preserve">（2）规划范围 </w:t>
            </w:r>
          </w:p>
          <w:p w14:paraId="2FB456D3">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本次总体规划范围为</w:t>
            </w:r>
            <w:r>
              <w:rPr>
                <w:rFonts w:hint="default" w:ascii="Times New Roman" w:hAnsi="Times New Roman" w:eastAsia="宋体" w:cs="Times New Roman"/>
                <w:color w:val="auto"/>
                <w:kern w:val="0"/>
                <w:sz w:val="24"/>
                <w:szCs w:val="24"/>
                <w:highlight w:val="none"/>
                <w:lang w:val="en-US" w:eastAsia="zh-CN"/>
              </w:rPr>
              <w:t>长子县</w:t>
            </w:r>
            <w:r>
              <w:rPr>
                <w:rFonts w:hint="default" w:ascii="Times New Roman" w:hAnsi="Times New Roman" w:eastAsia="宋体" w:cs="Times New Roman"/>
                <w:color w:val="auto"/>
                <w:kern w:val="0"/>
                <w:sz w:val="24"/>
                <w:szCs w:val="24"/>
                <w:highlight w:val="none"/>
                <w:lang w:eastAsia="zh-CN"/>
              </w:rPr>
              <w:t>行政辖区，</w:t>
            </w:r>
            <w:r>
              <w:rPr>
                <w:rFonts w:hint="default" w:ascii="Times New Roman" w:hAnsi="Times New Roman" w:eastAsia="宋体" w:cs="Times New Roman"/>
                <w:color w:val="auto"/>
                <w:kern w:val="0"/>
                <w:sz w:val="24"/>
                <w:szCs w:val="24"/>
                <w:highlight w:val="none"/>
                <w:lang w:val="en-US" w:eastAsia="zh-CN"/>
              </w:rPr>
              <w:t>全域国土空间总</w:t>
            </w:r>
            <w:r>
              <w:rPr>
                <w:rFonts w:hint="default" w:ascii="Times New Roman" w:hAnsi="Times New Roman" w:eastAsia="宋体" w:cs="Times New Roman"/>
                <w:color w:val="auto"/>
                <w:kern w:val="0"/>
                <w:sz w:val="24"/>
                <w:szCs w:val="24"/>
                <w:highlight w:val="none"/>
                <w:lang w:eastAsia="zh-CN"/>
              </w:rPr>
              <w:t>面积</w:t>
            </w:r>
            <w:r>
              <w:rPr>
                <w:rFonts w:hint="default" w:ascii="Times New Roman" w:hAnsi="Times New Roman" w:eastAsia="宋体" w:cs="Times New Roman"/>
                <w:color w:val="auto"/>
                <w:kern w:val="0"/>
                <w:sz w:val="24"/>
                <w:szCs w:val="24"/>
                <w:highlight w:val="none"/>
                <w:lang w:val="en-US" w:eastAsia="zh-CN"/>
              </w:rPr>
              <w:t>1029</w:t>
            </w:r>
            <w:r>
              <w:rPr>
                <w:rFonts w:hint="default" w:ascii="Times New Roman" w:hAnsi="Times New Roman" w:eastAsia="宋体" w:cs="Times New Roman"/>
                <w:color w:val="auto"/>
                <w:kern w:val="0"/>
                <w:sz w:val="24"/>
                <w:szCs w:val="24"/>
                <w:highlight w:val="none"/>
                <w:lang w:eastAsia="zh-CN"/>
              </w:rPr>
              <w:t>平方公里。</w:t>
            </w:r>
          </w:p>
          <w:p w14:paraId="7884805E">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（3）</w:t>
            </w:r>
            <w:r>
              <w:rPr>
                <w:rFonts w:hint="default" w:ascii="Times New Roman" w:hAnsi="Times New Roman" w:eastAsia="宋体" w:cs="Times New Roman"/>
                <w:color w:val="auto"/>
                <w:kern w:val="0"/>
                <w:sz w:val="24"/>
                <w:szCs w:val="24"/>
                <w:highlight w:val="none"/>
                <w:lang w:val="en-US" w:eastAsia="zh-CN"/>
              </w:rPr>
              <w:t>国土空间开发保护</w:t>
            </w:r>
            <w:r>
              <w:rPr>
                <w:rFonts w:hint="default" w:ascii="Times New Roman" w:hAnsi="Times New Roman" w:eastAsia="宋体" w:cs="Times New Roman"/>
                <w:color w:val="auto"/>
                <w:kern w:val="0"/>
                <w:sz w:val="24"/>
                <w:szCs w:val="24"/>
                <w:highlight w:val="none"/>
                <w:lang w:eastAsia="zh-CN"/>
              </w:rPr>
              <w:t>目标</w:t>
            </w:r>
          </w:p>
          <w:p w14:paraId="4B12D350">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2025年产业转型出雏形，产业体系初步框架完善，全县经济社会发展稳步推进；生态文明建设加快，绿色、低碳、循环成为发展主基调，国土空间主体功能和生态安全格局基本形成；区域协调、生态建设、民生保障、文明进步、县域治理、乡村振兴等方面取得重大进展。</w:t>
            </w:r>
          </w:p>
          <w:p w14:paraId="75F9D834">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2035年全面建成长治市域副中心城市，突显中心带动作用；全县经济的高质量发展、全体人民共同富裕实现大的跨越；新型工业化、信息化、城镇化、农业农村现代化基本实现；生态环境质量优良，基本农田量稳质高，土地利用集约高效，国土空间主体功能和生态安全格局趋于成熟；全面建成绿色、文化、开放、健康、宜居的新长子，谱写高质量发展新篇章。</w:t>
            </w:r>
          </w:p>
          <w:p w14:paraId="332A32FB">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eastAsia="zh-CN"/>
              </w:rPr>
              <w:t>（4）战略</w:t>
            </w:r>
            <w:r>
              <w:rPr>
                <w:rFonts w:hint="default" w:ascii="Times New Roman" w:hAnsi="Times New Roman" w:eastAsia="宋体" w:cs="Times New Roman"/>
                <w:color w:val="auto"/>
                <w:kern w:val="0"/>
                <w:sz w:val="24"/>
                <w:szCs w:val="24"/>
                <w:highlight w:val="none"/>
                <w:lang w:val="en-US" w:eastAsia="zh-CN"/>
              </w:rPr>
              <w:t>定位</w:t>
            </w:r>
          </w:p>
          <w:p w14:paraId="4641069D">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 xml:space="preserve">①依托煤炭、煤层气、风力、农业基础及旅游资源，打造晋东南经济区重要的产业转型升级示范基地。以能源产业、现代农业、特色文化旅游业为主导产业，积极培育创新产业，形成生态友好、低碳循环、科技创新的现代产业体系。 </w:t>
            </w:r>
          </w:p>
          <w:p w14:paraId="4BD94159">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②深入挖掘历史文化资源，以独一无二的神话典故，映射中国人民核心价值观，赋予地方特征，打造长治地区地域文化名片，全面提升地区影响力。</w:t>
            </w:r>
          </w:p>
          <w:p w14:paraId="23E1FC2E">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③全面体现新发展理念，以生态文明引领城市发展，以人民为中心，构筑山水林田湖城生命共同体，形成人、城、境、业高度和谐统一的大美城市形态的城市发展新范式。</w:t>
            </w:r>
          </w:p>
          <w:p w14:paraId="0C560BA9">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 xml:space="preserve">（5）总体格局 </w:t>
            </w:r>
          </w:p>
          <w:p w14:paraId="2984924B">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val="en-US" w:eastAsia="zh-CN"/>
              </w:rPr>
              <w:t>1）</w:t>
            </w:r>
            <w:r>
              <w:rPr>
                <w:rFonts w:hint="default" w:ascii="Times New Roman" w:hAnsi="Times New Roman" w:eastAsia="宋体" w:cs="Times New Roman"/>
                <w:color w:val="auto"/>
                <w:kern w:val="0"/>
                <w:sz w:val="24"/>
                <w:szCs w:val="24"/>
                <w:highlight w:val="none"/>
                <w:lang w:eastAsia="zh-CN"/>
              </w:rPr>
              <w:t>构建国土空间总体格局</w:t>
            </w:r>
          </w:p>
          <w:p w14:paraId="69CFEBBA">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总体格局为“一心两廊、一屏一网、三区”。</w:t>
            </w:r>
          </w:p>
          <w:p w14:paraId="2CF405EC">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“一心两廊”：即县城综合服务中心和以省道S326和S228为依托构建的十字型城乡发展走廊。</w:t>
            </w:r>
          </w:p>
          <w:p w14:paraId="23739938">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“一屏一网”：即发鸠山生态屏障和全域生态水网。</w:t>
            </w:r>
          </w:p>
          <w:p w14:paraId="4C57E175">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lang w:val="en-US" w:eastAsia="zh-CN"/>
              </w:rPr>
              <w:t>三区</w:t>
            </w:r>
            <w:r>
              <w:rPr>
                <w:rFonts w:hint="default" w:ascii="Times New Roman" w:hAnsi="Times New Roman" w:eastAsia="宋体" w:cs="Times New Roman"/>
                <w:color w:val="auto"/>
                <w:kern w:val="0"/>
                <w:sz w:val="24"/>
                <w:szCs w:val="24"/>
                <w:highlight w:val="none"/>
                <w:lang w:eastAsia="zh-CN"/>
              </w:rPr>
              <w:t>”：即西部（浅山和半山区）特色农产品发展区、中部粮食规模化发展区、城郊都市农业发展区。</w:t>
            </w:r>
          </w:p>
          <w:p w14:paraId="51EA9B22">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val="en-US" w:eastAsia="zh-CN"/>
              </w:rPr>
              <w:t>2）</w:t>
            </w:r>
            <w:r>
              <w:rPr>
                <w:rFonts w:hint="default" w:ascii="Times New Roman" w:hAnsi="Times New Roman" w:eastAsia="宋体" w:cs="Times New Roman"/>
                <w:color w:val="auto"/>
                <w:kern w:val="0"/>
                <w:sz w:val="24"/>
                <w:szCs w:val="24"/>
                <w:highlight w:val="none"/>
                <w:lang w:eastAsia="zh-CN"/>
              </w:rPr>
              <w:t>统筹划定</w:t>
            </w:r>
            <w:r>
              <w:rPr>
                <w:rFonts w:hint="default" w:ascii="Times New Roman" w:hAnsi="Times New Roman" w:eastAsia="宋体" w:cs="Times New Roman"/>
                <w:color w:val="auto"/>
                <w:kern w:val="0"/>
                <w:sz w:val="24"/>
                <w:szCs w:val="24"/>
                <w:highlight w:val="none"/>
                <w:lang w:val="en-US" w:eastAsia="zh-CN"/>
              </w:rPr>
              <w:t>三条</w:t>
            </w:r>
            <w:r>
              <w:rPr>
                <w:rFonts w:hint="default" w:ascii="Times New Roman" w:hAnsi="Times New Roman" w:eastAsia="宋体" w:cs="Times New Roman"/>
                <w:color w:val="auto"/>
                <w:kern w:val="0"/>
                <w:sz w:val="24"/>
                <w:szCs w:val="24"/>
                <w:highlight w:val="none"/>
                <w:lang w:eastAsia="zh-CN"/>
              </w:rPr>
              <w:t>控制线</w:t>
            </w:r>
          </w:p>
          <w:p w14:paraId="262DA36B">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①永久基本农田保护红线</w:t>
            </w:r>
          </w:p>
          <w:p w14:paraId="1AAA3278">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到2035年，全县永久基本农田保护面积不少于410.22平方千米。</w:t>
            </w:r>
          </w:p>
          <w:p w14:paraId="648CEEDE">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②生态保护红线</w:t>
            </w:r>
          </w:p>
          <w:p w14:paraId="5B6321ED">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到2035年，全县生态保护红线控制区面积不少于520.36公顷。</w:t>
            </w:r>
          </w:p>
          <w:p w14:paraId="2B0E70AA">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③城镇开发边界</w:t>
            </w:r>
          </w:p>
          <w:p w14:paraId="0756885F">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到2035年，全县城镇开发边界面积为2093.93公顷。</w:t>
            </w:r>
          </w:p>
          <w:p w14:paraId="66CEB384">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 xml:space="preserve">（6）本项目符合性分析 </w:t>
            </w:r>
          </w:p>
          <w:p w14:paraId="2478D64B">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本项目建设地点位于</w:t>
            </w:r>
            <w:r>
              <w:rPr>
                <w:rFonts w:hint="default" w:ascii="Times New Roman" w:hAnsi="Times New Roman" w:eastAsia="宋体" w:cs="Times New Roman"/>
                <w:color w:val="auto"/>
                <w:kern w:val="0"/>
                <w:sz w:val="24"/>
                <w:szCs w:val="24"/>
                <w:highlight w:val="none"/>
                <w:lang w:val="en-US" w:eastAsia="zh-CN"/>
              </w:rPr>
              <w:t>长治市</w:t>
            </w:r>
            <w:r>
              <w:rPr>
                <w:rFonts w:hint="default" w:ascii="Times New Roman" w:hAnsi="Times New Roman" w:eastAsia="宋体" w:cs="Times New Roman"/>
                <w:color w:val="auto"/>
                <w:kern w:val="0"/>
                <w:sz w:val="24"/>
                <w:szCs w:val="24"/>
                <w:highlight w:val="none"/>
                <w:lang w:eastAsia="zh-CN"/>
              </w:rPr>
              <w:t>长子县慈林镇</w:t>
            </w:r>
            <w:r>
              <w:rPr>
                <w:rFonts w:hint="eastAsia" w:cs="Times New Roman"/>
                <w:color w:val="auto"/>
                <w:kern w:val="0"/>
                <w:sz w:val="24"/>
                <w:szCs w:val="24"/>
                <w:highlight w:val="none"/>
                <w:lang w:eastAsia="zh-CN"/>
              </w:rPr>
              <w:t>山西晋煤集团赵庄煤业有限责任公司</w:t>
            </w:r>
            <w:r>
              <w:rPr>
                <w:rFonts w:hint="eastAsia" w:cs="Times New Roman"/>
                <w:color w:val="auto"/>
                <w:kern w:val="0"/>
                <w:sz w:val="24"/>
                <w:szCs w:val="24"/>
                <w:highlight w:val="none"/>
                <w:lang w:val="en-US" w:eastAsia="zh-CN"/>
              </w:rPr>
              <w:t>洗煤厂西南侧</w:t>
            </w:r>
            <w:r>
              <w:rPr>
                <w:rFonts w:hint="default" w:ascii="Times New Roman" w:hAnsi="Times New Roman" w:eastAsia="宋体" w:cs="Times New Roman"/>
                <w:color w:val="auto"/>
                <w:kern w:val="0"/>
                <w:sz w:val="24"/>
                <w:szCs w:val="24"/>
                <w:highlight w:val="none"/>
                <w:lang w:eastAsia="zh-CN"/>
              </w:rPr>
              <w:t>，根据《</w:t>
            </w:r>
            <w:r>
              <w:rPr>
                <w:rFonts w:hint="default" w:ascii="Times New Roman" w:hAnsi="Times New Roman" w:eastAsia="宋体" w:cs="Times New Roman"/>
                <w:color w:val="auto"/>
                <w:kern w:val="0"/>
                <w:sz w:val="24"/>
                <w:szCs w:val="24"/>
                <w:highlight w:val="none"/>
                <w:lang w:val="en-US" w:eastAsia="zh-CN"/>
              </w:rPr>
              <w:t>长子县国土空间总体规划（2021-2035年）</w:t>
            </w:r>
            <w:r>
              <w:rPr>
                <w:rFonts w:hint="default" w:ascii="Times New Roman" w:hAnsi="Times New Roman" w:eastAsia="宋体" w:cs="Times New Roman"/>
                <w:color w:val="auto"/>
                <w:kern w:val="0"/>
                <w:sz w:val="24"/>
                <w:szCs w:val="24"/>
                <w:highlight w:val="none"/>
                <w:lang w:eastAsia="zh-CN"/>
              </w:rPr>
              <w:t>》，本项目不在其规划的生态保护红线</w:t>
            </w:r>
            <w:r>
              <w:rPr>
                <w:rFonts w:hint="eastAsia" w:cs="Times New Roman"/>
                <w:color w:val="auto"/>
                <w:kern w:val="0"/>
                <w:sz w:val="24"/>
                <w:szCs w:val="24"/>
                <w:highlight w:val="none"/>
                <w:lang w:val="en-US" w:eastAsia="zh-CN"/>
              </w:rPr>
              <w:t>内，位于</w:t>
            </w:r>
            <w:r>
              <w:rPr>
                <w:rFonts w:hint="default" w:ascii="Times New Roman" w:hAnsi="Times New Roman" w:eastAsia="宋体" w:cs="Times New Roman"/>
                <w:color w:val="auto"/>
                <w:kern w:val="0"/>
                <w:sz w:val="24"/>
                <w:szCs w:val="24"/>
                <w:highlight w:val="none"/>
                <w:lang w:eastAsia="zh-CN"/>
              </w:rPr>
              <w:t>城镇开发</w:t>
            </w:r>
            <w:r>
              <w:rPr>
                <w:rFonts w:hint="eastAsia" w:cs="Times New Roman"/>
                <w:color w:val="auto"/>
                <w:kern w:val="0"/>
                <w:sz w:val="24"/>
                <w:szCs w:val="24"/>
                <w:highlight w:val="none"/>
                <w:lang w:val="en-US" w:eastAsia="zh-CN"/>
              </w:rPr>
              <w:t>边界</w:t>
            </w:r>
            <w:r>
              <w:rPr>
                <w:rFonts w:hint="default" w:ascii="Times New Roman" w:hAnsi="Times New Roman" w:eastAsia="宋体" w:cs="Times New Roman"/>
                <w:color w:val="auto"/>
                <w:kern w:val="0"/>
                <w:sz w:val="24"/>
                <w:szCs w:val="24"/>
                <w:highlight w:val="none"/>
                <w:lang w:eastAsia="zh-CN"/>
              </w:rPr>
              <w:t>范围内，不占用永久基本农田。本项目的建设不违背</w:t>
            </w:r>
            <w:r>
              <w:rPr>
                <w:rFonts w:hint="default" w:ascii="Times New Roman" w:hAnsi="Times New Roman" w:eastAsia="宋体" w:cs="Times New Roman"/>
                <w:color w:val="auto"/>
                <w:kern w:val="0"/>
                <w:sz w:val="24"/>
                <w:szCs w:val="24"/>
                <w:highlight w:val="none"/>
                <w:lang w:val="en-US" w:eastAsia="zh-CN"/>
              </w:rPr>
              <w:t>长子县</w:t>
            </w:r>
            <w:r>
              <w:rPr>
                <w:rFonts w:hint="default" w:ascii="Times New Roman" w:hAnsi="Times New Roman" w:eastAsia="宋体" w:cs="Times New Roman"/>
                <w:color w:val="auto"/>
                <w:kern w:val="0"/>
                <w:sz w:val="24"/>
                <w:szCs w:val="24"/>
                <w:highlight w:val="none"/>
                <w:lang w:eastAsia="zh-CN"/>
              </w:rPr>
              <w:t>国土空间总体规划的要求。</w:t>
            </w:r>
          </w:p>
          <w:p w14:paraId="46FC5444">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z w:val="24"/>
                <w:highlight w:val="none"/>
                <w:lang w:val="en-US" w:eastAsia="zh-CN"/>
              </w:rPr>
            </w:pPr>
          </w:p>
          <w:p w14:paraId="4C4DEBD9">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z w:val="24"/>
                <w:highlight w:val="none"/>
                <w:lang w:val="en-US" w:eastAsia="zh-CN"/>
              </w:rPr>
            </w:pPr>
          </w:p>
          <w:p w14:paraId="651370B0">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z w:val="24"/>
                <w:highlight w:val="none"/>
                <w:lang w:val="en-US" w:eastAsia="zh-CN"/>
              </w:rPr>
            </w:pPr>
          </w:p>
          <w:p w14:paraId="3DCAE0DC">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z w:val="24"/>
                <w:highlight w:val="none"/>
                <w:lang w:val="en-US" w:eastAsia="zh-CN"/>
              </w:rPr>
            </w:pPr>
          </w:p>
          <w:p w14:paraId="1EFE646C">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z w:val="24"/>
                <w:highlight w:val="none"/>
                <w:lang w:val="en-US" w:eastAsia="zh-CN"/>
              </w:rPr>
            </w:pPr>
          </w:p>
          <w:p w14:paraId="1BC4FB5D">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z w:val="24"/>
                <w:highlight w:val="none"/>
                <w:lang w:val="en-US" w:eastAsia="zh-CN"/>
              </w:rPr>
            </w:pPr>
          </w:p>
          <w:p w14:paraId="01C9019B">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z w:val="24"/>
                <w:highlight w:val="none"/>
                <w:lang w:val="en-US" w:eastAsia="zh-CN"/>
              </w:rPr>
            </w:pPr>
          </w:p>
          <w:p w14:paraId="1C04E885">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z w:val="24"/>
                <w:highlight w:val="none"/>
                <w:lang w:val="en-US" w:eastAsia="zh-CN"/>
              </w:rPr>
            </w:pPr>
          </w:p>
          <w:p w14:paraId="2D72BE9B">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z w:val="24"/>
                <w:highlight w:val="none"/>
                <w:lang w:val="en-US" w:eastAsia="zh-CN"/>
              </w:rPr>
            </w:pPr>
          </w:p>
          <w:p w14:paraId="09935999">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z w:val="24"/>
                <w:highlight w:val="none"/>
                <w:lang w:val="en-US" w:eastAsia="zh-CN"/>
              </w:rPr>
            </w:pPr>
          </w:p>
          <w:p w14:paraId="5B6A89CF">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z w:val="24"/>
                <w:highlight w:val="none"/>
                <w:lang w:val="en-US" w:eastAsia="zh-CN"/>
              </w:rPr>
            </w:pPr>
          </w:p>
          <w:p w14:paraId="27CDB1BF">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z w:val="24"/>
                <w:highlight w:val="none"/>
                <w:lang w:val="en-US" w:eastAsia="zh-CN"/>
              </w:rPr>
            </w:pPr>
          </w:p>
          <w:p w14:paraId="5CE4B61E">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z w:val="24"/>
                <w:highlight w:val="none"/>
                <w:lang w:val="en-US" w:eastAsia="zh-CN"/>
              </w:rPr>
            </w:pPr>
          </w:p>
          <w:p w14:paraId="03D787FB">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val="en-US" w:eastAsia="zh-CN"/>
              </w:rPr>
            </w:pPr>
          </w:p>
        </w:tc>
      </w:tr>
    </w:tbl>
    <w:p w14:paraId="63B8DC1B">
      <w:pPr>
        <w:spacing w:line="360" w:lineRule="auto"/>
        <w:outlineLvl w:val="0"/>
        <w:rPr>
          <w:rFonts w:hint="default" w:ascii="Times New Roman" w:hAnsi="Times New Roman" w:eastAsia="黑体" w:cs="Times New Roman"/>
          <w:color w:val="auto"/>
          <w:sz w:val="30"/>
          <w:highlight w:val="none"/>
        </w:rPr>
        <w:sectPr>
          <w:footerReference r:id="rId7" w:type="default"/>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p>
    <w:p w14:paraId="75FC2F21">
      <w:pPr>
        <w:pStyle w:val="19"/>
        <w:jc w:val="center"/>
        <w:outlineLvl w:val="0"/>
        <w:rPr>
          <w:rFonts w:hint="default" w:ascii="Times New Roman" w:hAnsi="Times New Roman" w:eastAsia="黑体" w:cs="Times New Roman"/>
          <w:snapToGrid w:val="0"/>
          <w:color w:val="auto"/>
          <w:sz w:val="30"/>
          <w:szCs w:val="30"/>
          <w:highlight w:val="none"/>
        </w:rPr>
      </w:pPr>
      <w:bookmarkStart w:id="4" w:name="_Toc21071"/>
      <w:r>
        <w:rPr>
          <w:rFonts w:hint="default" w:ascii="Times New Roman" w:hAnsi="Times New Roman" w:eastAsia="黑体" w:cs="Times New Roman"/>
          <w:snapToGrid w:val="0"/>
          <w:color w:val="auto"/>
          <w:sz w:val="30"/>
          <w:szCs w:val="30"/>
          <w:highlight w:val="none"/>
        </w:rPr>
        <w:t>二、建设项目工程分析</w:t>
      </w:r>
      <w:bookmarkEnd w:id="4"/>
    </w:p>
    <w:tbl>
      <w:tblPr>
        <w:tblStyle w:val="2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81"/>
        <w:gridCol w:w="8280"/>
      </w:tblGrid>
      <w:tr w14:paraId="1490A6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781" w:type="dxa"/>
            <w:vAlign w:val="center"/>
          </w:tcPr>
          <w:p w14:paraId="74020391">
            <w:pPr>
              <w:pStyle w:val="19"/>
              <w:adjustRightInd w:val="0"/>
              <w:snapToGrid w:val="0"/>
              <w:spacing w:before="0" w:beforeAutospacing="0" w:after="0" w:afterAutospacing="0"/>
              <w:jc w:val="center"/>
              <w:rPr>
                <w:rFonts w:hint="default" w:ascii="Times New Roman" w:hAnsi="Times New Roman" w:cs="Times New Roman"/>
                <w:color w:val="auto"/>
                <w:spacing w:val="0"/>
                <w:sz w:val="21"/>
                <w:szCs w:val="21"/>
                <w:highlight w:val="none"/>
              </w:rPr>
            </w:pPr>
            <w:r>
              <w:rPr>
                <w:rFonts w:hint="default" w:ascii="Times New Roman" w:hAnsi="Times New Roman" w:cs="Times New Roman"/>
                <w:color w:val="auto"/>
                <w:spacing w:val="0"/>
                <w:sz w:val="21"/>
                <w:szCs w:val="21"/>
                <w:highlight w:val="none"/>
              </w:rPr>
              <w:t>建设内容</w:t>
            </w:r>
          </w:p>
        </w:tc>
        <w:tc>
          <w:tcPr>
            <w:tcW w:w="8280" w:type="dxa"/>
          </w:tcPr>
          <w:p w14:paraId="10610A32">
            <w:pPr>
              <w:keepNext w:val="0"/>
              <w:keepLines w:val="0"/>
              <w:pageBreakBefore w:val="0"/>
              <w:widowControl w:val="0"/>
              <w:kinsoku/>
              <w:wordWrap/>
              <w:overflowPunct/>
              <w:topLinePunct w:val="0"/>
              <w:autoSpaceDE w:val="0"/>
              <w:autoSpaceDN w:val="0"/>
              <w:bidi w:val="0"/>
              <w:adjustRightInd w:val="0"/>
              <w:snapToGrid w:val="0"/>
              <w:spacing w:line="480" w:lineRule="exact"/>
              <w:ind w:firstLine="482" w:firstLineChars="200"/>
              <w:jc w:val="both"/>
              <w:textAlignment w:val="auto"/>
              <w:rPr>
                <w:rFonts w:hint="default" w:ascii="Times New Roman" w:hAnsi="Times New Roman" w:eastAsia="宋体" w:cs="Times New Roman"/>
                <w:b/>
                <w:color w:val="auto"/>
                <w:spacing w:val="0"/>
                <w:sz w:val="24"/>
                <w:szCs w:val="24"/>
                <w:highlight w:val="none"/>
                <w:lang w:val="en-US" w:eastAsia="zh-CN"/>
              </w:rPr>
            </w:pPr>
            <w:r>
              <w:rPr>
                <w:rFonts w:hint="eastAsia" w:ascii="Times New Roman" w:hAnsi="Times New Roman" w:eastAsia="宋体" w:cs="Times New Roman"/>
                <w:b/>
                <w:color w:val="auto"/>
                <w:spacing w:val="0"/>
                <w:sz w:val="24"/>
                <w:szCs w:val="24"/>
                <w:highlight w:val="none"/>
                <w:lang w:val="en-US" w:eastAsia="zh-CN"/>
              </w:rPr>
              <w:t>2.1 项目背景</w:t>
            </w:r>
          </w:p>
          <w:p w14:paraId="783029B3">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eastAsia" w:ascii="Times New Roman" w:hAnsi="Times New Roman" w:eastAsia="宋体" w:cs="Times New Roman"/>
                <w:b w:val="0"/>
                <w:bCs/>
                <w:color w:val="auto"/>
                <w:spacing w:val="0"/>
                <w:sz w:val="24"/>
                <w:szCs w:val="24"/>
                <w:highlight w:val="none"/>
                <w:lang w:val="en-US" w:eastAsia="zh-CN"/>
              </w:rPr>
            </w:pPr>
            <w:r>
              <w:rPr>
                <w:rFonts w:hint="eastAsia" w:ascii="Times New Roman" w:hAnsi="Times New Roman" w:eastAsia="宋体" w:cs="Times New Roman"/>
                <w:b w:val="0"/>
                <w:bCs/>
                <w:color w:val="auto"/>
                <w:spacing w:val="0"/>
                <w:sz w:val="24"/>
                <w:szCs w:val="24"/>
                <w:highlight w:val="none"/>
                <w:lang w:val="en-US" w:eastAsia="zh-CN"/>
              </w:rPr>
              <w:t>赵庄煤业隶属于晋能控股装备制造集团有限公司，矿井于2002年10月1日开始建设，于2007年5月18日正式通过600万吨/年投产验收，属高瓦斯矿井。2013年6月，山西省发展和改革委员会以晋发改验收发〔2013〕6号《关于山西晋城无烟煤矿业集团有限责任公司赵庄矿井800万t/a产能释放项目竣工验收的批复》，同意赵庄煤业通过800万t/a产能释放竣工验收。矿井开拓方式为斜、立井混合开拓方式，井田范围内3号煤层采用单水平开拓，主采煤层为3号煤层。</w:t>
            </w:r>
          </w:p>
          <w:p w14:paraId="14D00445">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eastAsia" w:ascii="Times New Roman" w:hAnsi="Times New Roman" w:eastAsia="宋体" w:cs="Times New Roman"/>
                <w:b w:val="0"/>
                <w:bCs/>
                <w:color w:val="auto"/>
                <w:spacing w:val="0"/>
                <w:sz w:val="24"/>
                <w:szCs w:val="24"/>
                <w:highlight w:val="none"/>
                <w:lang w:val="en-US" w:eastAsia="zh-CN"/>
              </w:rPr>
            </w:pPr>
            <w:r>
              <w:rPr>
                <w:rFonts w:hint="eastAsia" w:ascii="Times New Roman" w:hAnsi="Times New Roman" w:eastAsia="宋体" w:cs="Times New Roman"/>
                <w:b w:val="0"/>
                <w:bCs/>
                <w:color w:val="auto"/>
                <w:spacing w:val="0"/>
                <w:sz w:val="24"/>
                <w:szCs w:val="24"/>
                <w:highlight w:val="none"/>
                <w:lang w:val="en-US" w:eastAsia="zh-CN"/>
              </w:rPr>
              <w:t>为提高赵庄矿井资源采出率和经济效益，延长矿井服务年限，实现矿井可持续发展，赵庄煤业实施15号煤配采工程。15号煤配采工程项目生产能力为2.00 Mt/a，设计可采储量为3379万吨，配采期间矿井生产能力保持8.00Mt/a，3号煤与15号煤配采比例为3:1，其中3号煤生产能力为6.00Mt/a，15号煤生产能力为2.00Mt/a，配采范围服务年限为12.1a。</w:t>
            </w:r>
          </w:p>
          <w:p w14:paraId="1B5C3348">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eastAsia" w:ascii="Times New Roman" w:hAnsi="Times New Roman" w:eastAsia="宋体" w:cs="Times New Roman"/>
                <w:b w:val="0"/>
                <w:bCs/>
                <w:color w:val="auto"/>
                <w:spacing w:val="0"/>
                <w:sz w:val="24"/>
                <w:szCs w:val="24"/>
                <w:highlight w:val="none"/>
                <w:lang w:val="en-US" w:eastAsia="zh-CN"/>
              </w:rPr>
            </w:pPr>
            <w:r>
              <w:rPr>
                <w:rFonts w:hint="eastAsia" w:ascii="Times New Roman" w:hAnsi="Times New Roman" w:eastAsia="宋体" w:cs="Times New Roman"/>
                <w:b w:val="0"/>
                <w:bCs/>
                <w:color w:val="auto"/>
                <w:spacing w:val="0"/>
                <w:sz w:val="24"/>
                <w:szCs w:val="24"/>
                <w:highlight w:val="none"/>
                <w:lang w:val="en-US" w:eastAsia="zh-CN"/>
              </w:rPr>
              <w:t>该项目</w:t>
            </w:r>
            <w:r>
              <w:rPr>
                <w:rFonts w:hint="eastAsia" w:cs="Times New Roman"/>
                <w:b w:val="0"/>
                <w:bCs/>
                <w:color w:val="auto"/>
                <w:spacing w:val="0"/>
                <w:sz w:val="24"/>
                <w:szCs w:val="24"/>
                <w:highlight w:val="none"/>
                <w:lang w:val="en-US" w:eastAsia="zh-CN"/>
              </w:rPr>
              <w:t>于</w:t>
            </w:r>
            <w:r>
              <w:rPr>
                <w:rFonts w:hint="eastAsia" w:ascii="Times New Roman" w:hAnsi="Times New Roman" w:eastAsia="宋体" w:cs="Times New Roman"/>
                <w:b w:val="0"/>
                <w:bCs/>
                <w:color w:val="auto"/>
                <w:spacing w:val="0"/>
                <w:sz w:val="24"/>
                <w:szCs w:val="24"/>
                <w:highlight w:val="none"/>
                <w:lang w:val="en-US" w:eastAsia="zh-CN"/>
              </w:rPr>
              <w:t>2020年5月</w:t>
            </w:r>
            <w:r>
              <w:rPr>
                <w:rFonts w:hint="eastAsia" w:cs="Times New Roman"/>
                <w:b w:val="0"/>
                <w:bCs/>
                <w:color w:val="auto"/>
                <w:spacing w:val="0"/>
                <w:sz w:val="24"/>
                <w:szCs w:val="24"/>
                <w:highlight w:val="none"/>
                <w:lang w:val="en-US" w:eastAsia="zh-CN"/>
              </w:rPr>
              <w:t>取得</w:t>
            </w:r>
            <w:r>
              <w:rPr>
                <w:rFonts w:hint="eastAsia" w:ascii="Times New Roman" w:hAnsi="Times New Roman" w:eastAsia="宋体" w:cs="Times New Roman"/>
                <w:b w:val="0"/>
                <w:bCs/>
                <w:color w:val="auto"/>
                <w:spacing w:val="0"/>
                <w:sz w:val="24"/>
                <w:szCs w:val="24"/>
                <w:highlight w:val="none"/>
                <w:lang w:val="en-US" w:eastAsia="zh-CN"/>
              </w:rPr>
              <w:t>原晋煤集团《关于赵庄煤业15号煤配采工程项目建议书的批复》（晋煤集生字〔2020〕268号），项目建设内容为井下15号煤配采工程；2020年6月</w:t>
            </w:r>
            <w:r>
              <w:rPr>
                <w:rFonts w:hint="eastAsia" w:cs="Times New Roman"/>
                <w:b w:val="0"/>
                <w:bCs/>
                <w:color w:val="auto"/>
                <w:spacing w:val="0"/>
                <w:sz w:val="24"/>
                <w:szCs w:val="24"/>
                <w:highlight w:val="none"/>
                <w:lang w:val="en-US" w:eastAsia="zh-CN"/>
              </w:rPr>
              <w:t>取得</w:t>
            </w:r>
            <w:r>
              <w:rPr>
                <w:rFonts w:hint="eastAsia" w:ascii="Times New Roman" w:hAnsi="Times New Roman" w:eastAsia="宋体" w:cs="Times New Roman"/>
                <w:b w:val="0"/>
                <w:bCs/>
                <w:color w:val="auto"/>
                <w:spacing w:val="0"/>
                <w:sz w:val="24"/>
                <w:szCs w:val="24"/>
                <w:highlight w:val="none"/>
                <w:lang w:val="en-US" w:eastAsia="zh-CN"/>
              </w:rPr>
              <w:t>原晋煤集团</w:t>
            </w:r>
            <w:r>
              <w:rPr>
                <w:rFonts w:hint="default" w:ascii="Times New Roman" w:hAnsi="Times New Roman" w:cs="Times New Roman"/>
                <w:color w:val="auto"/>
                <w:sz w:val="24"/>
                <w:highlight w:val="none"/>
              </w:rPr>
              <w:t>《关于赵庄煤业15号煤配采工程核准的批复》</w:t>
            </w:r>
            <w:r>
              <w:rPr>
                <w:rFonts w:hint="eastAsia" w:cs="Times New Roman"/>
                <w:b w:val="0"/>
                <w:bCs/>
                <w:color w:val="auto"/>
                <w:spacing w:val="0"/>
                <w:sz w:val="24"/>
                <w:szCs w:val="24"/>
                <w:highlight w:val="none"/>
                <w:lang w:val="en-US" w:eastAsia="zh-CN"/>
              </w:rPr>
              <w:t>（</w:t>
            </w:r>
            <w:r>
              <w:rPr>
                <w:rFonts w:hint="eastAsia" w:ascii="Times New Roman" w:hAnsi="Times New Roman" w:eastAsia="宋体" w:cs="Times New Roman"/>
                <w:b w:val="0"/>
                <w:bCs/>
                <w:color w:val="auto"/>
                <w:spacing w:val="0"/>
                <w:sz w:val="24"/>
                <w:szCs w:val="24"/>
                <w:highlight w:val="none"/>
                <w:lang w:val="en-US" w:eastAsia="zh-CN"/>
              </w:rPr>
              <w:t>晋煤集计划函〔2020〕155号</w:t>
            </w:r>
            <w:r>
              <w:rPr>
                <w:rFonts w:hint="eastAsia" w:cs="Times New Roman"/>
                <w:b w:val="0"/>
                <w:bCs/>
                <w:color w:val="auto"/>
                <w:spacing w:val="0"/>
                <w:sz w:val="24"/>
                <w:szCs w:val="24"/>
                <w:highlight w:val="none"/>
                <w:lang w:val="en-US" w:eastAsia="zh-CN"/>
              </w:rPr>
              <w:t>）</w:t>
            </w:r>
            <w:r>
              <w:rPr>
                <w:rFonts w:hint="eastAsia" w:ascii="Times New Roman" w:hAnsi="Times New Roman" w:eastAsia="宋体" w:cs="Times New Roman"/>
                <w:b w:val="0"/>
                <w:bCs/>
                <w:color w:val="auto"/>
                <w:spacing w:val="0"/>
                <w:sz w:val="24"/>
                <w:szCs w:val="24"/>
                <w:highlight w:val="none"/>
                <w:lang w:val="en-US" w:eastAsia="zh-CN"/>
              </w:rPr>
              <w:t>；2022年10月</w:t>
            </w:r>
            <w:r>
              <w:rPr>
                <w:rFonts w:hint="eastAsia" w:cs="Times New Roman"/>
                <w:b w:val="0"/>
                <w:bCs/>
                <w:color w:val="auto"/>
                <w:spacing w:val="0"/>
                <w:sz w:val="24"/>
                <w:szCs w:val="24"/>
                <w:highlight w:val="none"/>
                <w:lang w:val="en-US" w:eastAsia="zh-CN"/>
              </w:rPr>
              <w:t>取得由</w:t>
            </w:r>
            <w:r>
              <w:rPr>
                <w:rFonts w:hint="eastAsia" w:ascii="Times New Roman" w:hAnsi="Times New Roman" w:eastAsia="宋体" w:cs="Times New Roman"/>
                <w:b w:val="0"/>
                <w:bCs/>
                <w:color w:val="auto"/>
                <w:spacing w:val="0"/>
                <w:sz w:val="24"/>
                <w:szCs w:val="24"/>
                <w:highlight w:val="none"/>
                <w:lang w:val="en-US" w:eastAsia="zh-CN"/>
              </w:rPr>
              <w:t>长治市生态环境局长子分局</w:t>
            </w:r>
            <w:r>
              <w:rPr>
                <w:rFonts w:hint="eastAsia" w:cs="Times New Roman"/>
                <w:b w:val="0"/>
                <w:bCs/>
                <w:color w:val="auto"/>
                <w:spacing w:val="0"/>
                <w:sz w:val="24"/>
                <w:szCs w:val="24"/>
                <w:highlight w:val="none"/>
                <w:lang w:val="en-US" w:eastAsia="zh-CN"/>
              </w:rPr>
              <w:t>出具的《</w:t>
            </w:r>
            <w:r>
              <w:rPr>
                <w:rFonts w:hint="eastAsia" w:ascii="Times New Roman" w:hAnsi="Times New Roman" w:eastAsia="宋体" w:cs="Times New Roman"/>
                <w:b w:val="0"/>
                <w:bCs/>
                <w:color w:val="auto"/>
                <w:spacing w:val="0"/>
                <w:sz w:val="24"/>
                <w:szCs w:val="24"/>
                <w:highlight w:val="none"/>
                <w:lang w:val="en-US" w:eastAsia="zh-CN"/>
              </w:rPr>
              <w:t>关于山西晋城无烟煤矿业集团有限责任公司赵庄煤业15号煤配采工程环境影响报告书的批复》（长子环函〔2022〕47号）；赵庄煤业15号煤配采工程于2024年11月开工。</w:t>
            </w:r>
          </w:p>
          <w:p w14:paraId="09551323">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eastAsia" w:ascii="Times New Roman" w:hAnsi="Times New Roman" w:eastAsia="宋体" w:cs="Times New Roman"/>
                <w:b w:val="0"/>
                <w:bCs/>
                <w:color w:val="auto"/>
                <w:spacing w:val="0"/>
                <w:sz w:val="24"/>
                <w:szCs w:val="24"/>
                <w:highlight w:val="none"/>
                <w:lang w:val="en-US" w:eastAsia="zh-CN"/>
              </w:rPr>
            </w:pPr>
            <w:r>
              <w:rPr>
                <w:rFonts w:hint="eastAsia" w:ascii="Times New Roman" w:hAnsi="Times New Roman" w:eastAsia="宋体" w:cs="Times New Roman"/>
                <w:b w:val="0"/>
                <w:bCs/>
                <w:color w:val="auto"/>
                <w:spacing w:val="0"/>
                <w:sz w:val="24"/>
                <w:szCs w:val="24"/>
                <w:highlight w:val="none"/>
                <w:lang w:val="en-US" w:eastAsia="zh-CN"/>
              </w:rPr>
              <w:t>赵庄煤业选煤厂地面现有两座原煤仓，设计仓容分别为10000吨，由于赵庄煤业为高瓦斯矿井，在实际生产过程中，为保证原煤仓内瓦斯不超标，需留一定仓位，实际仓容为8000吨。矿区内储量丰富，煤质优良，现开采的煤层主要为3号无烟煤，属特低硫、低磷、中灰、高发热量的优质煤炭。</w:t>
            </w:r>
            <w:r>
              <w:rPr>
                <w:rFonts w:hint="eastAsia" w:cs="Times New Roman"/>
                <w:b w:val="0"/>
                <w:bCs/>
                <w:color w:val="auto"/>
                <w:spacing w:val="0"/>
                <w:sz w:val="24"/>
                <w:szCs w:val="24"/>
                <w:highlight w:val="none"/>
                <w:lang w:val="en-US" w:eastAsia="zh-CN"/>
              </w:rPr>
              <w:t>计划开采的</w:t>
            </w:r>
            <w:r>
              <w:rPr>
                <w:rFonts w:hint="eastAsia" w:ascii="Times New Roman" w:hAnsi="Times New Roman" w:eastAsia="宋体" w:cs="Times New Roman"/>
                <w:b w:val="0"/>
                <w:bCs/>
                <w:color w:val="auto"/>
                <w:spacing w:val="0"/>
                <w:sz w:val="24"/>
                <w:szCs w:val="24"/>
                <w:highlight w:val="none"/>
                <w:lang w:val="en-US" w:eastAsia="zh-CN"/>
              </w:rPr>
              <w:t>15号无烟煤，属中高硫、低磷、中灰、中高发热量的优质煤炭。</w:t>
            </w:r>
            <w:r>
              <w:rPr>
                <w:rFonts w:hint="eastAsia" w:cs="Times New Roman"/>
                <w:b w:val="0"/>
                <w:bCs/>
                <w:color w:val="auto"/>
                <w:spacing w:val="0"/>
                <w:sz w:val="24"/>
                <w:szCs w:val="24"/>
                <w:highlight w:val="none"/>
                <w:lang w:val="en-US" w:eastAsia="zh-CN"/>
              </w:rPr>
              <w:t>由于本矿15号煤含硫量较高，3号煤含硫量较低，根据《山西晋城无烟煤矿业集团有限责任公司赵庄煤业15号煤配采工程环境影响报告书》明确：15号煤和3号煤在井下分装、分运、分时段提升储存。若</w:t>
            </w:r>
            <w:r>
              <w:rPr>
                <w:rFonts w:hint="eastAsia" w:ascii="Times New Roman" w:hAnsi="Times New Roman" w:eastAsia="宋体" w:cs="Times New Roman"/>
                <w:b w:val="0"/>
                <w:bCs/>
                <w:color w:val="auto"/>
                <w:spacing w:val="0"/>
                <w:sz w:val="24"/>
                <w:szCs w:val="24"/>
                <w:highlight w:val="none"/>
                <w:lang w:val="en-US" w:eastAsia="zh-CN"/>
              </w:rPr>
              <w:t>利用现有1座原煤仓存储15号原煤情况下，目前3号煤日产量在2万-4万吨，按照矿井3号煤和15号煤3:1的产量比例，3号煤缓冲仓储量减少将严重制约井下生产，尤其是应对特殊地质条件时的调节能力减弱。同时，受3号煤缓冲仓储量减少影响，将导致储煤场堆、返煤频率增加，增加洗选环节成本和影响原煤质量。另外，由于受洗选路径限制，原煤经过选煤厂筛分车间筛分后，去往储煤场和主洗车间为同一条皮带但运转方向相反，原煤往储煤场存储时就不能洗选、洗选时将不能运至储煤场，现有储煤场不能起到代替原煤缓冲仓的作用，所以</w:t>
            </w:r>
            <w:r>
              <w:rPr>
                <w:rFonts w:hint="eastAsia" w:cs="Times New Roman"/>
                <w:b w:val="0"/>
                <w:bCs/>
                <w:color w:val="auto"/>
                <w:spacing w:val="0"/>
                <w:sz w:val="24"/>
                <w:szCs w:val="24"/>
                <w:highlight w:val="none"/>
                <w:lang w:val="en-US" w:eastAsia="zh-CN"/>
              </w:rPr>
              <w:t>需</w:t>
            </w:r>
            <w:r>
              <w:rPr>
                <w:rFonts w:hint="eastAsia" w:ascii="Times New Roman" w:hAnsi="Times New Roman" w:eastAsia="宋体" w:cs="Times New Roman"/>
                <w:b w:val="0"/>
                <w:bCs/>
                <w:color w:val="auto"/>
                <w:spacing w:val="0"/>
                <w:sz w:val="24"/>
                <w:szCs w:val="24"/>
                <w:highlight w:val="none"/>
                <w:lang w:val="en-US" w:eastAsia="zh-CN"/>
              </w:rPr>
              <w:t>新建1座15号煤原煤仓。</w:t>
            </w:r>
          </w:p>
          <w:p w14:paraId="25E4C758">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eastAsia" w:ascii="Times New Roman" w:hAnsi="Times New Roman" w:eastAsia="宋体" w:cs="Times New Roman"/>
                <w:b w:val="0"/>
                <w:bCs/>
                <w:color w:val="auto"/>
                <w:spacing w:val="0"/>
                <w:sz w:val="24"/>
                <w:szCs w:val="24"/>
                <w:highlight w:val="none"/>
                <w:lang w:val="en-US" w:eastAsia="zh-CN"/>
              </w:rPr>
            </w:pPr>
            <w:r>
              <w:rPr>
                <w:rFonts w:hint="eastAsia" w:ascii="Times New Roman" w:hAnsi="Times New Roman" w:eastAsia="宋体" w:cs="Times New Roman"/>
                <w:b w:val="0"/>
                <w:bCs/>
                <w:color w:val="auto"/>
                <w:spacing w:val="0"/>
                <w:sz w:val="24"/>
                <w:szCs w:val="24"/>
                <w:highlight w:val="none"/>
                <w:lang w:val="en-US" w:eastAsia="zh-CN"/>
              </w:rPr>
              <w:t>目前选煤厂商品煤共</w:t>
            </w:r>
            <w:r>
              <w:rPr>
                <w:rFonts w:hint="eastAsia" w:cs="Times New Roman"/>
                <w:b w:val="0"/>
                <w:bCs/>
                <w:color w:val="auto"/>
                <w:spacing w:val="0"/>
                <w:sz w:val="24"/>
                <w:szCs w:val="24"/>
                <w:highlight w:val="none"/>
                <w:lang w:val="en-US" w:eastAsia="zh-CN"/>
              </w:rPr>
              <w:t>三</w:t>
            </w:r>
            <w:r>
              <w:rPr>
                <w:rFonts w:hint="eastAsia" w:ascii="Times New Roman" w:hAnsi="Times New Roman" w:eastAsia="宋体" w:cs="Times New Roman"/>
                <w:b w:val="0"/>
                <w:bCs/>
                <w:color w:val="auto"/>
                <w:spacing w:val="0"/>
                <w:sz w:val="24"/>
                <w:szCs w:val="24"/>
                <w:highlight w:val="none"/>
                <w:lang w:val="en-US" w:eastAsia="zh-CN"/>
              </w:rPr>
              <w:t>个品种：分别为洗末煤、普末煤（发热量≥4500 kcal/kg）、标末煤（发热量≥5000 kcal/kg）。选煤厂现有三座煤仓</w:t>
            </w:r>
            <w:r>
              <w:rPr>
                <w:rFonts w:hint="eastAsia" w:cs="Times New Roman"/>
                <w:b w:val="0"/>
                <w:bCs/>
                <w:color w:val="auto"/>
                <w:spacing w:val="0"/>
                <w:sz w:val="24"/>
                <w:szCs w:val="24"/>
                <w:highlight w:val="none"/>
                <w:lang w:val="en-US" w:eastAsia="zh-CN"/>
              </w:rPr>
              <w:t>分别</w:t>
            </w:r>
            <w:r>
              <w:rPr>
                <w:rFonts w:hint="eastAsia" w:ascii="Times New Roman" w:hAnsi="Times New Roman" w:eastAsia="宋体" w:cs="Times New Roman"/>
                <w:b w:val="0"/>
                <w:bCs/>
                <w:color w:val="auto"/>
                <w:spacing w:val="0"/>
                <w:sz w:val="24"/>
                <w:szCs w:val="24"/>
                <w:highlight w:val="none"/>
                <w:lang w:val="en-US" w:eastAsia="zh-CN"/>
              </w:rPr>
              <w:t>存储洗选后的</w:t>
            </w:r>
            <w:r>
              <w:rPr>
                <w:rFonts w:hint="eastAsia" w:cs="Times New Roman"/>
                <w:b w:val="0"/>
                <w:bCs/>
                <w:color w:val="auto"/>
                <w:spacing w:val="0"/>
                <w:sz w:val="24"/>
                <w:szCs w:val="24"/>
                <w:highlight w:val="none"/>
                <w:lang w:val="en-US" w:eastAsia="zh-CN"/>
              </w:rPr>
              <w:t>三</w:t>
            </w:r>
            <w:r>
              <w:rPr>
                <w:rFonts w:hint="eastAsia" w:ascii="Times New Roman" w:hAnsi="Times New Roman" w:eastAsia="宋体" w:cs="Times New Roman"/>
                <w:b w:val="0"/>
                <w:bCs/>
                <w:color w:val="auto"/>
                <w:spacing w:val="0"/>
                <w:sz w:val="24"/>
                <w:szCs w:val="24"/>
                <w:highlight w:val="none"/>
                <w:lang w:val="en-US" w:eastAsia="zh-CN"/>
              </w:rPr>
              <w:t>个品种煤，没有空余的末煤仓单独储存15号煤洗后末煤，需新建1座15号末煤仓。</w:t>
            </w:r>
          </w:p>
          <w:p w14:paraId="7928BC7C">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eastAsia" w:ascii="Times New Roman" w:hAnsi="Times New Roman" w:eastAsia="宋体" w:cs="Times New Roman"/>
                <w:b w:val="0"/>
                <w:bCs/>
                <w:color w:val="auto"/>
                <w:spacing w:val="0"/>
                <w:sz w:val="24"/>
                <w:szCs w:val="24"/>
                <w:highlight w:val="none"/>
                <w:lang w:val="en-US" w:eastAsia="zh-CN"/>
              </w:rPr>
            </w:pPr>
            <w:r>
              <w:rPr>
                <w:rFonts w:hint="eastAsia" w:ascii="Times New Roman" w:hAnsi="Times New Roman" w:eastAsia="宋体" w:cs="Times New Roman"/>
                <w:b w:val="0"/>
                <w:bCs/>
                <w:color w:val="auto"/>
                <w:spacing w:val="0"/>
                <w:sz w:val="24"/>
                <w:szCs w:val="24"/>
                <w:highlight w:val="none"/>
                <w:lang w:val="en-US" w:eastAsia="zh-CN"/>
              </w:rPr>
              <w:t>在此背景下，晋能控股装备制造集团有限公司</w:t>
            </w:r>
            <w:r>
              <w:rPr>
                <w:rFonts w:hint="eastAsia" w:cs="Times New Roman"/>
                <w:b w:val="0"/>
                <w:bCs/>
                <w:color w:val="auto"/>
                <w:spacing w:val="0"/>
                <w:sz w:val="24"/>
                <w:szCs w:val="24"/>
                <w:highlight w:val="none"/>
                <w:lang w:val="en-US" w:eastAsia="zh-CN"/>
              </w:rPr>
              <w:t>于</w:t>
            </w:r>
            <w:r>
              <w:rPr>
                <w:rFonts w:hint="eastAsia" w:ascii="Times New Roman" w:hAnsi="Times New Roman" w:eastAsia="宋体" w:cs="Times New Roman"/>
                <w:b w:val="0"/>
                <w:bCs/>
                <w:color w:val="auto"/>
                <w:spacing w:val="0"/>
                <w:sz w:val="24"/>
                <w:szCs w:val="24"/>
                <w:highlight w:val="none"/>
                <w:lang w:val="en-US" w:eastAsia="zh-CN"/>
              </w:rPr>
              <w:t>2025年11月下发《晋能控股装置制造集团有限公司关于赵庄煤业15号煤配采选煤厂配套工程立项的批复》（晋控装备计发函〔2025〕416号）。</w:t>
            </w:r>
          </w:p>
          <w:p w14:paraId="60009B11">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eastAsia" w:ascii="Times New Roman" w:hAnsi="Times New Roman" w:eastAsia="宋体" w:cs="Times New Roman"/>
                <w:bCs/>
                <w:color w:val="auto"/>
                <w:spacing w:val="0"/>
                <w:sz w:val="24"/>
                <w:szCs w:val="24"/>
                <w:highlight w:val="none"/>
                <w:lang w:val="en-US" w:eastAsia="zh-CN"/>
              </w:rPr>
            </w:pPr>
            <w:r>
              <w:rPr>
                <w:rFonts w:hint="eastAsia" w:ascii="Times New Roman" w:hAnsi="Times New Roman" w:eastAsia="宋体" w:cs="Times New Roman"/>
                <w:bCs/>
                <w:color w:val="auto"/>
                <w:spacing w:val="0"/>
                <w:sz w:val="24"/>
                <w:szCs w:val="24"/>
                <w:highlight w:val="none"/>
                <w:lang w:val="en-US" w:eastAsia="zh-CN"/>
              </w:rPr>
              <w:t>本项目具体的建设内容为：在洗煤厂现有厂区西南侧，新建1座15号煤原</w:t>
            </w:r>
            <w:r>
              <w:rPr>
                <w:rFonts w:hint="eastAsia" w:cs="Times New Roman"/>
                <w:bCs/>
                <w:color w:val="auto"/>
                <w:spacing w:val="0"/>
                <w:sz w:val="24"/>
                <w:szCs w:val="24"/>
                <w:highlight w:val="none"/>
                <w:lang w:val="en-US" w:eastAsia="zh-CN"/>
              </w:rPr>
              <w:t>煤</w:t>
            </w:r>
            <w:r>
              <w:rPr>
                <w:rFonts w:hint="eastAsia" w:ascii="Times New Roman" w:hAnsi="Times New Roman" w:eastAsia="宋体" w:cs="Times New Roman"/>
                <w:bCs/>
                <w:color w:val="auto"/>
                <w:spacing w:val="0"/>
                <w:sz w:val="24"/>
                <w:szCs w:val="24"/>
                <w:highlight w:val="none"/>
                <w:lang w:val="en-US" w:eastAsia="zh-CN"/>
              </w:rPr>
              <w:t>仓、1座15号煤末煤仓</w:t>
            </w:r>
            <w:r>
              <w:rPr>
                <w:rFonts w:hint="eastAsia" w:cs="Times New Roman"/>
                <w:bCs/>
                <w:color w:val="auto"/>
                <w:spacing w:val="0"/>
                <w:sz w:val="24"/>
                <w:szCs w:val="24"/>
                <w:highlight w:val="none"/>
                <w:lang w:val="en-US" w:eastAsia="zh-CN"/>
              </w:rPr>
              <w:t>、两座配电室等配套工程，在原煤仓西侧</w:t>
            </w:r>
            <w:r>
              <w:rPr>
                <w:rFonts w:hint="eastAsia" w:cs="Times New Roman"/>
                <w:color w:val="auto"/>
                <w:spacing w:val="0"/>
                <w:sz w:val="24"/>
                <w:szCs w:val="20"/>
                <w:highlight w:val="none"/>
                <w:lang w:val="en-US" w:eastAsia="zh-CN"/>
              </w:rPr>
              <w:t>新建1座初期雨水收集池</w:t>
            </w:r>
            <w:r>
              <w:rPr>
                <w:rFonts w:hint="eastAsia" w:ascii="Times New Roman" w:hAnsi="Times New Roman" w:eastAsia="宋体" w:cs="Times New Roman"/>
                <w:bCs/>
                <w:color w:val="auto"/>
                <w:spacing w:val="0"/>
                <w:sz w:val="24"/>
                <w:szCs w:val="24"/>
                <w:highlight w:val="none"/>
                <w:lang w:val="en-US" w:eastAsia="zh-CN"/>
              </w:rPr>
              <w:t>，不涉及新增征地</w:t>
            </w:r>
            <w:r>
              <w:rPr>
                <w:rFonts w:hint="eastAsia" w:cs="Times New Roman"/>
                <w:color w:val="auto"/>
                <w:spacing w:val="0"/>
                <w:sz w:val="24"/>
                <w:szCs w:val="20"/>
                <w:highlight w:val="none"/>
                <w:lang w:val="en-US" w:eastAsia="zh-CN"/>
              </w:rPr>
              <w:t>。</w:t>
            </w:r>
          </w:p>
          <w:p w14:paraId="6A3E08C3">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bCs/>
                <w:color w:val="auto"/>
                <w:spacing w:val="0"/>
                <w:sz w:val="24"/>
                <w:szCs w:val="24"/>
                <w:highlight w:val="none"/>
                <w:lang w:val="en-US" w:eastAsia="zh-CN"/>
              </w:rPr>
            </w:pPr>
            <w:r>
              <w:rPr>
                <w:rFonts w:hint="default" w:ascii="Times New Roman" w:hAnsi="Times New Roman" w:eastAsia="宋体" w:cs="Times New Roman"/>
                <w:bCs/>
                <w:color w:val="auto"/>
                <w:spacing w:val="0"/>
                <w:sz w:val="24"/>
                <w:szCs w:val="24"/>
                <w:highlight w:val="none"/>
                <w:lang w:val="en-US" w:eastAsia="zh-CN"/>
              </w:rPr>
              <w:t>根据《建设项目环境影响评价分类管理名录（2021年版）》，本项目属于名录中“四、</w:t>
            </w:r>
            <w:r>
              <w:rPr>
                <w:rFonts w:hint="eastAsia" w:cs="Times New Roman"/>
                <w:bCs/>
                <w:color w:val="auto"/>
                <w:spacing w:val="0"/>
                <w:sz w:val="24"/>
                <w:szCs w:val="24"/>
                <w:highlight w:val="none"/>
                <w:lang w:val="en-US" w:eastAsia="zh-CN"/>
              </w:rPr>
              <w:t>煤炭开采和洗选业 06—6、烟煤和无烟煤开采洗选—煤炭储存、集运</w:t>
            </w:r>
            <w:r>
              <w:rPr>
                <w:rFonts w:hint="default" w:ascii="Times New Roman" w:hAnsi="Times New Roman" w:eastAsia="宋体" w:cs="Times New Roman"/>
                <w:bCs/>
                <w:color w:val="auto"/>
                <w:spacing w:val="0"/>
                <w:sz w:val="24"/>
                <w:szCs w:val="24"/>
                <w:highlight w:val="none"/>
                <w:lang w:val="en-US" w:eastAsia="zh-CN"/>
              </w:rPr>
              <w:t>”，应当编制环境影响报告表。</w:t>
            </w:r>
          </w:p>
          <w:p w14:paraId="70E6C451">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b w:val="0"/>
                <w:bCs/>
                <w:color w:val="auto"/>
                <w:spacing w:val="0"/>
                <w:sz w:val="24"/>
                <w:szCs w:val="24"/>
                <w:highlight w:val="none"/>
                <w:lang w:val="en-US" w:eastAsia="zh-CN"/>
              </w:rPr>
            </w:pPr>
            <w:r>
              <w:rPr>
                <w:rFonts w:hint="default" w:ascii="Times New Roman" w:hAnsi="Times New Roman" w:eastAsia="宋体" w:cs="Times New Roman"/>
                <w:bCs/>
                <w:color w:val="auto"/>
                <w:spacing w:val="0"/>
                <w:sz w:val="24"/>
                <w:szCs w:val="24"/>
                <w:highlight w:val="none"/>
                <w:lang w:val="en-US" w:eastAsia="zh-CN"/>
              </w:rPr>
              <w:t>202</w:t>
            </w:r>
            <w:r>
              <w:rPr>
                <w:rFonts w:hint="eastAsia" w:cs="Times New Roman"/>
                <w:bCs/>
                <w:color w:val="auto"/>
                <w:spacing w:val="0"/>
                <w:sz w:val="24"/>
                <w:szCs w:val="24"/>
                <w:highlight w:val="none"/>
                <w:lang w:val="en-US" w:eastAsia="zh-CN"/>
              </w:rPr>
              <w:t>6</w:t>
            </w:r>
            <w:r>
              <w:rPr>
                <w:rFonts w:hint="default" w:ascii="Times New Roman" w:hAnsi="Times New Roman" w:eastAsia="宋体" w:cs="Times New Roman"/>
                <w:bCs/>
                <w:color w:val="auto"/>
                <w:spacing w:val="0"/>
                <w:sz w:val="24"/>
                <w:szCs w:val="24"/>
                <w:highlight w:val="none"/>
                <w:lang w:val="en-US" w:eastAsia="zh-CN"/>
              </w:rPr>
              <w:t>年</w:t>
            </w:r>
            <w:r>
              <w:rPr>
                <w:rFonts w:hint="eastAsia" w:cs="Times New Roman"/>
                <w:bCs/>
                <w:color w:val="auto"/>
                <w:spacing w:val="0"/>
                <w:sz w:val="24"/>
                <w:szCs w:val="24"/>
                <w:highlight w:val="none"/>
                <w:lang w:val="en-US" w:eastAsia="zh-CN"/>
              </w:rPr>
              <w:t>6</w:t>
            </w:r>
            <w:r>
              <w:rPr>
                <w:rFonts w:hint="default" w:ascii="Times New Roman" w:hAnsi="Times New Roman" w:eastAsia="宋体" w:cs="Times New Roman"/>
                <w:bCs/>
                <w:color w:val="auto"/>
                <w:spacing w:val="0"/>
                <w:sz w:val="24"/>
                <w:szCs w:val="24"/>
                <w:highlight w:val="none"/>
                <w:lang w:val="en-US" w:eastAsia="zh-CN"/>
              </w:rPr>
              <w:t>月，</w:t>
            </w:r>
            <w:r>
              <w:rPr>
                <w:rFonts w:hint="eastAsia" w:cs="Times New Roman"/>
                <w:bCs/>
                <w:color w:val="auto"/>
                <w:spacing w:val="0"/>
                <w:sz w:val="24"/>
                <w:szCs w:val="24"/>
                <w:highlight w:val="none"/>
                <w:lang w:val="en-US" w:eastAsia="zh-CN"/>
              </w:rPr>
              <w:t>山西晋煤集团赵庄煤业有限责任公司</w:t>
            </w:r>
            <w:r>
              <w:rPr>
                <w:rFonts w:hint="default" w:ascii="Times New Roman" w:hAnsi="Times New Roman" w:eastAsia="宋体" w:cs="Times New Roman"/>
                <w:bCs/>
                <w:color w:val="auto"/>
                <w:spacing w:val="0"/>
                <w:sz w:val="24"/>
                <w:szCs w:val="24"/>
                <w:highlight w:val="none"/>
                <w:lang w:val="en-US" w:eastAsia="zh-CN"/>
              </w:rPr>
              <w:t>委托我公司承担该项目的环境影响评价工作（见附件1）。在接受委托后，我公司收集了有关资料，对建设项目进行了现场踏勘，在</w:t>
            </w:r>
            <w:r>
              <w:rPr>
                <w:rFonts w:hint="eastAsia" w:ascii="Times New Roman" w:hAnsi="Times New Roman" w:eastAsia="宋体" w:cs="Times New Roman"/>
                <w:bCs/>
                <w:color w:val="auto"/>
                <w:spacing w:val="0"/>
                <w:sz w:val="24"/>
                <w:szCs w:val="24"/>
                <w:highlight w:val="none"/>
                <w:lang w:val="en-US" w:eastAsia="zh-CN"/>
              </w:rPr>
              <w:t>此</w:t>
            </w:r>
            <w:r>
              <w:rPr>
                <w:rFonts w:hint="default" w:ascii="Times New Roman" w:hAnsi="Times New Roman" w:eastAsia="宋体" w:cs="Times New Roman"/>
                <w:bCs/>
                <w:color w:val="auto"/>
                <w:spacing w:val="0"/>
                <w:sz w:val="24"/>
                <w:szCs w:val="24"/>
                <w:highlight w:val="none"/>
                <w:lang w:val="en-US" w:eastAsia="zh-CN"/>
              </w:rPr>
              <w:t>基础上编制完成了</w:t>
            </w:r>
            <w:r>
              <w:rPr>
                <w:rFonts w:hint="eastAsia" w:ascii="Times New Roman" w:hAnsi="Times New Roman" w:eastAsia="宋体" w:cs="Times New Roman"/>
                <w:bCs/>
                <w:color w:val="auto"/>
                <w:spacing w:val="0"/>
                <w:sz w:val="24"/>
                <w:szCs w:val="24"/>
                <w:highlight w:val="none"/>
                <w:lang w:val="en-US" w:eastAsia="zh-CN"/>
              </w:rPr>
              <w:t>《</w:t>
            </w:r>
            <w:r>
              <w:rPr>
                <w:rFonts w:hint="eastAsia" w:cs="Times New Roman"/>
                <w:bCs/>
                <w:color w:val="auto"/>
                <w:spacing w:val="0"/>
                <w:sz w:val="24"/>
                <w:szCs w:val="24"/>
                <w:highlight w:val="none"/>
                <w:lang w:val="en-US" w:eastAsia="zh-CN"/>
              </w:rPr>
              <w:t>赵庄煤业15号煤配采选煤厂配套工程</w:t>
            </w:r>
            <w:r>
              <w:rPr>
                <w:rFonts w:hint="default" w:ascii="Times New Roman" w:hAnsi="Times New Roman" w:eastAsia="宋体" w:cs="Times New Roman"/>
                <w:bCs/>
                <w:color w:val="auto"/>
                <w:spacing w:val="0"/>
                <w:sz w:val="24"/>
                <w:szCs w:val="24"/>
                <w:highlight w:val="none"/>
                <w:lang w:val="en-US" w:eastAsia="zh-CN"/>
              </w:rPr>
              <w:t>环境影响报告表</w:t>
            </w:r>
            <w:r>
              <w:rPr>
                <w:rFonts w:hint="eastAsia" w:ascii="Times New Roman" w:hAnsi="Times New Roman" w:eastAsia="宋体" w:cs="Times New Roman"/>
                <w:bCs/>
                <w:color w:val="auto"/>
                <w:spacing w:val="0"/>
                <w:sz w:val="24"/>
                <w:szCs w:val="24"/>
                <w:highlight w:val="none"/>
                <w:lang w:val="en-US" w:eastAsia="zh-CN"/>
              </w:rPr>
              <w:t>》</w:t>
            </w:r>
            <w:r>
              <w:rPr>
                <w:rFonts w:hint="default" w:ascii="Times New Roman" w:hAnsi="Times New Roman" w:eastAsia="宋体" w:cs="Times New Roman"/>
                <w:bCs/>
                <w:color w:val="auto"/>
                <w:spacing w:val="0"/>
                <w:sz w:val="24"/>
                <w:szCs w:val="24"/>
                <w:highlight w:val="none"/>
                <w:lang w:val="en-US" w:eastAsia="zh-CN"/>
              </w:rPr>
              <w:t>。</w:t>
            </w:r>
            <w:r>
              <w:rPr>
                <w:rFonts w:hint="eastAsia" w:cs="Times New Roman"/>
                <w:bCs/>
                <w:color w:val="auto"/>
                <w:spacing w:val="0"/>
                <w:sz w:val="24"/>
                <w:szCs w:val="24"/>
                <w:highlight w:val="none"/>
                <w:lang w:val="en-US" w:eastAsia="zh-CN"/>
              </w:rPr>
              <w:t>本次评价范围只针对新建1座15号煤原煤筒仓、1座15号煤末煤筒仓、两座配电室等配套工程。</w:t>
            </w:r>
          </w:p>
          <w:p w14:paraId="6503D589">
            <w:pPr>
              <w:keepNext w:val="0"/>
              <w:keepLines w:val="0"/>
              <w:pageBreakBefore w:val="0"/>
              <w:widowControl w:val="0"/>
              <w:kinsoku/>
              <w:wordWrap/>
              <w:overflowPunct/>
              <w:topLinePunct w:val="0"/>
              <w:autoSpaceDE w:val="0"/>
              <w:autoSpaceDN w:val="0"/>
              <w:bidi w:val="0"/>
              <w:adjustRightInd w:val="0"/>
              <w:snapToGrid w:val="0"/>
              <w:spacing w:line="480" w:lineRule="exact"/>
              <w:ind w:firstLine="482" w:firstLineChars="200"/>
              <w:jc w:val="both"/>
              <w:textAlignment w:val="auto"/>
              <w:rPr>
                <w:rFonts w:hint="default" w:ascii="Times New Roman" w:hAnsi="Times New Roman" w:eastAsia="宋体" w:cs="Times New Roman"/>
                <w:color w:val="auto"/>
                <w:spacing w:val="0"/>
                <w:sz w:val="24"/>
                <w:szCs w:val="24"/>
                <w:highlight w:val="none"/>
              </w:rPr>
            </w:pPr>
            <w:r>
              <w:rPr>
                <w:rFonts w:hint="default" w:ascii="Times New Roman" w:hAnsi="Times New Roman" w:eastAsia="宋体" w:cs="Times New Roman"/>
                <w:b/>
                <w:color w:val="auto"/>
                <w:spacing w:val="0"/>
                <w:sz w:val="24"/>
                <w:szCs w:val="24"/>
                <w:highlight w:val="none"/>
                <w:lang w:val="en-US" w:eastAsia="zh-CN"/>
              </w:rPr>
              <w:t>2.</w:t>
            </w:r>
            <w:r>
              <w:rPr>
                <w:rFonts w:hint="eastAsia" w:ascii="Times New Roman" w:hAnsi="Times New Roman" w:eastAsia="宋体" w:cs="Times New Roman"/>
                <w:b/>
                <w:color w:val="auto"/>
                <w:spacing w:val="0"/>
                <w:sz w:val="24"/>
                <w:szCs w:val="24"/>
                <w:highlight w:val="none"/>
                <w:lang w:val="en-US" w:eastAsia="zh-CN"/>
              </w:rPr>
              <w:t xml:space="preserve">2 </w:t>
            </w:r>
            <w:r>
              <w:rPr>
                <w:rFonts w:hint="default" w:ascii="Times New Roman" w:hAnsi="Times New Roman" w:eastAsia="宋体" w:cs="Times New Roman"/>
                <w:b/>
                <w:color w:val="auto"/>
                <w:spacing w:val="0"/>
                <w:sz w:val="24"/>
                <w:szCs w:val="24"/>
                <w:highlight w:val="none"/>
                <w:lang w:val="en-US" w:eastAsia="zh-CN"/>
              </w:rPr>
              <w:t>工程组成</w:t>
            </w:r>
          </w:p>
          <w:p w14:paraId="7534D786">
            <w:pPr>
              <w:keepNext w:val="0"/>
              <w:keepLines w:val="0"/>
              <w:pageBreakBefore w:val="0"/>
              <w:widowControl w:val="0"/>
              <w:kinsoku/>
              <w:wordWrap/>
              <w:overflowPunct/>
              <w:topLinePunct w:val="0"/>
              <w:bidi w:val="0"/>
              <w:spacing w:line="480" w:lineRule="exact"/>
              <w:ind w:firstLine="480" w:firstLineChars="200"/>
              <w:textAlignment w:val="auto"/>
              <w:rPr>
                <w:rFonts w:hint="default" w:ascii="Times New Roman" w:hAnsi="Times New Roman" w:eastAsia="宋体" w:cs="Times New Roman"/>
                <w:color w:val="auto"/>
                <w:spacing w:val="0"/>
                <w:sz w:val="24"/>
                <w:szCs w:val="20"/>
                <w:highlight w:val="none"/>
                <w:lang w:val="en-US" w:eastAsia="zh-CN"/>
              </w:rPr>
            </w:pPr>
            <w:r>
              <w:rPr>
                <w:rFonts w:hint="eastAsia" w:cs="Times New Roman"/>
                <w:color w:val="auto"/>
                <w:spacing w:val="0"/>
                <w:sz w:val="24"/>
                <w:szCs w:val="20"/>
                <w:highlight w:val="none"/>
                <w:lang w:val="en-US" w:eastAsia="zh-CN"/>
              </w:rPr>
              <w:t>本次建设内容主要为：</w:t>
            </w:r>
            <w:r>
              <w:rPr>
                <w:rFonts w:hint="eastAsia" w:ascii="Times New Roman" w:hAnsi="Times New Roman" w:eastAsia="宋体" w:cs="Times New Roman"/>
                <w:bCs/>
                <w:color w:val="auto"/>
                <w:spacing w:val="0"/>
                <w:sz w:val="24"/>
                <w:szCs w:val="24"/>
                <w:highlight w:val="none"/>
                <w:lang w:val="en-US" w:eastAsia="zh-CN"/>
              </w:rPr>
              <w:t>在洗煤厂现有厂区西南侧，建设1座15号煤原</w:t>
            </w:r>
            <w:r>
              <w:rPr>
                <w:rFonts w:hint="eastAsia" w:cs="Times New Roman"/>
                <w:bCs/>
                <w:color w:val="auto"/>
                <w:spacing w:val="0"/>
                <w:sz w:val="24"/>
                <w:szCs w:val="24"/>
                <w:highlight w:val="none"/>
                <w:lang w:val="en-US" w:eastAsia="zh-CN"/>
              </w:rPr>
              <w:t>煤</w:t>
            </w:r>
            <w:r>
              <w:rPr>
                <w:rFonts w:hint="eastAsia" w:ascii="Times New Roman" w:hAnsi="Times New Roman" w:eastAsia="宋体" w:cs="Times New Roman"/>
                <w:bCs/>
                <w:color w:val="auto"/>
                <w:spacing w:val="0"/>
                <w:sz w:val="24"/>
                <w:szCs w:val="24"/>
                <w:highlight w:val="none"/>
                <w:lang w:val="en-US" w:eastAsia="zh-CN"/>
              </w:rPr>
              <w:t>仓、1座15号煤末煤仓</w:t>
            </w:r>
            <w:r>
              <w:rPr>
                <w:rFonts w:hint="eastAsia" w:cs="Times New Roman"/>
                <w:bCs/>
                <w:color w:val="auto"/>
                <w:spacing w:val="0"/>
                <w:sz w:val="24"/>
                <w:szCs w:val="24"/>
                <w:highlight w:val="none"/>
                <w:lang w:val="en-US" w:eastAsia="zh-CN"/>
              </w:rPr>
              <w:t>、两座配电室等配套工程，在原煤仓西侧建设</w:t>
            </w:r>
            <w:r>
              <w:rPr>
                <w:rFonts w:hint="eastAsia" w:cs="Times New Roman"/>
                <w:color w:val="auto"/>
                <w:spacing w:val="0"/>
                <w:sz w:val="24"/>
                <w:szCs w:val="20"/>
                <w:highlight w:val="none"/>
                <w:lang w:val="en-US" w:eastAsia="zh-CN"/>
              </w:rPr>
              <w:t>1座初期雨水收集池</w:t>
            </w:r>
            <w:r>
              <w:rPr>
                <w:rFonts w:hint="eastAsia" w:ascii="Times New Roman" w:hAnsi="Times New Roman" w:eastAsia="宋体" w:cs="Times New Roman"/>
                <w:bCs/>
                <w:color w:val="auto"/>
                <w:spacing w:val="0"/>
                <w:sz w:val="24"/>
                <w:szCs w:val="24"/>
                <w:highlight w:val="none"/>
                <w:lang w:val="en-US" w:eastAsia="zh-CN"/>
              </w:rPr>
              <w:t>，不涉及新增征地</w:t>
            </w:r>
            <w:r>
              <w:rPr>
                <w:rFonts w:hint="eastAsia" w:cs="Times New Roman"/>
                <w:color w:val="auto"/>
                <w:spacing w:val="0"/>
                <w:sz w:val="24"/>
                <w:szCs w:val="20"/>
                <w:highlight w:val="none"/>
                <w:lang w:val="en-US" w:eastAsia="zh-CN"/>
              </w:rPr>
              <w:t>。本矿开采15号煤与3号煤在井下分装、分运、分时段提升储存，15号原煤经顺槽带式输送机、巷道带式输送机、15煤配仓带式输送机转载至主斜井井底15号煤仓，由15号煤仓仓下给料机进入仓下转载皮带输送至主斜井带式输送机输送至地面，通过仓顶移动式配仓皮带进入本项目15号原煤筒仓进行储存。再通过仓下给煤机、皮带输送机进入洗选车间进行筛分、洗选，洗选后通过现有产品皮带输送至仓顶，通过仓顶移动式配仓皮带进入本项目15号末煤筒仓，随后通过仓下给煤机、皮带输送机进入装车点进行外运。</w:t>
            </w:r>
          </w:p>
          <w:p w14:paraId="4B86F2C0">
            <w:pPr>
              <w:keepNext w:val="0"/>
              <w:keepLines w:val="0"/>
              <w:pageBreakBefore w:val="0"/>
              <w:widowControl w:val="0"/>
              <w:kinsoku/>
              <w:wordWrap/>
              <w:overflowPunct/>
              <w:topLinePunct w:val="0"/>
              <w:bidi w:val="0"/>
              <w:spacing w:line="480" w:lineRule="exact"/>
              <w:ind w:firstLine="480" w:firstLineChars="200"/>
              <w:textAlignment w:val="auto"/>
              <w:rPr>
                <w:rFonts w:hint="default" w:ascii="Times New Roman" w:hAnsi="Times New Roman" w:eastAsia="宋体" w:cs="Times New Roman"/>
                <w:bCs/>
                <w:color w:val="auto"/>
                <w:spacing w:val="0"/>
                <w:sz w:val="24"/>
                <w:szCs w:val="24"/>
                <w:highlight w:val="none"/>
                <w:lang w:val="en-US" w:eastAsia="zh-CN"/>
              </w:rPr>
            </w:pPr>
            <w:r>
              <w:rPr>
                <w:rFonts w:hint="default" w:ascii="Times New Roman" w:hAnsi="Times New Roman" w:eastAsia="宋体" w:cs="Times New Roman"/>
                <w:color w:val="auto"/>
                <w:spacing w:val="0"/>
                <w:sz w:val="24"/>
                <w:szCs w:val="20"/>
                <w:highlight w:val="none"/>
                <w:lang w:val="en-US" w:eastAsia="zh-CN"/>
              </w:rPr>
              <w:t>项目组成</w:t>
            </w:r>
            <w:r>
              <w:rPr>
                <w:rFonts w:hint="default" w:ascii="Times New Roman" w:hAnsi="Times New Roman" w:eastAsia="宋体" w:cs="Times New Roman"/>
                <w:color w:val="auto"/>
                <w:spacing w:val="0"/>
                <w:sz w:val="24"/>
                <w:szCs w:val="20"/>
                <w:highlight w:val="none"/>
              </w:rPr>
              <w:t>内容见表</w:t>
            </w:r>
            <w:r>
              <w:rPr>
                <w:rFonts w:hint="eastAsia" w:cs="Times New Roman"/>
                <w:color w:val="auto"/>
                <w:spacing w:val="0"/>
                <w:sz w:val="24"/>
                <w:szCs w:val="20"/>
                <w:highlight w:val="none"/>
                <w:lang w:val="en-US" w:eastAsia="zh-CN"/>
              </w:rPr>
              <w:t>2.2</w:t>
            </w:r>
            <w:r>
              <w:rPr>
                <w:rFonts w:hint="default" w:ascii="Times New Roman" w:hAnsi="Times New Roman" w:eastAsia="宋体" w:cs="Times New Roman"/>
                <w:color w:val="auto"/>
                <w:spacing w:val="0"/>
                <w:sz w:val="24"/>
                <w:szCs w:val="20"/>
                <w:highlight w:val="none"/>
              </w:rPr>
              <w:t>-1。</w:t>
            </w:r>
          </w:p>
          <w:p w14:paraId="59973F30">
            <w:pPr>
              <w:keepNext w:val="0"/>
              <w:keepLines w:val="0"/>
              <w:pageBreakBefore w:val="0"/>
              <w:widowControl w:val="0"/>
              <w:kinsoku/>
              <w:wordWrap/>
              <w:overflowPunct/>
              <w:topLinePunct w:val="0"/>
              <w:autoSpaceDE/>
              <w:autoSpaceDN/>
              <w:bidi w:val="0"/>
              <w:adjustRightInd/>
              <w:snapToGrid/>
              <w:spacing w:before="0" w:after="0" w:line="480" w:lineRule="exact"/>
              <w:ind w:firstLine="0" w:firstLineChars="0"/>
              <w:jc w:val="center"/>
              <w:textAlignment w:val="baseline"/>
              <w:rPr>
                <w:rFonts w:hint="default" w:ascii="Times New Roman" w:hAnsi="Times New Roman" w:eastAsia="黑体" w:cs="Times New Roman"/>
                <w:iCs/>
                <w:snapToGrid w:val="0"/>
                <w:color w:val="auto"/>
                <w:spacing w:val="0"/>
                <w:kern w:val="0"/>
                <w:sz w:val="21"/>
                <w:szCs w:val="20"/>
                <w:highlight w:val="none"/>
                <w:lang w:val="en-US" w:eastAsia="zh-CN" w:bidi="ar-SA"/>
              </w:rPr>
            </w:pPr>
            <w:r>
              <w:rPr>
                <w:rFonts w:hint="default" w:ascii="Times New Roman" w:hAnsi="Times New Roman" w:eastAsia="黑体" w:cs="Times New Roman"/>
                <w:iCs/>
                <w:snapToGrid w:val="0"/>
                <w:color w:val="auto"/>
                <w:spacing w:val="0"/>
                <w:kern w:val="0"/>
                <w:sz w:val="21"/>
                <w:szCs w:val="20"/>
                <w:highlight w:val="none"/>
                <w:lang w:val="en-US" w:eastAsia="zh-CN" w:bidi="ar-SA"/>
              </w:rPr>
              <w:t>表</w:t>
            </w:r>
            <w:r>
              <w:rPr>
                <w:rFonts w:hint="eastAsia" w:ascii="Times New Roman" w:hAnsi="Times New Roman" w:eastAsia="黑体" w:cs="Times New Roman"/>
                <w:iCs/>
                <w:snapToGrid w:val="0"/>
                <w:color w:val="auto"/>
                <w:spacing w:val="0"/>
                <w:kern w:val="0"/>
                <w:sz w:val="21"/>
                <w:szCs w:val="20"/>
                <w:highlight w:val="none"/>
                <w:lang w:val="en-US" w:eastAsia="zh-CN" w:bidi="ar-SA"/>
              </w:rPr>
              <w:t>2</w:t>
            </w:r>
            <w:r>
              <w:rPr>
                <w:rFonts w:hint="eastAsia" w:eastAsia="黑体" w:cs="Times New Roman"/>
                <w:iCs/>
                <w:snapToGrid w:val="0"/>
                <w:color w:val="auto"/>
                <w:spacing w:val="0"/>
                <w:kern w:val="0"/>
                <w:sz w:val="21"/>
                <w:szCs w:val="20"/>
                <w:highlight w:val="none"/>
                <w:lang w:val="en-US" w:eastAsia="zh-CN" w:bidi="ar-SA"/>
              </w:rPr>
              <w:t>.2</w:t>
            </w:r>
            <w:r>
              <w:rPr>
                <w:rFonts w:hint="default" w:ascii="Times New Roman" w:hAnsi="Times New Roman" w:eastAsia="黑体" w:cs="Times New Roman"/>
                <w:iCs/>
                <w:snapToGrid w:val="0"/>
                <w:color w:val="auto"/>
                <w:spacing w:val="0"/>
                <w:kern w:val="0"/>
                <w:sz w:val="21"/>
                <w:szCs w:val="20"/>
                <w:highlight w:val="none"/>
                <w:lang w:val="en-US" w:eastAsia="zh-CN" w:bidi="ar-SA"/>
              </w:rPr>
              <w:t>-1  工程主要建设内容一览表</w:t>
            </w:r>
          </w:p>
          <w:tbl>
            <w:tblPr>
              <w:tblStyle w:val="26"/>
              <w:tblW w:w="79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454"/>
              <w:gridCol w:w="1063"/>
              <w:gridCol w:w="4866"/>
              <w:gridCol w:w="861"/>
            </w:tblGrid>
            <w:tr w14:paraId="49839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52" w:type="dxa"/>
                  <w:gridSpan w:val="3"/>
                  <w:tcBorders>
                    <w:tl2br w:val="nil"/>
                    <w:tr2bl w:val="nil"/>
                  </w:tcBorders>
                  <w:noWrap w:val="0"/>
                  <w:vAlign w:val="center"/>
                </w:tcPr>
                <w:p w14:paraId="2EE0C9D1">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项目</w:t>
                  </w:r>
                </w:p>
              </w:tc>
              <w:tc>
                <w:tcPr>
                  <w:tcW w:w="4866" w:type="dxa"/>
                  <w:tcBorders>
                    <w:tl2br w:val="nil"/>
                    <w:tr2bl w:val="nil"/>
                  </w:tcBorders>
                  <w:noWrap w:val="0"/>
                  <w:vAlign w:val="center"/>
                </w:tcPr>
                <w:p w14:paraId="0B9516F1">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工程建设内容</w:t>
                  </w:r>
                </w:p>
              </w:tc>
              <w:tc>
                <w:tcPr>
                  <w:tcW w:w="861" w:type="dxa"/>
                  <w:tcBorders>
                    <w:tl2br w:val="nil"/>
                    <w:tr2bl w:val="nil"/>
                  </w:tcBorders>
                  <w:noWrap w:val="0"/>
                  <w:vAlign w:val="center"/>
                </w:tcPr>
                <w:p w14:paraId="315F242E">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备注</w:t>
                  </w:r>
                </w:p>
              </w:tc>
            </w:tr>
            <w:tr w14:paraId="43769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5" w:type="dxa"/>
                  <w:vMerge w:val="restart"/>
                  <w:tcBorders>
                    <w:tl2br w:val="nil"/>
                    <w:tr2bl w:val="nil"/>
                  </w:tcBorders>
                  <w:noWrap w:val="0"/>
                  <w:vAlign w:val="center"/>
                </w:tcPr>
                <w:p w14:paraId="6D13150A">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主体</w:t>
                  </w:r>
                </w:p>
                <w:p w14:paraId="3AC28B06">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工程</w:t>
                  </w:r>
                </w:p>
              </w:tc>
              <w:tc>
                <w:tcPr>
                  <w:tcW w:w="1517" w:type="dxa"/>
                  <w:gridSpan w:val="2"/>
                  <w:tcBorders>
                    <w:tl2br w:val="nil"/>
                    <w:tr2bl w:val="nil"/>
                  </w:tcBorders>
                  <w:noWrap w:val="0"/>
                  <w:vAlign w:val="center"/>
                </w:tcPr>
                <w:p w14:paraId="684EE4AD">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原煤仓</w:t>
                  </w:r>
                </w:p>
              </w:tc>
              <w:tc>
                <w:tcPr>
                  <w:tcW w:w="4866" w:type="dxa"/>
                  <w:tcBorders>
                    <w:tl2br w:val="nil"/>
                    <w:tr2bl w:val="nil"/>
                  </w:tcBorders>
                  <w:noWrap w:val="0"/>
                  <w:vAlign w:val="center"/>
                </w:tcPr>
                <w:p w14:paraId="39C9D60C">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在现有原煤仓东侧建设一座原煤仓，内径21m，壁厚400mm，高度47.7m，采用筒壁与内柱共同支撑式钢筋混凝土圆筒仓，用于储存15号原煤。</w:t>
                  </w:r>
                </w:p>
              </w:tc>
              <w:tc>
                <w:tcPr>
                  <w:tcW w:w="861" w:type="dxa"/>
                  <w:tcBorders>
                    <w:tl2br w:val="nil"/>
                    <w:tr2bl w:val="nil"/>
                  </w:tcBorders>
                  <w:noWrap w:val="0"/>
                  <w:vAlign w:val="center"/>
                </w:tcPr>
                <w:p w14:paraId="2B0F36DF">
                  <w:pPr>
                    <w:pStyle w:val="48"/>
                    <w:bidi w:val="0"/>
                    <w:ind w:left="0" w:leftChars="0" w:firstLine="0" w:firstLineChars="0"/>
                    <w:jc w:val="center"/>
                    <w:rPr>
                      <w:rFonts w:hint="default"/>
                      <w:color w:val="auto"/>
                      <w:lang w:val="en-US" w:eastAsia="zh-CN"/>
                    </w:rPr>
                  </w:pPr>
                  <w:r>
                    <w:rPr>
                      <w:rFonts w:hint="eastAsia"/>
                      <w:color w:val="auto"/>
                      <w:lang w:val="en-US" w:eastAsia="zh-CN"/>
                    </w:rPr>
                    <w:t>新建</w:t>
                  </w:r>
                </w:p>
              </w:tc>
            </w:tr>
            <w:tr w14:paraId="0BF51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735" w:type="dxa"/>
                  <w:vMerge w:val="continue"/>
                  <w:tcBorders>
                    <w:tl2br w:val="nil"/>
                    <w:tr2bl w:val="nil"/>
                  </w:tcBorders>
                  <w:noWrap w:val="0"/>
                  <w:vAlign w:val="center"/>
                </w:tcPr>
                <w:p w14:paraId="7DC6E35F">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p>
              </w:tc>
              <w:tc>
                <w:tcPr>
                  <w:tcW w:w="1517" w:type="dxa"/>
                  <w:gridSpan w:val="2"/>
                  <w:tcBorders>
                    <w:tl2br w:val="nil"/>
                    <w:tr2bl w:val="nil"/>
                  </w:tcBorders>
                  <w:noWrap w:val="0"/>
                  <w:vAlign w:val="center"/>
                </w:tcPr>
                <w:p w14:paraId="194730E5">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末煤仓</w:t>
                  </w:r>
                </w:p>
              </w:tc>
              <w:tc>
                <w:tcPr>
                  <w:tcW w:w="4866" w:type="dxa"/>
                  <w:tcBorders>
                    <w:tl2br w:val="nil"/>
                    <w:tr2bl w:val="nil"/>
                  </w:tcBorders>
                  <w:noWrap w:val="0"/>
                  <w:vAlign w:val="center"/>
                </w:tcPr>
                <w:p w14:paraId="1FB3B318">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ascii="Times New Roman" w:hAnsi="Times New Roman"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在现有末煤仓西侧建设一座末煤仓，内径21m，壁厚400mm，高度45.9m，采用筒壁与内柱共同支撑式钢筋混凝土圆筒仓，用于储存15号煤洗后末煤。</w:t>
                  </w:r>
                </w:p>
              </w:tc>
              <w:tc>
                <w:tcPr>
                  <w:tcW w:w="861" w:type="dxa"/>
                  <w:tcBorders>
                    <w:tl2br w:val="nil"/>
                    <w:tr2bl w:val="nil"/>
                  </w:tcBorders>
                  <w:noWrap w:val="0"/>
                  <w:vAlign w:val="center"/>
                </w:tcPr>
                <w:p w14:paraId="36E7E892">
                  <w:pPr>
                    <w:pStyle w:val="48"/>
                    <w:bidi w:val="0"/>
                    <w:ind w:left="0" w:leftChars="0" w:firstLine="0" w:firstLineChars="0"/>
                    <w:jc w:val="center"/>
                    <w:rPr>
                      <w:rFonts w:hint="default"/>
                      <w:color w:val="auto"/>
                      <w:lang w:val="en-US" w:eastAsia="zh-CN"/>
                    </w:rPr>
                  </w:pPr>
                  <w:r>
                    <w:rPr>
                      <w:rFonts w:hint="eastAsia"/>
                      <w:color w:val="auto"/>
                      <w:lang w:val="en-US" w:eastAsia="zh-CN"/>
                    </w:rPr>
                    <w:t>新建</w:t>
                  </w:r>
                </w:p>
              </w:tc>
            </w:tr>
            <w:tr w14:paraId="264F8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735" w:type="dxa"/>
                  <w:vMerge w:val="restart"/>
                  <w:tcBorders>
                    <w:tl2br w:val="nil"/>
                    <w:tr2bl w:val="nil"/>
                  </w:tcBorders>
                  <w:noWrap w:val="0"/>
                  <w:vAlign w:val="center"/>
                </w:tcPr>
                <w:p w14:paraId="6319D05B">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辅助</w:t>
                  </w:r>
                </w:p>
                <w:p w14:paraId="0649844D">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工程</w:t>
                  </w:r>
                </w:p>
              </w:tc>
              <w:tc>
                <w:tcPr>
                  <w:tcW w:w="1517" w:type="dxa"/>
                  <w:gridSpan w:val="2"/>
                  <w:tcBorders>
                    <w:tl2br w:val="nil"/>
                    <w:tr2bl w:val="nil"/>
                  </w:tcBorders>
                  <w:noWrap w:val="0"/>
                  <w:vAlign w:val="center"/>
                </w:tcPr>
                <w:p w14:paraId="5B0FB176">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原煤仓仓顶房</w:t>
                  </w:r>
                </w:p>
              </w:tc>
              <w:tc>
                <w:tcPr>
                  <w:tcW w:w="4866" w:type="dxa"/>
                  <w:tcBorders>
                    <w:tl2br w:val="nil"/>
                    <w:tr2bl w:val="nil"/>
                  </w:tcBorders>
                  <w:noWrap w:val="0"/>
                  <w:vAlign w:val="center"/>
                </w:tcPr>
                <w:p w14:paraId="40B0CBD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长27.5m，宽12m，高3.5m，采用框架结构</w:t>
                  </w:r>
                  <w:r>
                    <w:rPr>
                      <w:rFonts w:hint="eastAsia" w:cs="Times New Roman"/>
                      <w:color w:val="auto"/>
                      <w:kern w:val="0"/>
                      <w:sz w:val="21"/>
                      <w:szCs w:val="21"/>
                      <w:lang w:val="en-US" w:eastAsia="zh-CN"/>
                    </w:rPr>
                    <w:t>，内置皮带机机头、卸煤溜槽等。</w:t>
                  </w:r>
                </w:p>
              </w:tc>
              <w:tc>
                <w:tcPr>
                  <w:tcW w:w="861" w:type="dxa"/>
                  <w:tcBorders>
                    <w:tl2br w:val="nil"/>
                    <w:tr2bl w:val="nil"/>
                  </w:tcBorders>
                  <w:noWrap w:val="0"/>
                  <w:vAlign w:val="center"/>
                </w:tcPr>
                <w:p w14:paraId="5934B909">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eastAsia="宋体" w:cs="Times New Roman"/>
                      <w:color w:val="auto"/>
                      <w:spacing w:val="-6"/>
                      <w:sz w:val="21"/>
                      <w:szCs w:val="21"/>
                      <w:lang w:val="en-US" w:eastAsia="zh-CN"/>
                    </w:rPr>
                  </w:pPr>
                  <w:r>
                    <w:rPr>
                      <w:rFonts w:hint="eastAsia" w:cs="Times New Roman"/>
                      <w:color w:val="auto"/>
                      <w:spacing w:val="-6"/>
                      <w:sz w:val="21"/>
                      <w:szCs w:val="21"/>
                      <w:lang w:val="en-US" w:eastAsia="zh-CN"/>
                    </w:rPr>
                    <w:t>新建</w:t>
                  </w:r>
                </w:p>
              </w:tc>
            </w:tr>
            <w:tr w14:paraId="008FC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735" w:type="dxa"/>
                  <w:vMerge w:val="continue"/>
                  <w:tcBorders>
                    <w:tl2br w:val="nil"/>
                    <w:tr2bl w:val="nil"/>
                  </w:tcBorders>
                  <w:noWrap w:val="0"/>
                  <w:vAlign w:val="center"/>
                </w:tcPr>
                <w:p w14:paraId="50A33938">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p>
              </w:tc>
              <w:tc>
                <w:tcPr>
                  <w:tcW w:w="1517" w:type="dxa"/>
                  <w:gridSpan w:val="2"/>
                  <w:tcBorders>
                    <w:tl2br w:val="nil"/>
                    <w:tr2bl w:val="nil"/>
                  </w:tcBorders>
                  <w:noWrap w:val="0"/>
                  <w:vAlign w:val="center"/>
                </w:tcPr>
                <w:p w14:paraId="27D41212">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原煤仓东侧仓下皮带走廊</w:t>
                  </w:r>
                </w:p>
              </w:tc>
              <w:tc>
                <w:tcPr>
                  <w:tcW w:w="4866" w:type="dxa"/>
                  <w:tcBorders>
                    <w:tl2br w:val="nil"/>
                    <w:tr2bl w:val="nil"/>
                  </w:tcBorders>
                  <w:noWrap w:val="0"/>
                  <w:vAlign w:val="center"/>
                </w:tcPr>
                <w:p w14:paraId="1332034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尺寸4m×3.6m，长度22m，共两条。门式</w:t>
                  </w:r>
                  <w:r>
                    <w:rPr>
                      <w:rFonts w:hint="eastAsia" w:cs="Times New Roman"/>
                      <w:color w:val="auto"/>
                      <w:kern w:val="0"/>
                      <w:sz w:val="21"/>
                      <w:szCs w:val="21"/>
                      <w:lang w:val="en-US" w:eastAsia="zh-CN"/>
                    </w:rPr>
                    <w:t>钢架</w:t>
                  </w:r>
                  <w:r>
                    <w:rPr>
                      <w:rFonts w:hint="eastAsia" w:ascii="Times New Roman" w:hAnsi="Times New Roman" w:cs="Times New Roman"/>
                      <w:color w:val="auto"/>
                      <w:kern w:val="0"/>
                      <w:sz w:val="21"/>
                      <w:szCs w:val="21"/>
                      <w:lang w:val="en-US" w:eastAsia="zh-CN"/>
                    </w:rPr>
                    <w:t>结构，基础为钢筋混凝土基础。</w:t>
                  </w:r>
                </w:p>
              </w:tc>
              <w:tc>
                <w:tcPr>
                  <w:tcW w:w="861" w:type="dxa"/>
                  <w:tcBorders>
                    <w:tl2br w:val="nil"/>
                    <w:tr2bl w:val="nil"/>
                  </w:tcBorders>
                  <w:noWrap w:val="0"/>
                  <w:vAlign w:val="center"/>
                </w:tcPr>
                <w:p w14:paraId="40EBDE2A">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cs="Times New Roman"/>
                      <w:color w:val="auto"/>
                      <w:spacing w:val="-6"/>
                      <w:sz w:val="21"/>
                      <w:szCs w:val="21"/>
                      <w:lang w:val="en-US" w:eastAsia="zh-CN"/>
                    </w:rPr>
                  </w:pPr>
                  <w:r>
                    <w:rPr>
                      <w:rFonts w:hint="eastAsia" w:cs="Times New Roman"/>
                      <w:color w:val="auto"/>
                      <w:spacing w:val="-6"/>
                      <w:sz w:val="21"/>
                      <w:szCs w:val="21"/>
                      <w:lang w:val="en-US" w:eastAsia="zh-CN"/>
                    </w:rPr>
                    <w:t>新建</w:t>
                  </w:r>
                </w:p>
              </w:tc>
            </w:tr>
            <w:tr w14:paraId="651FE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735" w:type="dxa"/>
                  <w:vMerge w:val="continue"/>
                  <w:tcBorders>
                    <w:tl2br w:val="nil"/>
                    <w:tr2bl w:val="nil"/>
                  </w:tcBorders>
                  <w:noWrap w:val="0"/>
                  <w:vAlign w:val="center"/>
                </w:tcPr>
                <w:p w14:paraId="3DE27585">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p>
              </w:tc>
              <w:tc>
                <w:tcPr>
                  <w:tcW w:w="1517" w:type="dxa"/>
                  <w:gridSpan w:val="2"/>
                  <w:tcBorders>
                    <w:tl2br w:val="nil"/>
                    <w:tr2bl w:val="nil"/>
                  </w:tcBorders>
                  <w:noWrap w:val="0"/>
                  <w:vAlign w:val="center"/>
                </w:tcPr>
                <w:p w14:paraId="5B9CDCA6">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pacing w:val="-4"/>
                      <w:sz w:val="21"/>
                      <w:szCs w:val="21"/>
                      <w:lang w:val="en-US" w:eastAsia="zh-CN"/>
                    </w:rPr>
                    <w:t>末煤仓仓顶房</w:t>
                  </w:r>
                </w:p>
              </w:tc>
              <w:tc>
                <w:tcPr>
                  <w:tcW w:w="4866" w:type="dxa"/>
                  <w:tcBorders>
                    <w:tl2br w:val="nil"/>
                    <w:tr2bl w:val="nil"/>
                  </w:tcBorders>
                  <w:noWrap w:val="0"/>
                  <w:vAlign w:val="center"/>
                </w:tcPr>
                <w:p w14:paraId="77CA739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pacing w:val="-4"/>
                      <w:sz w:val="21"/>
                      <w:szCs w:val="21"/>
                      <w:lang w:val="en-US" w:eastAsia="zh-CN"/>
                    </w:rPr>
                  </w:pPr>
                  <w:r>
                    <w:rPr>
                      <w:rFonts w:hint="default" w:ascii="Times New Roman" w:hAnsi="Times New Roman" w:eastAsia="宋体" w:cs="Times New Roman"/>
                      <w:color w:val="auto"/>
                      <w:spacing w:val="-4"/>
                      <w:sz w:val="21"/>
                      <w:szCs w:val="21"/>
                      <w:lang w:val="en-US" w:eastAsia="zh-CN"/>
                    </w:rPr>
                    <w:t>长27.5m</w:t>
                  </w:r>
                  <w:r>
                    <w:rPr>
                      <w:rFonts w:hint="eastAsia" w:cs="Times New Roman"/>
                      <w:color w:val="auto"/>
                      <w:spacing w:val="-4"/>
                      <w:sz w:val="21"/>
                      <w:szCs w:val="21"/>
                      <w:lang w:val="en-US" w:eastAsia="zh-CN"/>
                    </w:rPr>
                    <w:t>，</w:t>
                  </w:r>
                  <w:r>
                    <w:rPr>
                      <w:rFonts w:hint="default" w:ascii="Times New Roman" w:hAnsi="Times New Roman" w:eastAsia="宋体" w:cs="Times New Roman"/>
                      <w:color w:val="auto"/>
                      <w:spacing w:val="-4"/>
                      <w:sz w:val="21"/>
                      <w:szCs w:val="21"/>
                      <w:lang w:val="en-US" w:eastAsia="zh-CN"/>
                    </w:rPr>
                    <w:t>宽12m</w:t>
                  </w:r>
                  <w:r>
                    <w:rPr>
                      <w:rFonts w:hint="eastAsia" w:cs="Times New Roman"/>
                      <w:color w:val="auto"/>
                      <w:spacing w:val="-4"/>
                      <w:sz w:val="21"/>
                      <w:szCs w:val="21"/>
                      <w:lang w:val="en-US" w:eastAsia="zh-CN"/>
                    </w:rPr>
                    <w:t>，</w:t>
                  </w:r>
                  <w:r>
                    <w:rPr>
                      <w:rFonts w:hint="default" w:ascii="Times New Roman" w:hAnsi="Times New Roman" w:eastAsia="宋体" w:cs="Times New Roman"/>
                      <w:color w:val="auto"/>
                      <w:spacing w:val="-4"/>
                      <w:sz w:val="21"/>
                      <w:szCs w:val="21"/>
                      <w:lang w:val="en-US" w:eastAsia="zh-CN"/>
                    </w:rPr>
                    <w:t>高5m，采用框架结构</w:t>
                  </w:r>
                  <w:r>
                    <w:rPr>
                      <w:rFonts w:hint="eastAsia" w:cs="Times New Roman"/>
                      <w:color w:val="auto"/>
                      <w:kern w:val="0"/>
                      <w:sz w:val="21"/>
                      <w:szCs w:val="21"/>
                      <w:lang w:val="en-US" w:eastAsia="zh-CN"/>
                    </w:rPr>
                    <w:t>，内置皮带机机头、卸煤溜槽等。</w:t>
                  </w:r>
                </w:p>
              </w:tc>
              <w:tc>
                <w:tcPr>
                  <w:tcW w:w="861" w:type="dxa"/>
                  <w:tcBorders>
                    <w:tl2br w:val="nil"/>
                    <w:tr2bl w:val="nil"/>
                  </w:tcBorders>
                  <w:noWrap w:val="0"/>
                  <w:vAlign w:val="center"/>
                </w:tcPr>
                <w:p w14:paraId="208B95BF">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cs="Times New Roman"/>
                      <w:color w:val="auto"/>
                      <w:spacing w:val="-6"/>
                      <w:sz w:val="21"/>
                      <w:szCs w:val="21"/>
                      <w:lang w:val="en-US" w:eastAsia="zh-CN"/>
                    </w:rPr>
                  </w:pPr>
                  <w:r>
                    <w:rPr>
                      <w:rFonts w:hint="eastAsia" w:cs="Times New Roman"/>
                      <w:color w:val="auto"/>
                      <w:spacing w:val="-6"/>
                      <w:sz w:val="21"/>
                      <w:szCs w:val="21"/>
                      <w:lang w:val="en-US" w:eastAsia="zh-CN"/>
                    </w:rPr>
                    <w:t>新建</w:t>
                  </w:r>
                </w:p>
              </w:tc>
            </w:tr>
            <w:tr w14:paraId="33C90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735" w:type="dxa"/>
                  <w:vMerge w:val="continue"/>
                  <w:tcBorders>
                    <w:tl2br w:val="nil"/>
                    <w:tr2bl w:val="nil"/>
                  </w:tcBorders>
                  <w:noWrap w:val="0"/>
                  <w:vAlign w:val="center"/>
                </w:tcPr>
                <w:p w14:paraId="7E5B6FC4">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p>
              </w:tc>
              <w:tc>
                <w:tcPr>
                  <w:tcW w:w="1517" w:type="dxa"/>
                  <w:gridSpan w:val="2"/>
                  <w:tcBorders>
                    <w:tl2br w:val="nil"/>
                    <w:tr2bl w:val="nil"/>
                  </w:tcBorders>
                  <w:noWrap w:val="0"/>
                  <w:vAlign w:val="center"/>
                </w:tcPr>
                <w:p w14:paraId="6B09FDC8">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spacing w:val="-4"/>
                      <w:sz w:val="21"/>
                      <w:szCs w:val="21"/>
                      <w:lang w:val="en-US" w:eastAsia="zh-CN"/>
                    </w:rPr>
                  </w:pPr>
                  <w:r>
                    <w:rPr>
                      <w:rFonts w:hint="default" w:ascii="Times New Roman" w:hAnsi="Times New Roman" w:eastAsia="宋体" w:cs="Times New Roman"/>
                      <w:color w:val="auto"/>
                      <w:spacing w:val="-4"/>
                      <w:sz w:val="21"/>
                      <w:szCs w:val="21"/>
                      <w:lang w:val="en-US" w:eastAsia="zh-CN"/>
                    </w:rPr>
                    <w:t>末煤仓下皮带走廊</w:t>
                  </w:r>
                </w:p>
              </w:tc>
              <w:tc>
                <w:tcPr>
                  <w:tcW w:w="4866" w:type="dxa"/>
                  <w:tcBorders>
                    <w:tl2br w:val="nil"/>
                    <w:tr2bl w:val="nil"/>
                  </w:tcBorders>
                  <w:noWrap w:val="0"/>
                  <w:vAlign w:val="center"/>
                </w:tcPr>
                <w:p w14:paraId="6A6CA51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pacing w:val="-4"/>
                      <w:sz w:val="21"/>
                      <w:szCs w:val="21"/>
                      <w:lang w:val="en-US" w:eastAsia="zh-CN"/>
                    </w:rPr>
                  </w:pPr>
                  <w:r>
                    <w:rPr>
                      <w:rFonts w:hint="default" w:ascii="Times New Roman" w:hAnsi="Times New Roman" w:eastAsia="宋体" w:cs="Times New Roman"/>
                      <w:color w:val="auto"/>
                      <w:spacing w:val="-4"/>
                      <w:sz w:val="21"/>
                      <w:szCs w:val="21"/>
                      <w:lang w:val="en-US" w:eastAsia="zh-CN"/>
                    </w:rPr>
                    <w:t>尺寸5.4m×3.2m，长度10m，共一条。门式</w:t>
                  </w:r>
                  <w:r>
                    <w:rPr>
                      <w:rFonts w:hint="eastAsia" w:cs="Times New Roman"/>
                      <w:color w:val="auto"/>
                      <w:spacing w:val="-4"/>
                      <w:sz w:val="21"/>
                      <w:szCs w:val="21"/>
                      <w:lang w:val="en-US" w:eastAsia="zh-CN"/>
                    </w:rPr>
                    <w:t>钢架</w:t>
                  </w:r>
                  <w:r>
                    <w:rPr>
                      <w:rFonts w:hint="default" w:ascii="Times New Roman" w:hAnsi="Times New Roman" w:eastAsia="宋体" w:cs="Times New Roman"/>
                      <w:color w:val="auto"/>
                      <w:spacing w:val="-4"/>
                      <w:sz w:val="21"/>
                      <w:szCs w:val="21"/>
                      <w:lang w:val="en-US" w:eastAsia="zh-CN"/>
                    </w:rPr>
                    <w:t>结构，基础为素混凝土基础。</w:t>
                  </w:r>
                </w:p>
              </w:tc>
              <w:tc>
                <w:tcPr>
                  <w:tcW w:w="861" w:type="dxa"/>
                  <w:tcBorders>
                    <w:tl2br w:val="nil"/>
                    <w:tr2bl w:val="nil"/>
                  </w:tcBorders>
                  <w:noWrap w:val="0"/>
                  <w:vAlign w:val="center"/>
                </w:tcPr>
                <w:p w14:paraId="17F3593B">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cs="Times New Roman"/>
                      <w:color w:val="auto"/>
                      <w:spacing w:val="-6"/>
                      <w:sz w:val="21"/>
                      <w:szCs w:val="21"/>
                      <w:lang w:val="en-US" w:eastAsia="zh-CN"/>
                    </w:rPr>
                  </w:pPr>
                  <w:r>
                    <w:rPr>
                      <w:rFonts w:hint="eastAsia" w:cs="Times New Roman"/>
                      <w:color w:val="auto"/>
                      <w:spacing w:val="-6"/>
                      <w:sz w:val="21"/>
                      <w:szCs w:val="21"/>
                      <w:lang w:val="en-US" w:eastAsia="zh-CN"/>
                    </w:rPr>
                    <w:t>新建</w:t>
                  </w:r>
                </w:p>
              </w:tc>
            </w:tr>
            <w:tr w14:paraId="11AF9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735" w:type="dxa"/>
                  <w:vMerge w:val="continue"/>
                  <w:tcBorders>
                    <w:tl2br w:val="nil"/>
                    <w:tr2bl w:val="nil"/>
                  </w:tcBorders>
                  <w:noWrap w:val="0"/>
                  <w:vAlign w:val="center"/>
                </w:tcPr>
                <w:p w14:paraId="138B4DE0">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p>
              </w:tc>
              <w:tc>
                <w:tcPr>
                  <w:tcW w:w="1517" w:type="dxa"/>
                  <w:gridSpan w:val="2"/>
                  <w:tcBorders>
                    <w:tl2br w:val="nil"/>
                    <w:tr2bl w:val="nil"/>
                  </w:tcBorders>
                  <w:noWrap w:val="0"/>
                  <w:vAlign w:val="center"/>
                </w:tcPr>
                <w:p w14:paraId="2C15E700">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spacing w:val="-4"/>
                      <w:sz w:val="21"/>
                      <w:szCs w:val="21"/>
                      <w:lang w:val="en-US" w:eastAsia="zh-CN"/>
                    </w:rPr>
                  </w:pPr>
                  <w:r>
                    <w:rPr>
                      <w:rFonts w:hint="eastAsia" w:ascii="Times New Roman" w:hAnsi="Times New Roman" w:cs="Times New Roman"/>
                      <w:color w:val="auto"/>
                      <w:spacing w:val="-4"/>
                      <w:sz w:val="21"/>
                      <w:szCs w:val="21"/>
                      <w:lang w:val="en-US" w:eastAsia="zh-CN"/>
                    </w:rPr>
                    <w:t>原煤仓配电室</w:t>
                  </w:r>
                </w:p>
              </w:tc>
              <w:tc>
                <w:tcPr>
                  <w:tcW w:w="4866" w:type="dxa"/>
                  <w:tcBorders>
                    <w:tl2br w:val="nil"/>
                    <w:tr2bl w:val="nil"/>
                  </w:tcBorders>
                  <w:noWrap w:val="0"/>
                  <w:vAlign w:val="center"/>
                </w:tcPr>
                <w:p w14:paraId="19780E8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pacing w:val="-4"/>
                      <w:sz w:val="21"/>
                      <w:szCs w:val="21"/>
                      <w:lang w:val="en-US" w:eastAsia="zh-CN"/>
                    </w:rPr>
                  </w:pPr>
                  <w:r>
                    <w:rPr>
                      <w:rFonts w:hint="eastAsia" w:ascii="Times New Roman" w:hAnsi="Times New Roman" w:cs="Times New Roman"/>
                      <w:color w:val="auto"/>
                      <w:sz w:val="21"/>
                      <w:szCs w:val="21"/>
                      <w:lang w:val="en-US" w:eastAsia="zh-CN"/>
                    </w:rPr>
                    <w:t>在新建原煤仓北侧空地上</w:t>
                  </w:r>
                  <w:r>
                    <w:rPr>
                      <w:rFonts w:hint="eastAsia" w:cs="Times New Roman"/>
                      <w:color w:val="auto"/>
                      <w:sz w:val="21"/>
                      <w:szCs w:val="21"/>
                      <w:lang w:val="en-US" w:eastAsia="zh-CN"/>
                    </w:rPr>
                    <w:t>建设一座</w:t>
                  </w:r>
                  <w:r>
                    <w:rPr>
                      <w:rFonts w:hint="eastAsia" w:ascii="Times New Roman" w:hAnsi="Times New Roman" w:cs="Times New Roman"/>
                      <w:color w:val="auto"/>
                      <w:sz w:val="21"/>
                      <w:szCs w:val="21"/>
                      <w:lang w:val="en-US" w:eastAsia="zh-CN"/>
                    </w:rPr>
                    <w:t>配电室</w:t>
                  </w:r>
                  <w:r>
                    <w:rPr>
                      <w:rFonts w:hint="eastAsia" w:cs="Times New Roman"/>
                      <w:color w:val="auto"/>
                      <w:sz w:val="21"/>
                      <w:szCs w:val="21"/>
                      <w:lang w:val="en-US" w:eastAsia="zh-CN"/>
                    </w:rPr>
                    <w:t>，长</w:t>
                  </w:r>
                  <w:r>
                    <w:rPr>
                      <w:rFonts w:hint="eastAsia" w:ascii="Times New Roman" w:hAnsi="Times New Roman" w:cs="Times New Roman"/>
                      <w:color w:val="auto"/>
                      <w:sz w:val="21"/>
                      <w:szCs w:val="21"/>
                      <w:lang w:val="en-US" w:eastAsia="zh-CN"/>
                    </w:rPr>
                    <w:t>15.5m</w:t>
                  </w:r>
                  <w:r>
                    <w:rPr>
                      <w:rFonts w:hint="eastAsia" w:cs="Times New Roman"/>
                      <w:color w:val="auto"/>
                      <w:sz w:val="21"/>
                      <w:szCs w:val="21"/>
                      <w:lang w:val="en-US" w:eastAsia="zh-CN"/>
                    </w:rPr>
                    <w:t>，宽</w:t>
                  </w:r>
                  <w:r>
                    <w:rPr>
                      <w:rFonts w:hint="eastAsia" w:ascii="Times New Roman" w:hAnsi="Times New Roman" w:cs="Times New Roman"/>
                      <w:color w:val="auto"/>
                      <w:sz w:val="21"/>
                      <w:szCs w:val="21"/>
                      <w:lang w:val="en-US" w:eastAsia="zh-CN"/>
                    </w:rPr>
                    <w:t>8.5m</w:t>
                  </w:r>
                  <w:r>
                    <w:rPr>
                      <w:rFonts w:hint="eastAsia" w:cs="Times New Roman"/>
                      <w:color w:val="auto"/>
                      <w:sz w:val="21"/>
                      <w:szCs w:val="21"/>
                      <w:lang w:val="en-US" w:eastAsia="zh-CN"/>
                    </w:rPr>
                    <w:t>，高</w:t>
                  </w:r>
                  <w:r>
                    <w:rPr>
                      <w:rFonts w:hint="eastAsia" w:ascii="Times New Roman" w:hAnsi="Times New Roman" w:cs="Times New Roman"/>
                      <w:color w:val="auto"/>
                      <w:sz w:val="21"/>
                      <w:szCs w:val="21"/>
                      <w:lang w:val="en-US" w:eastAsia="zh-CN"/>
                    </w:rPr>
                    <w:t>4.4m</w:t>
                  </w:r>
                  <w:r>
                    <w:rPr>
                      <w:rFonts w:hint="eastAsia" w:cs="Times New Roman"/>
                      <w:color w:val="auto"/>
                      <w:sz w:val="21"/>
                      <w:szCs w:val="21"/>
                      <w:lang w:val="en-US" w:eastAsia="zh-CN"/>
                    </w:rPr>
                    <w:t>，地上一层</w:t>
                  </w:r>
                  <w:r>
                    <w:rPr>
                      <w:rFonts w:hint="eastAsia" w:ascii="Times New Roman" w:hAnsi="Times New Roman" w:cs="Times New Roman"/>
                      <w:color w:val="auto"/>
                      <w:sz w:val="21"/>
                      <w:szCs w:val="21"/>
                      <w:lang w:val="en-US" w:eastAsia="zh-CN"/>
                    </w:rPr>
                    <w:t>，</w:t>
                  </w:r>
                  <w:r>
                    <w:rPr>
                      <w:rFonts w:hint="eastAsia" w:cs="Times New Roman"/>
                      <w:color w:val="auto"/>
                      <w:sz w:val="21"/>
                      <w:szCs w:val="21"/>
                      <w:lang w:val="en-US" w:eastAsia="zh-CN"/>
                    </w:rPr>
                    <w:t>采用钢筋混凝土框架结构。内部</w:t>
                  </w:r>
                  <w:r>
                    <w:rPr>
                      <w:rFonts w:hint="eastAsia" w:ascii="Times New Roman" w:hAnsi="Times New Roman" w:cs="Times New Roman"/>
                      <w:color w:val="auto"/>
                      <w:sz w:val="21"/>
                      <w:szCs w:val="21"/>
                      <w:lang w:val="en-US" w:eastAsia="zh-CN"/>
                    </w:rPr>
                    <w:t>设置2台SCB-800/10/0.4kV型干式变压器（担负原煤仓仓顶设备负荷）、12台MNS型低压配电柜、一套PLC控制系统</w:t>
                  </w:r>
                  <w:r>
                    <w:rPr>
                      <w:rFonts w:hint="eastAsia" w:cs="Times New Roman"/>
                      <w:color w:val="auto"/>
                      <w:sz w:val="21"/>
                      <w:szCs w:val="21"/>
                      <w:lang w:val="en-US" w:eastAsia="zh-CN"/>
                    </w:rPr>
                    <w:t>。</w:t>
                  </w:r>
                </w:p>
              </w:tc>
              <w:tc>
                <w:tcPr>
                  <w:tcW w:w="861" w:type="dxa"/>
                  <w:tcBorders>
                    <w:tl2br w:val="nil"/>
                    <w:tr2bl w:val="nil"/>
                  </w:tcBorders>
                  <w:noWrap w:val="0"/>
                  <w:vAlign w:val="center"/>
                </w:tcPr>
                <w:p w14:paraId="3847E537">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cs="Times New Roman"/>
                      <w:color w:val="auto"/>
                      <w:spacing w:val="-6"/>
                      <w:sz w:val="21"/>
                      <w:szCs w:val="21"/>
                      <w:lang w:val="en-US" w:eastAsia="zh-CN"/>
                    </w:rPr>
                  </w:pPr>
                  <w:r>
                    <w:rPr>
                      <w:rFonts w:hint="eastAsia" w:cs="Times New Roman"/>
                      <w:color w:val="auto"/>
                      <w:spacing w:val="-6"/>
                      <w:sz w:val="21"/>
                      <w:szCs w:val="21"/>
                      <w:lang w:val="en-US" w:eastAsia="zh-CN"/>
                    </w:rPr>
                    <w:t>新建</w:t>
                  </w:r>
                </w:p>
              </w:tc>
            </w:tr>
            <w:tr w14:paraId="4C263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735" w:type="dxa"/>
                  <w:vMerge w:val="continue"/>
                  <w:tcBorders>
                    <w:tl2br w:val="nil"/>
                    <w:tr2bl w:val="nil"/>
                  </w:tcBorders>
                  <w:noWrap w:val="0"/>
                  <w:vAlign w:val="center"/>
                </w:tcPr>
                <w:p w14:paraId="23B52F0B">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p>
              </w:tc>
              <w:tc>
                <w:tcPr>
                  <w:tcW w:w="1517" w:type="dxa"/>
                  <w:gridSpan w:val="2"/>
                  <w:tcBorders>
                    <w:tl2br w:val="nil"/>
                    <w:tr2bl w:val="nil"/>
                  </w:tcBorders>
                  <w:noWrap w:val="0"/>
                  <w:vAlign w:val="center"/>
                </w:tcPr>
                <w:p w14:paraId="0332E848">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spacing w:val="-4"/>
                      <w:sz w:val="21"/>
                      <w:szCs w:val="21"/>
                      <w:lang w:val="en-US" w:eastAsia="zh-CN"/>
                    </w:rPr>
                  </w:pPr>
                  <w:r>
                    <w:rPr>
                      <w:rFonts w:hint="eastAsia" w:ascii="Times New Roman" w:hAnsi="Times New Roman" w:cs="Times New Roman"/>
                      <w:color w:val="auto"/>
                      <w:spacing w:val="-4"/>
                      <w:sz w:val="21"/>
                      <w:szCs w:val="21"/>
                      <w:lang w:val="en-US" w:eastAsia="zh-CN"/>
                    </w:rPr>
                    <w:t>末煤仓配电室</w:t>
                  </w:r>
                </w:p>
              </w:tc>
              <w:tc>
                <w:tcPr>
                  <w:tcW w:w="4866" w:type="dxa"/>
                  <w:tcBorders>
                    <w:tl2br w:val="nil"/>
                    <w:tr2bl w:val="nil"/>
                  </w:tcBorders>
                  <w:noWrap w:val="0"/>
                  <w:vAlign w:val="center"/>
                </w:tcPr>
                <w:p w14:paraId="0D07902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pacing w:val="-4"/>
                      <w:sz w:val="21"/>
                      <w:szCs w:val="21"/>
                      <w:lang w:val="en-US" w:eastAsia="zh-CN"/>
                    </w:rPr>
                  </w:pPr>
                  <w:r>
                    <w:rPr>
                      <w:rFonts w:hint="eastAsia" w:ascii="Times New Roman" w:hAnsi="Times New Roman" w:cs="Times New Roman"/>
                      <w:color w:val="auto"/>
                      <w:sz w:val="21"/>
                      <w:szCs w:val="21"/>
                      <w:lang w:val="en-US" w:eastAsia="zh-CN"/>
                    </w:rPr>
                    <w:t>在</w:t>
                  </w:r>
                  <w:r>
                    <w:rPr>
                      <w:rFonts w:hint="eastAsia" w:cs="Times New Roman"/>
                      <w:color w:val="auto"/>
                      <w:sz w:val="21"/>
                      <w:szCs w:val="21"/>
                      <w:lang w:val="en-US" w:eastAsia="zh-CN"/>
                    </w:rPr>
                    <w:t>现有块煤仓南侧</w:t>
                  </w:r>
                  <w:r>
                    <w:rPr>
                      <w:rFonts w:hint="eastAsia" w:ascii="Times New Roman" w:hAnsi="Times New Roman" w:cs="Times New Roman"/>
                      <w:color w:val="auto"/>
                      <w:sz w:val="21"/>
                      <w:szCs w:val="21"/>
                      <w:lang w:val="en-US" w:eastAsia="zh-CN"/>
                    </w:rPr>
                    <w:t>空地上</w:t>
                  </w:r>
                  <w:r>
                    <w:rPr>
                      <w:rFonts w:hint="eastAsia" w:cs="Times New Roman"/>
                      <w:color w:val="auto"/>
                      <w:sz w:val="21"/>
                      <w:szCs w:val="21"/>
                      <w:lang w:val="en-US" w:eastAsia="zh-CN"/>
                    </w:rPr>
                    <w:t>建设一座</w:t>
                  </w:r>
                  <w:r>
                    <w:rPr>
                      <w:rFonts w:hint="eastAsia" w:ascii="Times New Roman" w:hAnsi="Times New Roman" w:cs="Times New Roman"/>
                      <w:color w:val="auto"/>
                      <w:sz w:val="21"/>
                      <w:szCs w:val="21"/>
                      <w:lang w:val="en-US" w:eastAsia="zh-CN"/>
                    </w:rPr>
                    <w:t>配电室</w:t>
                  </w:r>
                  <w:r>
                    <w:rPr>
                      <w:rFonts w:hint="eastAsia" w:cs="Times New Roman"/>
                      <w:color w:val="auto"/>
                      <w:sz w:val="21"/>
                      <w:szCs w:val="21"/>
                      <w:lang w:val="en-US" w:eastAsia="zh-CN"/>
                    </w:rPr>
                    <w:t>及变频器室，长2</w:t>
                  </w:r>
                  <w:r>
                    <w:rPr>
                      <w:rFonts w:hint="eastAsia" w:ascii="Times New Roman" w:hAnsi="Times New Roman" w:cs="Times New Roman"/>
                      <w:color w:val="auto"/>
                      <w:sz w:val="21"/>
                      <w:szCs w:val="21"/>
                      <w:lang w:val="en-US" w:eastAsia="zh-CN"/>
                    </w:rPr>
                    <w:t>5.5m</w:t>
                  </w:r>
                  <w:r>
                    <w:rPr>
                      <w:rFonts w:hint="eastAsia" w:cs="Times New Roman"/>
                      <w:color w:val="auto"/>
                      <w:sz w:val="21"/>
                      <w:szCs w:val="21"/>
                      <w:lang w:val="en-US" w:eastAsia="zh-CN"/>
                    </w:rPr>
                    <w:t>，宽</w:t>
                  </w:r>
                  <w:r>
                    <w:rPr>
                      <w:rFonts w:hint="eastAsia" w:ascii="Times New Roman" w:hAnsi="Times New Roman" w:cs="Times New Roman"/>
                      <w:color w:val="auto"/>
                      <w:sz w:val="21"/>
                      <w:szCs w:val="21"/>
                      <w:lang w:val="en-US" w:eastAsia="zh-CN"/>
                    </w:rPr>
                    <w:t>8.5m</w:t>
                  </w:r>
                  <w:r>
                    <w:rPr>
                      <w:rFonts w:hint="eastAsia" w:cs="Times New Roman"/>
                      <w:color w:val="auto"/>
                      <w:sz w:val="21"/>
                      <w:szCs w:val="21"/>
                      <w:lang w:val="en-US" w:eastAsia="zh-CN"/>
                    </w:rPr>
                    <w:t>，高8.6</w:t>
                  </w:r>
                  <w:r>
                    <w:rPr>
                      <w:rFonts w:hint="eastAsia" w:ascii="Times New Roman" w:hAnsi="Times New Roman" w:cs="Times New Roman"/>
                      <w:color w:val="auto"/>
                      <w:sz w:val="21"/>
                      <w:szCs w:val="21"/>
                      <w:lang w:val="en-US" w:eastAsia="zh-CN"/>
                    </w:rPr>
                    <w:t>m</w:t>
                  </w:r>
                  <w:r>
                    <w:rPr>
                      <w:rFonts w:hint="eastAsia" w:cs="Times New Roman"/>
                      <w:color w:val="auto"/>
                      <w:sz w:val="21"/>
                      <w:szCs w:val="21"/>
                      <w:lang w:val="en-US" w:eastAsia="zh-CN"/>
                    </w:rPr>
                    <w:t>，层高4.2m，地上二层</w:t>
                  </w:r>
                  <w:r>
                    <w:rPr>
                      <w:rFonts w:hint="eastAsia" w:ascii="Times New Roman" w:hAnsi="Times New Roman" w:cs="Times New Roman"/>
                      <w:color w:val="auto"/>
                      <w:sz w:val="21"/>
                      <w:szCs w:val="21"/>
                      <w:lang w:val="en-US" w:eastAsia="zh-CN"/>
                    </w:rPr>
                    <w:t>，</w:t>
                  </w:r>
                  <w:r>
                    <w:rPr>
                      <w:rFonts w:hint="eastAsia" w:cs="Times New Roman"/>
                      <w:color w:val="auto"/>
                      <w:sz w:val="21"/>
                      <w:szCs w:val="21"/>
                      <w:lang w:val="en-US" w:eastAsia="zh-CN"/>
                    </w:rPr>
                    <w:t>采用钢筋混凝土框架结构。内部</w:t>
                  </w:r>
                  <w:r>
                    <w:rPr>
                      <w:rFonts w:hint="eastAsia" w:ascii="Times New Roman" w:hAnsi="Times New Roman" w:cs="Times New Roman"/>
                      <w:color w:val="auto"/>
                      <w:sz w:val="21"/>
                      <w:szCs w:val="21"/>
                      <w:lang w:val="en-US" w:eastAsia="zh-CN"/>
                    </w:rPr>
                    <w:t>设置2台2台SCB-1250/10  10/0.4kV型干式变压器（担负末煤仓仓顶及仓底设备负荷）、19台MNS型低压配电柜、一套PLC控制系统。</w:t>
                  </w:r>
                </w:p>
              </w:tc>
              <w:tc>
                <w:tcPr>
                  <w:tcW w:w="861" w:type="dxa"/>
                  <w:tcBorders>
                    <w:tl2br w:val="nil"/>
                    <w:tr2bl w:val="nil"/>
                  </w:tcBorders>
                  <w:noWrap w:val="0"/>
                  <w:vAlign w:val="center"/>
                </w:tcPr>
                <w:p w14:paraId="09BC7F62">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cs="Times New Roman"/>
                      <w:color w:val="auto"/>
                      <w:spacing w:val="-6"/>
                      <w:sz w:val="21"/>
                      <w:szCs w:val="21"/>
                      <w:lang w:val="en-US" w:eastAsia="zh-CN"/>
                    </w:rPr>
                  </w:pPr>
                  <w:r>
                    <w:rPr>
                      <w:rFonts w:hint="eastAsia" w:cs="Times New Roman"/>
                      <w:color w:val="auto"/>
                      <w:spacing w:val="-6"/>
                      <w:sz w:val="21"/>
                      <w:szCs w:val="21"/>
                      <w:lang w:val="en-US" w:eastAsia="zh-CN"/>
                    </w:rPr>
                    <w:t>新建</w:t>
                  </w:r>
                </w:p>
              </w:tc>
            </w:tr>
            <w:tr w14:paraId="12486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5" w:type="dxa"/>
                  <w:vMerge w:val="restart"/>
                  <w:tcBorders>
                    <w:tl2br w:val="nil"/>
                    <w:tr2bl w:val="nil"/>
                  </w:tcBorders>
                  <w:noWrap w:val="0"/>
                  <w:vAlign w:val="center"/>
                </w:tcPr>
                <w:p w14:paraId="6295506E">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公用</w:t>
                  </w:r>
                </w:p>
                <w:p w14:paraId="701EE2A2">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工程</w:t>
                  </w:r>
                </w:p>
              </w:tc>
              <w:tc>
                <w:tcPr>
                  <w:tcW w:w="1517" w:type="dxa"/>
                  <w:gridSpan w:val="2"/>
                  <w:tcBorders>
                    <w:tl2br w:val="nil"/>
                    <w:tr2bl w:val="nil"/>
                  </w:tcBorders>
                  <w:noWrap w:val="0"/>
                  <w:vAlign w:val="center"/>
                </w:tcPr>
                <w:p w14:paraId="489C2763">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供水工程</w:t>
                  </w:r>
                </w:p>
              </w:tc>
              <w:tc>
                <w:tcPr>
                  <w:tcW w:w="4866" w:type="dxa"/>
                  <w:tcBorders>
                    <w:tl2br w:val="nil"/>
                    <w:tr2bl w:val="nil"/>
                  </w:tcBorders>
                  <w:noWrap w:val="0"/>
                  <w:vAlign w:val="center"/>
                </w:tcPr>
                <w:p w14:paraId="0E998A11">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除尘</w:t>
                  </w:r>
                  <w:r>
                    <w:rPr>
                      <w:rFonts w:hint="eastAsia" w:ascii="Times New Roman" w:hAnsi="Times New Roman" w:cs="Times New Roman"/>
                      <w:color w:val="auto"/>
                      <w:sz w:val="21"/>
                      <w:szCs w:val="21"/>
                      <w:lang w:val="en-US" w:eastAsia="zh-CN"/>
                    </w:rPr>
                    <w:t>及地面冲洗</w:t>
                  </w:r>
                  <w:r>
                    <w:rPr>
                      <w:rFonts w:hint="default" w:ascii="Times New Roman" w:hAnsi="Times New Roman" w:eastAsia="宋体" w:cs="Times New Roman"/>
                      <w:color w:val="auto"/>
                      <w:sz w:val="21"/>
                      <w:szCs w:val="21"/>
                      <w:lang w:val="en-US" w:eastAsia="zh-CN"/>
                    </w:rPr>
                    <w:t>系统给水由</w:t>
                  </w:r>
                  <w:r>
                    <w:rPr>
                      <w:rFonts w:hint="eastAsia" w:ascii="Times New Roman" w:hAnsi="Times New Roman" w:cs="Times New Roman"/>
                      <w:color w:val="auto"/>
                      <w:sz w:val="21"/>
                      <w:szCs w:val="21"/>
                      <w:lang w:val="en-US" w:eastAsia="zh-CN"/>
                    </w:rPr>
                    <w:t>现有供水</w:t>
                  </w:r>
                  <w:r>
                    <w:rPr>
                      <w:rFonts w:hint="default" w:ascii="Times New Roman" w:hAnsi="Times New Roman" w:eastAsia="宋体" w:cs="Times New Roman"/>
                      <w:color w:val="auto"/>
                      <w:sz w:val="21"/>
                      <w:szCs w:val="21"/>
                      <w:lang w:val="en-US" w:eastAsia="zh-CN"/>
                    </w:rPr>
                    <w:t>管道供给</w:t>
                  </w:r>
                  <w:r>
                    <w:rPr>
                      <w:rFonts w:hint="eastAsia" w:ascii="Times New Roman" w:hAnsi="Times New Roman" w:cs="Times New Roman"/>
                      <w:color w:val="auto"/>
                      <w:sz w:val="21"/>
                      <w:szCs w:val="21"/>
                      <w:lang w:val="en-US" w:eastAsia="zh-CN"/>
                    </w:rPr>
                    <w:t>，水源为现有矿井水处理站处理后的矿井水。</w:t>
                  </w:r>
                </w:p>
              </w:tc>
              <w:tc>
                <w:tcPr>
                  <w:tcW w:w="861" w:type="dxa"/>
                  <w:tcBorders>
                    <w:tl2br w:val="nil"/>
                    <w:tr2bl w:val="nil"/>
                  </w:tcBorders>
                  <w:noWrap w:val="0"/>
                  <w:vAlign w:val="center"/>
                </w:tcPr>
                <w:p w14:paraId="7ABC3ED2">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eastAsia="宋体" w:cs="Times New Roman"/>
                      <w:color w:val="auto"/>
                      <w:spacing w:val="-6"/>
                      <w:sz w:val="21"/>
                      <w:szCs w:val="21"/>
                      <w:lang w:val="en-US" w:eastAsia="zh-CN"/>
                    </w:rPr>
                  </w:pPr>
                  <w:r>
                    <w:rPr>
                      <w:rFonts w:hint="eastAsia" w:cs="Times New Roman"/>
                      <w:color w:val="auto"/>
                      <w:spacing w:val="-6"/>
                      <w:sz w:val="21"/>
                      <w:szCs w:val="21"/>
                      <w:lang w:val="en-US" w:eastAsia="zh-CN"/>
                    </w:rPr>
                    <w:t>/</w:t>
                  </w:r>
                </w:p>
              </w:tc>
            </w:tr>
            <w:tr w14:paraId="67B65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5" w:type="dxa"/>
                  <w:vMerge w:val="continue"/>
                  <w:tcBorders>
                    <w:tl2br w:val="nil"/>
                    <w:tr2bl w:val="nil"/>
                  </w:tcBorders>
                  <w:noWrap w:val="0"/>
                  <w:vAlign w:val="center"/>
                </w:tcPr>
                <w:p w14:paraId="06C501C8">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p>
              </w:tc>
              <w:tc>
                <w:tcPr>
                  <w:tcW w:w="1517" w:type="dxa"/>
                  <w:gridSpan w:val="2"/>
                  <w:tcBorders>
                    <w:tl2br w:val="nil"/>
                    <w:tr2bl w:val="nil"/>
                  </w:tcBorders>
                  <w:noWrap w:val="0"/>
                  <w:vAlign w:val="center"/>
                </w:tcPr>
                <w:p w14:paraId="19439632">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供电工程</w:t>
                  </w:r>
                </w:p>
              </w:tc>
              <w:tc>
                <w:tcPr>
                  <w:tcW w:w="4866" w:type="dxa"/>
                  <w:tcBorders>
                    <w:tl2br w:val="nil"/>
                    <w:tr2bl w:val="nil"/>
                  </w:tcBorders>
                  <w:noWrap w:val="0"/>
                  <w:vAlign w:val="center"/>
                </w:tcPr>
                <w:p w14:paraId="657C4E66">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接自</w:t>
                  </w:r>
                  <w:r>
                    <w:rPr>
                      <w:rFonts w:hint="default" w:ascii="Times New Roman" w:hAnsi="Times New Roman" w:eastAsia="宋体" w:cs="Times New Roman"/>
                      <w:color w:val="auto"/>
                      <w:sz w:val="21"/>
                      <w:szCs w:val="21"/>
                      <w:lang w:val="en-US" w:eastAsia="zh-CN"/>
                    </w:rPr>
                    <w:t>选煤厂工业场地电气楼高压配电室，配电室双回电源分别引自矿井35kV变电站10kV不同母线段</w:t>
                  </w:r>
                  <w:r>
                    <w:rPr>
                      <w:rFonts w:hint="eastAsia" w:ascii="Times New Roman" w:hAnsi="Times New Roman" w:cs="Times New Roman"/>
                      <w:color w:val="auto"/>
                      <w:sz w:val="21"/>
                      <w:szCs w:val="21"/>
                      <w:lang w:val="en-US" w:eastAsia="zh-CN"/>
                    </w:rPr>
                    <w:t>。</w:t>
                  </w:r>
                </w:p>
              </w:tc>
              <w:tc>
                <w:tcPr>
                  <w:tcW w:w="861" w:type="dxa"/>
                  <w:tcBorders>
                    <w:tl2br w:val="nil"/>
                    <w:tr2bl w:val="nil"/>
                  </w:tcBorders>
                  <w:noWrap w:val="0"/>
                  <w:vAlign w:val="center"/>
                </w:tcPr>
                <w:p w14:paraId="0A8C6915">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eastAsia="宋体" w:cs="Times New Roman"/>
                      <w:color w:val="auto"/>
                      <w:spacing w:val="-6"/>
                      <w:sz w:val="21"/>
                      <w:szCs w:val="21"/>
                      <w:lang w:eastAsia="zh-CN"/>
                    </w:rPr>
                  </w:pPr>
                  <w:r>
                    <w:rPr>
                      <w:rFonts w:hint="eastAsia" w:cs="Times New Roman"/>
                      <w:color w:val="auto"/>
                      <w:spacing w:val="-6"/>
                      <w:sz w:val="21"/>
                      <w:szCs w:val="21"/>
                      <w:lang w:val="en-US" w:eastAsia="zh-CN"/>
                    </w:rPr>
                    <w:t>/</w:t>
                  </w:r>
                </w:p>
              </w:tc>
            </w:tr>
            <w:tr w14:paraId="5C75D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jc w:val="center"/>
              </w:trPr>
              <w:tc>
                <w:tcPr>
                  <w:tcW w:w="735" w:type="dxa"/>
                  <w:vMerge w:val="continue"/>
                  <w:tcBorders>
                    <w:tl2br w:val="nil"/>
                    <w:tr2bl w:val="nil"/>
                  </w:tcBorders>
                  <w:noWrap w:val="0"/>
                  <w:vAlign w:val="center"/>
                </w:tcPr>
                <w:p w14:paraId="41EC1E9B">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p>
              </w:tc>
              <w:tc>
                <w:tcPr>
                  <w:tcW w:w="1517" w:type="dxa"/>
                  <w:gridSpan w:val="2"/>
                  <w:tcBorders>
                    <w:tl2br w:val="nil"/>
                    <w:tr2bl w:val="nil"/>
                  </w:tcBorders>
                  <w:noWrap w:val="0"/>
                  <w:vAlign w:val="center"/>
                </w:tcPr>
                <w:p w14:paraId="7DB300B8">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供</w:t>
                  </w:r>
                  <w:r>
                    <w:rPr>
                      <w:rFonts w:hint="eastAsia" w:ascii="Times New Roman" w:hAnsi="Times New Roman" w:cs="Times New Roman"/>
                      <w:color w:val="auto"/>
                      <w:sz w:val="21"/>
                      <w:szCs w:val="21"/>
                      <w:lang w:val="en-US" w:eastAsia="zh-CN"/>
                    </w:rPr>
                    <w:t>暖</w:t>
                  </w:r>
                  <w:r>
                    <w:rPr>
                      <w:rFonts w:hint="default" w:ascii="Times New Roman" w:hAnsi="Times New Roman" w:cs="Times New Roman"/>
                      <w:color w:val="auto"/>
                      <w:sz w:val="21"/>
                      <w:szCs w:val="21"/>
                    </w:rPr>
                    <w:t>工程</w:t>
                  </w:r>
                </w:p>
              </w:tc>
              <w:tc>
                <w:tcPr>
                  <w:tcW w:w="4866" w:type="dxa"/>
                  <w:tcBorders>
                    <w:tl2br w:val="nil"/>
                    <w:tr2bl w:val="nil"/>
                  </w:tcBorders>
                  <w:noWrap w:val="0"/>
                  <w:vAlign w:val="center"/>
                </w:tcPr>
                <w:p w14:paraId="541EF5A3">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Times New Roman" w:hAnsi="Times New Roman" w:eastAsia="宋体" w:cs="Times New Roman"/>
                      <w:color w:val="auto"/>
                      <w:sz w:val="21"/>
                      <w:szCs w:val="21"/>
                      <w:lang w:eastAsia="zh-CN"/>
                    </w:rPr>
                  </w:pPr>
                  <w:r>
                    <w:rPr>
                      <w:rFonts w:hint="eastAsia" w:ascii="Times New Roman" w:hAnsi="Times New Roman" w:cs="Times New Roman"/>
                      <w:color w:val="auto"/>
                      <w:sz w:val="21"/>
                      <w:szCs w:val="21"/>
                      <w:lang w:val="en-US" w:eastAsia="zh-CN"/>
                    </w:rPr>
                    <w:t>本项目不需供暖。</w:t>
                  </w:r>
                </w:p>
              </w:tc>
              <w:tc>
                <w:tcPr>
                  <w:tcW w:w="861" w:type="dxa"/>
                  <w:tcBorders>
                    <w:tl2br w:val="nil"/>
                    <w:tr2bl w:val="nil"/>
                  </w:tcBorders>
                  <w:noWrap w:val="0"/>
                  <w:vAlign w:val="center"/>
                </w:tcPr>
                <w:p w14:paraId="10862277">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cs="Times New Roman"/>
                      <w:color w:val="auto"/>
                      <w:spacing w:val="-6"/>
                      <w:sz w:val="21"/>
                      <w:szCs w:val="21"/>
                    </w:rPr>
                  </w:pPr>
                  <w:r>
                    <w:rPr>
                      <w:rFonts w:hint="eastAsia" w:cs="Times New Roman"/>
                      <w:color w:val="auto"/>
                      <w:spacing w:val="-6"/>
                      <w:sz w:val="21"/>
                      <w:szCs w:val="21"/>
                      <w:lang w:val="en-US" w:eastAsia="zh-CN"/>
                    </w:rPr>
                    <w:t>/</w:t>
                  </w:r>
                </w:p>
              </w:tc>
            </w:tr>
            <w:tr w14:paraId="2A922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735" w:type="dxa"/>
                  <w:vMerge w:val="restart"/>
                  <w:tcBorders>
                    <w:tl2br w:val="nil"/>
                    <w:tr2bl w:val="nil"/>
                  </w:tcBorders>
                  <w:noWrap w:val="0"/>
                  <w:vAlign w:val="center"/>
                </w:tcPr>
                <w:p w14:paraId="54BD6E73">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环保工程</w:t>
                  </w:r>
                </w:p>
              </w:tc>
              <w:tc>
                <w:tcPr>
                  <w:tcW w:w="454" w:type="dxa"/>
                  <w:vMerge w:val="restart"/>
                  <w:tcBorders>
                    <w:tl2br w:val="nil"/>
                    <w:tr2bl w:val="nil"/>
                  </w:tcBorders>
                  <w:noWrap w:val="0"/>
                  <w:vAlign w:val="center"/>
                </w:tcPr>
                <w:p w14:paraId="2F60B4B2">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废气</w:t>
                  </w:r>
                </w:p>
              </w:tc>
              <w:tc>
                <w:tcPr>
                  <w:tcW w:w="1063" w:type="dxa"/>
                  <w:tcBorders>
                    <w:tl2br w:val="nil"/>
                    <w:tr2bl w:val="nil"/>
                  </w:tcBorders>
                  <w:shd w:val="clear" w:color="auto" w:fill="auto"/>
                  <w:noWrap w:val="0"/>
                  <w:vAlign w:val="center"/>
                </w:tcPr>
                <w:p w14:paraId="2085D636">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kern w:val="2"/>
                      <w:sz w:val="21"/>
                      <w:szCs w:val="21"/>
                      <w:lang w:val="en-US" w:eastAsia="zh-CN" w:bidi="ar-SA"/>
                    </w:rPr>
                    <w:t>煤炭输送、转运粉尘</w:t>
                  </w:r>
                </w:p>
              </w:tc>
              <w:tc>
                <w:tcPr>
                  <w:tcW w:w="4866" w:type="dxa"/>
                  <w:tcBorders>
                    <w:tl2br w:val="nil"/>
                    <w:tr2bl w:val="nil"/>
                  </w:tcBorders>
                  <w:shd w:val="clear" w:color="auto" w:fill="auto"/>
                  <w:noWrap w:val="0"/>
                  <w:vAlign w:val="center"/>
                </w:tcPr>
                <w:p w14:paraId="1116830B">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b w:val="0"/>
                      <w:color w:val="auto"/>
                      <w:sz w:val="21"/>
                      <w:szCs w:val="21"/>
                      <w:highlight w:val="none"/>
                      <w:lang w:val="en-US" w:eastAsia="zh-CN"/>
                    </w:rPr>
                    <w:t>采用全封闭皮带走廊进行输送，转载点设喷雾抑尘装置。</w:t>
                  </w:r>
                </w:p>
              </w:tc>
              <w:tc>
                <w:tcPr>
                  <w:tcW w:w="861" w:type="dxa"/>
                  <w:tcBorders>
                    <w:tl2br w:val="nil"/>
                    <w:tr2bl w:val="nil"/>
                  </w:tcBorders>
                  <w:shd w:val="clear" w:color="auto" w:fill="auto"/>
                  <w:noWrap w:val="0"/>
                  <w:vAlign w:val="center"/>
                </w:tcPr>
                <w:p w14:paraId="0A97B50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pacing w:val="-6"/>
                      <w:kern w:val="2"/>
                      <w:sz w:val="21"/>
                      <w:szCs w:val="21"/>
                      <w:lang w:val="en-US" w:eastAsia="zh-CN" w:bidi="ar-SA"/>
                    </w:rPr>
                  </w:pPr>
                  <w:r>
                    <w:rPr>
                      <w:rFonts w:hint="eastAsia" w:cs="Times New Roman"/>
                      <w:color w:val="auto"/>
                      <w:spacing w:val="-6"/>
                      <w:kern w:val="2"/>
                      <w:sz w:val="21"/>
                      <w:szCs w:val="21"/>
                      <w:lang w:val="en-US" w:eastAsia="zh-CN" w:bidi="ar-SA"/>
                    </w:rPr>
                    <w:t>依托</w:t>
                  </w:r>
                </w:p>
              </w:tc>
            </w:tr>
            <w:tr w14:paraId="12E24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735" w:type="dxa"/>
                  <w:vMerge w:val="continue"/>
                  <w:tcBorders>
                    <w:tl2br w:val="nil"/>
                    <w:tr2bl w:val="nil"/>
                  </w:tcBorders>
                  <w:noWrap w:val="0"/>
                  <w:vAlign w:val="center"/>
                </w:tcPr>
                <w:p w14:paraId="50893809">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p>
              </w:tc>
              <w:tc>
                <w:tcPr>
                  <w:tcW w:w="454" w:type="dxa"/>
                  <w:vMerge w:val="continue"/>
                  <w:tcBorders>
                    <w:tl2br w:val="nil"/>
                    <w:tr2bl w:val="nil"/>
                  </w:tcBorders>
                  <w:noWrap w:val="0"/>
                  <w:vAlign w:val="center"/>
                </w:tcPr>
                <w:p w14:paraId="428509F9">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p>
              </w:tc>
              <w:tc>
                <w:tcPr>
                  <w:tcW w:w="1063" w:type="dxa"/>
                  <w:tcBorders>
                    <w:tl2br w:val="nil"/>
                    <w:tr2bl w:val="nil"/>
                  </w:tcBorders>
                  <w:shd w:val="clear" w:color="auto" w:fill="auto"/>
                  <w:noWrap w:val="0"/>
                  <w:vAlign w:val="center"/>
                </w:tcPr>
                <w:p w14:paraId="28300511">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Times New Roman" w:hAnsi="Times New Roman" w:cs="Times New Roman"/>
                      <w:color w:val="auto"/>
                      <w:kern w:val="2"/>
                      <w:sz w:val="21"/>
                      <w:szCs w:val="21"/>
                      <w:lang w:val="en-US" w:eastAsia="zh-CN" w:bidi="ar-SA"/>
                    </w:rPr>
                  </w:pPr>
                  <w:r>
                    <w:rPr>
                      <w:rFonts w:hint="eastAsia" w:ascii="Times New Roman" w:hAnsi="Times New Roman" w:cs="Times New Roman"/>
                      <w:color w:val="auto"/>
                      <w:kern w:val="2"/>
                      <w:sz w:val="21"/>
                      <w:szCs w:val="21"/>
                      <w:lang w:val="en-US" w:eastAsia="zh-CN" w:bidi="ar-SA"/>
                    </w:rPr>
                    <w:t>煤炭储存粉尘</w:t>
                  </w:r>
                </w:p>
              </w:tc>
              <w:tc>
                <w:tcPr>
                  <w:tcW w:w="4866" w:type="dxa"/>
                  <w:tcBorders>
                    <w:tl2br w:val="nil"/>
                    <w:tr2bl w:val="nil"/>
                  </w:tcBorders>
                  <w:shd w:val="clear" w:color="auto" w:fill="auto"/>
                  <w:noWrap w:val="0"/>
                  <w:vAlign w:val="center"/>
                </w:tcPr>
                <w:p w14:paraId="38529CFF">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Times New Roman" w:hAnsi="Times New Roman" w:eastAsia="宋体" w:cs="Times New Roman"/>
                      <w:color w:val="auto"/>
                      <w:spacing w:val="0"/>
                      <w:lang w:eastAsia="zh-CN"/>
                    </w:rPr>
                  </w:pPr>
                  <w:r>
                    <w:rPr>
                      <w:rFonts w:hint="default" w:ascii="Times New Roman" w:hAnsi="Times New Roman" w:eastAsia="宋体" w:cs="Times New Roman"/>
                      <w:color w:val="auto"/>
                      <w:spacing w:val="0"/>
                    </w:rPr>
                    <w:t>全封闭筒仓储存</w:t>
                  </w:r>
                  <w:r>
                    <w:rPr>
                      <w:rFonts w:hint="eastAsia" w:ascii="Times New Roman" w:hAnsi="Times New Roman" w:cs="Times New Roman"/>
                      <w:color w:val="auto"/>
                      <w:spacing w:val="0"/>
                      <w:lang w:eastAsia="zh-CN"/>
                    </w:rPr>
                    <w:t>，</w:t>
                  </w:r>
                  <w:r>
                    <w:rPr>
                      <w:rFonts w:hint="eastAsia" w:ascii="Times New Roman" w:hAnsi="Times New Roman" w:cs="Times New Roman"/>
                      <w:color w:val="auto"/>
                      <w:spacing w:val="0"/>
                      <w:lang w:val="en-US" w:eastAsia="zh-CN"/>
                    </w:rPr>
                    <w:t>并设有通风机排风及瓦斯检测探头装置</w:t>
                  </w:r>
                  <w:r>
                    <w:rPr>
                      <w:rFonts w:hint="eastAsia" w:ascii="Times New Roman" w:hAnsi="Times New Roman" w:cs="Times New Roman"/>
                      <w:color w:val="auto"/>
                      <w:spacing w:val="0"/>
                      <w:lang w:eastAsia="zh-CN"/>
                    </w:rPr>
                    <w:t>。</w:t>
                  </w:r>
                </w:p>
              </w:tc>
              <w:tc>
                <w:tcPr>
                  <w:tcW w:w="861" w:type="dxa"/>
                  <w:tcBorders>
                    <w:tl2br w:val="nil"/>
                    <w:tr2bl w:val="nil"/>
                  </w:tcBorders>
                  <w:shd w:val="clear" w:color="auto" w:fill="auto"/>
                  <w:noWrap w:val="0"/>
                  <w:vAlign w:val="center"/>
                </w:tcPr>
                <w:p w14:paraId="354C2F6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pacing w:val="-6"/>
                      <w:sz w:val="21"/>
                      <w:szCs w:val="21"/>
                      <w:lang w:val="en-US" w:eastAsia="zh-CN"/>
                    </w:rPr>
                  </w:pPr>
                  <w:r>
                    <w:rPr>
                      <w:rFonts w:hint="eastAsia" w:cs="Times New Roman"/>
                      <w:color w:val="auto"/>
                      <w:spacing w:val="-6"/>
                      <w:sz w:val="21"/>
                      <w:szCs w:val="21"/>
                      <w:lang w:val="en-US" w:eastAsia="zh-CN"/>
                    </w:rPr>
                    <w:t>新建</w:t>
                  </w:r>
                </w:p>
              </w:tc>
            </w:tr>
            <w:tr w14:paraId="79AC8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735" w:type="dxa"/>
                  <w:vMerge w:val="continue"/>
                  <w:tcBorders>
                    <w:tl2br w:val="nil"/>
                    <w:tr2bl w:val="nil"/>
                  </w:tcBorders>
                  <w:noWrap w:val="0"/>
                  <w:vAlign w:val="center"/>
                </w:tcPr>
                <w:p w14:paraId="31D8B3D2">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p>
              </w:tc>
              <w:tc>
                <w:tcPr>
                  <w:tcW w:w="454" w:type="dxa"/>
                  <w:vMerge w:val="restart"/>
                  <w:tcBorders>
                    <w:tl2br w:val="nil"/>
                    <w:tr2bl w:val="nil"/>
                  </w:tcBorders>
                  <w:noWrap w:val="0"/>
                  <w:vAlign w:val="center"/>
                </w:tcPr>
                <w:p w14:paraId="77004BDA">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废水</w:t>
                  </w:r>
                </w:p>
              </w:tc>
              <w:tc>
                <w:tcPr>
                  <w:tcW w:w="1063" w:type="dxa"/>
                  <w:tcBorders>
                    <w:tl2br w:val="nil"/>
                    <w:tr2bl w:val="nil"/>
                  </w:tcBorders>
                  <w:shd w:val="clear" w:color="auto" w:fill="auto"/>
                  <w:noWrap w:val="0"/>
                  <w:vAlign w:val="center"/>
                </w:tcPr>
                <w:p w14:paraId="24057739">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kern w:val="2"/>
                      <w:sz w:val="21"/>
                      <w:szCs w:val="21"/>
                      <w:lang w:val="en-US" w:eastAsia="zh-CN" w:bidi="ar-SA"/>
                    </w:rPr>
                  </w:pPr>
                  <w:r>
                    <w:rPr>
                      <w:rFonts w:hint="eastAsia" w:ascii="Times New Roman" w:hAnsi="Times New Roman" w:cs="Times New Roman"/>
                      <w:color w:val="auto"/>
                      <w:kern w:val="2"/>
                      <w:sz w:val="21"/>
                      <w:szCs w:val="21"/>
                      <w:lang w:val="en-US" w:eastAsia="zh-CN" w:bidi="ar-SA"/>
                    </w:rPr>
                    <w:t>生活污水</w:t>
                  </w:r>
                </w:p>
              </w:tc>
              <w:tc>
                <w:tcPr>
                  <w:tcW w:w="4866" w:type="dxa"/>
                  <w:tcBorders>
                    <w:tl2br w:val="nil"/>
                    <w:tr2bl w:val="nil"/>
                  </w:tcBorders>
                  <w:shd w:val="clear" w:color="auto" w:fill="auto"/>
                  <w:noWrap w:val="0"/>
                  <w:vAlign w:val="center"/>
                </w:tcPr>
                <w:p w14:paraId="62163DB0">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spacing w:val="0"/>
                      <w:lang w:val="en-US" w:eastAsia="zh-CN"/>
                    </w:rPr>
                  </w:pPr>
                  <w:r>
                    <w:rPr>
                      <w:rFonts w:hint="eastAsia" w:ascii="Times New Roman" w:hAnsi="Times New Roman" w:cs="Times New Roman"/>
                      <w:color w:val="auto"/>
                      <w:spacing w:val="0"/>
                      <w:lang w:val="en-US" w:eastAsia="zh-CN"/>
                    </w:rPr>
                    <w:t>本项目不新增劳动定员，不新增生活污水。</w:t>
                  </w:r>
                </w:p>
              </w:tc>
              <w:tc>
                <w:tcPr>
                  <w:tcW w:w="861" w:type="dxa"/>
                  <w:tcBorders>
                    <w:tl2br w:val="nil"/>
                    <w:tr2bl w:val="nil"/>
                  </w:tcBorders>
                  <w:shd w:val="clear" w:color="auto" w:fill="auto"/>
                  <w:noWrap w:val="0"/>
                  <w:vAlign w:val="center"/>
                </w:tcPr>
                <w:p w14:paraId="3647C30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pacing w:val="-6"/>
                      <w:sz w:val="21"/>
                      <w:szCs w:val="21"/>
                      <w:lang w:val="en-US" w:eastAsia="zh-CN"/>
                    </w:rPr>
                  </w:pPr>
                  <w:r>
                    <w:rPr>
                      <w:rFonts w:hint="eastAsia" w:cs="Times New Roman"/>
                      <w:color w:val="auto"/>
                      <w:spacing w:val="-6"/>
                      <w:sz w:val="21"/>
                      <w:szCs w:val="21"/>
                      <w:lang w:val="en-US" w:eastAsia="zh-CN"/>
                    </w:rPr>
                    <w:t>/</w:t>
                  </w:r>
                </w:p>
              </w:tc>
            </w:tr>
            <w:tr w14:paraId="0C542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735" w:type="dxa"/>
                  <w:vMerge w:val="continue"/>
                  <w:tcBorders>
                    <w:tl2br w:val="nil"/>
                    <w:tr2bl w:val="nil"/>
                  </w:tcBorders>
                  <w:noWrap w:val="0"/>
                  <w:vAlign w:val="center"/>
                </w:tcPr>
                <w:p w14:paraId="7BA98CD9">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p>
              </w:tc>
              <w:tc>
                <w:tcPr>
                  <w:tcW w:w="454" w:type="dxa"/>
                  <w:vMerge w:val="continue"/>
                  <w:tcBorders>
                    <w:tl2br w:val="nil"/>
                    <w:tr2bl w:val="nil"/>
                  </w:tcBorders>
                  <w:noWrap w:val="0"/>
                  <w:vAlign w:val="center"/>
                </w:tcPr>
                <w:p w14:paraId="56DC8736">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p>
              </w:tc>
              <w:tc>
                <w:tcPr>
                  <w:tcW w:w="1063" w:type="dxa"/>
                  <w:tcBorders>
                    <w:tl2br w:val="nil"/>
                    <w:tr2bl w:val="nil"/>
                  </w:tcBorders>
                  <w:shd w:val="clear" w:color="auto" w:fill="auto"/>
                  <w:noWrap w:val="0"/>
                  <w:vAlign w:val="center"/>
                </w:tcPr>
                <w:p w14:paraId="68209DD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冲洗废水</w:t>
                  </w:r>
                </w:p>
              </w:tc>
              <w:tc>
                <w:tcPr>
                  <w:tcW w:w="4866" w:type="dxa"/>
                  <w:tcBorders>
                    <w:tl2br w:val="nil"/>
                    <w:tr2bl w:val="nil"/>
                  </w:tcBorders>
                  <w:shd w:val="clear" w:color="auto" w:fill="auto"/>
                  <w:noWrap w:val="0"/>
                  <w:vAlign w:val="center"/>
                </w:tcPr>
                <w:p w14:paraId="0D9AA9A0">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筒仓仓顶房及仓底设冲洗水排水系统，在其最低处设地漏，冲洗废水经地漏收集后汇集至筒仓底部集水坑内，通过排水沟收集冲洗废水，经潜污泵加压，排至现有废水收集管网，全部回用于洗煤厂用于洗煤用水</w:t>
                  </w:r>
                  <w:r>
                    <w:rPr>
                      <w:rFonts w:hint="eastAsia" w:ascii="Times New Roman" w:hAnsi="Times New Roman" w:cs="Times New Roman"/>
                      <w:color w:val="auto"/>
                      <w:kern w:val="2"/>
                      <w:sz w:val="21"/>
                      <w:szCs w:val="21"/>
                      <w:highlight w:val="none"/>
                      <w:lang w:val="en-US" w:eastAsia="zh-CN" w:bidi="ar-SA"/>
                    </w:rPr>
                    <w:t>。</w:t>
                  </w:r>
                </w:p>
              </w:tc>
              <w:tc>
                <w:tcPr>
                  <w:tcW w:w="861" w:type="dxa"/>
                  <w:tcBorders>
                    <w:tl2br w:val="nil"/>
                    <w:tr2bl w:val="nil"/>
                  </w:tcBorders>
                  <w:noWrap w:val="0"/>
                  <w:vAlign w:val="center"/>
                </w:tcPr>
                <w:p w14:paraId="43FB70F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spacing w:val="-6"/>
                      <w:sz w:val="21"/>
                      <w:szCs w:val="21"/>
                      <w:highlight w:val="none"/>
                      <w:lang w:val="en-US" w:eastAsia="zh-CN"/>
                    </w:rPr>
                  </w:pPr>
                  <w:r>
                    <w:rPr>
                      <w:rFonts w:hint="eastAsia" w:cs="Times New Roman"/>
                      <w:color w:val="auto"/>
                      <w:spacing w:val="-6"/>
                      <w:sz w:val="21"/>
                      <w:szCs w:val="21"/>
                      <w:highlight w:val="none"/>
                      <w:lang w:val="en-US" w:eastAsia="zh-CN"/>
                    </w:rPr>
                    <w:t>新建</w:t>
                  </w:r>
                </w:p>
              </w:tc>
            </w:tr>
            <w:tr w14:paraId="57898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735" w:type="dxa"/>
                  <w:vMerge w:val="continue"/>
                  <w:tcBorders>
                    <w:tl2br w:val="nil"/>
                    <w:tr2bl w:val="nil"/>
                  </w:tcBorders>
                  <w:noWrap w:val="0"/>
                  <w:vAlign w:val="center"/>
                </w:tcPr>
                <w:p w14:paraId="257B1FD2">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p>
              </w:tc>
              <w:tc>
                <w:tcPr>
                  <w:tcW w:w="454" w:type="dxa"/>
                  <w:vMerge w:val="continue"/>
                  <w:tcBorders>
                    <w:tl2br w:val="nil"/>
                    <w:tr2bl w:val="nil"/>
                  </w:tcBorders>
                  <w:noWrap w:val="0"/>
                  <w:vAlign w:val="center"/>
                </w:tcPr>
                <w:p w14:paraId="463074E0">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p>
              </w:tc>
              <w:tc>
                <w:tcPr>
                  <w:tcW w:w="1063" w:type="dxa"/>
                  <w:tcBorders>
                    <w:tl2br w:val="nil"/>
                    <w:tr2bl w:val="nil"/>
                  </w:tcBorders>
                  <w:shd w:val="clear" w:color="auto" w:fill="auto"/>
                  <w:noWrap w:val="0"/>
                  <w:vAlign w:val="center"/>
                </w:tcPr>
                <w:p w14:paraId="6F6EC08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初期雨水</w:t>
                  </w:r>
                </w:p>
              </w:tc>
              <w:tc>
                <w:tcPr>
                  <w:tcW w:w="4866" w:type="dxa"/>
                  <w:tcBorders>
                    <w:tl2br w:val="nil"/>
                    <w:tr2bl w:val="nil"/>
                  </w:tcBorders>
                  <w:shd w:val="clear" w:color="auto" w:fill="auto"/>
                  <w:noWrap w:val="0"/>
                  <w:vAlign w:val="center"/>
                </w:tcPr>
                <w:p w14:paraId="033DB7FD">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本次在原煤仓西侧新建1座225m</w:t>
                  </w:r>
                  <w:r>
                    <w:rPr>
                      <w:rFonts w:hint="eastAsia" w:ascii="Times New Roman" w:hAnsi="Times New Roman" w:cs="Times New Roman"/>
                      <w:color w:val="auto"/>
                      <w:sz w:val="21"/>
                      <w:szCs w:val="21"/>
                      <w:highlight w:val="none"/>
                      <w:vertAlign w:val="superscript"/>
                      <w:lang w:val="en-US" w:eastAsia="zh-CN"/>
                    </w:rPr>
                    <w:t>3</w:t>
                  </w:r>
                  <w:r>
                    <w:rPr>
                      <w:rFonts w:hint="eastAsia" w:ascii="Times New Roman" w:hAnsi="Times New Roman" w:cs="Times New Roman"/>
                      <w:color w:val="auto"/>
                      <w:sz w:val="21"/>
                      <w:szCs w:val="21"/>
                      <w:highlight w:val="none"/>
                      <w:vertAlign w:val="baseline"/>
                      <w:lang w:val="en-US" w:eastAsia="zh-CN"/>
                    </w:rPr>
                    <w:t>（9m×5m×5m）初期</w:t>
                  </w:r>
                  <w:r>
                    <w:rPr>
                      <w:rFonts w:hint="eastAsia" w:ascii="Times New Roman" w:hAnsi="Times New Roman" w:cs="Times New Roman"/>
                      <w:color w:val="auto"/>
                      <w:sz w:val="21"/>
                      <w:szCs w:val="21"/>
                      <w:highlight w:val="none"/>
                      <w:lang w:val="en-US" w:eastAsia="zh-CN"/>
                    </w:rPr>
                    <w:t>雨水收集池，雨水经雨水渠进入初期雨水收集池，全部回用于洗煤厂用于洗煤用水。</w:t>
                  </w:r>
                </w:p>
              </w:tc>
              <w:tc>
                <w:tcPr>
                  <w:tcW w:w="861" w:type="dxa"/>
                  <w:tcBorders>
                    <w:tl2br w:val="nil"/>
                    <w:tr2bl w:val="nil"/>
                  </w:tcBorders>
                  <w:shd w:val="clear" w:color="auto" w:fill="auto"/>
                  <w:noWrap w:val="0"/>
                  <w:vAlign w:val="center"/>
                </w:tcPr>
                <w:p w14:paraId="42E575C2">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Times New Roman" w:hAnsi="Times New Roman" w:eastAsia="宋体" w:cs="Times New Roman"/>
                      <w:color w:val="auto"/>
                      <w:spacing w:val="-6"/>
                      <w:kern w:val="2"/>
                      <w:sz w:val="21"/>
                      <w:szCs w:val="21"/>
                      <w:lang w:val="en-US" w:eastAsia="zh-CN" w:bidi="ar-SA"/>
                    </w:rPr>
                  </w:pPr>
                  <w:r>
                    <w:rPr>
                      <w:rFonts w:hint="eastAsia" w:ascii="Times New Roman" w:hAnsi="Times New Roman" w:cs="Times New Roman"/>
                      <w:color w:val="auto"/>
                      <w:spacing w:val="-6"/>
                      <w:sz w:val="21"/>
                      <w:szCs w:val="21"/>
                      <w:lang w:val="en-US" w:eastAsia="zh-CN"/>
                    </w:rPr>
                    <w:t>新建</w:t>
                  </w:r>
                </w:p>
              </w:tc>
            </w:tr>
            <w:tr w14:paraId="5519F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735" w:type="dxa"/>
                  <w:vMerge w:val="continue"/>
                  <w:tcBorders>
                    <w:tl2br w:val="nil"/>
                    <w:tr2bl w:val="nil"/>
                  </w:tcBorders>
                  <w:noWrap w:val="0"/>
                  <w:vAlign w:val="center"/>
                </w:tcPr>
                <w:p w14:paraId="3020AB66">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p>
              </w:tc>
              <w:tc>
                <w:tcPr>
                  <w:tcW w:w="454" w:type="dxa"/>
                  <w:tcBorders>
                    <w:tl2br w:val="nil"/>
                    <w:tr2bl w:val="nil"/>
                  </w:tcBorders>
                  <w:noWrap w:val="0"/>
                  <w:vAlign w:val="center"/>
                </w:tcPr>
                <w:p w14:paraId="5E7F3323">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噪声</w:t>
                  </w:r>
                </w:p>
              </w:tc>
              <w:tc>
                <w:tcPr>
                  <w:tcW w:w="1063" w:type="dxa"/>
                  <w:tcBorders>
                    <w:tl2br w:val="nil"/>
                    <w:tr2bl w:val="nil"/>
                  </w:tcBorders>
                  <w:noWrap w:val="0"/>
                  <w:vAlign w:val="center"/>
                </w:tcPr>
                <w:p w14:paraId="402E66A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产噪设备</w:t>
                  </w:r>
                </w:p>
              </w:tc>
              <w:tc>
                <w:tcPr>
                  <w:tcW w:w="4866" w:type="dxa"/>
                  <w:tcBorders>
                    <w:tl2br w:val="nil"/>
                    <w:tr2bl w:val="nil"/>
                  </w:tcBorders>
                  <w:noWrap w:val="0"/>
                  <w:vAlign w:val="center"/>
                </w:tcPr>
                <w:p w14:paraId="6FB0553A">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Times New Roman" w:hAnsi="Times New Roman" w:eastAsia="宋体" w:cs="Times New Roman"/>
                      <w:color w:val="auto"/>
                      <w:sz w:val="21"/>
                      <w:szCs w:val="21"/>
                      <w:highlight w:val="yellow"/>
                      <w:lang w:eastAsia="zh-CN"/>
                    </w:rPr>
                  </w:pPr>
                  <w:r>
                    <w:rPr>
                      <w:rFonts w:hint="eastAsia" w:ascii="Times New Roman" w:hAnsi="Times New Roman" w:cs="Times New Roman"/>
                      <w:color w:val="auto"/>
                      <w:sz w:val="21"/>
                      <w:szCs w:val="21"/>
                      <w:lang w:val="en-US" w:eastAsia="zh-CN"/>
                    </w:rPr>
                    <w:t>低噪声设备；</w:t>
                  </w:r>
                  <w:r>
                    <w:rPr>
                      <w:rFonts w:hint="default" w:ascii="Times New Roman" w:hAnsi="Times New Roman" w:cs="Times New Roman"/>
                      <w:color w:val="auto"/>
                      <w:sz w:val="21"/>
                      <w:szCs w:val="21"/>
                    </w:rPr>
                    <w:t>减振、厂房隔声</w:t>
                  </w:r>
                  <w:r>
                    <w:rPr>
                      <w:rFonts w:hint="eastAsia" w:ascii="Times New Roman" w:hAnsi="Times New Roman" w:cs="Times New Roman"/>
                      <w:color w:val="auto"/>
                      <w:sz w:val="21"/>
                      <w:szCs w:val="21"/>
                      <w:lang w:eastAsia="zh-CN"/>
                    </w:rPr>
                    <w:t>；</w:t>
                  </w:r>
                  <w:r>
                    <w:rPr>
                      <w:rFonts w:hint="eastAsia" w:ascii="Times New Roman" w:hAnsi="Times New Roman" w:cs="Times New Roman"/>
                      <w:color w:val="auto"/>
                      <w:sz w:val="21"/>
                      <w:szCs w:val="21"/>
                      <w:lang w:val="en-US" w:eastAsia="zh-CN"/>
                    </w:rPr>
                    <w:t>定期维修、检修</w:t>
                  </w:r>
                  <w:r>
                    <w:rPr>
                      <w:rFonts w:hint="eastAsia" w:ascii="Times New Roman" w:hAnsi="Times New Roman" w:cs="Times New Roman"/>
                      <w:color w:val="auto"/>
                      <w:sz w:val="21"/>
                      <w:szCs w:val="21"/>
                      <w:lang w:eastAsia="zh-CN"/>
                    </w:rPr>
                    <w:t>。</w:t>
                  </w:r>
                </w:p>
              </w:tc>
              <w:tc>
                <w:tcPr>
                  <w:tcW w:w="861" w:type="dxa"/>
                  <w:tcBorders>
                    <w:tl2br w:val="nil"/>
                    <w:tr2bl w:val="nil"/>
                  </w:tcBorders>
                  <w:noWrap w:val="0"/>
                  <w:vAlign w:val="center"/>
                </w:tcPr>
                <w:p w14:paraId="6C5F601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pacing w:val="-6"/>
                      <w:sz w:val="21"/>
                      <w:szCs w:val="21"/>
                    </w:rPr>
                  </w:pPr>
                  <w:r>
                    <w:rPr>
                      <w:rFonts w:hint="eastAsia" w:ascii="Times New Roman" w:hAnsi="Times New Roman" w:cs="Times New Roman"/>
                      <w:color w:val="auto"/>
                      <w:spacing w:val="-6"/>
                      <w:sz w:val="21"/>
                      <w:szCs w:val="21"/>
                      <w:lang w:val="en-US" w:eastAsia="zh-CN"/>
                    </w:rPr>
                    <w:t xml:space="preserve">新建 </w:t>
                  </w:r>
                </w:p>
              </w:tc>
            </w:tr>
            <w:tr w14:paraId="6E02B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735" w:type="dxa"/>
                  <w:vMerge w:val="continue"/>
                  <w:tcBorders>
                    <w:tl2br w:val="nil"/>
                    <w:tr2bl w:val="nil"/>
                  </w:tcBorders>
                  <w:noWrap w:val="0"/>
                  <w:vAlign w:val="center"/>
                </w:tcPr>
                <w:p w14:paraId="057A1504">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p>
              </w:tc>
              <w:tc>
                <w:tcPr>
                  <w:tcW w:w="454" w:type="dxa"/>
                  <w:vMerge w:val="restart"/>
                  <w:tcBorders>
                    <w:tl2br w:val="nil"/>
                    <w:tr2bl w:val="nil"/>
                  </w:tcBorders>
                  <w:noWrap w:val="0"/>
                  <w:vAlign w:val="center"/>
                </w:tcPr>
                <w:p w14:paraId="086A45B8">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固废</w:t>
                  </w:r>
                </w:p>
              </w:tc>
              <w:tc>
                <w:tcPr>
                  <w:tcW w:w="1063" w:type="dxa"/>
                  <w:tcBorders>
                    <w:tl2br w:val="nil"/>
                    <w:tr2bl w:val="nil"/>
                  </w:tcBorders>
                  <w:shd w:val="clear" w:color="auto" w:fill="auto"/>
                  <w:noWrap w:val="0"/>
                  <w:vAlign w:val="center"/>
                </w:tcPr>
                <w:p w14:paraId="0F92F69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生活垃圾</w:t>
                  </w:r>
                </w:p>
              </w:tc>
              <w:tc>
                <w:tcPr>
                  <w:tcW w:w="4866" w:type="dxa"/>
                  <w:tcBorders>
                    <w:tl2br w:val="nil"/>
                    <w:tr2bl w:val="nil"/>
                  </w:tcBorders>
                  <w:shd w:val="clear" w:color="auto" w:fill="auto"/>
                  <w:noWrap w:val="0"/>
                  <w:vAlign w:val="center"/>
                </w:tcPr>
                <w:p w14:paraId="2D148B2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本项目不新增劳动定员，不新增生活垃圾。</w:t>
                  </w:r>
                </w:p>
              </w:tc>
              <w:tc>
                <w:tcPr>
                  <w:tcW w:w="861" w:type="dxa"/>
                  <w:tcBorders>
                    <w:tl2br w:val="nil"/>
                    <w:tr2bl w:val="nil"/>
                  </w:tcBorders>
                  <w:shd w:val="clear" w:color="auto" w:fill="auto"/>
                  <w:noWrap w:val="0"/>
                  <w:vAlign w:val="center"/>
                </w:tcPr>
                <w:p w14:paraId="04250CF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pacing w:val="-6"/>
                      <w:kern w:val="2"/>
                      <w:sz w:val="21"/>
                      <w:szCs w:val="21"/>
                      <w:lang w:val="en-US" w:eastAsia="zh-CN" w:bidi="ar-SA"/>
                    </w:rPr>
                  </w:pPr>
                  <w:r>
                    <w:rPr>
                      <w:rFonts w:hint="eastAsia" w:cs="Times New Roman"/>
                      <w:color w:val="auto"/>
                      <w:spacing w:val="-6"/>
                      <w:kern w:val="2"/>
                      <w:sz w:val="21"/>
                      <w:szCs w:val="21"/>
                      <w:lang w:val="en-US" w:eastAsia="zh-CN" w:bidi="ar-SA"/>
                    </w:rPr>
                    <w:t>/</w:t>
                  </w:r>
                </w:p>
              </w:tc>
            </w:tr>
            <w:tr w14:paraId="6AA2A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735" w:type="dxa"/>
                  <w:vMerge w:val="continue"/>
                  <w:tcBorders>
                    <w:tl2br w:val="nil"/>
                    <w:tr2bl w:val="nil"/>
                  </w:tcBorders>
                  <w:noWrap w:val="0"/>
                  <w:vAlign w:val="center"/>
                </w:tcPr>
                <w:p w14:paraId="49FA2984">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p>
              </w:tc>
              <w:tc>
                <w:tcPr>
                  <w:tcW w:w="454" w:type="dxa"/>
                  <w:vMerge w:val="continue"/>
                  <w:tcBorders>
                    <w:tl2br w:val="nil"/>
                    <w:tr2bl w:val="nil"/>
                  </w:tcBorders>
                  <w:noWrap w:val="0"/>
                  <w:vAlign w:val="center"/>
                </w:tcPr>
                <w:p w14:paraId="2D2ED280">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p>
              </w:tc>
              <w:tc>
                <w:tcPr>
                  <w:tcW w:w="1063" w:type="dxa"/>
                  <w:tcBorders>
                    <w:tl2br w:val="nil"/>
                    <w:tr2bl w:val="nil"/>
                  </w:tcBorders>
                  <w:shd w:val="clear" w:color="auto" w:fill="auto"/>
                  <w:noWrap w:val="0"/>
                  <w:vAlign w:val="center"/>
                </w:tcPr>
                <w:p w14:paraId="602BED9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沉淀煤泥</w:t>
                  </w:r>
                </w:p>
              </w:tc>
              <w:tc>
                <w:tcPr>
                  <w:tcW w:w="4866" w:type="dxa"/>
                  <w:tcBorders>
                    <w:tl2br w:val="nil"/>
                    <w:tr2bl w:val="nil"/>
                  </w:tcBorders>
                  <w:shd w:val="clear" w:color="auto" w:fill="auto"/>
                  <w:noWrap w:val="0"/>
                  <w:vAlign w:val="center"/>
                </w:tcPr>
                <w:p w14:paraId="11F1A846">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雨水池沉淀煤泥定期清理，掺入煤泥外售</w:t>
                  </w:r>
                </w:p>
              </w:tc>
              <w:tc>
                <w:tcPr>
                  <w:tcW w:w="861" w:type="dxa"/>
                  <w:tcBorders>
                    <w:tl2br w:val="nil"/>
                    <w:tr2bl w:val="nil"/>
                  </w:tcBorders>
                  <w:shd w:val="clear" w:color="auto" w:fill="auto"/>
                  <w:noWrap w:val="0"/>
                  <w:vAlign w:val="center"/>
                </w:tcPr>
                <w:p w14:paraId="39A6159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spacing w:val="-6"/>
                      <w:kern w:val="2"/>
                      <w:sz w:val="21"/>
                      <w:szCs w:val="21"/>
                      <w:lang w:val="en-US" w:eastAsia="zh-CN" w:bidi="ar-SA"/>
                    </w:rPr>
                  </w:pPr>
                  <w:r>
                    <w:rPr>
                      <w:rFonts w:hint="eastAsia" w:cs="Times New Roman"/>
                      <w:color w:val="auto"/>
                      <w:spacing w:val="-6"/>
                      <w:sz w:val="21"/>
                      <w:szCs w:val="21"/>
                      <w:lang w:val="en-US" w:eastAsia="zh-CN"/>
                    </w:rPr>
                    <w:t>依托</w:t>
                  </w:r>
                </w:p>
              </w:tc>
            </w:tr>
            <w:tr w14:paraId="5C48F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735" w:type="dxa"/>
                  <w:vMerge w:val="continue"/>
                  <w:tcBorders>
                    <w:tl2br w:val="nil"/>
                    <w:tr2bl w:val="nil"/>
                  </w:tcBorders>
                  <w:noWrap w:val="0"/>
                  <w:vAlign w:val="center"/>
                </w:tcPr>
                <w:p w14:paraId="4696023C">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p>
              </w:tc>
              <w:tc>
                <w:tcPr>
                  <w:tcW w:w="454" w:type="dxa"/>
                  <w:vMerge w:val="continue"/>
                  <w:tcBorders>
                    <w:tl2br w:val="nil"/>
                    <w:tr2bl w:val="nil"/>
                  </w:tcBorders>
                  <w:noWrap w:val="0"/>
                  <w:vAlign w:val="center"/>
                </w:tcPr>
                <w:p w14:paraId="5B234995">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p>
              </w:tc>
              <w:tc>
                <w:tcPr>
                  <w:tcW w:w="1063" w:type="dxa"/>
                  <w:tcBorders>
                    <w:tl2br w:val="nil"/>
                    <w:tr2bl w:val="nil"/>
                  </w:tcBorders>
                  <w:shd w:val="clear" w:color="auto" w:fill="auto"/>
                  <w:noWrap w:val="0"/>
                  <w:vAlign w:val="center"/>
                </w:tcPr>
                <w:p w14:paraId="14CA9F1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废矿物油</w:t>
                  </w:r>
                  <w:r>
                    <w:rPr>
                      <w:rFonts w:hint="eastAsia" w:ascii="Times New Roman" w:hAnsi="Times New Roman" w:cs="Times New Roman"/>
                      <w:color w:val="auto"/>
                      <w:sz w:val="21"/>
                      <w:szCs w:val="21"/>
                      <w:lang w:eastAsia="zh-CN"/>
                    </w:rPr>
                    <w:t>、</w:t>
                  </w:r>
                  <w:r>
                    <w:rPr>
                      <w:rFonts w:hint="eastAsia" w:ascii="Times New Roman" w:hAnsi="Times New Roman" w:cs="Times New Roman"/>
                      <w:color w:val="auto"/>
                      <w:sz w:val="21"/>
                      <w:szCs w:val="21"/>
                      <w:lang w:val="en-US" w:eastAsia="zh-CN"/>
                    </w:rPr>
                    <w:t>废油桶等</w:t>
                  </w:r>
                </w:p>
              </w:tc>
              <w:tc>
                <w:tcPr>
                  <w:tcW w:w="4866" w:type="dxa"/>
                  <w:tcBorders>
                    <w:tl2br w:val="nil"/>
                    <w:tr2bl w:val="nil"/>
                  </w:tcBorders>
                  <w:shd w:val="clear" w:color="auto" w:fill="auto"/>
                  <w:noWrap w:val="0"/>
                  <w:vAlign w:val="center"/>
                </w:tcPr>
                <w:p w14:paraId="6710FD9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21"/>
                      <w:szCs w:val="21"/>
                      <w:highlight w:val="yellow"/>
                      <w:lang w:val="en-US" w:eastAsia="zh-CN" w:bidi="ar-SA"/>
                    </w:rPr>
                  </w:pPr>
                  <w:r>
                    <w:rPr>
                      <w:rFonts w:hint="eastAsia" w:ascii="Times New Roman" w:hAnsi="Times New Roman" w:cs="Times New Roman"/>
                      <w:color w:val="auto"/>
                      <w:sz w:val="21"/>
                      <w:szCs w:val="21"/>
                      <w:lang w:val="en-US" w:eastAsia="zh-CN"/>
                    </w:rPr>
                    <w:t>暂存于矿区现有</w:t>
                  </w:r>
                  <w:r>
                    <w:rPr>
                      <w:rFonts w:hint="default" w:ascii="Times New Roman" w:hAnsi="Times New Roman" w:cs="Times New Roman"/>
                      <w:color w:val="auto"/>
                      <w:sz w:val="21"/>
                      <w:szCs w:val="21"/>
                    </w:rPr>
                    <w:t>危废</w:t>
                  </w:r>
                  <w:r>
                    <w:rPr>
                      <w:rFonts w:hint="eastAsia" w:ascii="Times New Roman" w:hAnsi="Times New Roman" w:cs="Times New Roman"/>
                      <w:color w:val="auto"/>
                      <w:sz w:val="21"/>
                      <w:szCs w:val="21"/>
                      <w:lang w:val="en-US" w:eastAsia="zh-CN"/>
                    </w:rPr>
                    <w:t>贮存库（1#、2#）</w:t>
                  </w:r>
                  <w:r>
                    <w:rPr>
                      <w:rFonts w:hint="eastAsia" w:ascii="Times New Roman" w:hAnsi="Times New Roman" w:cs="Times New Roman"/>
                      <w:color w:val="auto"/>
                      <w:sz w:val="21"/>
                      <w:szCs w:val="21"/>
                      <w:lang w:eastAsia="zh-CN"/>
                    </w:rPr>
                    <w:t>，</w:t>
                  </w:r>
                  <w:r>
                    <w:rPr>
                      <w:rFonts w:hint="eastAsia" w:ascii="Times New Roman" w:hAnsi="Times New Roman" w:cs="Times New Roman"/>
                      <w:color w:val="auto"/>
                      <w:sz w:val="21"/>
                      <w:szCs w:val="21"/>
                      <w:lang w:val="en-US" w:eastAsia="zh-CN"/>
                    </w:rPr>
                    <w:t>委托资质单位定期处置。</w:t>
                  </w:r>
                </w:p>
              </w:tc>
              <w:tc>
                <w:tcPr>
                  <w:tcW w:w="861" w:type="dxa"/>
                  <w:tcBorders>
                    <w:tl2br w:val="nil"/>
                    <w:tr2bl w:val="nil"/>
                  </w:tcBorders>
                  <w:shd w:val="clear" w:color="auto" w:fill="auto"/>
                  <w:noWrap w:val="0"/>
                  <w:vAlign w:val="center"/>
                </w:tcPr>
                <w:p w14:paraId="73FC9A2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pacing w:val="-6"/>
                      <w:kern w:val="2"/>
                      <w:sz w:val="21"/>
                      <w:szCs w:val="21"/>
                      <w:lang w:val="en-US" w:eastAsia="zh-CN" w:bidi="ar-SA"/>
                    </w:rPr>
                  </w:pPr>
                  <w:r>
                    <w:rPr>
                      <w:rFonts w:hint="eastAsia" w:cs="Times New Roman"/>
                      <w:color w:val="auto"/>
                      <w:spacing w:val="-6"/>
                      <w:kern w:val="2"/>
                      <w:sz w:val="21"/>
                      <w:szCs w:val="21"/>
                      <w:lang w:val="en-US" w:eastAsia="zh-CN" w:bidi="ar-SA"/>
                    </w:rPr>
                    <w:t>依托</w:t>
                  </w:r>
                </w:p>
              </w:tc>
            </w:tr>
          </w:tbl>
          <w:p w14:paraId="2B5172AA">
            <w:pPr>
              <w:keepNext w:val="0"/>
              <w:keepLines w:val="0"/>
              <w:pageBreakBefore w:val="0"/>
              <w:widowControl w:val="0"/>
              <w:kinsoku/>
              <w:wordWrap/>
              <w:overflowPunct/>
              <w:topLinePunct w:val="0"/>
              <w:bidi w:val="0"/>
              <w:spacing w:line="480" w:lineRule="exact"/>
              <w:ind w:firstLine="482" w:firstLineChars="200"/>
              <w:textAlignment w:val="auto"/>
              <w:rPr>
                <w:rFonts w:hint="default" w:ascii="Times New Roman" w:hAnsi="Times New Roman" w:eastAsia="宋体" w:cs="Times New Roman"/>
                <w:b/>
                <w:bCs w:val="0"/>
                <w:color w:val="auto"/>
                <w:spacing w:val="0"/>
                <w:sz w:val="24"/>
                <w:szCs w:val="24"/>
                <w:highlight w:val="none"/>
                <w:lang w:val="en-US" w:eastAsia="zh-CN"/>
              </w:rPr>
            </w:pPr>
            <w:r>
              <w:rPr>
                <w:rFonts w:hint="eastAsia" w:ascii="Times New Roman" w:hAnsi="Times New Roman" w:eastAsia="宋体" w:cs="Times New Roman"/>
                <w:b/>
                <w:bCs w:val="0"/>
                <w:color w:val="auto"/>
                <w:spacing w:val="0"/>
                <w:sz w:val="24"/>
                <w:szCs w:val="24"/>
                <w:highlight w:val="none"/>
                <w:lang w:val="en-US" w:eastAsia="zh-CN"/>
              </w:rPr>
              <w:t xml:space="preserve">2.3 </w:t>
            </w:r>
            <w:r>
              <w:rPr>
                <w:rFonts w:hint="eastAsia" w:cs="Times New Roman"/>
                <w:b/>
                <w:bCs w:val="0"/>
                <w:color w:val="auto"/>
                <w:spacing w:val="0"/>
                <w:sz w:val="24"/>
                <w:szCs w:val="24"/>
                <w:highlight w:val="none"/>
                <w:lang w:val="en-US" w:eastAsia="zh-CN"/>
              </w:rPr>
              <w:t>原料来源及</w:t>
            </w:r>
            <w:r>
              <w:rPr>
                <w:rFonts w:hint="default" w:ascii="Times New Roman" w:hAnsi="Times New Roman" w:eastAsia="宋体" w:cs="Times New Roman"/>
                <w:b/>
                <w:bCs w:val="0"/>
                <w:color w:val="auto"/>
                <w:spacing w:val="0"/>
                <w:sz w:val="24"/>
                <w:szCs w:val="24"/>
                <w:highlight w:val="none"/>
                <w:lang w:val="en-US" w:eastAsia="zh-CN"/>
              </w:rPr>
              <w:t>产品方案</w:t>
            </w:r>
          </w:p>
          <w:p w14:paraId="574C9CEB">
            <w:pPr>
              <w:keepNext w:val="0"/>
              <w:keepLines w:val="0"/>
              <w:pageBreakBefore w:val="0"/>
              <w:widowControl w:val="0"/>
              <w:kinsoku/>
              <w:wordWrap/>
              <w:overflowPunct/>
              <w:topLinePunct w:val="0"/>
              <w:bidi w:val="0"/>
              <w:spacing w:line="480" w:lineRule="exact"/>
              <w:ind w:firstLine="480" w:firstLineChars="200"/>
              <w:textAlignment w:val="auto"/>
              <w:rPr>
                <w:rFonts w:hint="default" w:ascii="Times New Roman" w:hAnsi="Times New Roman" w:cs="Times New Roman"/>
                <w:bCs/>
                <w:color w:val="auto"/>
                <w:spacing w:val="0"/>
                <w:sz w:val="24"/>
                <w:szCs w:val="24"/>
                <w:highlight w:val="none"/>
                <w:lang w:val="en-US" w:eastAsia="zh-CN"/>
              </w:rPr>
            </w:pPr>
            <w:r>
              <w:rPr>
                <w:rFonts w:hint="default" w:ascii="Times New Roman" w:hAnsi="Times New Roman" w:cs="Times New Roman"/>
                <w:bCs/>
                <w:color w:val="auto"/>
                <w:spacing w:val="0"/>
                <w:sz w:val="24"/>
                <w:szCs w:val="24"/>
                <w:highlight w:val="none"/>
                <w:lang w:val="en-US" w:eastAsia="zh-CN"/>
              </w:rPr>
              <w:t>本项目</w:t>
            </w:r>
            <w:r>
              <w:rPr>
                <w:rFonts w:hint="default" w:ascii="Times New Roman" w:hAnsi="Times New Roman" w:cs="Times New Roman"/>
                <w:b w:val="0"/>
                <w:bCs/>
                <w:color w:val="auto"/>
                <w:spacing w:val="0"/>
                <w:sz w:val="24"/>
                <w:szCs w:val="24"/>
                <w:highlight w:val="none"/>
                <w:lang w:val="en-US" w:eastAsia="zh-CN"/>
              </w:rPr>
              <w:t>仅对煤炭进行储存，新增1座15号煤原煤筒仓，φ21m，仓</w:t>
            </w:r>
            <w:r>
              <w:rPr>
                <w:rFonts w:hint="eastAsia" w:ascii="Times New Roman" w:hAnsi="Times New Roman" w:cs="Times New Roman"/>
                <w:b w:val="0"/>
                <w:bCs/>
                <w:color w:val="auto"/>
                <w:spacing w:val="0"/>
                <w:sz w:val="24"/>
                <w:szCs w:val="24"/>
                <w:highlight w:val="none"/>
                <w:lang w:val="en-US" w:eastAsia="zh-CN"/>
              </w:rPr>
              <w:t>储量</w:t>
            </w:r>
            <w:r>
              <w:rPr>
                <w:rFonts w:hint="default" w:ascii="Times New Roman" w:hAnsi="Times New Roman" w:cs="Times New Roman"/>
                <w:b w:val="0"/>
                <w:bCs/>
                <w:color w:val="auto"/>
                <w:spacing w:val="0"/>
                <w:sz w:val="24"/>
                <w:szCs w:val="24"/>
                <w:highlight w:val="none"/>
                <w:lang w:val="en-US" w:eastAsia="zh-CN"/>
              </w:rPr>
              <w:t>约为10000t</w:t>
            </w:r>
            <w:r>
              <w:rPr>
                <w:rFonts w:hint="eastAsia" w:cs="Times New Roman"/>
                <w:b w:val="0"/>
                <w:bCs/>
                <w:color w:val="auto"/>
                <w:spacing w:val="0"/>
                <w:sz w:val="24"/>
                <w:szCs w:val="24"/>
                <w:highlight w:val="none"/>
                <w:lang w:val="en-US" w:eastAsia="zh-CN"/>
              </w:rPr>
              <w:t>，有效仓容约为8000t</w:t>
            </w:r>
            <w:r>
              <w:rPr>
                <w:rFonts w:hint="default" w:ascii="Times New Roman" w:hAnsi="Times New Roman" w:cs="Times New Roman"/>
                <w:b w:val="0"/>
                <w:bCs/>
                <w:color w:val="auto"/>
                <w:spacing w:val="0"/>
                <w:sz w:val="24"/>
                <w:szCs w:val="24"/>
                <w:highlight w:val="none"/>
                <w:lang w:val="en-US" w:eastAsia="zh-CN"/>
              </w:rPr>
              <w:t>；新增1座15号煤末煤筒仓，φ21m，仓</w:t>
            </w:r>
            <w:r>
              <w:rPr>
                <w:rFonts w:hint="eastAsia" w:ascii="Times New Roman" w:hAnsi="Times New Roman" w:cs="Times New Roman"/>
                <w:b w:val="0"/>
                <w:bCs/>
                <w:color w:val="auto"/>
                <w:spacing w:val="0"/>
                <w:sz w:val="24"/>
                <w:szCs w:val="24"/>
                <w:highlight w:val="none"/>
                <w:lang w:val="en-US" w:eastAsia="zh-CN"/>
              </w:rPr>
              <w:t>储量</w:t>
            </w:r>
            <w:r>
              <w:rPr>
                <w:rFonts w:hint="default" w:ascii="Times New Roman" w:hAnsi="Times New Roman" w:cs="Times New Roman"/>
                <w:b w:val="0"/>
                <w:bCs/>
                <w:color w:val="auto"/>
                <w:spacing w:val="0"/>
                <w:sz w:val="24"/>
                <w:szCs w:val="24"/>
                <w:highlight w:val="none"/>
                <w:lang w:val="en-US" w:eastAsia="zh-CN"/>
              </w:rPr>
              <w:t>约为10000t</w:t>
            </w:r>
            <w:r>
              <w:rPr>
                <w:rFonts w:hint="eastAsia" w:cs="Times New Roman"/>
                <w:b w:val="0"/>
                <w:bCs/>
                <w:color w:val="auto"/>
                <w:spacing w:val="0"/>
                <w:sz w:val="24"/>
                <w:szCs w:val="24"/>
                <w:highlight w:val="none"/>
                <w:lang w:val="en-US" w:eastAsia="zh-CN"/>
              </w:rPr>
              <w:t>，有效仓容约为8000t</w:t>
            </w:r>
            <w:r>
              <w:rPr>
                <w:rFonts w:hint="default" w:ascii="Times New Roman" w:hAnsi="Times New Roman" w:cs="Times New Roman"/>
                <w:bCs/>
                <w:color w:val="auto"/>
                <w:spacing w:val="0"/>
                <w:sz w:val="24"/>
                <w:szCs w:val="24"/>
                <w:highlight w:val="none"/>
                <w:lang w:val="en-US" w:eastAsia="zh-CN"/>
              </w:rPr>
              <w:t>。</w:t>
            </w:r>
            <w:r>
              <w:rPr>
                <w:rFonts w:hint="eastAsia" w:cs="Times New Roman"/>
                <w:bCs/>
                <w:color w:val="auto"/>
                <w:spacing w:val="0"/>
                <w:sz w:val="24"/>
                <w:szCs w:val="24"/>
                <w:highlight w:val="none"/>
                <w:lang w:val="en-US" w:eastAsia="zh-CN"/>
              </w:rPr>
              <w:t>本项目建成后，全厂原煤最大储量约为43万t，末煤最大储量约为4.8万t，可储存约19天的煤炭量。</w:t>
            </w:r>
          </w:p>
          <w:p w14:paraId="06279CD4">
            <w:pPr>
              <w:keepNext w:val="0"/>
              <w:keepLines w:val="0"/>
              <w:pageBreakBefore w:val="0"/>
              <w:widowControl w:val="0"/>
              <w:kinsoku/>
              <w:wordWrap/>
              <w:overflowPunct/>
              <w:topLinePunct w:val="0"/>
              <w:autoSpaceDE/>
              <w:autoSpaceDN/>
              <w:bidi w:val="0"/>
              <w:adjustRightInd/>
              <w:snapToGrid/>
              <w:spacing w:before="0" w:after="0" w:line="480" w:lineRule="exact"/>
              <w:ind w:firstLine="0" w:firstLineChars="0"/>
              <w:jc w:val="center"/>
              <w:textAlignment w:val="baseline"/>
              <w:rPr>
                <w:rFonts w:hint="default" w:ascii="Times New Roman" w:hAnsi="Times New Roman" w:eastAsia="黑体" w:cs="Times New Roman"/>
                <w:iCs/>
                <w:snapToGrid w:val="0"/>
                <w:color w:val="auto"/>
                <w:spacing w:val="0"/>
                <w:kern w:val="0"/>
                <w:sz w:val="21"/>
                <w:szCs w:val="20"/>
                <w:highlight w:val="none"/>
                <w:lang w:val="en-US" w:eastAsia="zh-CN" w:bidi="ar-SA"/>
              </w:rPr>
            </w:pPr>
            <w:r>
              <w:rPr>
                <w:rFonts w:hint="default" w:ascii="Times New Roman" w:hAnsi="Times New Roman" w:eastAsia="黑体" w:cs="Times New Roman"/>
                <w:iCs/>
                <w:snapToGrid w:val="0"/>
                <w:color w:val="auto"/>
                <w:spacing w:val="0"/>
                <w:kern w:val="0"/>
                <w:sz w:val="21"/>
                <w:szCs w:val="20"/>
                <w:highlight w:val="none"/>
                <w:lang w:val="en-US" w:eastAsia="zh-CN" w:bidi="ar-SA"/>
              </w:rPr>
              <w:t>表</w:t>
            </w:r>
            <w:r>
              <w:rPr>
                <w:rFonts w:hint="eastAsia" w:eastAsia="黑体" w:cs="Times New Roman"/>
                <w:iCs/>
                <w:snapToGrid w:val="0"/>
                <w:color w:val="auto"/>
                <w:spacing w:val="0"/>
                <w:kern w:val="0"/>
                <w:sz w:val="21"/>
                <w:szCs w:val="20"/>
                <w:highlight w:val="none"/>
                <w:lang w:val="en-US" w:eastAsia="zh-CN" w:bidi="ar-SA"/>
              </w:rPr>
              <w:t>2.3-1</w:t>
            </w:r>
            <w:r>
              <w:rPr>
                <w:rFonts w:hint="default" w:ascii="Times New Roman" w:hAnsi="Times New Roman" w:eastAsia="黑体" w:cs="Times New Roman"/>
                <w:iCs/>
                <w:snapToGrid w:val="0"/>
                <w:color w:val="auto"/>
                <w:spacing w:val="0"/>
                <w:kern w:val="0"/>
                <w:sz w:val="21"/>
                <w:szCs w:val="20"/>
                <w:highlight w:val="none"/>
                <w:lang w:val="en-US" w:eastAsia="zh-CN" w:bidi="ar-SA"/>
              </w:rPr>
              <w:t xml:space="preserve">  </w:t>
            </w:r>
            <w:r>
              <w:rPr>
                <w:rFonts w:hint="eastAsia" w:eastAsia="黑体" w:cs="Times New Roman"/>
                <w:iCs/>
                <w:snapToGrid w:val="0"/>
                <w:color w:val="auto"/>
                <w:spacing w:val="0"/>
                <w:kern w:val="0"/>
                <w:sz w:val="21"/>
                <w:szCs w:val="20"/>
                <w:highlight w:val="none"/>
                <w:lang w:val="en-US" w:eastAsia="zh-CN" w:bidi="ar-SA"/>
              </w:rPr>
              <w:t xml:space="preserve"> 产品方案表</w:t>
            </w:r>
          </w:p>
          <w:tbl>
            <w:tblPr>
              <w:tblStyle w:val="26"/>
              <w:tblW w:w="80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3"/>
              <w:gridCol w:w="1682"/>
              <w:gridCol w:w="2569"/>
              <w:gridCol w:w="3014"/>
            </w:tblGrid>
            <w:tr w14:paraId="4E940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793" w:type="dxa"/>
                  <w:tcBorders>
                    <w:tl2br w:val="nil"/>
                    <w:tr2bl w:val="nil"/>
                  </w:tcBorders>
                  <w:noWrap w:val="0"/>
                  <w:vAlign w:val="center"/>
                </w:tcPr>
                <w:p w14:paraId="149D25A7">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eastAsia" w:ascii="Times New Roman" w:hAnsi="Times New Roman" w:eastAsia="宋体" w:cs="Times New Roman"/>
                      <w:bCs/>
                      <w:color w:val="auto"/>
                      <w:szCs w:val="21"/>
                      <w:lang w:val="en-US" w:eastAsia="zh-CN"/>
                    </w:rPr>
                  </w:pPr>
                  <w:r>
                    <w:rPr>
                      <w:rFonts w:hint="eastAsia" w:ascii="Times New Roman" w:hAnsi="Times New Roman" w:cs="Times New Roman"/>
                      <w:bCs/>
                      <w:color w:val="auto"/>
                      <w:szCs w:val="21"/>
                      <w:lang w:val="en-US" w:eastAsia="zh-CN"/>
                    </w:rPr>
                    <w:t>序号</w:t>
                  </w:r>
                </w:p>
              </w:tc>
              <w:tc>
                <w:tcPr>
                  <w:tcW w:w="1682" w:type="dxa"/>
                  <w:tcBorders>
                    <w:tl2br w:val="nil"/>
                    <w:tr2bl w:val="nil"/>
                  </w:tcBorders>
                  <w:noWrap w:val="0"/>
                  <w:vAlign w:val="center"/>
                </w:tcPr>
                <w:p w14:paraId="14AFA8E2">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产品名称</w:t>
                  </w:r>
                </w:p>
              </w:tc>
              <w:tc>
                <w:tcPr>
                  <w:tcW w:w="2569" w:type="dxa"/>
                  <w:tcBorders>
                    <w:tl2br w:val="nil"/>
                    <w:tr2bl w:val="nil"/>
                  </w:tcBorders>
                  <w:noWrap w:val="0"/>
                  <w:vAlign w:val="center"/>
                </w:tcPr>
                <w:p w14:paraId="5CD6B71D">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本项目设计储量</w:t>
                  </w:r>
                </w:p>
              </w:tc>
              <w:tc>
                <w:tcPr>
                  <w:tcW w:w="3014" w:type="dxa"/>
                  <w:tcBorders>
                    <w:tl2br w:val="nil"/>
                    <w:tr2bl w:val="nil"/>
                  </w:tcBorders>
                  <w:noWrap w:val="0"/>
                  <w:vAlign w:val="center"/>
                </w:tcPr>
                <w:p w14:paraId="2F61DD06">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本项目建成后全厂储量</w:t>
                  </w:r>
                </w:p>
              </w:tc>
            </w:tr>
            <w:tr w14:paraId="4912C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793" w:type="dxa"/>
                  <w:tcBorders>
                    <w:tl2br w:val="nil"/>
                    <w:tr2bl w:val="nil"/>
                  </w:tcBorders>
                  <w:noWrap w:val="0"/>
                  <w:vAlign w:val="center"/>
                </w:tcPr>
                <w:p w14:paraId="2BA70E2E">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cs="Times New Roman"/>
                      <w:bCs/>
                      <w:color w:val="auto"/>
                      <w:szCs w:val="21"/>
                      <w:lang w:val="en-US" w:eastAsia="zh-CN"/>
                    </w:rPr>
                  </w:pPr>
                  <w:r>
                    <w:rPr>
                      <w:rFonts w:hint="eastAsia" w:cs="Times New Roman"/>
                      <w:bCs/>
                      <w:color w:val="auto"/>
                      <w:szCs w:val="21"/>
                      <w:lang w:val="en-US" w:eastAsia="zh-CN"/>
                    </w:rPr>
                    <w:t>1</w:t>
                  </w:r>
                </w:p>
              </w:tc>
              <w:tc>
                <w:tcPr>
                  <w:tcW w:w="1682" w:type="dxa"/>
                  <w:tcBorders>
                    <w:tl2br w:val="nil"/>
                    <w:tr2bl w:val="nil"/>
                  </w:tcBorders>
                  <w:noWrap w:val="0"/>
                  <w:vAlign w:val="center"/>
                </w:tcPr>
                <w:p w14:paraId="1849A858">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eastAsia" w:ascii="Times New Roman" w:hAnsi="Times New Roman" w:eastAsia="宋体" w:cs="Times New Roman"/>
                      <w:bCs/>
                      <w:color w:val="auto"/>
                      <w:szCs w:val="21"/>
                      <w:lang w:val="en-US" w:eastAsia="zh-CN"/>
                    </w:rPr>
                  </w:pPr>
                  <w:r>
                    <w:rPr>
                      <w:rFonts w:hint="eastAsia" w:cs="Times New Roman"/>
                      <w:bCs/>
                      <w:color w:val="auto"/>
                      <w:szCs w:val="21"/>
                      <w:lang w:val="en-US" w:eastAsia="zh-CN"/>
                    </w:rPr>
                    <w:t>原煤</w:t>
                  </w:r>
                </w:p>
              </w:tc>
              <w:tc>
                <w:tcPr>
                  <w:tcW w:w="2569" w:type="dxa"/>
                  <w:tcBorders>
                    <w:tl2br w:val="nil"/>
                    <w:tr2bl w:val="nil"/>
                  </w:tcBorders>
                  <w:noWrap w:val="0"/>
                  <w:vAlign w:val="center"/>
                </w:tcPr>
                <w:p w14:paraId="32C12CAE">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1座原煤仓，10000t</w:t>
                  </w:r>
                </w:p>
              </w:tc>
              <w:tc>
                <w:tcPr>
                  <w:tcW w:w="3014" w:type="dxa"/>
                  <w:tcBorders>
                    <w:tl2br w:val="nil"/>
                    <w:tr2bl w:val="nil"/>
                  </w:tcBorders>
                  <w:noWrap w:val="0"/>
                  <w:vAlign w:val="center"/>
                </w:tcPr>
                <w:p w14:paraId="312D7A87">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eastAsia" w:cs="Times New Roman"/>
                      <w:bCs/>
                      <w:color w:val="auto"/>
                      <w:szCs w:val="21"/>
                      <w:lang w:val="en-US" w:eastAsia="zh-CN"/>
                    </w:rPr>
                  </w:pPr>
                  <w:r>
                    <w:rPr>
                      <w:rFonts w:hint="eastAsia" w:cs="Times New Roman"/>
                      <w:bCs/>
                      <w:color w:val="auto"/>
                      <w:szCs w:val="21"/>
                      <w:lang w:val="en-US" w:eastAsia="zh-CN"/>
                    </w:rPr>
                    <w:t>3座原煤仓，30000t；</w:t>
                  </w:r>
                </w:p>
                <w:p w14:paraId="2676BB5D">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2座原煤棚，约40万t</w:t>
                  </w:r>
                </w:p>
              </w:tc>
            </w:tr>
            <w:tr w14:paraId="0CE76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793" w:type="dxa"/>
                  <w:tcBorders>
                    <w:tl2br w:val="nil"/>
                    <w:tr2bl w:val="nil"/>
                  </w:tcBorders>
                  <w:noWrap w:val="0"/>
                  <w:vAlign w:val="center"/>
                </w:tcPr>
                <w:p w14:paraId="028B87B7">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cs="Times New Roman"/>
                      <w:bCs/>
                      <w:color w:val="auto"/>
                      <w:szCs w:val="21"/>
                      <w:lang w:val="en-US" w:eastAsia="zh-CN"/>
                    </w:rPr>
                  </w:pPr>
                  <w:r>
                    <w:rPr>
                      <w:rFonts w:hint="eastAsia" w:cs="Times New Roman"/>
                      <w:bCs/>
                      <w:color w:val="auto"/>
                      <w:szCs w:val="21"/>
                      <w:lang w:val="en-US" w:eastAsia="zh-CN"/>
                    </w:rPr>
                    <w:t>2</w:t>
                  </w:r>
                </w:p>
              </w:tc>
              <w:tc>
                <w:tcPr>
                  <w:tcW w:w="1682" w:type="dxa"/>
                  <w:tcBorders>
                    <w:tl2br w:val="nil"/>
                    <w:tr2bl w:val="nil"/>
                  </w:tcBorders>
                  <w:noWrap w:val="0"/>
                  <w:vAlign w:val="center"/>
                </w:tcPr>
                <w:p w14:paraId="41161EC7">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cs="Times New Roman"/>
                      <w:bCs/>
                      <w:color w:val="auto"/>
                      <w:szCs w:val="21"/>
                      <w:lang w:val="en-US" w:eastAsia="zh-CN"/>
                    </w:rPr>
                  </w:pPr>
                  <w:r>
                    <w:rPr>
                      <w:rFonts w:hint="eastAsia" w:cs="Times New Roman"/>
                      <w:bCs/>
                      <w:color w:val="auto"/>
                      <w:szCs w:val="21"/>
                      <w:lang w:val="en-US" w:eastAsia="zh-CN"/>
                    </w:rPr>
                    <w:t>末煤</w:t>
                  </w:r>
                </w:p>
              </w:tc>
              <w:tc>
                <w:tcPr>
                  <w:tcW w:w="2569" w:type="dxa"/>
                  <w:tcBorders>
                    <w:tl2br w:val="nil"/>
                    <w:tr2bl w:val="nil"/>
                  </w:tcBorders>
                  <w:noWrap w:val="0"/>
                  <w:vAlign w:val="center"/>
                </w:tcPr>
                <w:p w14:paraId="6B6294EE">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1座末煤仓，10000t</w:t>
                  </w:r>
                </w:p>
              </w:tc>
              <w:tc>
                <w:tcPr>
                  <w:tcW w:w="3014" w:type="dxa"/>
                  <w:tcBorders>
                    <w:tl2br w:val="nil"/>
                    <w:tr2bl w:val="nil"/>
                  </w:tcBorders>
                  <w:noWrap w:val="0"/>
                  <w:vAlign w:val="center"/>
                </w:tcPr>
                <w:p w14:paraId="6E9075A0">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4座末煤仓，40000t</w:t>
                  </w:r>
                </w:p>
              </w:tc>
            </w:tr>
            <w:tr w14:paraId="0799E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793" w:type="dxa"/>
                  <w:tcBorders>
                    <w:tl2br w:val="nil"/>
                    <w:tr2bl w:val="nil"/>
                  </w:tcBorders>
                  <w:noWrap w:val="0"/>
                  <w:vAlign w:val="center"/>
                </w:tcPr>
                <w:p w14:paraId="4C891E1C">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cs="Times New Roman"/>
                      <w:bCs/>
                      <w:color w:val="auto"/>
                      <w:szCs w:val="21"/>
                      <w:lang w:val="en-US" w:eastAsia="zh-CN"/>
                    </w:rPr>
                  </w:pPr>
                  <w:r>
                    <w:rPr>
                      <w:rFonts w:hint="eastAsia" w:cs="Times New Roman"/>
                      <w:bCs/>
                      <w:color w:val="auto"/>
                      <w:szCs w:val="21"/>
                      <w:lang w:val="en-US" w:eastAsia="zh-CN"/>
                    </w:rPr>
                    <w:t>3</w:t>
                  </w:r>
                </w:p>
              </w:tc>
              <w:tc>
                <w:tcPr>
                  <w:tcW w:w="1682" w:type="dxa"/>
                  <w:tcBorders>
                    <w:tl2br w:val="nil"/>
                    <w:tr2bl w:val="nil"/>
                  </w:tcBorders>
                  <w:noWrap w:val="0"/>
                  <w:vAlign w:val="center"/>
                </w:tcPr>
                <w:p w14:paraId="5588C80B">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cs="Times New Roman"/>
                      <w:bCs/>
                      <w:color w:val="auto"/>
                      <w:szCs w:val="21"/>
                      <w:lang w:val="en-US" w:eastAsia="zh-CN"/>
                    </w:rPr>
                  </w:pPr>
                  <w:r>
                    <w:rPr>
                      <w:rFonts w:hint="eastAsia" w:cs="Times New Roman"/>
                      <w:bCs/>
                      <w:color w:val="auto"/>
                      <w:szCs w:val="21"/>
                      <w:lang w:val="en-US" w:eastAsia="zh-CN"/>
                    </w:rPr>
                    <w:t>块煤</w:t>
                  </w:r>
                </w:p>
              </w:tc>
              <w:tc>
                <w:tcPr>
                  <w:tcW w:w="2569" w:type="dxa"/>
                  <w:tcBorders>
                    <w:tl2br w:val="nil"/>
                    <w:tr2bl w:val="nil"/>
                  </w:tcBorders>
                  <w:noWrap w:val="0"/>
                  <w:vAlign w:val="center"/>
                </w:tcPr>
                <w:p w14:paraId="5B58223B">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cs="Times New Roman"/>
                      <w:bCs/>
                      <w:color w:val="auto"/>
                      <w:szCs w:val="21"/>
                      <w:lang w:val="en-US" w:eastAsia="zh-CN"/>
                    </w:rPr>
                  </w:pPr>
                  <w:r>
                    <w:rPr>
                      <w:rFonts w:hint="eastAsia" w:cs="Times New Roman"/>
                      <w:bCs/>
                      <w:color w:val="auto"/>
                      <w:szCs w:val="21"/>
                      <w:lang w:val="en-US" w:eastAsia="zh-CN"/>
                    </w:rPr>
                    <w:t>/</w:t>
                  </w:r>
                </w:p>
              </w:tc>
              <w:tc>
                <w:tcPr>
                  <w:tcW w:w="3014" w:type="dxa"/>
                  <w:tcBorders>
                    <w:tl2br w:val="nil"/>
                    <w:tr2bl w:val="nil"/>
                  </w:tcBorders>
                  <w:noWrap w:val="0"/>
                  <w:vAlign w:val="center"/>
                </w:tcPr>
                <w:p w14:paraId="06130D96">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cs="Times New Roman"/>
                      <w:bCs/>
                      <w:color w:val="auto"/>
                      <w:szCs w:val="21"/>
                      <w:lang w:val="en-US" w:eastAsia="zh-CN"/>
                    </w:rPr>
                  </w:pPr>
                  <w:r>
                    <w:rPr>
                      <w:rFonts w:hint="eastAsia" w:cs="Times New Roman"/>
                      <w:bCs/>
                      <w:color w:val="auto"/>
                      <w:szCs w:val="21"/>
                      <w:highlight w:val="none"/>
                      <w:lang w:val="en-US" w:eastAsia="zh-CN"/>
                    </w:rPr>
                    <w:t>1座块煤仓，8000t</w:t>
                  </w:r>
                </w:p>
              </w:tc>
            </w:tr>
          </w:tbl>
          <w:p w14:paraId="1CE6222D">
            <w:pPr>
              <w:keepNext w:val="0"/>
              <w:keepLines w:val="0"/>
              <w:pageBreakBefore w:val="0"/>
              <w:widowControl w:val="0"/>
              <w:kinsoku/>
              <w:wordWrap/>
              <w:overflowPunct/>
              <w:topLinePunct w:val="0"/>
              <w:bidi w:val="0"/>
              <w:spacing w:line="480" w:lineRule="exact"/>
              <w:ind w:firstLine="482" w:firstLineChars="200"/>
              <w:textAlignment w:val="auto"/>
              <w:rPr>
                <w:rFonts w:hint="default" w:ascii="Times New Roman" w:hAnsi="Times New Roman" w:eastAsia="宋体" w:cs="Times New Roman"/>
                <w:b/>
                <w:bCs w:val="0"/>
                <w:color w:val="auto"/>
                <w:spacing w:val="0"/>
                <w:sz w:val="24"/>
                <w:szCs w:val="24"/>
                <w:highlight w:val="none"/>
                <w:lang w:val="en-US" w:eastAsia="zh-CN"/>
              </w:rPr>
            </w:pPr>
            <w:r>
              <w:rPr>
                <w:rFonts w:hint="eastAsia" w:ascii="Times New Roman" w:hAnsi="Times New Roman" w:eastAsia="宋体" w:cs="Times New Roman"/>
                <w:b/>
                <w:bCs w:val="0"/>
                <w:color w:val="auto"/>
                <w:spacing w:val="0"/>
                <w:sz w:val="24"/>
                <w:szCs w:val="24"/>
                <w:highlight w:val="none"/>
                <w:lang w:val="en-US" w:eastAsia="zh-CN"/>
              </w:rPr>
              <w:t xml:space="preserve">2.4 </w:t>
            </w:r>
            <w:r>
              <w:rPr>
                <w:rFonts w:hint="default" w:ascii="Times New Roman" w:hAnsi="Times New Roman" w:eastAsia="宋体" w:cs="Times New Roman"/>
                <w:b/>
                <w:bCs w:val="0"/>
                <w:color w:val="auto"/>
                <w:spacing w:val="0"/>
                <w:sz w:val="24"/>
                <w:szCs w:val="24"/>
                <w:highlight w:val="none"/>
                <w:lang w:val="en-US" w:eastAsia="zh-CN"/>
              </w:rPr>
              <w:t>生产设备</w:t>
            </w:r>
          </w:p>
          <w:p w14:paraId="25870E40">
            <w:pPr>
              <w:keepNext w:val="0"/>
              <w:keepLines w:val="0"/>
              <w:pageBreakBefore w:val="0"/>
              <w:widowControl w:val="0"/>
              <w:kinsoku/>
              <w:wordWrap/>
              <w:overflowPunct/>
              <w:topLinePunct w:val="0"/>
              <w:bidi w:val="0"/>
              <w:spacing w:line="480" w:lineRule="exact"/>
              <w:ind w:firstLine="480" w:firstLineChars="200"/>
              <w:textAlignment w:val="auto"/>
              <w:rPr>
                <w:rFonts w:hint="default" w:ascii="Times New Roman" w:hAnsi="Times New Roman" w:eastAsia="黑体" w:cs="Times New Roman"/>
                <w:iCs/>
                <w:snapToGrid w:val="0"/>
                <w:color w:val="auto"/>
                <w:spacing w:val="0"/>
                <w:kern w:val="0"/>
                <w:sz w:val="21"/>
                <w:szCs w:val="20"/>
                <w:highlight w:val="none"/>
                <w:lang w:val="en-US" w:eastAsia="zh-CN" w:bidi="ar-SA"/>
              </w:rPr>
            </w:pPr>
            <w:r>
              <w:rPr>
                <w:rFonts w:hint="default" w:ascii="Times New Roman" w:hAnsi="Times New Roman" w:eastAsia="宋体" w:cs="Times New Roman"/>
                <w:bCs/>
                <w:color w:val="auto"/>
                <w:spacing w:val="0"/>
                <w:sz w:val="24"/>
                <w:szCs w:val="24"/>
                <w:highlight w:val="none"/>
                <w:lang w:val="en-US" w:eastAsia="zh-CN"/>
              </w:rPr>
              <w:t>本项目主要设备见</w:t>
            </w:r>
            <w:r>
              <w:rPr>
                <w:rFonts w:hint="eastAsia" w:cs="Times New Roman"/>
                <w:bCs/>
                <w:color w:val="auto"/>
                <w:spacing w:val="0"/>
                <w:sz w:val="24"/>
                <w:szCs w:val="24"/>
                <w:highlight w:val="none"/>
                <w:lang w:val="en-US" w:eastAsia="zh-CN"/>
              </w:rPr>
              <w:t>下</w:t>
            </w:r>
            <w:r>
              <w:rPr>
                <w:rFonts w:hint="default" w:ascii="Times New Roman" w:hAnsi="Times New Roman" w:eastAsia="宋体" w:cs="Times New Roman"/>
                <w:bCs/>
                <w:color w:val="auto"/>
                <w:spacing w:val="0"/>
                <w:sz w:val="24"/>
                <w:szCs w:val="24"/>
                <w:highlight w:val="none"/>
                <w:lang w:val="en-US" w:eastAsia="zh-CN"/>
              </w:rPr>
              <w:t>表。</w:t>
            </w:r>
          </w:p>
          <w:p w14:paraId="6A0AFA47">
            <w:pPr>
              <w:keepNext w:val="0"/>
              <w:keepLines w:val="0"/>
              <w:pageBreakBefore w:val="0"/>
              <w:widowControl w:val="0"/>
              <w:kinsoku/>
              <w:wordWrap/>
              <w:overflowPunct/>
              <w:topLinePunct w:val="0"/>
              <w:autoSpaceDE/>
              <w:autoSpaceDN/>
              <w:bidi w:val="0"/>
              <w:adjustRightInd/>
              <w:snapToGrid/>
              <w:spacing w:before="0" w:after="0" w:line="480" w:lineRule="exact"/>
              <w:ind w:firstLine="0" w:firstLineChars="0"/>
              <w:jc w:val="center"/>
              <w:textAlignment w:val="baseline"/>
              <w:rPr>
                <w:rFonts w:hint="default" w:ascii="Times New Roman" w:hAnsi="Times New Roman" w:eastAsia="黑体" w:cs="Times New Roman"/>
                <w:iCs/>
                <w:snapToGrid w:val="0"/>
                <w:color w:val="auto"/>
                <w:spacing w:val="0"/>
                <w:kern w:val="0"/>
                <w:sz w:val="21"/>
                <w:szCs w:val="20"/>
                <w:highlight w:val="none"/>
                <w:lang w:val="en-US" w:eastAsia="zh-CN" w:bidi="ar-SA"/>
              </w:rPr>
            </w:pPr>
            <w:r>
              <w:rPr>
                <w:rFonts w:hint="default" w:ascii="Times New Roman" w:hAnsi="Times New Roman" w:eastAsia="黑体" w:cs="Times New Roman"/>
                <w:iCs/>
                <w:snapToGrid w:val="0"/>
                <w:color w:val="auto"/>
                <w:spacing w:val="0"/>
                <w:kern w:val="0"/>
                <w:sz w:val="21"/>
                <w:szCs w:val="20"/>
                <w:highlight w:val="none"/>
                <w:lang w:val="en-US" w:eastAsia="zh-CN" w:bidi="ar-SA"/>
              </w:rPr>
              <w:t>表</w:t>
            </w:r>
            <w:r>
              <w:rPr>
                <w:rFonts w:hint="eastAsia" w:eastAsia="黑体" w:cs="Times New Roman"/>
                <w:iCs/>
                <w:snapToGrid w:val="0"/>
                <w:color w:val="auto"/>
                <w:spacing w:val="0"/>
                <w:kern w:val="0"/>
                <w:sz w:val="21"/>
                <w:szCs w:val="20"/>
                <w:highlight w:val="none"/>
                <w:lang w:val="en-US" w:eastAsia="zh-CN" w:bidi="ar-SA"/>
              </w:rPr>
              <w:t>2.4-1</w:t>
            </w:r>
            <w:r>
              <w:rPr>
                <w:rFonts w:hint="default" w:ascii="Times New Roman" w:hAnsi="Times New Roman" w:eastAsia="黑体" w:cs="Times New Roman"/>
                <w:iCs/>
                <w:snapToGrid w:val="0"/>
                <w:color w:val="auto"/>
                <w:spacing w:val="0"/>
                <w:kern w:val="0"/>
                <w:sz w:val="21"/>
                <w:szCs w:val="20"/>
                <w:highlight w:val="none"/>
                <w:lang w:val="en-US" w:eastAsia="zh-CN" w:bidi="ar-SA"/>
              </w:rPr>
              <w:t xml:space="preserve">  </w:t>
            </w:r>
            <w:r>
              <w:rPr>
                <w:rFonts w:hint="eastAsia" w:eastAsia="黑体" w:cs="Times New Roman"/>
                <w:iCs/>
                <w:snapToGrid w:val="0"/>
                <w:color w:val="auto"/>
                <w:spacing w:val="0"/>
                <w:kern w:val="0"/>
                <w:sz w:val="21"/>
                <w:szCs w:val="20"/>
                <w:highlight w:val="none"/>
                <w:lang w:val="en-US" w:eastAsia="zh-CN" w:bidi="ar-SA"/>
              </w:rPr>
              <w:t xml:space="preserve"> </w:t>
            </w:r>
            <w:r>
              <w:rPr>
                <w:rFonts w:hint="default" w:ascii="Times New Roman" w:hAnsi="Times New Roman" w:eastAsia="黑体" w:cs="Times New Roman"/>
                <w:iCs/>
                <w:snapToGrid w:val="0"/>
                <w:color w:val="auto"/>
                <w:spacing w:val="0"/>
                <w:kern w:val="0"/>
                <w:sz w:val="21"/>
                <w:szCs w:val="20"/>
                <w:highlight w:val="none"/>
                <w:lang w:val="en-US" w:eastAsia="zh-CN" w:bidi="ar-SA"/>
              </w:rPr>
              <w:t>主要设备表</w:t>
            </w:r>
          </w:p>
          <w:tbl>
            <w:tblPr>
              <w:tblStyle w:val="26"/>
              <w:tblW w:w="80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5"/>
              <w:gridCol w:w="1542"/>
              <w:gridCol w:w="2717"/>
              <w:gridCol w:w="966"/>
              <w:gridCol w:w="2148"/>
            </w:tblGrid>
            <w:tr w14:paraId="27821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645" w:type="dxa"/>
                  <w:tcBorders>
                    <w:tl2br w:val="nil"/>
                    <w:tr2bl w:val="nil"/>
                  </w:tcBorders>
                  <w:noWrap w:val="0"/>
                  <w:vAlign w:val="center"/>
                </w:tcPr>
                <w:p w14:paraId="1160CABA">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eastAsia" w:ascii="Times New Roman" w:hAnsi="Times New Roman" w:eastAsia="宋体" w:cs="Times New Roman"/>
                      <w:bCs/>
                      <w:color w:val="auto"/>
                      <w:szCs w:val="21"/>
                      <w:lang w:val="en-US" w:eastAsia="zh-CN"/>
                    </w:rPr>
                  </w:pPr>
                  <w:r>
                    <w:rPr>
                      <w:rFonts w:hint="eastAsia" w:ascii="Times New Roman" w:hAnsi="Times New Roman" w:cs="Times New Roman"/>
                      <w:bCs/>
                      <w:color w:val="auto"/>
                      <w:szCs w:val="21"/>
                      <w:lang w:val="en-US" w:eastAsia="zh-CN"/>
                    </w:rPr>
                    <w:t>序号</w:t>
                  </w:r>
                </w:p>
              </w:tc>
              <w:tc>
                <w:tcPr>
                  <w:tcW w:w="1542" w:type="dxa"/>
                  <w:tcBorders>
                    <w:tl2br w:val="nil"/>
                    <w:tr2bl w:val="nil"/>
                  </w:tcBorders>
                  <w:noWrap w:val="0"/>
                  <w:vAlign w:val="center"/>
                </w:tcPr>
                <w:p w14:paraId="4C28AA98">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eastAsia" w:ascii="Times New Roman" w:hAnsi="Times New Roman" w:eastAsia="宋体" w:cs="Times New Roman"/>
                      <w:bCs/>
                      <w:color w:val="auto"/>
                      <w:szCs w:val="21"/>
                      <w:lang w:eastAsia="zh-CN"/>
                    </w:rPr>
                  </w:pPr>
                  <w:r>
                    <w:rPr>
                      <w:rFonts w:hint="default" w:ascii="Times New Roman" w:hAnsi="Times New Roman" w:cs="Times New Roman"/>
                      <w:bCs/>
                      <w:color w:val="auto"/>
                      <w:szCs w:val="21"/>
                    </w:rPr>
                    <w:t>生产</w:t>
                  </w:r>
                  <w:r>
                    <w:rPr>
                      <w:rFonts w:hint="eastAsia" w:ascii="Times New Roman" w:hAnsi="Times New Roman" w:cs="Times New Roman"/>
                      <w:bCs/>
                      <w:color w:val="auto"/>
                      <w:szCs w:val="21"/>
                      <w:lang w:val="en-US" w:eastAsia="zh-CN"/>
                    </w:rPr>
                    <w:t>装置</w:t>
                  </w:r>
                </w:p>
              </w:tc>
              <w:tc>
                <w:tcPr>
                  <w:tcW w:w="2717" w:type="dxa"/>
                  <w:tcBorders>
                    <w:tl2br w:val="nil"/>
                    <w:tr2bl w:val="nil"/>
                  </w:tcBorders>
                  <w:noWrap w:val="0"/>
                  <w:vAlign w:val="center"/>
                </w:tcPr>
                <w:p w14:paraId="2800ACE1">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cs="Times New Roman"/>
                      <w:bCs/>
                      <w:color w:val="auto"/>
                      <w:szCs w:val="21"/>
                    </w:rPr>
                  </w:pPr>
                  <w:r>
                    <w:rPr>
                      <w:rFonts w:hint="default" w:ascii="Times New Roman" w:hAnsi="Times New Roman" w:cs="Times New Roman"/>
                      <w:bCs/>
                      <w:color w:val="auto"/>
                      <w:szCs w:val="21"/>
                    </w:rPr>
                    <w:t>规格型号</w:t>
                  </w:r>
                </w:p>
              </w:tc>
              <w:tc>
                <w:tcPr>
                  <w:tcW w:w="966" w:type="dxa"/>
                  <w:tcBorders>
                    <w:tl2br w:val="nil"/>
                    <w:tr2bl w:val="nil"/>
                  </w:tcBorders>
                  <w:noWrap w:val="0"/>
                  <w:vAlign w:val="center"/>
                </w:tcPr>
                <w:p w14:paraId="0C6AD0EA">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cs="Times New Roman"/>
                      <w:bCs/>
                      <w:color w:val="auto"/>
                      <w:szCs w:val="21"/>
                    </w:rPr>
                  </w:pPr>
                  <w:r>
                    <w:rPr>
                      <w:rFonts w:hint="default" w:ascii="Times New Roman" w:hAnsi="Times New Roman" w:cs="Times New Roman"/>
                      <w:bCs/>
                      <w:color w:val="auto"/>
                      <w:szCs w:val="21"/>
                    </w:rPr>
                    <w:t>数量</w:t>
                  </w:r>
                </w:p>
              </w:tc>
              <w:tc>
                <w:tcPr>
                  <w:tcW w:w="2148" w:type="dxa"/>
                  <w:tcBorders>
                    <w:tl2br w:val="nil"/>
                    <w:tr2bl w:val="nil"/>
                  </w:tcBorders>
                  <w:noWrap w:val="0"/>
                  <w:vAlign w:val="center"/>
                </w:tcPr>
                <w:p w14:paraId="2DF46729">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eastAsia" w:ascii="Times New Roman" w:hAnsi="Times New Roman" w:eastAsia="宋体" w:cs="Times New Roman"/>
                      <w:bCs/>
                      <w:color w:val="auto"/>
                      <w:szCs w:val="21"/>
                      <w:lang w:eastAsia="zh-CN"/>
                    </w:rPr>
                  </w:pPr>
                  <w:r>
                    <w:rPr>
                      <w:rFonts w:hint="eastAsia" w:cs="Times New Roman"/>
                      <w:bCs/>
                      <w:color w:val="auto"/>
                      <w:szCs w:val="21"/>
                      <w:lang w:val="en-US" w:eastAsia="zh-CN"/>
                    </w:rPr>
                    <w:t>备注</w:t>
                  </w:r>
                </w:p>
              </w:tc>
            </w:tr>
            <w:tr w14:paraId="7711D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8018" w:type="dxa"/>
                  <w:gridSpan w:val="5"/>
                  <w:tcBorders>
                    <w:tl2br w:val="nil"/>
                    <w:tr2bl w:val="nil"/>
                  </w:tcBorders>
                  <w:noWrap w:val="0"/>
                  <w:vAlign w:val="center"/>
                </w:tcPr>
                <w:p w14:paraId="53D942FA">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cs="Times New Roman"/>
                      <w:bCs/>
                      <w:color w:val="auto"/>
                      <w:szCs w:val="21"/>
                      <w:lang w:val="en-US" w:eastAsia="zh-CN"/>
                    </w:rPr>
                  </w:pPr>
                  <w:r>
                    <w:rPr>
                      <w:rFonts w:hint="eastAsia" w:cs="Times New Roman"/>
                      <w:bCs/>
                      <w:color w:val="auto"/>
                      <w:szCs w:val="21"/>
                      <w:lang w:val="en-US" w:eastAsia="zh-CN"/>
                    </w:rPr>
                    <w:t>原煤上料系统</w:t>
                  </w:r>
                </w:p>
              </w:tc>
            </w:tr>
            <w:tr w14:paraId="186A9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645" w:type="dxa"/>
                  <w:tcBorders>
                    <w:tl2br w:val="nil"/>
                    <w:tr2bl w:val="nil"/>
                  </w:tcBorders>
                  <w:shd w:val="clear" w:color="auto" w:fill="auto"/>
                  <w:noWrap w:val="0"/>
                  <w:vAlign w:val="center"/>
                </w:tcPr>
                <w:p w14:paraId="46B1E1EB">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bCs/>
                      <w:color w:val="auto"/>
                      <w:szCs w:val="21"/>
                      <w:highlight w:val="none"/>
                      <w:lang w:val="en-US" w:eastAsia="zh-CN"/>
                    </w:rPr>
                    <w:t>1</w:t>
                  </w:r>
                </w:p>
              </w:tc>
              <w:tc>
                <w:tcPr>
                  <w:tcW w:w="1542" w:type="dxa"/>
                  <w:tcBorders>
                    <w:tl2br w:val="nil"/>
                    <w:tr2bl w:val="nil"/>
                  </w:tcBorders>
                  <w:noWrap w:val="0"/>
                  <w:vAlign w:val="center"/>
                </w:tcPr>
                <w:p w14:paraId="048E7733">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cs="Times New Roman"/>
                      <w:bCs/>
                      <w:color w:val="auto"/>
                      <w:szCs w:val="21"/>
                    </w:rPr>
                  </w:pPr>
                  <w:r>
                    <w:rPr>
                      <w:rFonts w:hint="default" w:ascii="Times New Roman" w:hAnsi="Times New Roman" w:cs="Times New Roman"/>
                      <w:bCs/>
                      <w:color w:val="auto"/>
                      <w:szCs w:val="21"/>
                    </w:rPr>
                    <w:t>带式输送机</w:t>
                  </w:r>
                </w:p>
              </w:tc>
              <w:tc>
                <w:tcPr>
                  <w:tcW w:w="2717" w:type="dxa"/>
                  <w:tcBorders>
                    <w:tl2br w:val="nil"/>
                    <w:tr2bl w:val="nil"/>
                  </w:tcBorders>
                  <w:noWrap w:val="0"/>
                  <w:vAlign w:val="center"/>
                </w:tcPr>
                <w:p w14:paraId="5ECE6820">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cs="Times New Roman"/>
                      <w:bCs/>
                      <w:color w:val="auto"/>
                      <w:szCs w:val="21"/>
                    </w:rPr>
                  </w:pPr>
                  <w:r>
                    <w:rPr>
                      <w:rFonts w:hint="default" w:ascii="Times New Roman" w:hAnsi="Times New Roman" w:cs="Times New Roman"/>
                      <w:bCs/>
                      <w:color w:val="auto"/>
                      <w:szCs w:val="21"/>
                    </w:rPr>
                    <w:t>B=1400mm</w:t>
                  </w:r>
                  <w:r>
                    <w:rPr>
                      <w:rFonts w:hint="eastAsia" w:cs="Times New Roman"/>
                      <w:bCs/>
                      <w:color w:val="auto"/>
                      <w:szCs w:val="21"/>
                      <w:lang w:eastAsia="zh-CN"/>
                    </w:rPr>
                    <w:t>，</w:t>
                  </w:r>
                  <w:r>
                    <w:rPr>
                      <w:rFonts w:hint="default" w:ascii="Times New Roman" w:hAnsi="Times New Roman" w:cs="Times New Roman"/>
                      <w:bCs/>
                      <w:color w:val="auto"/>
                      <w:szCs w:val="21"/>
                    </w:rPr>
                    <w:t>Q=1400t/h，L=50.53m</w:t>
                  </w:r>
                  <w:r>
                    <w:rPr>
                      <w:rFonts w:hint="eastAsia" w:cs="Times New Roman"/>
                      <w:bCs/>
                      <w:color w:val="auto"/>
                      <w:szCs w:val="21"/>
                      <w:lang w:eastAsia="zh-CN"/>
                    </w:rPr>
                    <w:t>，</w:t>
                  </w:r>
                  <w:r>
                    <w:rPr>
                      <w:rFonts w:hint="default" w:ascii="Times New Roman" w:hAnsi="Times New Roman" w:cs="Times New Roman"/>
                      <w:bCs/>
                      <w:color w:val="auto"/>
                      <w:szCs w:val="21"/>
                    </w:rPr>
                    <w:t>v=2.5m/s</w:t>
                  </w:r>
                </w:p>
              </w:tc>
              <w:tc>
                <w:tcPr>
                  <w:tcW w:w="966" w:type="dxa"/>
                  <w:tcBorders>
                    <w:tl2br w:val="nil"/>
                    <w:tr2bl w:val="nil"/>
                  </w:tcBorders>
                  <w:noWrap w:val="0"/>
                  <w:vAlign w:val="center"/>
                </w:tcPr>
                <w:p w14:paraId="212893BC">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2部</w:t>
                  </w:r>
                </w:p>
              </w:tc>
              <w:tc>
                <w:tcPr>
                  <w:tcW w:w="2148" w:type="dxa"/>
                  <w:tcBorders>
                    <w:tl2br w:val="nil"/>
                    <w:tr2bl w:val="nil"/>
                  </w:tcBorders>
                  <w:noWrap w:val="0"/>
                  <w:vAlign w:val="center"/>
                </w:tcPr>
                <w:p w14:paraId="2195C508">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cs="Times New Roman"/>
                      <w:bCs/>
                      <w:color w:val="auto"/>
                      <w:szCs w:val="21"/>
                      <w:lang w:val="en-US" w:eastAsia="zh-CN"/>
                    </w:rPr>
                  </w:pPr>
                  <w:r>
                    <w:rPr>
                      <w:rFonts w:hint="eastAsia" w:cs="Times New Roman"/>
                      <w:bCs/>
                      <w:color w:val="auto"/>
                      <w:szCs w:val="21"/>
                      <w:lang w:val="en-US" w:eastAsia="zh-CN"/>
                    </w:rPr>
                    <w:t>移动式</w:t>
                  </w:r>
                </w:p>
              </w:tc>
            </w:tr>
            <w:tr w14:paraId="0EF74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645" w:type="dxa"/>
                  <w:tcBorders>
                    <w:tl2br w:val="nil"/>
                    <w:tr2bl w:val="nil"/>
                  </w:tcBorders>
                  <w:shd w:val="clear" w:color="auto" w:fill="auto"/>
                  <w:noWrap w:val="0"/>
                  <w:vAlign w:val="center"/>
                </w:tcPr>
                <w:p w14:paraId="276A0217">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cs="Times New Roman"/>
                      <w:bCs/>
                      <w:color w:val="auto"/>
                      <w:szCs w:val="21"/>
                      <w:highlight w:val="none"/>
                      <w:lang w:val="en-US" w:eastAsia="zh-CN"/>
                    </w:rPr>
                  </w:pPr>
                  <w:r>
                    <w:rPr>
                      <w:rFonts w:hint="eastAsia" w:cs="Times New Roman"/>
                      <w:bCs/>
                      <w:color w:val="auto"/>
                      <w:szCs w:val="21"/>
                      <w:highlight w:val="none"/>
                      <w:lang w:val="en-US" w:eastAsia="zh-CN"/>
                    </w:rPr>
                    <w:t>2</w:t>
                  </w:r>
                </w:p>
              </w:tc>
              <w:tc>
                <w:tcPr>
                  <w:tcW w:w="1542" w:type="dxa"/>
                  <w:tcBorders>
                    <w:tl2br w:val="nil"/>
                    <w:tr2bl w:val="nil"/>
                  </w:tcBorders>
                  <w:noWrap w:val="0"/>
                  <w:vAlign w:val="center"/>
                </w:tcPr>
                <w:p w14:paraId="1076C130">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cs="Times New Roman"/>
                      <w:bCs/>
                      <w:color w:val="auto"/>
                      <w:szCs w:val="21"/>
                    </w:rPr>
                  </w:pPr>
                  <w:r>
                    <w:rPr>
                      <w:rFonts w:hint="default" w:ascii="Times New Roman" w:hAnsi="Times New Roman" w:cs="Times New Roman"/>
                      <w:bCs/>
                      <w:color w:val="auto"/>
                      <w:szCs w:val="21"/>
                    </w:rPr>
                    <w:t>电液动双侧犁式卸料器</w:t>
                  </w:r>
                </w:p>
              </w:tc>
              <w:tc>
                <w:tcPr>
                  <w:tcW w:w="2717" w:type="dxa"/>
                  <w:tcBorders>
                    <w:tl2br w:val="nil"/>
                    <w:tr2bl w:val="nil"/>
                  </w:tcBorders>
                  <w:noWrap w:val="0"/>
                  <w:vAlign w:val="center"/>
                </w:tcPr>
                <w:p w14:paraId="71CA70AA">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cs="Times New Roman"/>
                      <w:bCs/>
                      <w:color w:val="auto"/>
                      <w:szCs w:val="21"/>
                    </w:rPr>
                  </w:pPr>
                  <w:r>
                    <w:rPr>
                      <w:rFonts w:hint="default" w:ascii="Times New Roman" w:hAnsi="Times New Roman" w:cs="Times New Roman"/>
                      <w:bCs/>
                      <w:color w:val="auto"/>
                      <w:szCs w:val="21"/>
                    </w:rPr>
                    <w:t>适合带宽B=1400mm</w:t>
                  </w:r>
                </w:p>
              </w:tc>
              <w:tc>
                <w:tcPr>
                  <w:tcW w:w="966" w:type="dxa"/>
                  <w:tcBorders>
                    <w:tl2br w:val="nil"/>
                    <w:tr2bl w:val="nil"/>
                  </w:tcBorders>
                  <w:noWrap w:val="0"/>
                  <w:vAlign w:val="center"/>
                </w:tcPr>
                <w:p w14:paraId="26356FC9">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cs="Times New Roman"/>
                      <w:bCs/>
                      <w:color w:val="auto"/>
                      <w:szCs w:val="21"/>
                      <w:lang w:val="en-US" w:eastAsia="zh-CN"/>
                    </w:rPr>
                  </w:pPr>
                  <w:r>
                    <w:rPr>
                      <w:rFonts w:hint="eastAsia" w:cs="Times New Roman"/>
                      <w:bCs/>
                      <w:color w:val="auto"/>
                      <w:szCs w:val="21"/>
                      <w:lang w:val="en-US" w:eastAsia="zh-CN"/>
                    </w:rPr>
                    <w:t>2套</w:t>
                  </w:r>
                </w:p>
              </w:tc>
              <w:tc>
                <w:tcPr>
                  <w:tcW w:w="2148" w:type="dxa"/>
                  <w:tcBorders>
                    <w:tl2br w:val="nil"/>
                    <w:tr2bl w:val="nil"/>
                  </w:tcBorders>
                  <w:noWrap w:val="0"/>
                  <w:vAlign w:val="center"/>
                </w:tcPr>
                <w:p w14:paraId="6DA76B64">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eastAsia" w:cs="Times New Roman"/>
                      <w:bCs/>
                      <w:color w:val="auto"/>
                      <w:szCs w:val="21"/>
                      <w:lang w:val="en-US" w:eastAsia="zh-CN"/>
                    </w:rPr>
                  </w:pPr>
                </w:p>
              </w:tc>
            </w:tr>
            <w:tr w14:paraId="78632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645" w:type="dxa"/>
                  <w:tcBorders>
                    <w:tl2br w:val="nil"/>
                    <w:tr2bl w:val="nil"/>
                  </w:tcBorders>
                  <w:shd w:val="clear" w:color="auto" w:fill="auto"/>
                  <w:noWrap w:val="0"/>
                  <w:vAlign w:val="center"/>
                </w:tcPr>
                <w:p w14:paraId="4EDD90CA">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cs="Times New Roman"/>
                      <w:bCs/>
                      <w:color w:val="auto"/>
                      <w:szCs w:val="21"/>
                      <w:highlight w:val="none"/>
                      <w:lang w:val="en-US" w:eastAsia="zh-CN"/>
                    </w:rPr>
                  </w:pPr>
                  <w:r>
                    <w:rPr>
                      <w:rFonts w:hint="eastAsia" w:cs="Times New Roman"/>
                      <w:bCs/>
                      <w:color w:val="auto"/>
                      <w:szCs w:val="21"/>
                      <w:highlight w:val="none"/>
                      <w:lang w:val="en-US" w:eastAsia="zh-CN"/>
                    </w:rPr>
                    <w:t>3</w:t>
                  </w:r>
                </w:p>
              </w:tc>
              <w:tc>
                <w:tcPr>
                  <w:tcW w:w="1542" w:type="dxa"/>
                  <w:tcBorders>
                    <w:tl2br w:val="nil"/>
                    <w:tr2bl w:val="nil"/>
                  </w:tcBorders>
                  <w:noWrap w:val="0"/>
                  <w:vAlign w:val="center"/>
                </w:tcPr>
                <w:p w14:paraId="6366110D">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eastAsia" w:ascii="Times New Roman" w:hAnsi="Times New Roman" w:eastAsia="宋体" w:cs="Times New Roman"/>
                      <w:bCs/>
                      <w:color w:val="auto"/>
                      <w:szCs w:val="21"/>
                      <w:lang w:val="en-US" w:eastAsia="zh-CN"/>
                    </w:rPr>
                  </w:pPr>
                  <w:r>
                    <w:rPr>
                      <w:rFonts w:hint="eastAsia" w:cs="Times New Roman"/>
                      <w:bCs/>
                      <w:color w:val="auto"/>
                      <w:szCs w:val="21"/>
                      <w:lang w:val="en-US" w:eastAsia="zh-CN"/>
                    </w:rPr>
                    <w:t>溜槽</w:t>
                  </w:r>
                </w:p>
              </w:tc>
              <w:tc>
                <w:tcPr>
                  <w:tcW w:w="2717" w:type="dxa"/>
                  <w:tcBorders>
                    <w:tl2br w:val="nil"/>
                    <w:tr2bl w:val="nil"/>
                  </w:tcBorders>
                  <w:noWrap w:val="0"/>
                  <w:vAlign w:val="center"/>
                </w:tcPr>
                <w:p w14:paraId="2D4AF618">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eastAsia" w:ascii="Times New Roman" w:hAnsi="Times New Roman" w:eastAsia="宋体" w:cs="Times New Roman"/>
                      <w:bCs/>
                      <w:color w:val="auto"/>
                      <w:szCs w:val="21"/>
                      <w:lang w:val="en-US" w:eastAsia="zh-CN"/>
                    </w:rPr>
                  </w:pPr>
                  <w:r>
                    <w:rPr>
                      <w:rFonts w:hint="eastAsia" w:cs="Times New Roman"/>
                      <w:bCs/>
                      <w:color w:val="auto"/>
                      <w:szCs w:val="21"/>
                      <w:lang w:val="en-US" w:eastAsia="zh-CN"/>
                    </w:rPr>
                    <w:t>/</w:t>
                  </w:r>
                </w:p>
              </w:tc>
              <w:tc>
                <w:tcPr>
                  <w:tcW w:w="966" w:type="dxa"/>
                  <w:tcBorders>
                    <w:tl2br w:val="nil"/>
                    <w:tr2bl w:val="nil"/>
                  </w:tcBorders>
                  <w:noWrap w:val="0"/>
                  <w:vAlign w:val="center"/>
                </w:tcPr>
                <w:p w14:paraId="0EE0DB92">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cs="Times New Roman"/>
                      <w:bCs/>
                      <w:color w:val="auto"/>
                      <w:szCs w:val="21"/>
                      <w:lang w:val="en-US" w:eastAsia="zh-CN"/>
                    </w:rPr>
                  </w:pPr>
                  <w:r>
                    <w:rPr>
                      <w:rFonts w:hint="eastAsia" w:cs="Times New Roman"/>
                      <w:bCs/>
                      <w:color w:val="auto"/>
                      <w:szCs w:val="21"/>
                      <w:lang w:val="en-US" w:eastAsia="zh-CN"/>
                    </w:rPr>
                    <w:t>5套</w:t>
                  </w:r>
                </w:p>
              </w:tc>
              <w:tc>
                <w:tcPr>
                  <w:tcW w:w="2148" w:type="dxa"/>
                  <w:tcBorders>
                    <w:tl2br w:val="nil"/>
                    <w:tr2bl w:val="nil"/>
                  </w:tcBorders>
                  <w:noWrap w:val="0"/>
                  <w:vAlign w:val="center"/>
                </w:tcPr>
                <w:p w14:paraId="7E072F58">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cs="Times New Roman"/>
                      <w:bCs/>
                      <w:color w:val="auto"/>
                      <w:szCs w:val="21"/>
                      <w:lang w:val="en-US" w:eastAsia="zh-CN"/>
                    </w:rPr>
                  </w:pPr>
                  <w:r>
                    <w:rPr>
                      <w:rFonts w:hint="eastAsia" w:cs="Times New Roman"/>
                      <w:bCs/>
                      <w:color w:val="auto"/>
                      <w:szCs w:val="21"/>
                      <w:lang w:val="en-US" w:eastAsia="zh-CN"/>
                    </w:rPr>
                    <w:t>卸料1套，来料2套，机头溜槽2套</w:t>
                  </w:r>
                </w:p>
              </w:tc>
            </w:tr>
            <w:tr w14:paraId="371D2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645" w:type="dxa"/>
                  <w:tcBorders>
                    <w:tl2br w:val="nil"/>
                    <w:tr2bl w:val="nil"/>
                  </w:tcBorders>
                  <w:shd w:val="clear" w:color="auto" w:fill="auto"/>
                  <w:noWrap w:val="0"/>
                  <w:vAlign w:val="center"/>
                </w:tcPr>
                <w:p w14:paraId="21F793B9">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eastAsia="宋体" w:cs="Times New Roman"/>
                      <w:bCs/>
                      <w:color w:val="auto"/>
                      <w:kern w:val="2"/>
                      <w:sz w:val="21"/>
                      <w:szCs w:val="21"/>
                      <w:lang w:val="en-US" w:eastAsia="zh-CN" w:bidi="ar-SA"/>
                    </w:rPr>
                  </w:pPr>
                  <w:r>
                    <w:rPr>
                      <w:rFonts w:hint="eastAsia" w:cs="Times New Roman"/>
                      <w:bCs/>
                      <w:color w:val="auto"/>
                      <w:kern w:val="2"/>
                      <w:sz w:val="21"/>
                      <w:szCs w:val="21"/>
                      <w:lang w:val="en-US" w:eastAsia="zh-CN" w:bidi="ar-SA"/>
                    </w:rPr>
                    <w:t>4</w:t>
                  </w:r>
                </w:p>
              </w:tc>
              <w:tc>
                <w:tcPr>
                  <w:tcW w:w="1542" w:type="dxa"/>
                  <w:tcBorders>
                    <w:tl2br w:val="nil"/>
                    <w:tr2bl w:val="nil"/>
                  </w:tcBorders>
                  <w:noWrap w:val="0"/>
                  <w:vAlign w:val="center"/>
                </w:tcPr>
                <w:p w14:paraId="790FB41C">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仓下给煤机</w:t>
                  </w:r>
                </w:p>
              </w:tc>
              <w:tc>
                <w:tcPr>
                  <w:tcW w:w="2717" w:type="dxa"/>
                  <w:tcBorders>
                    <w:tl2br w:val="nil"/>
                    <w:tr2bl w:val="nil"/>
                  </w:tcBorders>
                  <w:noWrap w:val="0"/>
                  <w:vAlign w:val="center"/>
                </w:tcPr>
                <w:p w14:paraId="4872BBEC">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eastAsia" w:cs="Times New Roman"/>
                      <w:bCs/>
                      <w:color w:val="auto"/>
                      <w:szCs w:val="21"/>
                      <w:highlight w:val="none"/>
                      <w:lang w:val="en-US" w:eastAsia="zh-CN"/>
                    </w:rPr>
                  </w:pPr>
                  <w:r>
                    <w:rPr>
                      <w:rFonts w:hint="eastAsia" w:cs="Times New Roman"/>
                      <w:bCs/>
                      <w:color w:val="auto"/>
                      <w:szCs w:val="21"/>
                      <w:highlight w:val="none"/>
                      <w:lang w:val="en-US" w:eastAsia="zh-CN"/>
                    </w:rPr>
                    <w:t>GLD1500/5.5型带式给料机，给料粒度0-300mm，</w:t>
                  </w:r>
                </w:p>
                <w:p w14:paraId="18636E2C">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eastAsia" w:cs="Times New Roman"/>
                      <w:bCs/>
                      <w:color w:val="auto"/>
                      <w:szCs w:val="21"/>
                      <w:highlight w:val="none"/>
                      <w:lang w:val="en-US" w:eastAsia="zh-CN"/>
                    </w:rPr>
                  </w:pPr>
                  <w:r>
                    <w:rPr>
                      <w:rFonts w:hint="eastAsia" w:cs="Times New Roman"/>
                      <w:bCs/>
                      <w:color w:val="auto"/>
                      <w:szCs w:val="21"/>
                      <w:highlight w:val="none"/>
                      <w:lang w:val="en-US" w:eastAsia="zh-CN"/>
                    </w:rPr>
                    <w:t>最大给料能力1500t/h，</w:t>
                  </w:r>
                </w:p>
                <w:p w14:paraId="43083256">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电机功率5.5kW</w:t>
                  </w:r>
                </w:p>
              </w:tc>
              <w:tc>
                <w:tcPr>
                  <w:tcW w:w="966" w:type="dxa"/>
                  <w:tcBorders>
                    <w:tl2br w:val="nil"/>
                    <w:tr2bl w:val="nil"/>
                  </w:tcBorders>
                  <w:noWrap w:val="0"/>
                  <w:vAlign w:val="center"/>
                </w:tcPr>
                <w:p w14:paraId="2C61DACD">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4套</w:t>
                  </w:r>
                </w:p>
              </w:tc>
              <w:tc>
                <w:tcPr>
                  <w:tcW w:w="2148" w:type="dxa"/>
                  <w:tcBorders>
                    <w:tl2br w:val="nil"/>
                    <w:tr2bl w:val="nil"/>
                  </w:tcBorders>
                  <w:noWrap w:val="0"/>
                  <w:vAlign w:val="center"/>
                </w:tcPr>
                <w:p w14:paraId="5E7EF452">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eastAsia="宋体" w:cs="Times New Roman"/>
                      <w:bCs/>
                      <w:color w:val="auto"/>
                      <w:szCs w:val="21"/>
                      <w:highlight w:val="none"/>
                      <w:lang w:val="en-US" w:eastAsia="zh-CN"/>
                    </w:rPr>
                  </w:pPr>
                </w:p>
              </w:tc>
            </w:tr>
            <w:tr w14:paraId="74511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645" w:type="dxa"/>
                  <w:tcBorders>
                    <w:tl2br w:val="nil"/>
                    <w:tr2bl w:val="nil"/>
                  </w:tcBorders>
                  <w:shd w:val="clear" w:color="auto" w:fill="auto"/>
                  <w:noWrap w:val="0"/>
                  <w:vAlign w:val="center"/>
                </w:tcPr>
                <w:p w14:paraId="72422A98">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eastAsia="宋体" w:cs="Times New Roman"/>
                      <w:bCs/>
                      <w:color w:val="auto"/>
                      <w:kern w:val="2"/>
                      <w:sz w:val="21"/>
                      <w:szCs w:val="21"/>
                      <w:lang w:val="en-US" w:eastAsia="zh-CN" w:bidi="ar-SA"/>
                    </w:rPr>
                  </w:pPr>
                  <w:r>
                    <w:rPr>
                      <w:rFonts w:hint="eastAsia" w:cs="Times New Roman"/>
                      <w:bCs/>
                      <w:color w:val="auto"/>
                      <w:kern w:val="2"/>
                      <w:sz w:val="21"/>
                      <w:szCs w:val="21"/>
                      <w:lang w:val="en-US" w:eastAsia="zh-CN" w:bidi="ar-SA"/>
                    </w:rPr>
                    <w:t>5</w:t>
                  </w:r>
                </w:p>
              </w:tc>
              <w:tc>
                <w:tcPr>
                  <w:tcW w:w="1542" w:type="dxa"/>
                  <w:tcBorders>
                    <w:tl2br w:val="nil"/>
                    <w:tr2bl w:val="nil"/>
                  </w:tcBorders>
                  <w:noWrap w:val="0"/>
                  <w:vAlign w:val="center"/>
                </w:tcPr>
                <w:p w14:paraId="28CBDDA9">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通风机</w:t>
                  </w:r>
                </w:p>
              </w:tc>
              <w:tc>
                <w:tcPr>
                  <w:tcW w:w="2717" w:type="dxa"/>
                  <w:tcBorders>
                    <w:tl2br w:val="nil"/>
                    <w:tr2bl w:val="nil"/>
                  </w:tcBorders>
                  <w:noWrap w:val="0"/>
                  <w:vAlign w:val="center"/>
                </w:tcPr>
                <w:p w14:paraId="4D6B9E3A">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2×15kW</w:t>
                  </w:r>
                </w:p>
              </w:tc>
              <w:tc>
                <w:tcPr>
                  <w:tcW w:w="966" w:type="dxa"/>
                  <w:tcBorders>
                    <w:tl2br w:val="nil"/>
                    <w:tr2bl w:val="nil"/>
                  </w:tcBorders>
                  <w:noWrap w:val="0"/>
                  <w:vAlign w:val="center"/>
                </w:tcPr>
                <w:p w14:paraId="69FD1F32">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eastAsia" w:ascii="Times New Roman" w:hAnsi="Times New Roman" w:eastAsia="宋体" w:cs="Times New Roman"/>
                      <w:color w:val="auto"/>
                      <w:szCs w:val="21"/>
                      <w:lang w:eastAsia="zh-CN"/>
                    </w:rPr>
                  </w:pPr>
                  <w:r>
                    <w:rPr>
                      <w:rFonts w:hint="eastAsia" w:cs="Times New Roman"/>
                      <w:color w:val="auto"/>
                      <w:szCs w:val="21"/>
                      <w:lang w:val="en-US" w:eastAsia="zh-CN"/>
                    </w:rPr>
                    <w:t>6部</w:t>
                  </w:r>
                </w:p>
              </w:tc>
              <w:tc>
                <w:tcPr>
                  <w:tcW w:w="2148" w:type="dxa"/>
                  <w:tcBorders>
                    <w:tl2br w:val="nil"/>
                    <w:tr2bl w:val="nil"/>
                  </w:tcBorders>
                  <w:noWrap w:val="0"/>
                  <w:vAlign w:val="center"/>
                </w:tcPr>
                <w:p w14:paraId="4E1B48EE">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原煤仓上口4部，原煤仓下上隅角2部</w:t>
                  </w:r>
                </w:p>
              </w:tc>
            </w:tr>
            <w:tr w14:paraId="2D2BE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8018" w:type="dxa"/>
                  <w:gridSpan w:val="5"/>
                  <w:tcBorders>
                    <w:tl2br w:val="nil"/>
                    <w:tr2bl w:val="nil"/>
                  </w:tcBorders>
                  <w:noWrap w:val="0"/>
                  <w:vAlign w:val="center"/>
                </w:tcPr>
                <w:p w14:paraId="121BACAF">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末煤产品储装运系统</w:t>
                  </w:r>
                </w:p>
              </w:tc>
            </w:tr>
            <w:tr w14:paraId="4E373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645" w:type="dxa"/>
                  <w:tcBorders>
                    <w:tl2br w:val="nil"/>
                    <w:tr2bl w:val="nil"/>
                  </w:tcBorders>
                  <w:noWrap w:val="0"/>
                  <w:vAlign w:val="center"/>
                </w:tcPr>
                <w:p w14:paraId="299882B1">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cs="Times New Roman"/>
                      <w:bCs/>
                      <w:color w:val="auto"/>
                      <w:szCs w:val="21"/>
                      <w:lang w:val="en-US" w:eastAsia="zh-CN"/>
                    </w:rPr>
                  </w:pPr>
                  <w:r>
                    <w:rPr>
                      <w:rFonts w:hint="eastAsia" w:cs="Times New Roman"/>
                      <w:bCs/>
                      <w:color w:val="auto"/>
                      <w:szCs w:val="21"/>
                      <w:lang w:val="en-US" w:eastAsia="zh-CN"/>
                    </w:rPr>
                    <w:t>1</w:t>
                  </w:r>
                </w:p>
              </w:tc>
              <w:tc>
                <w:tcPr>
                  <w:tcW w:w="1542" w:type="dxa"/>
                  <w:tcBorders>
                    <w:tl2br w:val="nil"/>
                    <w:tr2bl w:val="nil"/>
                  </w:tcBorders>
                  <w:shd w:val="clear" w:color="auto" w:fill="auto"/>
                  <w:noWrap w:val="0"/>
                  <w:vAlign w:val="center"/>
                </w:tcPr>
                <w:p w14:paraId="4EC66E54">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cs="Times New Roman"/>
                      <w:bCs/>
                      <w:color w:val="auto"/>
                      <w:szCs w:val="21"/>
                    </w:rPr>
                    <w:t>带式输送机</w:t>
                  </w:r>
                </w:p>
              </w:tc>
              <w:tc>
                <w:tcPr>
                  <w:tcW w:w="2717" w:type="dxa"/>
                  <w:tcBorders>
                    <w:tl2br w:val="nil"/>
                    <w:tr2bl w:val="nil"/>
                  </w:tcBorders>
                  <w:shd w:val="clear" w:color="auto" w:fill="auto"/>
                  <w:noWrap w:val="0"/>
                  <w:vAlign w:val="center"/>
                </w:tcPr>
                <w:p w14:paraId="5A67E688">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cs="Times New Roman"/>
                      <w:bCs/>
                      <w:color w:val="auto"/>
                      <w:szCs w:val="21"/>
                    </w:rPr>
                    <w:t>B=1400mm</w:t>
                  </w:r>
                  <w:r>
                    <w:rPr>
                      <w:rFonts w:hint="eastAsia" w:cs="Times New Roman"/>
                      <w:bCs/>
                      <w:color w:val="auto"/>
                      <w:szCs w:val="21"/>
                      <w:lang w:eastAsia="zh-CN"/>
                    </w:rPr>
                    <w:t>，</w:t>
                  </w:r>
                  <w:r>
                    <w:rPr>
                      <w:rFonts w:hint="default" w:ascii="Times New Roman" w:hAnsi="Times New Roman" w:cs="Times New Roman"/>
                      <w:bCs/>
                      <w:color w:val="auto"/>
                      <w:szCs w:val="21"/>
                    </w:rPr>
                    <w:t>Q=</w:t>
                  </w:r>
                  <w:r>
                    <w:rPr>
                      <w:rFonts w:hint="eastAsia" w:cs="Times New Roman"/>
                      <w:bCs/>
                      <w:color w:val="auto"/>
                      <w:szCs w:val="21"/>
                      <w:lang w:val="en-US" w:eastAsia="zh-CN"/>
                    </w:rPr>
                    <w:t>9</w:t>
                  </w:r>
                  <w:r>
                    <w:rPr>
                      <w:rFonts w:hint="default" w:ascii="Times New Roman" w:hAnsi="Times New Roman" w:cs="Times New Roman"/>
                      <w:bCs/>
                      <w:color w:val="auto"/>
                      <w:szCs w:val="21"/>
                    </w:rPr>
                    <w:t>00t/h，L=</w:t>
                  </w:r>
                  <w:r>
                    <w:rPr>
                      <w:rFonts w:hint="eastAsia" w:cs="Times New Roman"/>
                      <w:bCs/>
                      <w:color w:val="auto"/>
                      <w:szCs w:val="21"/>
                      <w:lang w:val="en-US" w:eastAsia="zh-CN"/>
                    </w:rPr>
                    <w:t>6</w:t>
                  </w:r>
                  <w:r>
                    <w:rPr>
                      <w:rFonts w:hint="default" w:ascii="Times New Roman" w:hAnsi="Times New Roman" w:cs="Times New Roman"/>
                      <w:bCs/>
                      <w:color w:val="auto"/>
                      <w:szCs w:val="21"/>
                    </w:rPr>
                    <w:t>0.53m</w:t>
                  </w:r>
                  <w:r>
                    <w:rPr>
                      <w:rFonts w:hint="eastAsia" w:cs="Times New Roman"/>
                      <w:bCs/>
                      <w:color w:val="auto"/>
                      <w:szCs w:val="21"/>
                      <w:lang w:eastAsia="zh-CN"/>
                    </w:rPr>
                    <w:t>，</w:t>
                  </w:r>
                  <w:r>
                    <w:rPr>
                      <w:rFonts w:hint="default" w:ascii="Times New Roman" w:hAnsi="Times New Roman" w:cs="Times New Roman"/>
                      <w:bCs/>
                      <w:color w:val="auto"/>
                      <w:szCs w:val="21"/>
                    </w:rPr>
                    <w:t>v=2.</w:t>
                  </w:r>
                  <w:r>
                    <w:rPr>
                      <w:rFonts w:hint="eastAsia" w:cs="Times New Roman"/>
                      <w:bCs/>
                      <w:color w:val="auto"/>
                      <w:szCs w:val="21"/>
                      <w:lang w:val="en-US" w:eastAsia="zh-CN"/>
                    </w:rPr>
                    <w:t>0</w:t>
                  </w:r>
                  <w:r>
                    <w:rPr>
                      <w:rFonts w:hint="default" w:ascii="Times New Roman" w:hAnsi="Times New Roman" w:cs="Times New Roman"/>
                      <w:bCs/>
                      <w:color w:val="auto"/>
                      <w:szCs w:val="21"/>
                    </w:rPr>
                    <w:t>m/s</w:t>
                  </w:r>
                </w:p>
              </w:tc>
              <w:tc>
                <w:tcPr>
                  <w:tcW w:w="966" w:type="dxa"/>
                  <w:tcBorders>
                    <w:tl2br w:val="nil"/>
                    <w:tr2bl w:val="nil"/>
                  </w:tcBorders>
                  <w:shd w:val="clear" w:color="auto" w:fill="auto"/>
                  <w:noWrap w:val="0"/>
                  <w:vAlign w:val="center"/>
                </w:tcPr>
                <w:p w14:paraId="65BB554C">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eastAsia" w:ascii="Times New Roman" w:hAnsi="Times New Roman" w:eastAsia="宋体" w:cs="Times New Roman"/>
                      <w:bCs/>
                      <w:color w:val="auto"/>
                      <w:kern w:val="2"/>
                      <w:sz w:val="21"/>
                      <w:szCs w:val="21"/>
                      <w:lang w:val="en-US" w:eastAsia="zh-CN" w:bidi="ar-SA"/>
                    </w:rPr>
                  </w:pPr>
                  <w:r>
                    <w:rPr>
                      <w:rFonts w:hint="eastAsia" w:cs="Times New Roman"/>
                      <w:bCs/>
                      <w:color w:val="auto"/>
                      <w:szCs w:val="21"/>
                      <w:lang w:val="en-US" w:eastAsia="zh-CN"/>
                    </w:rPr>
                    <w:t>3部</w:t>
                  </w:r>
                </w:p>
              </w:tc>
              <w:tc>
                <w:tcPr>
                  <w:tcW w:w="2148" w:type="dxa"/>
                  <w:tcBorders>
                    <w:tl2br w:val="nil"/>
                    <w:tr2bl w:val="nil"/>
                  </w:tcBorders>
                  <w:shd w:val="clear" w:color="auto" w:fill="auto"/>
                  <w:noWrap w:val="0"/>
                  <w:vAlign w:val="center"/>
                </w:tcPr>
                <w:p w14:paraId="213ACD70">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eastAsia" w:ascii="Times New Roman" w:hAnsi="Times New Roman" w:eastAsia="宋体" w:cs="Times New Roman"/>
                      <w:bCs/>
                      <w:color w:val="auto"/>
                      <w:kern w:val="2"/>
                      <w:sz w:val="21"/>
                      <w:szCs w:val="21"/>
                      <w:lang w:val="en-US" w:eastAsia="zh-CN" w:bidi="ar-SA"/>
                    </w:rPr>
                  </w:pPr>
                  <w:r>
                    <w:rPr>
                      <w:rFonts w:hint="eastAsia" w:cs="Times New Roman"/>
                      <w:bCs/>
                      <w:color w:val="auto"/>
                      <w:szCs w:val="21"/>
                      <w:lang w:val="en-US" w:eastAsia="zh-CN"/>
                    </w:rPr>
                    <w:t>移动式</w:t>
                  </w:r>
                </w:p>
              </w:tc>
            </w:tr>
            <w:tr w14:paraId="07326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45" w:type="dxa"/>
                  <w:tcBorders>
                    <w:tl2br w:val="nil"/>
                    <w:tr2bl w:val="nil"/>
                  </w:tcBorders>
                  <w:noWrap w:val="0"/>
                  <w:vAlign w:val="center"/>
                </w:tcPr>
                <w:p w14:paraId="1AB3ADD7">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cs="Times New Roman"/>
                      <w:bCs/>
                      <w:color w:val="auto"/>
                      <w:szCs w:val="21"/>
                      <w:lang w:val="en-US" w:eastAsia="zh-CN"/>
                    </w:rPr>
                  </w:pPr>
                  <w:r>
                    <w:rPr>
                      <w:rFonts w:hint="eastAsia" w:cs="Times New Roman"/>
                      <w:bCs/>
                      <w:color w:val="auto"/>
                      <w:szCs w:val="21"/>
                      <w:lang w:val="en-US" w:eastAsia="zh-CN"/>
                    </w:rPr>
                    <w:t>2</w:t>
                  </w:r>
                </w:p>
              </w:tc>
              <w:tc>
                <w:tcPr>
                  <w:tcW w:w="1542" w:type="dxa"/>
                  <w:tcBorders>
                    <w:tl2br w:val="nil"/>
                    <w:tr2bl w:val="nil"/>
                  </w:tcBorders>
                  <w:noWrap w:val="0"/>
                  <w:vAlign w:val="center"/>
                </w:tcPr>
                <w:p w14:paraId="40EF505F">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eastAsia="宋体" w:cs="Times New Roman"/>
                      <w:bCs/>
                      <w:color w:val="auto"/>
                      <w:szCs w:val="21"/>
                      <w:lang w:val="en-US" w:eastAsia="zh-CN"/>
                    </w:rPr>
                  </w:pPr>
                  <w:r>
                    <w:rPr>
                      <w:rFonts w:hint="eastAsia" w:cs="Times New Roman"/>
                      <w:bCs/>
                      <w:color w:val="auto"/>
                      <w:szCs w:val="21"/>
                      <w:lang w:val="en-US" w:eastAsia="zh-CN"/>
                    </w:rPr>
                    <w:t>机头溜槽</w:t>
                  </w:r>
                </w:p>
              </w:tc>
              <w:tc>
                <w:tcPr>
                  <w:tcW w:w="2717" w:type="dxa"/>
                  <w:tcBorders>
                    <w:tl2br w:val="nil"/>
                    <w:tr2bl w:val="nil"/>
                  </w:tcBorders>
                  <w:noWrap w:val="0"/>
                  <w:vAlign w:val="center"/>
                </w:tcPr>
                <w:p w14:paraId="33685069">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cs="Times New Roman"/>
                      <w:bCs/>
                      <w:color w:val="auto"/>
                      <w:szCs w:val="21"/>
                      <w:lang w:val="en-US" w:eastAsia="zh-CN"/>
                    </w:rPr>
                  </w:pPr>
                  <w:r>
                    <w:rPr>
                      <w:rFonts w:hint="eastAsia" w:cs="Times New Roman"/>
                      <w:bCs/>
                      <w:color w:val="auto"/>
                      <w:szCs w:val="21"/>
                      <w:lang w:val="en-US" w:eastAsia="zh-CN"/>
                    </w:rPr>
                    <w:t>/</w:t>
                  </w:r>
                </w:p>
              </w:tc>
              <w:tc>
                <w:tcPr>
                  <w:tcW w:w="966" w:type="dxa"/>
                  <w:tcBorders>
                    <w:tl2br w:val="nil"/>
                    <w:tr2bl w:val="nil"/>
                  </w:tcBorders>
                  <w:noWrap w:val="0"/>
                  <w:vAlign w:val="center"/>
                </w:tcPr>
                <w:p w14:paraId="2F1D98D7">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cs="Times New Roman"/>
                      <w:bCs/>
                      <w:color w:val="auto"/>
                      <w:szCs w:val="21"/>
                      <w:lang w:val="en-US" w:eastAsia="zh-CN"/>
                    </w:rPr>
                  </w:pPr>
                  <w:r>
                    <w:rPr>
                      <w:rFonts w:hint="eastAsia" w:cs="Times New Roman"/>
                      <w:bCs/>
                      <w:color w:val="auto"/>
                      <w:szCs w:val="21"/>
                      <w:lang w:val="en-US" w:eastAsia="zh-CN"/>
                    </w:rPr>
                    <w:t>6套</w:t>
                  </w:r>
                </w:p>
              </w:tc>
              <w:tc>
                <w:tcPr>
                  <w:tcW w:w="2148" w:type="dxa"/>
                  <w:tcBorders>
                    <w:tl2br w:val="nil"/>
                    <w:tr2bl w:val="nil"/>
                  </w:tcBorders>
                  <w:noWrap w:val="0"/>
                  <w:vAlign w:val="center"/>
                </w:tcPr>
                <w:p w14:paraId="13BB50A6">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eastAsia="宋体" w:cs="Times New Roman"/>
                      <w:color w:val="auto"/>
                      <w:szCs w:val="21"/>
                      <w:lang w:val="en-US" w:eastAsia="zh-CN"/>
                    </w:rPr>
                  </w:pPr>
                </w:p>
              </w:tc>
            </w:tr>
            <w:tr w14:paraId="11EE1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45" w:type="dxa"/>
                  <w:tcBorders>
                    <w:tl2br w:val="nil"/>
                    <w:tr2bl w:val="nil"/>
                  </w:tcBorders>
                  <w:noWrap w:val="0"/>
                  <w:vAlign w:val="center"/>
                </w:tcPr>
                <w:p w14:paraId="1256A281">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cs="Times New Roman"/>
                      <w:bCs/>
                      <w:color w:val="auto"/>
                      <w:szCs w:val="21"/>
                      <w:lang w:val="en-US" w:eastAsia="zh-CN"/>
                    </w:rPr>
                  </w:pPr>
                  <w:r>
                    <w:rPr>
                      <w:rFonts w:hint="eastAsia" w:cs="Times New Roman"/>
                      <w:bCs/>
                      <w:color w:val="auto"/>
                      <w:szCs w:val="21"/>
                      <w:lang w:val="en-US" w:eastAsia="zh-CN"/>
                    </w:rPr>
                    <w:t>3</w:t>
                  </w:r>
                </w:p>
              </w:tc>
              <w:tc>
                <w:tcPr>
                  <w:tcW w:w="1542" w:type="dxa"/>
                  <w:tcBorders>
                    <w:tl2br w:val="nil"/>
                    <w:tr2bl w:val="nil"/>
                  </w:tcBorders>
                  <w:shd w:val="clear" w:color="auto" w:fill="auto"/>
                  <w:noWrap w:val="0"/>
                  <w:vAlign w:val="center"/>
                </w:tcPr>
                <w:p w14:paraId="5AE51080">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eastAsia="宋体" w:cs="Times New Roman"/>
                      <w:bCs/>
                      <w:color w:val="auto"/>
                      <w:kern w:val="2"/>
                      <w:sz w:val="21"/>
                      <w:szCs w:val="21"/>
                      <w:lang w:val="en-US" w:eastAsia="zh-CN" w:bidi="ar-SA"/>
                    </w:rPr>
                  </w:pPr>
                  <w:r>
                    <w:rPr>
                      <w:rFonts w:hint="eastAsia" w:cs="Times New Roman"/>
                      <w:bCs/>
                      <w:color w:val="auto"/>
                      <w:kern w:val="2"/>
                      <w:sz w:val="21"/>
                      <w:szCs w:val="21"/>
                      <w:lang w:val="en-US" w:eastAsia="zh-CN" w:bidi="ar-SA"/>
                    </w:rPr>
                    <w:t>仓下给煤机</w:t>
                  </w:r>
                </w:p>
              </w:tc>
              <w:tc>
                <w:tcPr>
                  <w:tcW w:w="2717" w:type="dxa"/>
                  <w:tcBorders>
                    <w:tl2br w:val="nil"/>
                    <w:tr2bl w:val="nil"/>
                  </w:tcBorders>
                  <w:shd w:val="clear" w:color="auto" w:fill="auto"/>
                  <w:noWrap w:val="0"/>
                  <w:vAlign w:val="center"/>
                </w:tcPr>
                <w:p w14:paraId="3A057BBF">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eastAsia" w:cs="Times New Roman"/>
                      <w:bCs/>
                      <w:color w:val="auto"/>
                      <w:szCs w:val="21"/>
                      <w:highlight w:val="none"/>
                      <w:lang w:val="en-US" w:eastAsia="zh-CN"/>
                    </w:rPr>
                  </w:pPr>
                  <w:r>
                    <w:rPr>
                      <w:rFonts w:hint="eastAsia" w:cs="Times New Roman"/>
                      <w:bCs/>
                      <w:color w:val="auto"/>
                      <w:szCs w:val="21"/>
                      <w:highlight w:val="none"/>
                      <w:lang w:val="en-US" w:eastAsia="zh-CN"/>
                    </w:rPr>
                    <w:t>GLD1500/5.5型带式给料机，给料粒度0-300mm，</w:t>
                  </w:r>
                </w:p>
                <w:p w14:paraId="33D1E503">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eastAsia" w:cs="Times New Roman"/>
                      <w:bCs/>
                      <w:color w:val="auto"/>
                      <w:szCs w:val="21"/>
                      <w:highlight w:val="none"/>
                      <w:lang w:val="en-US" w:eastAsia="zh-CN"/>
                    </w:rPr>
                  </w:pPr>
                  <w:r>
                    <w:rPr>
                      <w:rFonts w:hint="eastAsia" w:cs="Times New Roman"/>
                      <w:bCs/>
                      <w:color w:val="auto"/>
                      <w:szCs w:val="21"/>
                      <w:highlight w:val="none"/>
                      <w:lang w:val="en-US" w:eastAsia="zh-CN"/>
                    </w:rPr>
                    <w:t>最大给料能力1500t/h，</w:t>
                  </w:r>
                </w:p>
                <w:p w14:paraId="1E0F0A61">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eastAsia" w:ascii="Times New Roman" w:hAnsi="Times New Roman" w:eastAsia="宋体" w:cs="Times New Roman"/>
                      <w:bCs/>
                      <w:color w:val="auto"/>
                      <w:kern w:val="2"/>
                      <w:sz w:val="21"/>
                      <w:szCs w:val="21"/>
                      <w:lang w:val="en-US" w:eastAsia="zh-CN" w:bidi="ar-SA"/>
                    </w:rPr>
                  </w:pPr>
                  <w:r>
                    <w:rPr>
                      <w:rFonts w:hint="eastAsia" w:cs="Times New Roman"/>
                      <w:bCs/>
                      <w:color w:val="auto"/>
                      <w:szCs w:val="21"/>
                      <w:highlight w:val="none"/>
                      <w:lang w:val="en-US" w:eastAsia="zh-CN"/>
                    </w:rPr>
                    <w:t>电机功率5.5kW</w:t>
                  </w:r>
                </w:p>
              </w:tc>
              <w:tc>
                <w:tcPr>
                  <w:tcW w:w="966" w:type="dxa"/>
                  <w:tcBorders>
                    <w:tl2br w:val="nil"/>
                    <w:tr2bl w:val="nil"/>
                  </w:tcBorders>
                  <w:shd w:val="clear" w:color="auto" w:fill="auto"/>
                  <w:noWrap w:val="0"/>
                  <w:vAlign w:val="center"/>
                </w:tcPr>
                <w:p w14:paraId="2BDAC8F8">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eastAsia="宋体" w:cs="Times New Roman"/>
                      <w:bCs/>
                      <w:color w:val="auto"/>
                      <w:kern w:val="2"/>
                      <w:sz w:val="21"/>
                      <w:szCs w:val="21"/>
                      <w:lang w:val="en-US" w:eastAsia="zh-CN" w:bidi="ar-SA"/>
                    </w:rPr>
                  </w:pPr>
                  <w:r>
                    <w:rPr>
                      <w:rFonts w:hint="eastAsia" w:cs="Times New Roman"/>
                      <w:bCs/>
                      <w:color w:val="auto"/>
                      <w:kern w:val="2"/>
                      <w:sz w:val="21"/>
                      <w:szCs w:val="21"/>
                      <w:lang w:val="en-US" w:eastAsia="zh-CN" w:bidi="ar-SA"/>
                    </w:rPr>
                    <w:t>4套</w:t>
                  </w:r>
                </w:p>
              </w:tc>
              <w:tc>
                <w:tcPr>
                  <w:tcW w:w="2148" w:type="dxa"/>
                  <w:tcBorders>
                    <w:tl2br w:val="nil"/>
                    <w:tr2bl w:val="nil"/>
                  </w:tcBorders>
                  <w:noWrap w:val="0"/>
                  <w:vAlign w:val="center"/>
                </w:tcPr>
                <w:p w14:paraId="2539FF29">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eastAsia="宋体" w:cs="Times New Roman"/>
                      <w:color w:val="auto"/>
                      <w:szCs w:val="21"/>
                      <w:lang w:val="en-US" w:eastAsia="zh-CN"/>
                    </w:rPr>
                  </w:pPr>
                </w:p>
              </w:tc>
            </w:tr>
            <w:tr w14:paraId="09292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45" w:type="dxa"/>
                  <w:tcBorders>
                    <w:tl2br w:val="nil"/>
                    <w:tr2bl w:val="nil"/>
                  </w:tcBorders>
                  <w:noWrap w:val="0"/>
                  <w:vAlign w:val="center"/>
                </w:tcPr>
                <w:p w14:paraId="5E790404">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cs="Times New Roman"/>
                      <w:bCs/>
                      <w:color w:val="auto"/>
                      <w:szCs w:val="21"/>
                      <w:lang w:val="en-US" w:eastAsia="zh-CN"/>
                    </w:rPr>
                  </w:pPr>
                  <w:r>
                    <w:rPr>
                      <w:rFonts w:hint="eastAsia" w:cs="Times New Roman"/>
                      <w:bCs/>
                      <w:color w:val="auto"/>
                      <w:szCs w:val="21"/>
                      <w:lang w:val="en-US" w:eastAsia="zh-CN"/>
                    </w:rPr>
                    <w:t>4</w:t>
                  </w:r>
                </w:p>
              </w:tc>
              <w:tc>
                <w:tcPr>
                  <w:tcW w:w="1542" w:type="dxa"/>
                  <w:tcBorders>
                    <w:tl2br w:val="nil"/>
                    <w:tr2bl w:val="nil"/>
                  </w:tcBorders>
                  <w:shd w:val="clear" w:color="auto" w:fill="auto"/>
                  <w:noWrap w:val="0"/>
                  <w:vAlign w:val="center"/>
                </w:tcPr>
                <w:p w14:paraId="26CABE57">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eastAsia" w:ascii="Times New Roman" w:hAnsi="Times New Roman" w:eastAsia="宋体" w:cs="Times New Roman"/>
                      <w:bCs/>
                      <w:color w:val="auto"/>
                      <w:kern w:val="2"/>
                      <w:sz w:val="21"/>
                      <w:szCs w:val="21"/>
                      <w:lang w:val="en-US" w:eastAsia="zh-CN" w:bidi="ar-SA"/>
                    </w:rPr>
                  </w:pPr>
                  <w:r>
                    <w:rPr>
                      <w:rFonts w:hint="eastAsia" w:cs="Times New Roman"/>
                      <w:bCs/>
                      <w:color w:val="auto"/>
                      <w:szCs w:val="21"/>
                      <w:lang w:val="en-US" w:eastAsia="zh-CN"/>
                    </w:rPr>
                    <w:t>通风机</w:t>
                  </w:r>
                </w:p>
              </w:tc>
              <w:tc>
                <w:tcPr>
                  <w:tcW w:w="2717" w:type="dxa"/>
                  <w:tcBorders>
                    <w:tl2br w:val="nil"/>
                    <w:tr2bl w:val="nil"/>
                  </w:tcBorders>
                  <w:shd w:val="clear" w:color="auto" w:fill="auto"/>
                  <w:noWrap w:val="0"/>
                  <w:vAlign w:val="center"/>
                </w:tcPr>
                <w:p w14:paraId="0CE3B166">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cs="Times New Roman"/>
                      <w:color w:val="auto"/>
                      <w:szCs w:val="21"/>
                      <w:lang w:val="en-US" w:eastAsia="zh-CN"/>
                    </w:rPr>
                    <w:t>2×15kW</w:t>
                  </w:r>
                </w:p>
              </w:tc>
              <w:tc>
                <w:tcPr>
                  <w:tcW w:w="966" w:type="dxa"/>
                  <w:tcBorders>
                    <w:tl2br w:val="nil"/>
                    <w:tr2bl w:val="nil"/>
                  </w:tcBorders>
                  <w:shd w:val="clear" w:color="auto" w:fill="auto"/>
                  <w:noWrap w:val="0"/>
                  <w:vAlign w:val="center"/>
                </w:tcPr>
                <w:p w14:paraId="086C9E71">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cs="Times New Roman"/>
                      <w:color w:val="auto"/>
                      <w:szCs w:val="21"/>
                      <w:lang w:val="en-US" w:eastAsia="zh-CN"/>
                    </w:rPr>
                    <w:t>6部</w:t>
                  </w:r>
                </w:p>
              </w:tc>
              <w:tc>
                <w:tcPr>
                  <w:tcW w:w="2148" w:type="dxa"/>
                  <w:tcBorders>
                    <w:tl2br w:val="nil"/>
                    <w:tr2bl w:val="nil"/>
                  </w:tcBorders>
                  <w:shd w:val="clear" w:color="auto" w:fill="auto"/>
                  <w:noWrap w:val="0"/>
                  <w:vAlign w:val="center"/>
                </w:tcPr>
                <w:p w14:paraId="30ADAA50">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szCs w:val="21"/>
                      <w:lang w:val="en-US" w:eastAsia="zh-CN"/>
                    </w:rPr>
                    <w:t>末煤仓上口4部，末煤仓下上隅角2部</w:t>
                  </w:r>
                </w:p>
              </w:tc>
            </w:tr>
            <w:tr w14:paraId="6D8DE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8018" w:type="dxa"/>
                  <w:gridSpan w:val="5"/>
                  <w:tcBorders>
                    <w:tl2br w:val="nil"/>
                    <w:tr2bl w:val="nil"/>
                  </w:tcBorders>
                  <w:noWrap w:val="0"/>
                  <w:vAlign w:val="center"/>
                </w:tcPr>
                <w:p w14:paraId="3DC973AC">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原煤上料电控设备</w:t>
                  </w:r>
                </w:p>
              </w:tc>
            </w:tr>
            <w:tr w14:paraId="10696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45" w:type="dxa"/>
                  <w:tcBorders>
                    <w:tl2br w:val="nil"/>
                    <w:tr2bl w:val="nil"/>
                  </w:tcBorders>
                  <w:noWrap w:val="0"/>
                  <w:vAlign w:val="center"/>
                </w:tcPr>
                <w:p w14:paraId="132BE52E">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cs="Times New Roman"/>
                      <w:bCs/>
                      <w:color w:val="auto"/>
                      <w:szCs w:val="21"/>
                      <w:lang w:val="en-US" w:eastAsia="zh-CN"/>
                    </w:rPr>
                  </w:pPr>
                  <w:r>
                    <w:rPr>
                      <w:rFonts w:hint="eastAsia" w:cs="Times New Roman"/>
                      <w:bCs/>
                      <w:color w:val="auto"/>
                      <w:szCs w:val="21"/>
                      <w:lang w:val="en-US" w:eastAsia="zh-CN"/>
                    </w:rPr>
                    <w:t>1</w:t>
                  </w:r>
                </w:p>
              </w:tc>
              <w:tc>
                <w:tcPr>
                  <w:tcW w:w="1542" w:type="dxa"/>
                  <w:tcBorders>
                    <w:tl2br w:val="nil"/>
                    <w:tr2bl w:val="nil"/>
                  </w:tcBorders>
                  <w:shd w:val="clear" w:color="auto" w:fill="auto"/>
                  <w:noWrap w:val="0"/>
                  <w:vAlign w:val="center"/>
                </w:tcPr>
                <w:p w14:paraId="01E53C67">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kern w:val="2"/>
                      <w:sz w:val="21"/>
                      <w:szCs w:val="21"/>
                      <w:lang w:val="en-US" w:eastAsia="zh-CN" w:bidi="ar-SA"/>
                    </w:rPr>
                    <w:t>干式变压器</w:t>
                  </w:r>
                </w:p>
              </w:tc>
              <w:tc>
                <w:tcPr>
                  <w:tcW w:w="2717" w:type="dxa"/>
                  <w:tcBorders>
                    <w:tl2br w:val="nil"/>
                    <w:tr2bl w:val="nil"/>
                  </w:tcBorders>
                  <w:shd w:val="clear" w:color="auto" w:fill="auto"/>
                  <w:noWrap w:val="0"/>
                  <w:vAlign w:val="center"/>
                </w:tcPr>
                <w:p w14:paraId="1A3C5E16">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kern w:val="2"/>
                      <w:sz w:val="21"/>
                      <w:szCs w:val="21"/>
                      <w:lang w:val="en-US" w:eastAsia="zh-CN" w:bidi="ar-SA"/>
                    </w:rPr>
                    <w:t>SCB-800/10/0.4kV</w:t>
                  </w:r>
                </w:p>
              </w:tc>
              <w:tc>
                <w:tcPr>
                  <w:tcW w:w="966" w:type="dxa"/>
                  <w:tcBorders>
                    <w:tl2br w:val="nil"/>
                    <w:tr2bl w:val="nil"/>
                  </w:tcBorders>
                  <w:shd w:val="clear" w:color="auto" w:fill="auto"/>
                  <w:noWrap w:val="0"/>
                  <w:vAlign w:val="center"/>
                </w:tcPr>
                <w:p w14:paraId="17134BBA">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eastAsia="宋体" w:cs="Times New Roman"/>
                      <w:bCs/>
                      <w:color w:val="auto"/>
                      <w:kern w:val="2"/>
                      <w:sz w:val="21"/>
                      <w:szCs w:val="21"/>
                      <w:lang w:val="en-US" w:eastAsia="zh-CN" w:bidi="ar-SA"/>
                    </w:rPr>
                  </w:pPr>
                  <w:r>
                    <w:rPr>
                      <w:rFonts w:hint="eastAsia" w:cs="Times New Roman"/>
                      <w:bCs/>
                      <w:color w:val="auto"/>
                      <w:kern w:val="2"/>
                      <w:sz w:val="21"/>
                      <w:szCs w:val="21"/>
                      <w:lang w:val="en-US" w:eastAsia="zh-CN" w:bidi="ar-SA"/>
                    </w:rPr>
                    <w:t>2台</w:t>
                  </w:r>
                </w:p>
              </w:tc>
              <w:tc>
                <w:tcPr>
                  <w:tcW w:w="2148" w:type="dxa"/>
                  <w:tcBorders>
                    <w:tl2br w:val="nil"/>
                    <w:tr2bl w:val="nil"/>
                  </w:tcBorders>
                  <w:shd w:val="clear" w:color="auto" w:fill="auto"/>
                  <w:noWrap w:val="0"/>
                  <w:vAlign w:val="center"/>
                </w:tcPr>
                <w:p w14:paraId="030D0826">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p>
              </w:tc>
            </w:tr>
            <w:tr w14:paraId="0975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45" w:type="dxa"/>
                  <w:tcBorders>
                    <w:tl2br w:val="nil"/>
                    <w:tr2bl w:val="nil"/>
                  </w:tcBorders>
                  <w:noWrap w:val="0"/>
                  <w:vAlign w:val="center"/>
                </w:tcPr>
                <w:p w14:paraId="604FF0C7">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cs="Times New Roman"/>
                      <w:bCs/>
                      <w:color w:val="auto"/>
                      <w:szCs w:val="21"/>
                      <w:lang w:val="en-US" w:eastAsia="zh-CN"/>
                    </w:rPr>
                  </w:pPr>
                  <w:r>
                    <w:rPr>
                      <w:rFonts w:hint="eastAsia" w:cs="Times New Roman"/>
                      <w:bCs/>
                      <w:color w:val="auto"/>
                      <w:szCs w:val="21"/>
                      <w:lang w:val="en-US" w:eastAsia="zh-CN"/>
                    </w:rPr>
                    <w:t>2</w:t>
                  </w:r>
                </w:p>
              </w:tc>
              <w:tc>
                <w:tcPr>
                  <w:tcW w:w="1542" w:type="dxa"/>
                  <w:tcBorders>
                    <w:tl2br w:val="nil"/>
                    <w:tr2bl w:val="nil"/>
                  </w:tcBorders>
                  <w:shd w:val="clear" w:color="auto" w:fill="auto"/>
                  <w:noWrap w:val="0"/>
                  <w:vAlign w:val="center"/>
                </w:tcPr>
                <w:p w14:paraId="64C60C73">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kern w:val="2"/>
                      <w:sz w:val="21"/>
                      <w:szCs w:val="21"/>
                      <w:lang w:val="en-US" w:eastAsia="zh-CN" w:bidi="ar-SA"/>
                    </w:rPr>
                    <w:t>低压配电柜</w:t>
                  </w:r>
                </w:p>
              </w:tc>
              <w:tc>
                <w:tcPr>
                  <w:tcW w:w="2717" w:type="dxa"/>
                  <w:tcBorders>
                    <w:tl2br w:val="nil"/>
                    <w:tr2bl w:val="nil"/>
                  </w:tcBorders>
                  <w:shd w:val="clear" w:color="auto" w:fill="auto"/>
                  <w:noWrap w:val="0"/>
                  <w:vAlign w:val="center"/>
                </w:tcPr>
                <w:p w14:paraId="41F88211">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kern w:val="2"/>
                      <w:sz w:val="21"/>
                      <w:szCs w:val="21"/>
                      <w:lang w:val="en-US" w:eastAsia="zh-CN" w:bidi="ar-SA"/>
                    </w:rPr>
                    <w:t>MNS</w:t>
                  </w:r>
                </w:p>
              </w:tc>
              <w:tc>
                <w:tcPr>
                  <w:tcW w:w="966" w:type="dxa"/>
                  <w:tcBorders>
                    <w:tl2br w:val="nil"/>
                    <w:tr2bl w:val="nil"/>
                  </w:tcBorders>
                  <w:shd w:val="clear" w:color="auto" w:fill="auto"/>
                  <w:noWrap w:val="0"/>
                  <w:vAlign w:val="center"/>
                </w:tcPr>
                <w:p w14:paraId="6EC3804B">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eastAsia="宋体" w:cs="Times New Roman"/>
                      <w:bCs/>
                      <w:color w:val="auto"/>
                      <w:kern w:val="2"/>
                      <w:sz w:val="21"/>
                      <w:szCs w:val="21"/>
                      <w:lang w:val="en-US" w:eastAsia="zh-CN" w:bidi="ar-SA"/>
                    </w:rPr>
                  </w:pPr>
                  <w:r>
                    <w:rPr>
                      <w:rFonts w:hint="eastAsia" w:cs="Times New Roman"/>
                      <w:bCs/>
                      <w:color w:val="auto"/>
                      <w:kern w:val="2"/>
                      <w:sz w:val="21"/>
                      <w:szCs w:val="21"/>
                      <w:lang w:val="en-US" w:eastAsia="zh-CN" w:bidi="ar-SA"/>
                    </w:rPr>
                    <w:t>12台</w:t>
                  </w:r>
                </w:p>
              </w:tc>
              <w:tc>
                <w:tcPr>
                  <w:tcW w:w="2148" w:type="dxa"/>
                  <w:tcBorders>
                    <w:tl2br w:val="nil"/>
                    <w:tr2bl w:val="nil"/>
                  </w:tcBorders>
                  <w:shd w:val="clear" w:color="auto" w:fill="auto"/>
                  <w:noWrap w:val="0"/>
                  <w:vAlign w:val="center"/>
                </w:tcPr>
                <w:p w14:paraId="5F10416C">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p>
              </w:tc>
            </w:tr>
            <w:tr w14:paraId="18E06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45" w:type="dxa"/>
                  <w:tcBorders>
                    <w:tl2br w:val="nil"/>
                    <w:tr2bl w:val="nil"/>
                  </w:tcBorders>
                  <w:noWrap w:val="0"/>
                  <w:vAlign w:val="center"/>
                </w:tcPr>
                <w:p w14:paraId="6A79A903">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cs="Times New Roman"/>
                      <w:bCs/>
                      <w:color w:val="auto"/>
                      <w:szCs w:val="21"/>
                      <w:lang w:val="en-US" w:eastAsia="zh-CN"/>
                    </w:rPr>
                  </w:pPr>
                  <w:r>
                    <w:rPr>
                      <w:rFonts w:hint="eastAsia" w:cs="Times New Roman"/>
                      <w:bCs/>
                      <w:color w:val="auto"/>
                      <w:szCs w:val="21"/>
                      <w:lang w:val="en-US" w:eastAsia="zh-CN"/>
                    </w:rPr>
                    <w:t>3</w:t>
                  </w:r>
                </w:p>
              </w:tc>
              <w:tc>
                <w:tcPr>
                  <w:tcW w:w="1542" w:type="dxa"/>
                  <w:tcBorders>
                    <w:tl2br w:val="nil"/>
                    <w:tr2bl w:val="nil"/>
                  </w:tcBorders>
                  <w:shd w:val="clear" w:color="auto" w:fill="auto"/>
                  <w:noWrap w:val="0"/>
                  <w:vAlign w:val="center"/>
                </w:tcPr>
                <w:p w14:paraId="63377EF1">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kern w:val="2"/>
                      <w:sz w:val="21"/>
                      <w:szCs w:val="21"/>
                      <w:lang w:val="en-US" w:eastAsia="zh-CN" w:bidi="ar-SA"/>
                    </w:rPr>
                    <w:t>PLC控制系统</w:t>
                  </w:r>
                </w:p>
              </w:tc>
              <w:tc>
                <w:tcPr>
                  <w:tcW w:w="2717" w:type="dxa"/>
                  <w:tcBorders>
                    <w:tl2br w:val="nil"/>
                    <w:tr2bl w:val="nil"/>
                  </w:tcBorders>
                  <w:shd w:val="clear" w:color="auto" w:fill="auto"/>
                  <w:noWrap w:val="0"/>
                  <w:vAlign w:val="center"/>
                </w:tcPr>
                <w:p w14:paraId="5EA93C89">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eastAsia" w:ascii="Times New Roman" w:hAnsi="Times New Roman" w:eastAsia="宋体" w:cs="Times New Roman"/>
                      <w:bCs/>
                      <w:color w:val="auto"/>
                      <w:kern w:val="2"/>
                      <w:sz w:val="21"/>
                      <w:szCs w:val="21"/>
                      <w:lang w:val="en-US" w:eastAsia="zh-CN" w:bidi="ar-SA"/>
                    </w:rPr>
                  </w:pPr>
                  <w:r>
                    <w:rPr>
                      <w:rFonts w:hint="eastAsia" w:cs="Times New Roman"/>
                      <w:bCs/>
                      <w:color w:val="auto"/>
                      <w:kern w:val="2"/>
                      <w:sz w:val="21"/>
                      <w:szCs w:val="21"/>
                      <w:lang w:val="en-US" w:eastAsia="zh-CN" w:bidi="ar-SA"/>
                    </w:rPr>
                    <w:t>/</w:t>
                  </w:r>
                </w:p>
              </w:tc>
              <w:tc>
                <w:tcPr>
                  <w:tcW w:w="966" w:type="dxa"/>
                  <w:tcBorders>
                    <w:tl2br w:val="nil"/>
                    <w:tr2bl w:val="nil"/>
                  </w:tcBorders>
                  <w:shd w:val="clear" w:color="auto" w:fill="auto"/>
                  <w:noWrap w:val="0"/>
                  <w:vAlign w:val="center"/>
                </w:tcPr>
                <w:p w14:paraId="33405FA3">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eastAsia="宋体" w:cs="Times New Roman"/>
                      <w:bCs/>
                      <w:color w:val="auto"/>
                      <w:kern w:val="2"/>
                      <w:sz w:val="21"/>
                      <w:szCs w:val="21"/>
                      <w:lang w:val="en-US" w:eastAsia="zh-CN" w:bidi="ar-SA"/>
                    </w:rPr>
                  </w:pPr>
                  <w:r>
                    <w:rPr>
                      <w:rFonts w:hint="eastAsia" w:cs="Times New Roman"/>
                      <w:bCs/>
                      <w:color w:val="auto"/>
                      <w:kern w:val="2"/>
                      <w:sz w:val="21"/>
                      <w:szCs w:val="21"/>
                      <w:lang w:val="en-US" w:eastAsia="zh-CN" w:bidi="ar-SA"/>
                    </w:rPr>
                    <w:t>1套</w:t>
                  </w:r>
                </w:p>
              </w:tc>
              <w:tc>
                <w:tcPr>
                  <w:tcW w:w="2148" w:type="dxa"/>
                  <w:tcBorders>
                    <w:tl2br w:val="nil"/>
                    <w:tr2bl w:val="nil"/>
                  </w:tcBorders>
                  <w:shd w:val="clear" w:color="auto" w:fill="auto"/>
                  <w:noWrap w:val="0"/>
                  <w:vAlign w:val="center"/>
                </w:tcPr>
                <w:p w14:paraId="2BAAE132">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lang w:val="en-US" w:eastAsia="zh-CN"/>
                    </w:rPr>
                    <w:t>含2台PLC控制柜</w:t>
                  </w:r>
                </w:p>
              </w:tc>
            </w:tr>
            <w:tr w14:paraId="0693E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8018" w:type="dxa"/>
                  <w:gridSpan w:val="5"/>
                  <w:tcBorders>
                    <w:tl2br w:val="nil"/>
                    <w:tr2bl w:val="nil"/>
                  </w:tcBorders>
                  <w:noWrap w:val="0"/>
                  <w:vAlign w:val="center"/>
                </w:tcPr>
                <w:p w14:paraId="34055B1E">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末煤产品储装运系统电控设备</w:t>
                  </w:r>
                </w:p>
              </w:tc>
            </w:tr>
            <w:tr w14:paraId="43EDB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45" w:type="dxa"/>
                  <w:tcBorders>
                    <w:tl2br w:val="nil"/>
                    <w:tr2bl w:val="nil"/>
                  </w:tcBorders>
                  <w:shd w:val="clear" w:color="auto" w:fill="auto"/>
                  <w:noWrap w:val="0"/>
                  <w:vAlign w:val="center"/>
                </w:tcPr>
                <w:p w14:paraId="07A00539">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eastAsia="宋体" w:cs="Times New Roman"/>
                      <w:bCs/>
                      <w:color w:val="auto"/>
                      <w:kern w:val="2"/>
                      <w:sz w:val="21"/>
                      <w:szCs w:val="21"/>
                      <w:lang w:val="en-US" w:eastAsia="zh-CN" w:bidi="ar-SA"/>
                    </w:rPr>
                  </w:pPr>
                  <w:r>
                    <w:rPr>
                      <w:rFonts w:hint="eastAsia" w:cs="Times New Roman"/>
                      <w:bCs/>
                      <w:color w:val="auto"/>
                      <w:kern w:val="2"/>
                      <w:sz w:val="21"/>
                      <w:szCs w:val="21"/>
                      <w:lang w:val="en-US" w:eastAsia="zh-CN" w:bidi="ar-SA"/>
                    </w:rPr>
                    <w:t>1</w:t>
                  </w:r>
                </w:p>
              </w:tc>
              <w:tc>
                <w:tcPr>
                  <w:tcW w:w="1542" w:type="dxa"/>
                  <w:tcBorders>
                    <w:tl2br w:val="nil"/>
                    <w:tr2bl w:val="nil"/>
                  </w:tcBorders>
                  <w:shd w:val="clear" w:color="auto" w:fill="auto"/>
                  <w:noWrap w:val="0"/>
                  <w:vAlign w:val="center"/>
                </w:tcPr>
                <w:p w14:paraId="6E899502">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kern w:val="2"/>
                      <w:sz w:val="21"/>
                      <w:szCs w:val="21"/>
                      <w:lang w:val="en-US" w:eastAsia="zh-CN" w:bidi="ar-SA"/>
                    </w:rPr>
                    <w:t>干式变压器</w:t>
                  </w:r>
                </w:p>
              </w:tc>
              <w:tc>
                <w:tcPr>
                  <w:tcW w:w="2717" w:type="dxa"/>
                  <w:tcBorders>
                    <w:tl2br w:val="nil"/>
                    <w:tr2bl w:val="nil"/>
                  </w:tcBorders>
                  <w:shd w:val="clear" w:color="auto" w:fill="auto"/>
                  <w:noWrap w:val="0"/>
                  <w:vAlign w:val="center"/>
                </w:tcPr>
                <w:p w14:paraId="389F20C1">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kern w:val="2"/>
                      <w:sz w:val="21"/>
                      <w:szCs w:val="21"/>
                      <w:lang w:val="en-US" w:eastAsia="zh-CN" w:bidi="ar-SA"/>
                    </w:rPr>
                    <w:t>SCB-800/10/0.4kV</w:t>
                  </w:r>
                </w:p>
              </w:tc>
              <w:tc>
                <w:tcPr>
                  <w:tcW w:w="966" w:type="dxa"/>
                  <w:tcBorders>
                    <w:tl2br w:val="nil"/>
                    <w:tr2bl w:val="nil"/>
                  </w:tcBorders>
                  <w:shd w:val="clear" w:color="auto" w:fill="auto"/>
                  <w:noWrap w:val="0"/>
                  <w:vAlign w:val="center"/>
                </w:tcPr>
                <w:p w14:paraId="0A40029D">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eastAsia" w:ascii="Times New Roman" w:hAnsi="Times New Roman" w:eastAsia="宋体" w:cs="Times New Roman"/>
                      <w:bCs/>
                      <w:color w:val="auto"/>
                      <w:kern w:val="2"/>
                      <w:sz w:val="21"/>
                      <w:szCs w:val="21"/>
                      <w:lang w:val="en-US" w:eastAsia="zh-CN" w:bidi="ar-SA"/>
                    </w:rPr>
                  </w:pPr>
                  <w:r>
                    <w:rPr>
                      <w:rFonts w:hint="eastAsia" w:cs="Times New Roman"/>
                      <w:bCs/>
                      <w:color w:val="auto"/>
                      <w:kern w:val="2"/>
                      <w:sz w:val="21"/>
                      <w:szCs w:val="21"/>
                      <w:lang w:val="en-US" w:eastAsia="zh-CN" w:bidi="ar-SA"/>
                    </w:rPr>
                    <w:t>2台</w:t>
                  </w:r>
                </w:p>
              </w:tc>
              <w:tc>
                <w:tcPr>
                  <w:tcW w:w="2148" w:type="dxa"/>
                  <w:tcBorders>
                    <w:tl2br w:val="nil"/>
                    <w:tr2bl w:val="nil"/>
                  </w:tcBorders>
                  <w:noWrap w:val="0"/>
                  <w:vAlign w:val="center"/>
                </w:tcPr>
                <w:p w14:paraId="33FC71FA">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eastAsia="宋体" w:cs="Times New Roman"/>
                      <w:color w:val="auto"/>
                      <w:szCs w:val="21"/>
                      <w:lang w:val="en-US" w:eastAsia="zh-CN"/>
                    </w:rPr>
                  </w:pPr>
                </w:p>
              </w:tc>
            </w:tr>
            <w:tr w14:paraId="1A2E3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45" w:type="dxa"/>
                  <w:tcBorders>
                    <w:tl2br w:val="nil"/>
                    <w:tr2bl w:val="nil"/>
                  </w:tcBorders>
                  <w:shd w:val="clear" w:color="auto" w:fill="auto"/>
                  <w:noWrap w:val="0"/>
                  <w:vAlign w:val="center"/>
                </w:tcPr>
                <w:p w14:paraId="20F93B27">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eastAsia="宋体" w:cs="Times New Roman"/>
                      <w:bCs/>
                      <w:color w:val="auto"/>
                      <w:kern w:val="2"/>
                      <w:sz w:val="21"/>
                      <w:szCs w:val="21"/>
                      <w:lang w:val="en-US" w:eastAsia="zh-CN" w:bidi="ar-SA"/>
                    </w:rPr>
                  </w:pPr>
                  <w:r>
                    <w:rPr>
                      <w:rFonts w:hint="eastAsia" w:cs="Times New Roman"/>
                      <w:bCs/>
                      <w:color w:val="auto"/>
                      <w:kern w:val="2"/>
                      <w:sz w:val="21"/>
                      <w:szCs w:val="21"/>
                      <w:lang w:val="en-US" w:eastAsia="zh-CN" w:bidi="ar-SA"/>
                    </w:rPr>
                    <w:t>2</w:t>
                  </w:r>
                </w:p>
              </w:tc>
              <w:tc>
                <w:tcPr>
                  <w:tcW w:w="1542" w:type="dxa"/>
                  <w:tcBorders>
                    <w:tl2br w:val="nil"/>
                    <w:tr2bl w:val="nil"/>
                  </w:tcBorders>
                  <w:shd w:val="clear" w:color="auto" w:fill="auto"/>
                  <w:noWrap w:val="0"/>
                  <w:vAlign w:val="center"/>
                </w:tcPr>
                <w:p w14:paraId="0D771500">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kern w:val="2"/>
                      <w:sz w:val="21"/>
                      <w:szCs w:val="21"/>
                      <w:lang w:val="en-US" w:eastAsia="zh-CN" w:bidi="ar-SA"/>
                    </w:rPr>
                    <w:t>低压配电柜</w:t>
                  </w:r>
                </w:p>
              </w:tc>
              <w:tc>
                <w:tcPr>
                  <w:tcW w:w="2717" w:type="dxa"/>
                  <w:tcBorders>
                    <w:tl2br w:val="nil"/>
                    <w:tr2bl w:val="nil"/>
                  </w:tcBorders>
                  <w:shd w:val="clear" w:color="auto" w:fill="auto"/>
                  <w:noWrap w:val="0"/>
                  <w:vAlign w:val="center"/>
                </w:tcPr>
                <w:p w14:paraId="00DECEF6">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kern w:val="2"/>
                      <w:sz w:val="21"/>
                      <w:szCs w:val="21"/>
                      <w:lang w:val="en-US" w:eastAsia="zh-CN" w:bidi="ar-SA"/>
                    </w:rPr>
                    <w:t>MNS</w:t>
                  </w:r>
                </w:p>
              </w:tc>
              <w:tc>
                <w:tcPr>
                  <w:tcW w:w="966" w:type="dxa"/>
                  <w:tcBorders>
                    <w:tl2br w:val="nil"/>
                    <w:tr2bl w:val="nil"/>
                  </w:tcBorders>
                  <w:shd w:val="clear" w:color="auto" w:fill="auto"/>
                  <w:noWrap w:val="0"/>
                  <w:vAlign w:val="center"/>
                </w:tcPr>
                <w:p w14:paraId="4DC85DCB">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eastAsia" w:ascii="Times New Roman" w:hAnsi="Times New Roman" w:eastAsia="宋体" w:cs="Times New Roman"/>
                      <w:bCs/>
                      <w:color w:val="auto"/>
                      <w:kern w:val="2"/>
                      <w:sz w:val="21"/>
                      <w:szCs w:val="21"/>
                      <w:lang w:val="en-US" w:eastAsia="zh-CN" w:bidi="ar-SA"/>
                    </w:rPr>
                  </w:pPr>
                  <w:r>
                    <w:rPr>
                      <w:rFonts w:hint="eastAsia" w:cs="Times New Roman"/>
                      <w:bCs/>
                      <w:color w:val="auto"/>
                      <w:kern w:val="2"/>
                      <w:sz w:val="21"/>
                      <w:szCs w:val="21"/>
                      <w:lang w:val="en-US" w:eastAsia="zh-CN" w:bidi="ar-SA"/>
                    </w:rPr>
                    <w:t>19台</w:t>
                  </w:r>
                </w:p>
              </w:tc>
              <w:tc>
                <w:tcPr>
                  <w:tcW w:w="2148" w:type="dxa"/>
                  <w:tcBorders>
                    <w:tl2br w:val="nil"/>
                    <w:tr2bl w:val="nil"/>
                  </w:tcBorders>
                  <w:noWrap w:val="0"/>
                  <w:vAlign w:val="center"/>
                </w:tcPr>
                <w:p w14:paraId="116B4183">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eastAsia="宋体" w:cs="Times New Roman"/>
                      <w:color w:val="auto"/>
                      <w:szCs w:val="21"/>
                      <w:lang w:val="en-US" w:eastAsia="zh-CN"/>
                    </w:rPr>
                  </w:pPr>
                </w:p>
              </w:tc>
            </w:tr>
            <w:tr w14:paraId="66573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45" w:type="dxa"/>
                  <w:shd w:val="clear" w:color="auto" w:fill="auto"/>
                  <w:vAlign w:val="center"/>
                </w:tcPr>
                <w:p w14:paraId="436F4043">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eastAsia="宋体" w:cs="Times New Roman"/>
                      <w:bCs/>
                      <w:color w:val="auto"/>
                      <w:kern w:val="2"/>
                      <w:sz w:val="21"/>
                      <w:szCs w:val="21"/>
                      <w:lang w:val="en-US" w:eastAsia="zh-CN" w:bidi="ar-SA"/>
                    </w:rPr>
                  </w:pPr>
                  <w:r>
                    <w:rPr>
                      <w:rFonts w:hint="eastAsia" w:cs="Times New Roman"/>
                      <w:bCs/>
                      <w:color w:val="auto"/>
                      <w:kern w:val="2"/>
                      <w:sz w:val="21"/>
                      <w:szCs w:val="21"/>
                      <w:lang w:val="en-US" w:eastAsia="zh-CN" w:bidi="ar-SA"/>
                    </w:rPr>
                    <w:t>3</w:t>
                  </w:r>
                </w:p>
              </w:tc>
              <w:tc>
                <w:tcPr>
                  <w:tcW w:w="1542" w:type="dxa"/>
                  <w:shd w:val="clear" w:color="auto" w:fill="auto"/>
                  <w:vAlign w:val="center"/>
                </w:tcPr>
                <w:p w14:paraId="707E43F5">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kern w:val="2"/>
                      <w:sz w:val="21"/>
                      <w:szCs w:val="21"/>
                      <w:lang w:val="en-US" w:eastAsia="zh-CN" w:bidi="ar-SA"/>
                    </w:rPr>
                    <w:t>PLC控制系统</w:t>
                  </w:r>
                </w:p>
              </w:tc>
              <w:tc>
                <w:tcPr>
                  <w:tcW w:w="2717" w:type="dxa"/>
                  <w:shd w:val="clear" w:color="auto" w:fill="auto"/>
                  <w:vAlign w:val="center"/>
                </w:tcPr>
                <w:p w14:paraId="6CE6CE36">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eastAsia="宋体" w:cs="Times New Roman"/>
                      <w:bCs/>
                      <w:color w:val="auto"/>
                      <w:kern w:val="2"/>
                      <w:sz w:val="21"/>
                      <w:szCs w:val="21"/>
                      <w:lang w:val="en-US" w:eastAsia="zh-CN" w:bidi="ar-SA"/>
                    </w:rPr>
                  </w:pPr>
                  <w:r>
                    <w:rPr>
                      <w:rFonts w:hint="eastAsia" w:cs="Times New Roman"/>
                      <w:bCs/>
                      <w:color w:val="auto"/>
                      <w:kern w:val="2"/>
                      <w:sz w:val="21"/>
                      <w:szCs w:val="21"/>
                      <w:lang w:val="en-US" w:eastAsia="zh-CN" w:bidi="ar-SA"/>
                    </w:rPr>
                    <w:t>/</w:t>
                  </w:r>
                </w:p>
              </w:tc>
              <w:tc>
                <w:tcPr>
                  <w:tcW w:w="966" w:type="dxa"/>
                  <w:shd w:val="clear" w:color="auto" w:fill="auto"/>
                  <w:vAlign w:val="center"/>
                </w:tcPr>
                <w:p w14:paraId="3F53D421">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eastAsia" w:ascii="Times New Roman" w:hAnsi="Times New Roman" w:eastAsia="宋体" w:cs="Times New Roman"/>
                      <w:bCs/>
                      <w:color w:val="auto"/>
                      <w:kern w:val="2"/>
                      <w:sz w:val="21"/>
                      <w:szCs w:val="21"/>
                      <w:lang w:val="en-US" w:eastAsia="zh-CN" w:bidi="ar-SA"/>
                    </w:rPr>
                  </w:pPr>
                  <w:r>
                    <w:rPr>
                      <w:rFonts w:hint="eastAsia" w:cs="Times New Roman"/>
                      <w:bCs/>
                      <w:color w:val="auto"/>
                      <w:kern w:val="2"/>
                      <w:sz w:val="21"/>
                      <w:szCs w:val="21"/>
                      <w:lang w:val="en-US" w:eastAsia="zh-CN" w:bidi="ar-SA"/>
                    </w:rPr>
                    <w:t>1套</w:t>
                  </w:r>
                </w:p>
              </w:tc>
              <w:tc>
                <w:tcPr>
                  <w:tcW w:w="2148" w:type="dxa"/>
                </w:tcPr>
                <w:p w14:paraId="7C455833">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含3台PLC控制柜</w:t>
                  </w:r>
                </w:p>
              </w:tc>
            </w:tr>
            <w:tr w14:paraId="011C4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8018" w:type="dxa"/>
                  <w:gridSpan w:val="5"/>
                  <w:shd w:val="clear" w:color="auto" w:fill="auto"/>
                  <w:vAlign w:val="center"/>
                </w:tcPr>
                <w:p w14:paraId="71CE104F">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除尘系统</w:t>
                  </w:r>
                </w:p>
              </w:tc>
            </w:tr>
            <w:tr w14:paraId="3BCA2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45" w:type="dxa"/>
                  <w:shd w:val="clear" w:color="auto" w:fill="auto"/>
                  <w:vAlign w:val="center"/>
                </w:tcPr>
                <w:p w14:paraId="20D3584F">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kern w:val="2"/>
                      <w:sz w:val="21"/>
                      <w:szCs w:val="21"/>
                      <w:lang w:val="en-US" w:eastAsia="zh-CN" w:bidi="ar-SA"/>
                    </w:rPr>
                    <w:t>1</w:t>
                  </w:r>
                </w:p>
              </w:tc>
              <w:tc>
                <w:tcPr>
                  <w:tcW w:w="1542" w:type="dxa"/>
                  <w:shd w:val="clear" w:color="auto" w:fill="auto"/>
                  <w:vAlign w:val="center"/>
                </w:tcPr>
                <w:p w14:paraId="7B47A1F6">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kern w:val="2"/>
                      <w:sz w:val="21"/>
                      <w:szCs w:val="21"/>
                      <w:lang w:val="en-US" w:eastAsia="zh-CN" w:bidi="ar-SA"/>
                    </w:rPr>
                    <w:t>WDP微电脑喷雾抑尘装置</w:t>
                  </w:r>
                </w:p>
              </w:tc>
              <w:tc>
                <w:tcPr>
                  <w:tcW w:w="2717" w:type="dxa"/>
                  <w:shd w:val="clear" w:color="auto" w:fill="auto"/>
                  <w:vAlign w:val="center"/>
                </w:tcPr>
                <w:p w14:paraId="7E9BA91E">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eastAsia="宋体" w:cs="Times New Roman"/>
                      <w:bCs/>
                      <w:color w:val="auto"/>
                      <w:kern w:val="2"/>
                      <w:sz w:val="21"/>
                      <w:szCs w:val="21"/>
                      <w:lang w:val="en-US" w:eastAsia="zh-CN" w:bidi="ar-SA"/>
                    </w:rPr>
                  </w:pPr>
                  <w:r>
                    <w:rPr>
                      <w:rFonts w:hint="eastAsia" w:cs="Times New Roman"/>
                      <w:bCs/>
                      <w:color w:val="auto"/>
                      <w:kern w:val="2"/>
                      <w:sz w:val="21"/>
                      <w:szCs w:val="21"/>
                      <w:lang w:val="en-US" w:eastAsia="zh-CN" w:bidi="ar-SA"/>
                    </w:rPr>
                    <w:t>/</w:t>
                  </w:r>
                </w:p>
              </w:tc>
              <w:tc>
                <w:tcPr>
                  <w:tcW w:w="966" w:type="dxa"/>
                  <w:shd w:val="clear" w:color="auto" w:fill="auto"/>
                  <w:vAlign w:val="center"/>
                </w:tcPr>
                <w:p w14:paraId="03DF26B9">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eastAsia="宋体" w:cs="Times New Roman"/>
                      <w:bCs/>
                      <w:color w:val="auto"/>
                      <w:kern w:val="2"/>
                      <w:sz w:val="21"/>
                      <w:szCs w:val="21"/>
                      <w:lang w:val="en-US" w:eastAsia="zh-CN" w:bidi="ar-SA"/>
                    </w:rPr>
                  </w:pPr>
                  <w:r>
                    <w:rPr>
                      <w:rFonts w:hint="eastAsia" w:cs="Times New Roman"/>
                      <w:bCs/>
                      <w:color w:val="auto"/>
                      <w:kern w:val="2"/>
                      <w:sz w:val="21"/>
                      <w:szCs w:val="21"/>
                      <w:lang w:val="en-US" w:eastAsia="zh-CN" w:bidi="ar-SA"/>
                    </w:rPr>
                    <w:t>8套</w:t>
                  </w:r>
                </w:p>
              </w:tc>
              <w:tc>
                <w:tcPr>
                  <w:tcW w:w="2148" w:type="dxa"/>
                </w:tcPr>
                <w:p w14:paraId="1E39BBA0">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eastAsia" w:cs="Times New Roman"/>
                      <w:bCs/>
                      <w:color w:val="auto"/>
                      <w:kern w:val="2"/>
                      <w:sz w:val="21"/>
                      <w:szCs w:val="21"/>
                      <w:lang w:val="en-US" w:eastAsia="zh-CN" w:bidi="ar-SA"/>
                    </w:rPr>
                  </w:pPr>
                  <w:r>
                    <w:rPr>
                      <w:rFonts w:hint="eastAsia" w:cs="Times New Roman"/>
                      <w:bCs/>
                      <w:color w:val="auto"/>
                      <w:kern w:val="2"/>
                      <w:sz w:val="21"/>
                      <w:szCs w:val="21"/>
                      <w:lang w:val="en-US" w:eastAsia="zh-CN" w:bidi="ar-SA"/>
                    </w:rPr>
                    <w:t>原煤仓5套，</w:t>
                  </w:r>
                </w:p>
                <w:p w14:paraId="2ACF5602">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eastAsia="宋体" w:cs="Times New Roman"/>
                      <w:bCs/>
                      <w:color w:val="auto"/>
                      <w:kern w:val="2"/>
                      <w:sz w:val="21"/>
                      <w:szCs w:val="21"/>
                      <w:lang w:val="en-US" w:eastAsia="zh-CN" w:bidi="ar-SA"/>
                    </w:rPr>
                  </w:pPr>
                  <w:r>
                    <w:rPr>
                      <w:rFonts w:hint="eastAsia" w:cs="Times New Roman"/>
                      <w:bCs/>
                      <w:color w:val="auto"/>
                      <w:kern w:val="2"/>
                      <w:sz w:val="21"/>
                      <w:szCs w:val="21"/>
                      <w:lang w:val="en-US" w:eastAsia="zh-CN" w:bidi="ar-SA"/>
                    </w:rPr>
                    <w:t>末煤仓3套</w:t>
                  </w:r>
                </w:p>
              </w:tc>
            </w:tr>
            <w:tr w14:paraId="6B0AF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8018" w:type="dxa"/>
                  <w:gridSpan w:val="5"/>
                  <w:shd w:val="clear" w:color="auto" w:fill="auto"/>
                  <w:vAlign w:val="center"/>
                </w:tcPr>
                <w:p w14:paraId="41B41631">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eastAsia="宋体" w:cs="Times New Roman"/>
                      <w:bCs/>
                      <w:color w:val="auto"/>
                      <w:kern w:val="2"/>
                      <w:sz w:val="21"/>
                      <w:szCs w:val="21"/>
                      <w:lang w:val="en-US" w:eastAsia="zh-CN" w:bidi="ar-SA"/>
                    </w:rPr>
                  </w:pPr>
                  <w:r>
                    <w:rPr>
                      <w:rFonts w:hint="eastAsia" w:cs="Times New Roman"/>
                      <w:bCs/>
                      <w:color w:val="auto"/>
                      <w:kern w:val="2"/>
                      <w:sz w:val="21"/>
                      <w:szCs w:val="21"/>
                      <w:lang w:val="en-US" w:eastAsia="zh-CN" w:bidi="ar-SA"/>
                    </w:rPr>
                    <w:t>冲洗系统</w:t>
                  </w:r>
                </w:p>
              </w:tc>
            </w:tr>
            <w:tr w14:paraId="6C19D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45" w:type="dxa"/>
                  <w:shd w:val="clear" w:color="auto" w:fill="auto"/>
                  <w:vAlign w:val="center"/>
                </w:tcPr>
                <w:p w14:paraId="67FBF12F">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eastAsia="宋体" w:cs="Times New Roman"/>
                      <w:bCs/>
                      <w:color w:val="auto"/>
                      <w:kern w:val="2"/>
                      <w:sz w:val="21"/>
                      <w:szCs w:val="21"/>
                      <w:lang w:val="en-US" w:eastAsia="zh-CN" w:bidi="ar-SA"/>
                    </w:rPr>
                  </w:pPr>
                  <w:r>
                    <w:rPr>
                      <w:rFonts w:hint="eastAsia" w:cs="Times New Roman"/>
                      <w:bCs/>
                      <w:color w:val="auto"/>
                      <w:kern w:val="2"/>
                      <w:sz w:val="21"/>
                      <w:szCs w:val="21"/>
                      <w:lang w:val="en-US" w:eastAsia="zh-CN" w:bidi="ar-SA"/>
                    </w:rPr>
                    <w:t>1</w:t>
                  </w:r>
                </w:p>
              </w:tc>
              <w:tc>
                <w:tcPr>
                  <w:tcW w:w="1542" w:type="dxa"/>
                  <w:shd w:val="clear" w:color="auto" w:fill="auto"/>
                  <w:vAlign w:val="center"/>
                </w:tcPr>
                <w:p w14:paraId="13DB0CEF">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kern w:val="2"/>
                      <w:sz w:val="21"/>
                      <w:szCs w:val="21"/>
                      <w:lang w:val="en-US" w:eastAsia="zh-CN" w:bidi="ar-SA"/>
                    </w:rPr>
                    <w:t>水冲洗卷绕器</w:t>
                  </w:r>
                </w:p>
              </w:tc>
              <w:tc>
                <w:tcPr>
                  <w:tcW w:w="2717" w:type="dxa"/>
                  <w:shd w:val="clear" w:color="auto" w:fill="auto"/>
                  <w:vAlign w:val="center"/>
                </w:tcPr>
                <w:p w14:paraId="3BE50FBB">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eastAsia="宋体" w:cs="Times New Roman"/>
                      <w:bCs/>
                      <w:color w:val="auto"/>
                      <w:kern w:val="2"/>
                      <w:sz w:val="21"/>
                      <w:szCs w:val="21"/>
                      <w:lang w:val="en-US" w:eastAsia="zh-CN" w:bidi="ar-SA"/>
                    </w:rPr>
                  </w:pPr>
                  <w:r>
                    <w:rPr>
                      <w:rFonts w:hint="eastAsia" w:cs="Times New Roman"/>
                      <w:bCs/>
                      <w:color w:val="auto"/>
                      <w:kern w:val="2"/>
                      <w:sz w:val="21"/>
                      <w:szCs w:val="21"/>
                      <w:lang w:val="en-US" w:eastAsia="zh-CN" w:bidi="ar-SA"/>
                    </w:rPr>
                    <w:t>/</w:t>
                  </w:r>
                </w:p>
              </w:tc>
              <w:tc>
                <w:tcPr>
                  <w:tcW w:w="966" w:type="dxa"/>
                  <w:shd w:val="clear" w:color="auto" w:fill="auto"/>
                  <w:vAlign w:val="center"/>
                </w:tcPr>
                <w:p w14:paraId="3979A939">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eastAsia="宋体" w:cs="Times New Roman"/>
                      <w:bCs/>
                      <w:color w:val="auto"/>
                      <w:kern w:val="2"/>
                      <w:sz w:val="21"/>
                      <w:szCs w:val="21"/>
                      <w:lang w:val="en-US" w:eastAsia="zh-CN" w:bidi="ar-SA"/>
                    </w:rPr>
                  </w:pPr>
                  <w:r>
                    <w:rPr>
                      <w:rFonts w:hint="eastAsia" w:cs="Times New Roman"/>
                      <w:bCs/>
                      <w:color w:val="auto"/>
                      <w:kern w:val="2"/>
                      <w:sz w:val="21"/>
                      <w:szCs w:val="21"/>
                      <w:lang w:val="en-US" w:eastAsia="zh-CN" w:bidi="ar-SA"/>
                    </w:rPr>
                    <w:t>8套</w:t>
                  </w:r>
                </w:p>
              </w:tc>
              <w:tc>
                <w:tcPr>
                  <w:tcW w:w="2148" w:type="dxa"/>
                </w:tcPr>
                <w:p w14:paraId="757E69FF">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eastAsia" w:cs="Times New Roman"/>
                      <w:bCs/>
                      <w:color w:val="auto"/>
                      <w:kern w:val="2"/>
                      <w:sz w:val="21"/>
                      <w:szCs w:val="21"/>
                      <w:lang w:val="en-US" w:eastAsia="zh-CN" w:bidi="ar-SA"/>
                    </w:rPr>
                  </w:pPr>
                  <w:r>
                    <w:rPr>
                      <w:rFonts w:hint="eastAsia" w:cs="Times New Roman"/>
                      <w:bCs/>
                      <w:color w:val="auto"/>
                      <w:kern w:val="2"/>
                      <w:sz w:val="21"/>
                      <w:szCs w:val="21"/>
                      <w:lang w:val="en-US" w:eastAsia="zh-CN" w:bidi="ar-SA"/>
                    </w:rPr>
                    <w:t>原煤仓4套，</w:t>
                  </w:r>
                </w:p>
                <w:p w14:paraId="19C345C7">
                  <w:pPr>
                    <w:keepNext w:val="0"/>
                    <w:keepLines w:val="0"/>
                    <w:pageBreakBefore w:val="0"/>
                    <w:widowControl w:val="0"/>
                    <w:kinsoku/>
                    <w:wordWrap/>
                    <w:overflowPunct/>
                    <w:topLinePunct w:val="0"/>
                    <w:autoSpaceDE w:val="0"/>
                    <w:autoSpaceDN w:val="0"/>
                    <w:bidi w:val="0"/>
                    <w:adjustRightInd/>
                    <w:snapToGrid w:val="0"/>
                    <w:spacing w:line="300" w:lineRule="exact"/>
                    <w:ind w:firstLine="0" w:firstLineChars="0"/>
                    <w:jc w:val="center"/>
                    <w:textAlignment w:val="auto"/>
                    <w:rPr>
                      <w:rFonts w:hint="default" w:ascii="Times New Roman" w:hAnsi="Times New Roman" w:eastAsia="宋体" w:cs="Times New Roman"/>
                      <w:bCs/>
                      <w:color w:val="auto"/>
                      <w:kern w:val="2"/>
                      <w:sz w:val="21"/>
                      <w:szCs w:val="21"/>
                      <w:lang w:val="en-US" w:eastAsia="zh-CN" w:bidi="ar-SA"/>
                    </w:rPr>
                  </w:pPr>
                  <w:r>
                    <w:rPr>
                      <w:rFonts w:hint="eastAsia" w:cs="Times New Roman"/>
                      <w:bCs/>
                      <w:color w:val="auto"/>
                      <w:kern w:val="2"/>
                      <w:sz w:val="21"/>
                      <w:szCs w:val="21"/>
                      <w:lang w:val="en-US" w:eastAsia="zh-CN" w:bidi="ar-SA"/>
                    </w:rPr>
                    <w:t>末煤仓4套</w:t>
                  </w:r>
                </w:p>
              </w:tc>
            </w:tr>
          </w:tbl>
          <w:p w14:paraId="6064F6FD">
            <w:pPr>
              <w:keepNext w:val="0"/>
              <w:keepLines w:val="0"/>
              <w:pageBreakBefore w:val="0"/>
              <w:widowControl w:val="0"/>
              <w:kinsoku/>
              <w:wordWrap/>
              <w:overflowPunct/>
              <w:topLinePunct w:val="0"/>
              <w:bidi w:val="0"/>
              <w:spacing w:line="480" w:lineRule="exact"/>
              <w:ind w:firstLine="482" w:firstLineChars="200"/>
              <w:textAlignment w:val="auto"/>
              <w:rPr>
                <w:rFonts w:hint="default" w:ascii="Times New Roman" w:hAnsi="Times New Roman" w:eastAsia="宋体" w:cs="Times New Roman"/>
                <w:b/>
                <w:bCs w:val="0"/>
                <w:color w:val="auto"/>
                <w:spacing w:val="0"/>
                <w:sz w:val="24"/>
                <w:szCs w:val="24"/>
                <w:highlight w:val="none"/>
                <w:lang w:val="en-US" w:eastAsia="zh-CN"/>
              </w:rPr>
            </w:pPr>
            <w:r>
              <w:rPr>
                <w:rFonts w:hint="eastAsia" w:ascii="Times New Roman" w:hAnsi="Times New Roman" w:eastAsia="宋体" w:cs="Times New Roman"/>
                <w:b/>
                <w:bCs w:val="0"/>
                <w:color w:val="auto"/>
                <w:spacing w:val="0"/>
                <w:sz w:val="24"/>
                <w:szCs w:val="24"/>
                <w:highlight w:val="none"/>
                <w:lang w:val="en-US" w:eastAsia="zh-CN"/>
              </w:rPr>
              <w:t>2.</w:t>
            </w:r>
            <w:r>
              <w:rPr>
                <w:rFonts w:hint="eastAsia" w:cs="Times New Roman"/>
                <w:b/>
                <w:bCs w:val="0"/>
                <w:color w:val="auto"/>
                <w:spacing w:val="0"/>
                <w:sz w:val="24"/>
                <w:szCs w:val="24"/>
                <w:highlight w:val="none"/>
                <w:lang w:val="en-US" w:eastAsia="zh-CN"/>
              </w:rPr>
              <w:t xml:space="preserve">5 </w:t>
            </w:r>
            <w:r>
              <w:rPr>
                <w:rFonts w:hint="default" w:ascii="Times New Roman" w:hAnsi="Times New Roman" w:eastAsia="宋体" w:cs="Times New Roman"/>
                <w:b/>
                <w:bCs w:val="0"/>
                <w:color w:val="auto"/>
                <w:spacing w:val="0"/>
                <w:sz w:val="24"/>
                <w:szCs w:val="24"/>
                <w:highlight w:val="none"/>
                <w:lang w:val="en-US" w:eastAsia="zh-CN"/>
              </w:rPr>
              <w:t>劳动定员及工作制度</w:t>
            </w:r>
          </w:p>
          <w:p w14:paraId="4C16D568">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default" w:ascii="Times New Roman" w:hAnsi="Times New Roman" w:eastAsia="宋体" w:cs="Times New Roman"/>
                <w:bCs/>
                <w:color w:val="auto"/>
                <w:spacing w:val="0"/>
                <w:sz w:val="24"/>
                <w:szCs w:val="24"/>
                <w:highlight w:val="none"/>
                <w:lang w:val="en-US" w:eastAsia="zh-CN"/>
              </w:rPr>
            </w:pPr>
            <w:r>
              <w:rPr>
                <w:rFonts w:hint="default" w:ascii="Times New Roman" w:hAnsi="Times New Roman" w:cs="Times New Roman"/>
                <w:bCs/>
                <w:color w:val="auto"/>
                <w:sz w:val="24"/>
                <w:szCs w:val="24"/>
                <w:highlight w:val="none"/>
              </w:rPr>
              <w:t>本项目</w:t>
            </w:r>
            <w:r>
              <w:rPr>
                <w:rFonts w:hint="eastAsia" w:cs="Times New Roman"/>
                <w:bCs/>
                <w:color w:val="auto"/>
                <w:sz w:val="24"/>
                <w:szCs w:val="24"/>
                <w:highlight w:val="none"/>
                <w:lang w:val="en-US" w:eastAsia="zh-CN"/>
              </w:rPr>
              <w:t>不新增劳动定员</w:t>
            </w:r>
            <w:r>
              <w:rPr>
                <w:rFonts w:hint="eastAsia" w:ascii="Times New Roman" w:hAnsi="Times New Roman" w:cs="Times New Roman"/>
                <w:bCs/>
                <w:color w:val="auto"/>
                <w:sz w:val="24"/>
                <w:szCs w:val="24"/>
                <w:highlight w:val="none"/>
                <w:lang w:val="en-US" w:eastAsia="zh-CN"/>
              </w:rPr>
              <w:t>。工作制度为每年工作330天，两班生产一班检修。</w:t>
            </w:r>
          </w:p>
          <w:p w14:paraId="736874D6">
            <w:pPr>
              <w:keepNext w:val="0"/>
              <w:keepLines w:val="0"/>
              <w:pageBreakBefore w:val="0"/>
              <w:widowControl w:val="0"/>
              <w:kinsoku/>
              <w:wordWrap/>
              <w:overflowPunct/>
              <w:topLinePunct w:val="0"/>
              <w:bidi w:val="0"/>
              <w:spacing w:line="480" w:lineRule="exact"/>
              <w:ind w:firstLine="482" w:firstLineChars="200"/>
              <w:textAlignment w:val="auto"/>
              <w:rPr>
                <w:rFonts w:hint="default" w:ascii="Times New Roman" w:hAnsi="Times New Roman" w:eastAsia="宋体" w:cs="Times New Roman"/>
                <w:b/>
                <w:bCs w:val="0"/>
                <w:color w:val="auto"/>
                <w:spacing w:val="0"/>
                <w:sz w:val="24"/>
                <w:szCs w:val="24"/>
                <w:highlight w:val="none"/>
                <w:lang w:val="en-US" w:eastAsia="zh-CN"/>
              </w:rPr>
            </w:pPr>
            <w:r>
              <w:rPr>
                <w:rFonts w:hint="eastAsia" w:ascii="Times New Roman" w:hAnsi="Times New Roman" w:eastAsia="宋体" w:cs="Times New Roman"/>
                <w:b/>
                <w:bCs w:val="0"/>
                <w:color w:val="auto"/>
                <w:spacing w:val="0"/>
                <w:sz w:val="24"/>
                <w:szCs w:val="24"/>
                <w:highlight w:val="none"/>
                <w:lang w:val="en-US" w:eastAsia="zh-CN"/>
              </w:rPr>
              <w:t>2.</w:t>
            </w:r>
            <w:r>
              <w:rPr>
                <w:rFonts w:hint="eastAsia" w:cs="Times New Roman"/>
                <w:b/>
                <w:bCs w:val="0"/>
                <w:color w:val="auto"/>
                <w:spacing w:val="0"/>
                <w:sz w:val="24"/>
                <w:szCs w:val="24"/>
                <w:highlight w:val="none"/>
                <w:lang w:val="en-US" w:eastAsia="zh-CN"/>
              </w:rPr>
              <w:t>6</w:t>
            </w:r>
            <w:r>
              <w:rPr>
                <w:rFonts w:hint="eastAsia" w:ascii="Times New Roman" w:hAnsi="Times New Roman" w:eastAsia="宋体" w:cs="Times New Roman"/>
                <w:b/>
                <w:bCs w:val="0"/>
                <w:color w:val="auto"/>
                <w:spacing w:val="0"/>
                <w:sz w:val="24"/>
                <w:szCs w:val="24"/>
                <w:highlight w:val="none"/>
                <w:lang w:val="en-US" w:eastAsia="zh-CN"/>
              </w:rPr>
              <w:t xml:space="preserve"> </w:t>
            </w:r>
            <w:r>
              <w:rPr>
                <w:rFonts w:hint="default" w:ascii="Times New Roman" w:hAnsi="Times New Roman" w:eastAsia="宋体" w:cs="Times New Roman"/>
                <w:b/>
                <w:bCs w:val="0"/>
                <w:color w:val="auto"/>
                <w:spacing w:val="0"/>
                <w:sz w:val="24"/>
                <w:szCs w:val="24"/>
                <w:highlight w:val="none"/>
                <w:lang w:val="en-US" w:eastAsia="zh-CN"/>
              </w:rPr>
              <w:t>平面布置</w:t>
            </w:r>
          </w:p>
          <w:p w14:paraId="231B0A83">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default" w:ascii="Times New Roman" w:hAnsi="Times New Roman" w:eastAsia="宋体" w:cs="Times New Roman"/>
                <w:color w:val="auto"/>
                <w:spacing w:val="0"/>
                <w:sz w:val="24"/>
                <w:highlight w:val="none"/>
              </w:rPr>
            </w:pPr>
            <w:r>
              <w:rPr>
                <w:rFonts w:hint="default" w:ascii="Times New Roman" w:hAnsi="Times New Roman" w:cs="Times New Roman"/>
                <w:bCs/>
                <w:color w:val="auto"/>
                <w:sz w:val="24"/>
                <w:szCs w:val="24"/>
                <w:highlight w:val="none"/>
              </w:rPr>
              <w:t>本项目</w:t>
            </w:r>
            <w:r>
              <w:rPr>
                <w:rFonts w:hint="eastAsia"/>
                <w:bCs/>
                <w:color w:val="auto"/>
                <w:sz w:val="24"/>
                <w:highlight w:val="none"/>
              </w:rPr>
              <w:t>位于赵庄</w:t>
            </w:r>
            <w:r>
              <w:rPr>
                <w:rFonts w:hint="eastAsia"/>
                <w:bCs/>
                <w:color w:val="auto"/>
                <w:sz w:val="24"/>
                <w:highlight w:val="none"/>
                <w:lang w:val="en-US" w:eastAsia="zh-CN"/>
              </w:rPr>
              <w:t>煤业洗煤厂现有厂区西南侧</w:t>
            </w:r>
            <w:r>
              <w:rPr>
                <w:rFonts w:hint="eastAsia"/>
                <w:bCs/>
                <w:color w:val="auto"/>
                <w:sz w:val="24"/>
                <w:highlight w:val="none"/>
              </w:rPr>
              <w:t>，</w:t>
            </w:r>
            <w:r>
              <w:rPr>
                <w:rFonts w:hint="eastAsia"/>
                <w:bCs/>
                <w:color w:val="auto"/>
                <w:sz w:val="24"/>
                <w:highlight w:val="none"/>
                <w:lang w:val="en-US" w:eastAsia="zh-CN"/>
              </w:rPr>
              <w:t>新建1个原煤仓位于</w:t>
            </w:r>
            <w:r>
              <w:rPr>
                <w:rFonts w:hint="eastAsia"/>
                <w:bCs/>
                <w:color w:val="auto"/>
                <w:sz w:val="24"/>
                <w:highlight w:val="none"/>
              </w:rPr>
              <w:t>现有原煤仓东侧</w:t>
            </w:r>
            <w:r>
              <w:rPr>
                <w:rFonts w:hint="eastAsia"/>
                <w:bCs/>
                <w:color w:val="auto"/>
                <w:sz w:val="24"/>
                <w:highlight w:val="none"/>
                <w:lang w:eastAsia="zh-CN"/>
              </w:rPr>
              <w:t>，</w:t>
            </w:r>
            <w:r>
              <w:rPr>
                <w:rFonts w:hint="eastAsia"/>
                <w:bCs/>
                <w:color w:val="auto"/>
                <w:sz w:val="24"/>
                <w:highlight w:val="none"/>
              </w:rPr>
              <w:t>新建1个末煤仓</w:t>
            </w:r>
            <w:r>
              <w:rPr>
                <w:rFonts w:hint="eastAsia"/>
                <w:bCs/>
                <w:color w:val="auto"/>
                <w:sz w:val="24"/>
                <w:highlight w:val="none"/>
                <w:lang w:val="en-US" w:eastAsia="zh-CN"/>
              </w:rPr>
              <w:t>位于</w:t>
            </w:r>
            <w:r>
              <w:rPr>
                <w:rFonts w:hint="eastAsia"/>
                <w:bCs/>
                <w:color w:val="auto"/>
                <w:sz w:val="24"/>
                <w:highlight w:val="none"/>
              </w:rPr>
              <w:t>现有末煤仓西侧。在</w:t>
            </w:r>
            <w:r>
              <w:rPr>
                <w:rFonts w:hint="eastAsia"/>
                <w:bCs/>
                <w:color w:val="auto"/>
                <w:sz w:val="24"/>
                <w:highlight w:val="none"/>
                <w:lang w:val="en-US" w:eastAsia="zh-CN"/>
              </w:rPr>
              <w:t>现有块煤仓南侧</w:t>
            </w:r>
            <w:r>
              <w:rPr>
                <w:rFonts w:hint="eastAsia"/>
                <w:bCs/>
                <w:color w:val="auto"/>
                <w:sz w:val="24"/>
                <w:highlight w:val="none"/>
              </w:rPr>
              <w:t>新建一</w:t>
            </w:r>
            <w:r>
              <w:rPr>
                <w:rFonts w:hint="eastAsia"/>
                <w:bCs/>
                <w:color w:val="auto"/>
                <w:sz w:val="24"/>
                <w:highlight w:val="none"/>
                <w:lang w:val="en-US" w:eastAsia="zh-CN"/>
              </w:rPr>
              <w:t>座</w:t>
            </w:r>
            <w:r>
              <w:rPr>
                <w:rFonts w:hint="eastAsia"/>
                <w:bCs/>
                <w:color w:val="auto"/>
                <w:sz w:val="24"/>
                <w:highlight w:val="none"/>
              </w:rPr>
              <w:t>配电室</w:t>
            </w:r>
            <w:r>
              <w:rPr>
                <w:rFonts w:hint="eastAsia"/>
                <w:bCs/>
                <w:color w:val="auto"/>
                <w:sz w:val="24"/>
                <w:highlight w:val="none"/>
                <w:lang w:val="en-US" w:eastAsia="zh-CN"/>
              </w:rPr>
              <w:t>及变频器室</w:t>
            </w:r>
            <w:r>
              <w:rPr>
                <w:rFonts w:hint="eastAsia"/>
                <w:bCs/>
                <w:color w:val="auto"/>
                <w:sz w:val="24"/>
                <w:highlight w:val="none"/>
                <w:lang w:eastAsia="zh-CN"/>
              </w:rPr>
              <w:t>，</w:t>
            </w:r>
            <w:r>
              <w:rPr>
                <w:rFonts w:hint="eastAsia"/>
                <w:bCs/>
                <w:color w:val="auto"/>
                <w:sz w:val="24"/>
                <w:highlight w:val="none"/>
              </w:rPr>
              <w:t>在原煤仓北侧间隔6m新建一</w:t>
            </w:r>
            <w:r>
              <w:rPr>
                <w:rFonts w:hint="eastAsia"/>
                <w:bCs/>
                <w:color w:val="auto"/>
                <w:sz w:val="24"/>
                <w:highlight w:val="none"/>
                <w:lang w:val="en-US" w:eastAsia="zh-CN"/>
              </w:rPr>
              <w:t>座</w:t>
            </w:r>
            <w:r>
              <w:rPr>
                <w:rFonts w:hint="eastAsia"/>
                <w:bCs/>
                <w:color w:val="auto"/>
                <w:sz w:val="24"/>
                <w:highlight w:val="none"/>
              </w:rPr>
              <w:t>配电室。</w:t>
            </w:r>
            <w:r>
              <w:rPr>
                <w:rFonts w:hint="eastAsia"/>
                <w:bCs/>
                <w:color w:val="auto"/>
                <w:sz w:val="24"/>
                <w:highlight w:val="none"/>
                <w:lang w:val="en-US" w:eastAsia="zh-CN"/>
              </w:rPr>
              <w:t>新建初期雨水收集池位于现有原煤仓西侧</w:t>
            </w:r>
            <w:r>
              <w:rPr>
                <w:rFonts w:hint="eastAsia"/>
                <w:bCs/>
                <w:color w:val="auto"/>
                <w:sz w:val="24"/>
                <w:highlight w:val="none"/>
              </w:rPr>
              <w:t>。</w:t>
            </w:r>
            <w:r>
              <w:rPr>
                <w:rFonts w:hint="default" w:ascii="Times New Roman" w:hAnsi="Times New Roman" w:eastAsia="宋体" w:cs="Times New Roman"/>
                <w:color w:val="auto"/>
                <w:spacing w:val="0"/>
                <w:sz w:val="24"/>
                <w:highlight w:val="none"/>
              </w:rPr>
              <w:t>平面布置图见附图。</w:t>
            </w:r>
          </w:p>
          <w:p w14:paraId="72039D53">
            <w:pPr>
              <w:keepNext w:val="0"/>
              <w:keepLines w:val="0"/>
              <w:pageBreakBefore w:val="0"/>
              <w:widowControl w:val="0"/>
              <w:kinsoku/>
              <w:wordWrap/>
              <w:overflowPunct/>
              <w:topLinePunct w:val="0"/>
              <w:autoSpaceDE w:val="0"/>
              <w:autoSpaceDN w:val="0"/>
              <w:bidi w:val="0"/>
              <w:spacing w:line="480" w:lineRule="exact"/>
              <w:ind w:firstLine="482" w:firstLineChars="200"/>
              <w:textAlignment w:val="auto"/>
              <w:rPr>
                <w:rFonts w:hint="default" w:ascii="Times New Roman" w:hAnsi="Times New Roman" w:eastAsia="宋体" w:cs="Times New Roman"/>
                <w:b/>
                <w:bCs/>
                <w:color w:val="auto"/>
                <w:spacing w:val="0"/>
                <w:sz w:val="24"/>
                <w:szCs w:val="24"/>
                <w:highlight w:val="none"/>
                <w:lang w:val="en-US" w:eastAsia="zh-CN"/>
              </w:rPr>
            </w:pPr>
            <w:r>
              <w:rPr>
                <w:rFonts w:hint="eastAsia" w:ascii="Times New Roman" w:hAnsi="Times New Roman" w:eastAsia="宋体" w:cs="Times New Roman"/>
                <w:b/>
                <w:bCs/>
                <w:color w:val="auto"/>
                <w:spacing w:val="0"/>
                <w:sz w:val="24"/>
                <w:szCs w:val="24"/>
                <w:highlight w:val="none"/>
                <w:lang w:val="en-US" w:eastAsia="zh-CN"/>
              </w:rPr>
              <w:t>2.</w:t>
            </w:r>
            <w:r>
              <w:rPr>
                <w:rFonts w:hint="eastAsia" w:cs="Times New Roman"/>
                <w:b/>
                <w:bCs/>
                <w:color w:val="auto"/>
                <w:spacing w:val="0"/>
                <w:sz w:val="24"/>
                <w:szCs w:val="24"/>
                <w:highlight w:val="none"/>
                <w:lang w:val="en-US" w:eastAsia="zh-CN"/>
              </w:rPr>
              <w:t>7</w:t>
            </w:r>
            <w:r>
              <w:rPr>
                <w:rFonts w:hint="eastAsia" w:ascii="Times New Roman" w:hAnsi="Times New Roman" w:eastAsia="宋体" w:cs="Times New Roman"/>
                <w:b/>
                <w:bCs/>
                <w:color w:val="auto"/>
                <w:spacing w:val="0"/>
                <w:sz w:val="24"/>
                <w:szCs w:val="24"/>
                <w:highlight w:val="none"/>
                <w:lang w:val="en-US" w:eastAsia="zh-CN"/>
              </w:rPr>
              <w:t xml:space="preserve"> </w:t>
            </w:r>
            <w:r>
              <w:rPr>
                <w:rFonts w:hint="default" w:ascii="Times New Roman" w:hAnsi="Times New Roman" w:eastAsia="宋体" w:cs="Times New Roman"/>
                <w:b/>
                <w:bCs/>
                <w:color w:val="auto"/>
                <w:spacing w:val="0"/>
                <w:sz w:val="24"/>
                <w:szCs w:val="24"/>
                <w:highlight w:val="none"/>
                <w:lang w:val="en-US" w:eastAsia="zh-CN"/>
              </w:rPr>
              <w:t>公用工程</w:t>
            </w:r>
          </w:p>
          <w:p w14:paraId="41A54BA8">
            <w:pPr>
              <w:keepNext w:val="0"/>
              <w:keepLines w:val="0"/>
              <w:pageBreakBefore w:val="0"/>
              <w:widowControl w:val="0"/>
              <w:kinsoku/>
              <w:wordWrap/>
              <w:overflowPunct/>
              <w:topLinePunct w:val="0"/>
              <w:bidi w:val="0"/>
              <w:spacing w:line="480" w:lineRule="exact"/>
              <w:ind w:firstLine="480" w:firstLineChars="200"/>
              <w:textAlignment w:val="auto"/>
              <w:rPr>
                <w:rFonts w:hint="default" w:ascii="Times New Roman" w:hAnsi="Times New Roman" w:eastAsia="宋体" w:cs="Times New Roman"/>
                <w:b w:val="0"/>
                <w:bCs/>
                <w:color w:val="auto"/>
                <w:spacing w:val="0"/>
                <w:sz w:val="24"/>
                <w:szCs w:val="24"/>
                <w:highlight w:val="none"/>
                <w:lang w:val="en-US" w:eastAsia="zh-CN"/>
              </w:rPr>
            </w:pPr>
            <w:r>
              <w:rPr>
                <w:rFonts w:hint="default" w:ascii="Times New Roman" w:hAnsi="Times New Roman" w:eastAsia="宋体" w:cs="Times New Roman"/>
                <w:b w:val="0"/>
                <w:bCs/>
                <w:color w:val="auto"/>
                <w:spacing w:val="0"/>
                <w:sz w:val="24"/>
                <w:szCs w:val="24"/>
                <w:highlight w:val="none"/>
                <w:lang w:val="en-US" w:eastAsia="zh-CN"/>
              </w:rPr>
              <w:t>1</w:t>
            </w:r>
            <w:r>
              <w:rPr>
                <w:rFonts w:hint="eastAsia" w:ascii="Times New Roman" w:hAnsi="Times New Roman" w:eastAsia="宋体" w:cs="Times New Roman"/>
                <w:b w:val="0"/>
                <w:bCs/>
                <w:color w:val="auto"/>
                <w:spacing w:val="0"/>
                <w:sz w:val="24"/>
                <w:szCs w:val="24"/>
                <w:highlight w:val="none"/>
                <w:lang w:val="en-US" w:eastAsia="zh-CN"/>
              </w:rPr>
              <w:t>.</w:t>
            </w:r>
            <w:r>
              <w:rPr>
                <w:rFonts w:hint="default" w:ascii="Times New Roman" w:hAnsi="Times New Roman" w:eastAsia="宋体" w:cs="Times New Roman"/>
                <w:b w:val="0"/>
                <w:bCs/>
                <w:color w:val="auto"/>
                <w:spacing w:val="0"/>
                <w:sz w:val="24"/>
                <w:szCs w:val="24"/>
                <w:highlight w:val="none"/>
                <w:lang w:val="en-US" w:eastAsia="zh-CN"/>
              </w:rPr>
              <w:t>给排水</w:t>
            </w:r>
          </w:p>
          <w:p w14:paraId="08F099D8">
            <w:pPr>
              <w:spacing w:line="480" w:lineRule="exact"/>
              <w:ind w:firstLine="480" w:firstLineChars="200"/>
              <w:rPr>
                <w:rFonts w:hint="default" w:ascii="Times New Roman" w:hAnsi="Times New Roman" w:eastAsia="宋体" w:cs="Times New Roman"/>
                <w:color w:val="auto"/>
                <w:spacing w:val="0"/>
                <w:sz w:val="24"/>
                <w:szCs w:val="24"/>
                <w:highlight w:val="none"/>
              </w:rPr>
            </w:pPr>
            <w:r>
              <w:rPr>
                <w:rFonts w:hint="default" w:ascii="Times New Roman" w:hAnsi="Times New Roman" w:eastAsia="宋体" w:cs="Times New Roman"/>
                <w:bCs/>
                <w:color w:val="auto"/>
                <w:spacing w:val="0"/>
                <w:sz w:val="24"/>
                <w:szCs w:val="24"/>
                <w:highlight w:val="none"/>
                <w:lang w:val="en-US" w:eastAsia="zh-CN"/>
              </w:rPr>
              <w:t>水源：</w:t>
            </w:r>
            <w:r>
              <w:rPr>
                <w:rFonts w:hint="default" w:ascii="Times New Roman" w:hAnsi="Times New Roman" w:cs="Times New Roman"/>
                <w:bCs/>
                <w:color w:val="auto"/>
                <w:sz w:val="24"/>
                <w:szCs w:val="24"/>
                <w:highlight w:val="none"/>
              </w:rPr>
              <w:t>本项目用水</w:t>
            </w:r>
            <w:r>
              <w:rPr>
                <w:rFonts w:hint="default" w:ascii="Times New Roman" w:hAnsi="Times New Roman" w:cs="Times New Roman"/>
                <w:bCs/>
                <w:color w:val="auto"/>
                <w:sz w:val="24"/>
                <w:szCs w:val="24"/>
                <w:highlight w:val="none"/>
                <w:lang w:val="en-US" w:eastAsia="zh-CN"/>
              </w:rPr>
              <w:t>由</w:t>
            </w:r>
            <w:r>
              <w:rPr>
                <w:rFonts w:hint="eastAsia" w:cs="Times New Roman"/>
                <w:bCs/>
                <w:color w:val="auto"/>
                <w:sz w:val="24"/>
                <w:szCs w:val="24"/>
                <w:highlight w:val="none"/>
                <w:lang w:val="en-US" w:eastAsia="zh-CN"/>
              </w:rPr>
              <w:t>现有供水管道</w:t>
            </w:r>
            <w:r>
              <w:rPr>
                <w:rFonts w:hint="default" w:ascii="Times New Roman" w:hAnsi="Times New Roman" w:cs="Times New Roman"/>
                <w:bCs/>
                <w:color w:val="auto"/>
                <w:sz w:val="24"/>
                <w:szCs w:val="24"/>
                <w:highlight w:val="none"/>
                <w:lang w:val="en-US" w:eastAsia="zh-CN"/>
              </w:rPr>
              <w:t>供给，水源为</w:t>
            </w:r>
            <w:r>
              <w:rPr>
                <w:rFonts w:hint="eastAsia" w:cs="Times New Roman"/>
                <w:bCs/>
                <w:color w:val="auto"/>
                <w:sz w:val="24"/>
                <w:szCs w:val="24"/>
                <w:highlight w:val="none"/>
                <w:lang w:val="en-US" w:eastAsia="zh-CN"/>
              </w:rPr>
              <w:t>现有</w:t>
            </w:r>
            <w:r>
              <w:rPr>
                <w:rFonts w:hint="default" w:ascii="Times New Roman" w:hAnsi="Times New Roman" w:cs="Times New Roman"/>
                <w:bCs/>
                <w:color w:val="auto"/>
                <w:sz w:val="24"/>
                <w:szCs w:val="24"/>
                <w:highlight w:val="none"/>
                <w:lang w:val="en-US" w:eastAsia="zh-CN"/>
              </w:rPr>
              <w:t>矿井水处理站处理后的矿井水。</w:t>
            </w:r>
          </w:p>
          <w:p w14:paraId="73C6DDFC">
            <w:pPr>
              <w:keepNext w:val="0"/>
              <w:keepLines w:val="0"/>
              <w:pageBreakBefore w:val="0"/>
              <w:widowControl w:val="0"/>
              <w:kinsoku/>
              <w:wordWrap/>
              <w:overflowPunct/>
              <w:topLinePunct w:val="0"/>
              <w:bidi w:val="0"/>
              <w:spacing w:line="480" w:lineRule="exact"/>
              <w:ind w:firstLine="480" w:firstLineChars="200"/>
              <w:textAlignment w:val="auto"/>
              <w:rPr>
                <w:rFonts w:hint="default" w:ascii="Times New Roman" w:hAnsi="Times New Roman" w:eastAsia="宋体" w:cs="Times New Roman"/>
                <w:bCs/>
                <w:color w:val="auto"/>
                <w:spacing w:val="0"/>
                <w:sz w:val="24"/>
                <w:szCs w:val="24"/>
                <w:highlight w:val="none"/>
                <w:lang w:val="en-US" w:eastAsia="zh-CN"/>
              </w:rPr>
            </w:pPr>
            <w:r>
              <w:rPr>
                <w:rFonts w:hint="eastAsia" w:ascii="Times New Roman" w:hAnsi="Times New Roman" w:eastAsia="宋体" w:cs="Times New Roman"/>
                <w:bCs/>
                <w:color w:val="auto"/>
                <w:spacing w:val="0"/>
                <w:sz w:val="24"/>
                <w:szCs w:val="24"/>
                <w:highlight w:val="none"/>
                <w:lang w:val="en-US" w:eastAsia="zh-CN"/>
              </w:rPr>
              <w:t>（1）</w:t>
            </w:r>
            <w:r>
              <w:rPr>
                <w:rFonts w:hint="default" w:ascii="Times New Roman" w:hAnsi="Times New Roman" w:eastAsia="宋体" w:cs="Times New Roman"/>
                <w:bCs/>
                <w:color w:val="auto"/>
                <w:spacing w:val="0"/>
                <w:sz w:val="24"/>
                <w:szCs w:val="24"/>
                <w:highlight w:val="none"/>
                <w:lang w:val="en-US" w:eastAsia="zh-CN"/>
              </w:rPr>
              <w:t>给水</w:t>
            </w:r>
          </w:p>
          <w:p w14:paraId="442508A1">
            <w:pPr>
              <w:keepNext w:val="0"/>
              <w:keepLines w:val="0"/>
              <w:pageBreakBefore w:val="0"/>
              <w:widowControl w:val="0"/>
              <w:kinsoku/>
              <w:wordWrap/>
              <w:overflowPunct/>
              <w:topLinePunct w:val="0"/>
              <w:bidi w:val="0"/>
              <w:spacing w:line="480" w:lineRule="exact"/>
              <w:ind w:firstLine="480" w:firstLineChars="200"/>
              <w:textAlignment w:val="auto"/>
              <w:rPr>
                <w:rFonts w:hint="default" w:ascii="Times New Roman" w:hAnsi="Times New Roman" w:eastAsia="宋体" w:cs="Times New Roman"/>
                <w:bCs/>
                <w:color w:val="auto"/>
                <w:spacing w:val="0"/>
                <w:sz w:val="24"/>
                <w:szCs w:val="24"/>
                <w:highlight w:val="none"/>
                <w:lang w:val="en-US" w:eastAsia="zh-CN"/>
              </w:rPr>
            </w:pPr>
            <w:r>
              <w:rPr>
                <w:rFonts w:hint="default" w:ascii="Times New Roman" w:hAnsi="Times New Roman" w:eastAsia="宋体" w:cs="Times New Roman"/>
                <w:bCs/>
                <w:color w:val="auto"/>
                <w:spacing w:val="0"/>
                <w:sz w:val="24"/>
                <w:szCs w:val="24"/>
                <w:highlight w:val="none"/>
                <w:lang w:val="en-US" w:eastAsia="zh-CN"/>
              </w:rPr>
              <w:t>本项目用水环节主要为</w:t>
            </w:r>
            <w:r>
              <w:rPr>
                <w:rFonts w:hint="eastAsia" w:cs="Times New Roman"/>
                <w:bCs/>
                <w:color w:val="auto"/>
                <w:spacing w:val="0"/>
                <w:sz w:val="24"/>
                <w:szCs w:val="24"/>
                <w:highlight w:val="none"/>
                <w:lang w:val="en-US" w:eastAsia="zh-CN"/>
              </w:rPr>
              <w:t>皮带转载</w:t>
            </w:r>
            <w:r>
              <w:rPr>
                <w:rFonts w:hint="default" w:ascii="Times New Roman" w:hAnsi="Times New Roman" w:eastAsia="宋体" w:cs="Times New Roman"/>
                <w:bCs/>
                <w:color w:val="auto"/>
                <w:spacing w:val="0"/>
                <w:sz w:val="24"/>
                <w:szCs w:val="24"/>
                <w:highlight w:val="none"/>
                <w:lang w:val="en-US" w:eastAsia="zh-CN"/>
              </w:rPr>
              <w:t>喷雾系统洒水</w:t>
            </w:r>
            <w:r>
              <w:rPr>
                <w:rFonts w:hint="eastAsia" w:cs="Times New Roman"/>
                <w:bCs/>
                <w:color w:val="auto"/>
                <w:spacing w:val="0"/>
                <w:sz w:val="24"/>
                <w:szCs w:val="24"/>
                <w:highlight w:val="none"/>
                <w:lang w:val="en-US" w:eastAsia="zh-CN"/>
              </w:rPr>
              <w:t>、筒仓仓顶房及仓底冲洗用水</w:t>
            </w:r>
            <w:r>
              <w:rPr>
                <w:rFonts w:hint="default" w:ascii="Times New Roman" w:hAnsi="Times New Roman" w:eastAsia="宋体" w:cs="Times New Roman"/>
                <w:bCs/>
                <w:color w:val="auto"/>
                <w:spacing w:val="0"/>
                <w:sz w:val="24"/>
                <w:szCs w:val="24"/>
                <w:highlight w:val="none"/>
                <w:lang w:val="en-US" w:eastAsia="zh-CN"/>
              </w:rPr>
              <w:t>。</w:t>
            </w:r>
          </w:p>
          <w:p w14:paraId="62452F8B">
            <w:pPr>
              <w:keepNext w:val="0"/>
              <w:keepLines w:val="0"/>
              <w:pageBreakBefore w:val="0"/>
              <w:widowControl w:val="0"/>
              <w:kinsoku/>
              <w:wordWrap/>
              <w:overflowPunct/>
              <w:topLinePunct w:val="0"/>
              <w:bidi w:val="0"/>
              <w:adjustRightInd w:val="0"/>
              <w:snapToGrid w:val="0"/>
              <w:spacing w:line="480" w:lineRule="exact"/>
              <w:ind w:firstLine="480" w:firstLineChars="200"/>
              <w:jc w:val="both"/>
              <w:textAlignment w:val="auto"/>
              <w:rPr>
                <w:rFonts w:hint="eastAsia" w:ascii="Times New Roman" w:hAnsi="Times New Roman" w:eastAsia="宋体" w:cs="Times New Roman"/>
                <w:bCs/>
                <w:color w:val="auto"/>
                <w:sz w:val="24"/>
                <w:szCs w:val="24"/>
                <w:lang w:eastAsia="zh-CN"/>
              </w:rPr>
            </w:pPr>
            <w:r>
              <w:rPr>
                <w:rFonts w:hint="eastAsia" w:ascii="Times New Roman" w:hAnsi="Times New Roman" w:eastAsia="宋体" w:cs="Times New Roman"/>
                <w:b w:val="0"/>
                <w:bCs w:val="0"/>
                <w:color w:val="auto"/>
                <w:spacing w:val="0"/>
                <w:kern w:val="2"/>
                <w:sz w:val="24"/>
                <w:szCs w:val="24"/>
                <w:highlight w:val="none"/>
                <w:lang w:val="en-US" w:eastAsia="zh-CN" w:bidi="ar-SA"/>
              </w:rPr>
              <w:t>①</w:t>
            </w:r>
            <w:r>
              <w:rPr>
                <w:rFonts w:hint="eastAsia" w:cs="Times New Roman"/>
                <w:b w:val="0"/>
                <w:bCs w:val="0"/>
                <w:color w:val="auto"/>
                <w:spacing w:val="0"/>
                <w:kern w:val="2"/>
                <w:sz w:val="24"/>
                <w:szCs w:val="24"/>
                <w:highlight w:val="none"/>
                <w:lang w:val="en-US" w:eastAsia="zh-CN" w:bidi="ar-SA"/>
              </w:rPr>
              <w:t>皮带转载</w:t>
            </w:r>
            <w:r>
              <w:rPr>
                <w:rFonts w:hint="eastAsia" w:cs="Times New Roman"/>
                <w:bCs/>
                <w:color w:val="auto"/>
                <w:sz w:val="24"/>
                <w:szCs w:val="24"/>
                <w:lang w:val="en-US" w:eastAsia="zh-CN"/>
              </w:rPr>
              <w:t>喷雾系统用水</w:t>
            </w:r>
            <w:r>
              <w:rPr>
                <w:rFonts w:hint="default" w:ascii="Times New Roman" w:hAnsi="Times New Roman" w:eastAsia="宋体" w:cs="Times New Roman"/>
                <w:bCs/>
                <w:color w:val="auto"/>
                <w:sz w:val="24"/>
                <w:szCs w:val="24"/>
              </w:rPr>
              <w:t>：</w:t>
            </w:r>
            <w:r>
              <w:rPr>
                <w:rFonts w:hint="eastAsia" w:cs="Times New Roman"/>
                <w:bCs/>
                <w:color w:val="auto"/>
                <w:sz w:val="24"/>
                <w:szCs w:val="24"/>
                <w:lang w:val="en-US" w:eastAsia="zh-CN"/>
              </w:rPr>
              <w:t>本项目在皮带转载</w:t>
            </w:r>
            <w:r>
              <w:rPr>
                <w:rFonts w:hint="default" w:ascii="Times New Roman" w:hAnsi="Times New Roman" w:eastAsia="宋体" w:cs="Times New Roman"/>
                <w:bCs/>
                <w:color w:val="auto"/>
                <w:sz w:val="24"/>
                <w:szCs w:val="24"/>
              </w:rPr>
              <w:t>落煤点处</w:t>
            </w:r>
            <w:r>
              <w:rPr>
                <w:rFonts w:hint="default" w:ascii="Times New Roman" w:hAnsi="Times New Roman" w:eastAsia="宋体" w:cs="Times New Roman"/>
                <w:bCs/>
                <w:color w:val="auto"/>
                <w:sz w:val="24"/>
                <w:szCs w:val="24"/>
                <w:lang w:eastAsia="zh-CN"/>
              </w:rPr>
              <w:t>设置</w:t>
            </w:r>
            <w:r>
              <w:rPr>
                <w:rFonts w:hint="default" w:ascii="Times New Roman" w:hAnsi="Times New Roman" w:eastAsia="宋体" w:cs="Times New Roman"/>
                <w:bCs/>
                <w:color w:val="auto"/>
                <w:sz w:val="24"/>
                <w:szCs w:val="24"/>
              </w:rPr>
              <w:t>喷雾降尘</w:t>
            </w:r>
            <w:r>
              <w:rPr>
                <w:rFonts w:hint="eastAsia" w:cs="Times New Roman"/>
                <w:bCs/>
                <w:color w:val="auto"/>
                <w:sz w:val="24"/>
                <w:szCs w:val="24"/>
                <w:lang w:val="en-US" w:eastAsia="zh-CN"/>
              </w:rPr>
              <w:t>设施</w:t>
            </w:r>
            <w:r>
              <w:rPr>
                <w:rFonts w:hint="default" w:ascii="Times New Roman" w:hAnsi="Times New Roman" w:eastAsia="宋体" w:cs="Times New Roman"/>
                <w:bCs/>
                <w:color w:val="auto"/>
                <w:sz w:val="24"/>
                <w:szCs w:val="24"/>
              </w:rPr>
              <w:t>，采用WDP微电脑喷雾抑尘装置。</w:t>
            </w:r>
            <w:r>
              <w:rPr>
                <w:rFonts w:hint="default" w:ascii="Times New Roman" w:hAnsi="Times New Roman" w:eastAsia="宋体" w:cs="Times New Roman"/>
                <w:bCs/>
                <w:color w:val="auto"/>
                <w:sz w:val="24"/>
                <w:szCs w:val="24"/>
                <w:lang w:val="en-US" w:eastAsia="zh-CN"/>
              </w:rPr>
              <w:t>根据现有皮带喷雾系统运行情况</w:t>
            </w:r>
            <w:r>
              <w:rPr>
                <w:rFonts w:hint="eastAsia" w:cs="Times New Roman"/>
                <w:bCs/>
                <w:color w:val="auto"/>
                <w:sz w:val="24"/>
                <w:szCs w:val="24"/>
                <w:lang w:val="en-US" w:eastAsia="zh-CN"/>
              </w:rPr>
              <w:t>，仓顶皮带转载落料点喷雾洒水量约6.0m</w:t>
            </w:r>
            <w:r>
              <w:rPr>
                <w:rFonts w:hint="eastAsia" w:cs="Times New Roman"/>
                <w:bCs/>
                <w:color w:val="auto"/>
                <w:sz w:val="24"/>
                <w:szCs w:val="24"/>
                <w:vertAlign w:val="superscript"/>
                <w:lang w:val="en-US" w:eastAsia="zh-CN"/>
              </w:rPr>
              <w:t>3</w:t>
            </w:r>
            <w:r>
              <w:rPr>
                <w:rFonts w:hint="eastAsia" w:cs="Times New Roman"/>
                <w:bCs/>
                <w:color w:val="auto"/>
                <w:sz w:val="24"/>
                <w:szCs w:val="24"/>
                <w:lang w:val="en-US" w:eastAsia="zh-CN"/>
              </w:rPr>
              <w:t>/d，全部进入产品</w:t>
            </w:r>
            <w:r>
              <w:rPr>
                <w:rFonts w:hint="eastAsia" w:ascii="Times New Roman" w:hAnsi="Times New Roman" w:eastAsia="宋体" w:cs="Times New Roman"/>
                <w:bCs/>
                <w:color w:val="auto"/>
                <w:sz w:val="24"/>
                <w:szCs w:val="24"/>
                <w:lang w:eastAsia="zh-CN"/>
              </w:rPr>
              <w:t>。</w:t>
            </w:r>
          </w:p>
          <w:p w14:paraId="27865B4F">
            <w:pPr>
              <w:keepNext w:val="0"/>
              <w:keepLines w:val="0"/>
              <w:pageBreakBefore w:val="0"/>
              <w:widowControl w:val="0"/>
              <w:kinsoku/>
              <w:wordWrap/>
              <w:overflowPunct/>
              <w:topLinePunct w:val="0"/>
              <w:bidi w:val="0"/>
              <w:adjustRightInd w:val="0"/>
              <w:snapToGrid w:val="0"/>
              <w:spacing w:line="480" w:lineRule="exact"/>
              <w:ind w:left="0" w:leftChars="0" w:firstLine="480" w:firstLineChars="200"/>
              <w:jc w:val="both"/>
              <w:textAlignment w:val="auto"/>
              <w:rPr>
                <w:rFonts w:hint="eastAsia" w:ascii="Times New Roman" w:hAnsi="Times New Roman" w:eastAsia="宋体" w:cs="Times New Roman"/>
                <w:b w:val="0"/>
                <w:bCs w:val="0"/>
                <w:color w:val="auto"/>
                <w:spacing w:val="0"/>
                <w:sz w:val="24"/>
                <w:szCs w:val="24"/>
                <w:highlight w:val="none"/>
                <w:lang w:val="en-US" w:eastAsia="zh-CN"/>
              </w:rPr>
            </w:pPr>
            <w:r>
              <w:rPr>
                <w:rFonts w:hint="default" w:ascii="Times New Roman" w:hAnsi="Times New Roman" w:eastAsia="宋体" w:cs="Times New Roman"/>
                <w:b w:val="0"/>
                <w:bCs w:val="0"/>
                <w:color w:val="auto"/>
                <w:spacing w:val="0"/>
                <w:sz w:val="24"/>
                <w:szCs w:val="24"/>
                <w:highlight w:val="none"/>
                <w:lang w:val="en-US"/>
              </w:rPr>
              <mc:AlternateContent>
                <mc:Choice Requires="wps">
                  <w:drawing>
                    <wp:anchor distT="0" distB="0" distL="0" distR="0" simplePos="0" relativeHeight="251661312" behindDoc="0" locked="0" layoutInCell="1" allowOverlap="1">
                      <wp:simplePos x="0" y="0"/>
                      <wp:positionH relativeFrom="column">
                        <wp:posOffset>5266690</wp:posOffset>
                      </wp:positionH>
                      <wp:positionV relativeFrom="paragraph">
                        <wp:posOffset>11020425</wp:posOffset>
                      </wp:positionV>
                      <wp:extent cx="556895" cy="297180"/>
                      <wp:effectExtent l="0" t="0" r="6985" b="7620"/>
                      <wp:wrapNone/>
                      <wp:docPr id="1037" name="文本框 3"/>
                      <wp:cNvGraphicFramePr/>
                      <a:graphic xmlns:a="http://schemas.openxmlformats.org/drawingml/2006/main">
                        <a:graphicData uri="http://schemas.microsoft.com/office/word/2010/wordprocessingShape">
                          <wps:wsp>
                            <wps:cNvSpPr/>
                            <wps:spPr>
                              <a:xfrm>
                                <a:off x="0" y="0"/>
                                <a:ext cx="556895" cy="297180"/>
                              </a:xfrm>
                              <a:prstGeom prst="rect">
                                <a:avLst/>
                              </a:prstGeom>
                              <a:solidFill>
                                <a:srgbClr val="FFFFFF"/>
                              </a:solidFill>
                              <a:ln>
                                <a:noFill/>
                              </a:ln>
                            </wps:spPr>
                            <wps:txbx>
                              <w:txbxContent>
                                <w:p w14:paraId="26221B7C">
                                  <w:pPr>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rPr>
                                    <w:t>0.</w:t>
                                  </w:r>
                                  <w:r>
                                    <w:rPr>
                                      <w:rFonts w:hint="eastAsia" w:ascii="Times New Roman" w:hAnsi="Times New Roman" w:eastAsia="宋体" w:cs="Times New Roman"/>
                                      <w:sz w:val="21"/>
                                      <w:szCs w:val="21"/>
                                      <w:lang w:val="en-US" w:eastAsia="zh-CN"/>
                                    </w:rPr>
                                    <w:t>73</w:t>
                                  </w:r>
                                </w:p>
                              </w:txbxContent>
                            </wps:txbx>
                            <wps:bodyPr upright="1"/>
                          </wps:wsp>
                        </a:graphicData>
                      </a:graphic>
                    </wp:anchor>
                  </w:drawing>
                </mc:Choice>
                <mc:Fallback>
                  <w:pict>
                    <v:rect id="文本框 3" o:spid="_x0000_s1026" o:spt="1" style="position:absolute;left:0pt;margin-left:414.7pt;margin-top:867.75pt;height:23.4pt;width:43.85pt;z-index:251661312;mso-width-relative:page;mso-height-relative:page;" fillcolor="#FFFFFF" filled="t" stroked="f" coordsize="21600,21600" o:gfxdata="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4pGPm2gAAAA0BAAAPAAAAAAAAAAEAIAAAACIAAABkcnMvZG93bnJldi54&#10;bWxQSwECFAAUAAAACACHTuJANC0YA78BAABvAwAADgAAAAAAAAABACAAAAApAQAAZHJzL2Uyb0Rv&#10;Yy54bWxQSwUGAAAAAAYABgBZAQAAWgUAAAAA&#10;">
                      <v:fill on="t" focussize="0,0"/>
                      <v:stroke on="f"/>
                      <v:imagedata o:title=""/>
                      <o:lock v:ext="edit" aspectratio="f"/>
                      <v:textbox>
                        <w:txbxContent>
                          <w:p w14:paraId="26221B7C">
                            <w:pPr>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rPr>
                              <w:t>0.</w:t>
                            </w:r>
                            <w:r>
                              <w:rPr>
                                <w:rFonts w:hint="eastAsia" w:ascii="Times New Roman" w:hAnsi="Times New Roman" w:eastAsia="宋体" w:cs="Times New Roman"/>
                                <w:sz w:val="21"/>
                                <w:szCs w:val="21"/>
                                <w:lang w:val="en-US" w:eastAsia="zh-CN"/>
                              </w:rPr>
                              <w:t>73</w:t>
                            </w:r>
                          </w:p>
                        </w:txbxContent>
                      </v:textbox>
                    </v:rect>
                  </w:pict>
                </mc:Fallback>
              </mc:AlternateContent>
            </w:r>
            <w:r>
              <w:rPr>
                <w:rFonts w:hint="eastAsia" w:ascii="Times New Roman" w:hAnsi="Times New Roman" w:eastAsia="宋体" w:cs="Times New Roman"/>
                <w:b w:val="0"/>
                <w:bCs w:val="0"/>
                <w:color w:val="auto"/>
                <w:spacing w:val="0"/>
                <w:sz w:val="24"/>
                <w:szCs w:val="24"/>
                <w:highlight w:val="none"/>
                <w:lang w:val="en-US" w:eastAsia="zh-CN"/>
              </w:rPr>
              <w:t>②筒仓仓顶房及仓底冲洗用水</w:t>
            </w:r>
            <w:r>
              <w:rPr>
                <w:rFonts w:hint="eastAsia" w:cs="Times New Roman"/>
                <w:b w:val="0"/>
                <w:bCs w:val="0"/>
                <w:color w:val="auto"/>
                <w:spacing w:val="0"/>
                <w:sz w:val="24"/>
                <w:szCs w:val="24"/>
                <w:highlight w:val="none"/>
                <w:lang w:val="en-US" w:eastAsia="zh-CN"/>
              </w:rPr>
              <w:t>：</w:t>
            </w:r>
            <w:r>
              <w:rPr>
                <w:rFonts w:hint="default" w:ascii="Times New Roman" w:hAnsi="Times New Roman" w:eastAsia="宋体" w:cs="Times New Roman"/>
                <w:bCs/>
                <w:color w:val="auto"/>
                <w:sz w:val="24"/>
                <w:szCs w:val="24"/>
              </w:rPr>
              <w:t>本项目</w:t>
            </w:r>
            <w:r>
              <w:rPr>
                <w:rFonts w:hint="eastAsia" w:cs="Times New Roman"/>
                <w:bCs/>
                <w:color w:val="auto"/>
                <w:sz w:val="24"/>
                <w:szCs w:val="24"/>
                <w:lang w:val="en-US" w:eastAsia="zh-CN"/>
              </w:rPr>
              <w:t>筒仓仓顶房及仓底每天进行冲洗</w:t>
            </w:r>
            <w:r>
              <w:rPr>
                <w:rFonts w:hint="default" w:ascii="Times New Roman" w:hAnsi="Times New Roman" w:eastAsia="宋体" w:cs="Times New Roman"/>
                <w:bCs/>
                <w:color w:val="auto"/>
                <w:sz w:val="24"/>
                <w:szCs w:val="24"/>
              </w:rPr>
              <w:t>，</w:t>
            </w:r>
            <w:r>
              <w:rPr>
                <w:rFonts w:hint="eastAsia" w:cs="Times New Roman"/>
                <w:bCs/>
                <w:color w:val="auto"/>
                <w:sz w:val="24"/>
                <w:szCs w:val="24"/>
                <w:lang w:val="en-US" w:eastAsia="zh-CN"/>
              </w:rPr>
              <w:t>类比现有筒仓冲洗用水量</w:t>
            </w:r>
            <w:r>
              <w:rPr>
                <w:rFonts w:hint="eastAsia" w:ascii="Times New Roman" w:hAnsi="Times New Roman" w:cs="Times New Roman"/>
                <w:bCs/>
                <w:color w:val="auto"/>
                <w:sz w:val="24"/>
                <w:szCs w:val="24"/>
                <w:lang w:val="en-US" w:eastAsia="zh-CN"/>
              </w:rPr>
              <w:t>，</w:t>
            </w:r>
            <w:r>
              <w:rPr>
                <w:rFonts w:hint="eastAsia" w:cs="Times New Roman"/>
                <w:bCs/>
                <w:color w:val="auto"/>
                <w:sz w:val="24"/>
                <w:szCs w:val="24"/>
                <w:lang w:val="en-US" w:eastAsia="zh-CN"/>
              </w:rPr>
              <w:t>仓上用水量约1.0m</w:t>
            </w:r>
            <w:r>
              <w:rPr>
                <w:rFonts w:hint="eastAsia" w:cs="Times New Roman"/>
                <w:bCs/>
                <w:color w:val="auto"/>
                <w:sz w:val="24"/>
                <w:szCs w:val="24"/>
                <w:vertAlign w:val="superscript"/>
                <w:lang w:val="en-US" w:eastAsia="zh-CN"/>
              </w:rPr>
              <w:t>3</w:t>
            </w:r>
            <w:r>
              <w:rPr>
                <w:rFonts w:hint="eastAsia" w:cs="Times New Roman"/>
                <w:bCs/>
                <w:color w:val="auto"/>
                <w:sz w:val="24"/>
                <w:szCs w:val="24"/>
                <w:lang w:val="en-US" w:eastAsia="zh-CN"/>
              </w:rPr>
              <w:t>/d，仓下用水量约2.0m</w:t>
            </w:r>
            <w:r>
              <w:rPr>
                <w:rFonts w:hint="eastAsia" w:cs="Times New Roman"/>
                <w:bCs/>
                <w:color w:val="auto"/>
                <w:sz w:val="24"/>
                <w:szCs w:val="24"/>
                <w:vertAlign w:val="superscript"/>
                <w:lang w:val="en-US" w:eastAsia="zh-CN"/>
              </w:rPr>
              <w:t>3</w:t>
            </w:r>
            <w:r>
              <w:rPr>
                <w:rFonts w:hint="eastAsia" w:cs="Times New Roman"/>
                <w:bCs/>
                <w:color w:val="auto"/>
                <w:sz w:val="24"/>
                <w:szCs w:val="24"/>
                <w:lang w:val="en-US" w:eastAsia="zh-CN"/>
              </w:rPr>
              <w:t>/d，</w:t>
            </w:r>
            <w:r>
              <w:rPr>
                <w:rFonts w:hint="default" w:ascii="Times New Roman" w:hAnsi="Times New Roman" w:eastAsia="宋体" w:cs="Times New Roman"/>
                <w:bCs/>
                <w:color w:val="auto"/>
                <w:sz w:val="24"/>
                <w:szCs w:val="24"/>
              </w:rPr>
              <w:t>则</w:t>
            </w:r>
            <w:r>
              <w:rPr>
                <w:rFonts w:hint="eastAsia" w:cs="Times New Roman"/>
                <w:bCs/>
                <w:color w:val="auto"/>
                <w:sz w:val="24"/>
                <w:szCs w:val="24"/>
                <w:lang w:val="en-US" w:eastAsia="zh-CN"/>
              </w:rPr>
              <w:t>冲洗</w:t>
            </w:r>
            <w:r>
              <w:rPr>
                <w:rFonts w:hint="default" w:ascii="Times New Roman" w:hAnsi="Times New Roman" w:eastAsia="宋体" w:cs="Times New Roman"/>
                <w:bCs/>
                <w:color w:val="auto"/>
                <w:sz w:val="24"/>
                <w:szCs w:val="24"/>
              </w:rPr>
              <w:t>用水量为</w:t>
            </w:r>
            <w:r>
              <w:rPr>
                <w:rFonts w:hint="eastAsia" w:cs="Times New Roman"/>
                <w:bCs/>
                <w:color w:val="auto"/>
                <w:sz w:val="24"/>
                <w:szCs w:val="24"/>
                <w:lang w:val="en-US" w:eastAsia="zh-CN"/>
              </w:rPr>
              <w:t>3.0</w:t>
            </w:r>
            <w:r>
              <w:rPr>
                <w:rFonts w:hint="default" w:ascii="Times New Roman" w:hAnsi="Times New Roman" w:eastAsia="宋体" w:cs="Times New Roman"/>
                <w:bCs/>
                <w:color w:val="auto"/>
                <w:sz w:val="24"/>
                <w:szCs w:val="24"/>
              </w:rPr>
              <w:t>m</w:t>
            </w:r>
            <w:r>
              <w:rPr>
                <w:rFonts w:hint="default" w:ascii="Times New Roman" w:hAnsi="Times New Roman" w:eastAsia="宋体" w:cs="Times New Roman"/>
                <w:bCs/>
                <w:color w:val="auto"/>
                <w:sz w:val="24"/>
                <w:szCs w:val="24"/>
                <w:vertAlign w:val="superscript"/>
              </w:rPr>
              <w:t>3</w:t>
            </w:r>
            <w:r>
              <w:rPr>
                <w:rFonts w:hint="default" w:ascii="Times New Roman" w:hAnsi="Times New Roman" w:eastAsia="宋体" w:cs="Times New Roman"/>
                <w:bCs/>
                <w:color w:val="auto"/>
                <w:sz w:val="24"/>
                <w:szCs w:val="24"/>
              </w:rPr>
              <w:t>/d</w:t>
            </w:r>
            <w:r>
              <w:rPr>
                <w:rFonts w:hint="eastAsia" w:eastAsia="宋体" w:cs="Times New Roman"/>
                <w:bCs/>
                <w:color w:val="auto"/>
                <w:sz w:val="24"/>
                <w:szCs w:val="24"/>
                <w:lang w:eastAsia="zh-CN"/>
              </w:rPr>
              <w:t>。</w:t>
            </w:r>
          </w:p>
          <w:p w14:paraId="2F2A224A">
            <w:pPr>
              <w:keepNext w:val="0"/>
              <w:keepLines w:val="0"/>
              <w:pageBreakBefore w:val="0"/>
              <w:widowControl w:val="0"/>
              <w:kinsoku/>
              <w:wordWrap/>
              <w:overflowPunct/>
              <w:topLinePunct w:val="0"/>
              <w:bidi w:val="0"/>
              <w:spacing w:line="480" w:lineRule="exact"/>
              <w:ind w:firstLine="480" w:firstLineChars="200"/>
              <w:textAlignment w:val="auto"/>
              <w:rPr>
                <w:rFonts w:hint="default" w:ascii="Times New Roman" w:hAnsi="Times New Roman" w:eastAsia="宋体" w:cs="Times New Roman"/>
                <w:bCs/>
                <w:color w:val="auto"/>
                <w:spacing w:val="0"/>
                <w:sz w:val="24"/>
                <w:szCs w:val="24"/>
                <w:highlight w:val="none"/>
                <w:lang w:val="en-US" w:eastAsia="zh-CN"/>
              </w:rPr>
            </w:pPr>
            <w:r>
              <w:rPr>
                <w:rFonts w:hint="eastAsia" w:ascii="Times New Roman" w:hAnsi="Times New Roman" w:eastAsia="宋体" w:cs="Times New Roman"/>
                <w:bCs/>
                <w:color w:val="auto"/>
                <w:spacing w:val="0"/>
                <w:sz w:val="24"/>
                <w:szCs w:val="24"/>
                <w:highlight w:val="none"/>
                <w:lang w:val="en-US" w:eastAsia="zh-CN"/>
              </w:rPr>
              <w:t>（</w:t>
            </w:r>
            <w:r>
              <w:rPr>
                <w:rFonts w:hint="default" w:ascii="Times New Roman" w:hAnsi="Times New Roman" w:eastAsia="宋体" w:cs="Times New Roman"/>
                <w:bCs/>
                <w:color w:val="auto"/>
                <w:spacing w:val="0"/>
                <w:sz w:val="24"/>
                <w:szCs w:val="24"/>
                <w:highlight w:val="none"/>
                <w:lang w:val="en-US" w:eastAsia="zh-CN"/>
              </w:rPr>
              <w:t>2）排水</w:t>
            </w:r>
          </w:p>
          <w:p w14:paraId="61F86AB5">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eastAsia" w:ascii="Times New Roman" w:hAnsi="Times New Roman" w:eastAsia="宋体" w:cs="Times New Roman"/>
                <w:color w:val="auto"/>
                <w:spacing w:val="0"/>
                <w:sz w:val="24"/>
                <w:szCs w:val="24"/>
                <w:highlight w:val="none"/>
                <w:lang w:val="en-US" w:eastAsia="zh-CN"/>
              </w:rPr>
            </w:pPr>
            <w:r>
              <w:rPr>
                <w:rFonts w:hint="eastAsia" w:ascii="Times New Roman" w:hAnsi="Times New Roman" w:eastAsia="宋体" w:cs="Times New Roman"/>
                <w:color w:val="auto"/>
                <w:spacing w:val="0"/>
                <w:sz w:val="24"/>
                <w:szCs w:val="24"/>
                <w:highlight w:val="none"/>
                <w:lang w:val="en-US" w:eastAsia="zh-CN"/>
              </w:rPr>
              <w:t>①</w:t>
            </w:r>
            <w:r>
              <w:rPr>
                <w:rFonts w:hint="eastAsia" w:cs="Times New Roman"/>
                <w:b w:val="0"/>
                <w:bCs w:val="0"/>
                <w:color w:val="auto"/>
                <w:spacing w:val="0"/>
                <w:kern w:val="2"/>
                <w:sz w:val="24"/>
                <w:szCs w:val="24"/>
                <w:highlight w:val="none"/>
                <w:lang w:val="en-US" w:eastAsia="zh-CN" w:bidi="ar-SA"/>
              </w:rPr>
              <w:t>皮带转载</w:t>
            </w:r>
            <w:r>
              <w:rPr>
                <w:rFonts w:hint="eastAsia" w:cs="Times New Roman"/>
                <w:bCs/>
                <w:color w:val="auto"/>
                <w:sz w:val="24"/>
                <w:szCs w:val="24"/>
                <w:lang w:val="en-US" w:eastAsia="zh-CN"/>
              </w:rPr>
              <w:t>喷雾系统用水</w:t>
            </w:r>
            <w:r>
              <w:rPr>
                <w:rFonts w:hint="eastAsia" w:cs="Times New Roman"/>
                <w:color w:val="auto"/>
                <w:spacing w:val="0"/>
                <w:sz w:val="24"/>
                <w:szCs w:val="24"/>
                <w:highlight w:val="none"/>
                <w:lang w:val="en-US" w:eastAsia="zh-CN"/>
              </w:rPr>
              <w:t>全部随煤带走。</w:t>
            </w:r>
          </w:p>
          <w:p w14:paraId="5B753765">
            <w:pPr>
              <w:keepNext w:val="0"/>
              <w:keepLines w:val="0"/>
              <w:pageBreakBefore w:val="0"/>
              <w:widowControl w:val="0"/>
              <w:kinsoku/>
              <w:wordWrap/>
              <w:overflowPunct/>
              <w:topLinePunct w:val="0"/>
              <w:bidi w:val="0"/>
              <w:adjustRightInd w:val="0"/>
              <w:snapToGrid w:val="0"/>
              <w:spacing w:line="480" w:lineRule="exact"/>
              <w:ind w:firstLine="480" w:firstLineChars="200"/>
              <w:jc w:val="both"/>
              <w:textAlignment w:val="auto"/>
              <w:rPr>
                <w:rFonts w:hint="eastAsia" w:cs="Times New Roman"/>
                <w:b w:val="0"/>
                <w:bCs w:val="0"/>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②</w:t>
            </w:r>
            <w:r>
              <w:rPr>
                <w:rFonts w:hint="eastAsia" w:ascii="Times New Roman" w:hAnsi="Times New Roman" w:eastAsia="宋体" w:cs="Times New Roman"/>
                <w:b w:val="0"/>
                <w:bCs w:val="0"/>
                <w:color w:val="auto"/>
                <w:spacing w:val="0"/>
                <w:sz w:val="24"/>
                <w:szCs w:val="24"/>
                <w:highlight w:val="none"/>
                <w:lang w:val="en-US" w:eastAsia="zh-CN"/>
              </w:rPr>
              <w:t>筒仓仓顶房及仓底冲洗</w:t>
            </w:r>
            <w:r>
              <w:rPr>
                <w:rFonts w:hint="eastAsia" w:cs="Times New Roman"/>
                <w:b w:val="0"/>
                <w:bCs w:val="0"/>
                <w:color w:val="auto"/>
                <w:spacing w:val="0"/>
                <w:sz w:val="24"/>
                <w:szCs w:val="24"/>
                <w:highlight w:val="none"/>
                <w:lang w:val="en-US" w:eastAsia="zh-CN"/>
              </w:rPr>
              <w:t>废水：废水量产污系数按0.8计，则冲洗废水产生量为2.4m</w:t>
            </w:r>
            <w:r>
              <w:rPr>
                <w:rFonts w:hint="eastAsia" w:cs="Times New Roman"/>
                <w:b w:val="0"/>
                <w:bCs w:val="0"/>
                <w:color w:val="auto"/>
                <w:spacing w:val="0"/>
                <w:sz w:val="24"/>
                <w:szCs w:val="24"/>
                <w:highlight w:val="none"/>
                <w:vertAlign w:val="superscript"/>
                <w:lang w:val="en-US" w:eastAsia="zh-CN"/>
              </w:rPr>
              <w:t>3</w:t>
            </w:r>
            <w:r>
              <w:rPr>
                <w:rFonts w:hint="eastAsia" w:cs="Times New Roman"/>
                <w:b w:val="0"/>
                <w:bCs w:val="0"/>
                <w:color w:val="auto"/>
                <w:spacing w:val="0"/>
                <w:sz w:val="24"/>
                <w:szCs w:val="24"/>
                <w:highlight w:val="none"/>
                <w:lang w:val="en-US" w:eastAsia="zh-CN"/>
              </w:rPr>
              <w:t>/d，</w:t>
            </w:r>
            <w:r>
              <w:rPr>
                <w:rFonts w:hint="eastAsia" w:ascii="Times New Roman" w:hAnsi="Times New Roman" w:cs="Times New Roman"/>
                <w:color w:val="auto"/>
                <w:kern w:val="2"/>
                <w:sz w:val="24"/>
                <w:szCs w:val="24"/>
                <w:highlight w:val="none"/>
                <w:lang w:val="en-US" w:eastAsia="zh-CN" w:bidi="ar-SA"/>
              </w:rPr>
              <w:t>全部回用于洗煤厂用于洗煤用水。</w:t>
            </w:r>
          </w:p>
          <w:p w14:paraId="35471689">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黑体" w:cs="Times New Roman"/>
                <w:iCs/>
                <w:snapToGrid w:val="0"/>
                <w:color w:val="auto"/>
                <w:spacing w:val="0"/>
                <w:kern w:val="0"/>
                <w:sz w:val="21"/>
                <w:szCs w:val="20"/>
                <w:highlight w:val="none"/>
                <w:lang w:val="en-US" w:eastAsia="zh-CN" w:bidi="ar-SA"/>
              </w:rPr>
            </w:pPr>
            <w:r>
              <w:rPr>
                <w:rFonts w:hint="eastAsia" w:ascii="Times New Roman" w:hAnsi="Times New Roman" w:eastAsia="宋体" w:cs="Times New Roman"/>
                <w:bCs/>
                <w:color w:val="auto"/>
                <w:spacing w:val="0"/>
                <w:sz w:val="24"/>
                <w:szCs w:val="24"/>
                <w:highlight w:val="none"/>
                <w:lang w:val="en-US" w:eastAsia="zh-CN"/>
              </w:rPr>
              <w:t>本项目</w:t>
            </w:r>
            <w:r>
              <w:rPr>
                <w:rFonts w:hint="default" w:ascii="Times New Roman" w:hAnsi="Times New Roman" w:eastAsia="宋体" w:cs="Times New Roman"/>
                <w:bCs/>
                <w:color w:val="auto"/>
                <w:spacing w:val="0"/>
                <w:sz w:val="24"/>
                <w:szCs w:val="24"/>
                <w:highlight w:val="none"/>
                <w:lang w:val="en-US" w:eastAsia="zh-CN"/>
              </w:rPr>
              <w:t>水平衡分析见</w:t>
            </w:r>
            <w:r>
              <w:rPr>
                <w:rFonts w:hint="eastAsia" w:cs="Times New Roman"/>
                <w:bCs/>
                <w:color w:val="auto"/>
                <w:spacing w:val="0"/>
                <w:sz w:val="24"/>
                <w:szCs w:val="24"/>
                <w:highlight w:val="none"/>
                <w:lang w:val="en-US" w:eastAsia="zh-CN"/>
              </w:rPr>
              <w:t>下</w:t>
            </w:r>
            <w:r>
              <w:rPr>
                <w:rFonts w:hint="default" w:ascii="Times New Roman" w:hAnsi="Times New Roman" w:eastAsia="宋体" w:cs="Times New Roman"/>
                <w:bCs/>
                <w:color w:val="auto"/>
                <w:spacing w:val="0"/>
                <w:sz w:val="24"/>
                <w:szCs w:val="24"/>
                <w:highlight w:val="none"/>
                <w:lang w:val="en-US" w:eastAsia="zh-CN"/>
              </w:rPr>
              <w:t>表。</w:t>
            </w:r>
          </w:p>
          <w:p w14:paraId="5DE77430">
            <w:pPr>
              <w:keepNext w:val="0"/>
              <w:keepLines w:val="0"/>
              <w:pageBreakBefore w:val="0"/>
              <w:widowControl w:val="0"/>
              <w:kinsoku/>
              <w:wordWrap/>
              <w:overflowPunct/>
              <w:topLinePunct w:val="0"/>
              <w:autoSpaceDE/>
              <w:autoSpaceDN/>
              <w:bidi w:val="0"/>
              <w:adjustRightInd/>
              <w:snapToGrid/>
              <w:spacing w:before="0" w:after="0" w:line="480" w:lineRule="exact"/>
              <w:ind w:firstLine="0" w:firstLineChars="0"/>
              <w:jc w:val="center"/>
              <w:textAlignment w:val="baseline"/>
              <w:rPr>
                <w:rFonts w:hint="default" w:ascii="Times New Roman" w:hAnsi="Times New Roman" w:eastAsia="黑体" w:cs="Times New Roman"/>
                <w:iCs/>
                <w:snapToGrid w:val="0"/>
                <w:color w:val="auto"/>
                <w:spacing w:val="0"/>
                <w:kern w:val="0"/>
                <w:sz w:val="21"/>
                <w:szCs w:val="20"/>
                <w:highlight w:val="none"/>
                <w:lang w:val="en-US" w:eastAsia="zh-CN" w:bidi="ar-SA"/>
              </w:rPr>
            </w:pPr>
            <w:r>
              <w:rPr>
                <w:rFonts w:hint="default" w:ascii="Times New Roman" w:hAnsi="Times New Roman" w:eastAsia="黑体" w:cs="Times New Roman"/>
                <w:iCs/>
                <w:snapToGrid w:val="0"/>
                <w:color w:val="auto"/>
                <w:spacing w:val="0"/>
                <w:kern w:val="0"/>
                <w:sz w:val="21"/>
                <w:szCs w:val="20"/>
                <w:highlight w:val="none"/>
                <w:lang w:val="en-US" w:eastAsia="zh-CN" w:bidi="ar-SA"/>
              </w:rPr>
              <w:t>表</w:t>
            </w:r>
            <w:r>
              <w:rPr>
                <w:rFonts w:hint="eastAsia" w:eastAsia="黑体" w:cs="Times New Roman"/>
                <w:iCs/>
                <w:snapToGrid w:val="0"/>
                <w:color w:val="auto"/>
                <w:spacing w:val="0"/>
                <w:kern w:val="0"/>
                <w:sz w:val="21"/>
                <w:szCs w:val="20"/>
                <w:highlight w:val="none"/>
                <w:lang w:val="en-US" w:eastAsia="zh-CN" w:bidi="ar-SA"/>
              </w:rPr>
              <w:t>2.7-1</w:t>
            </w:r>
            <w:r>
              <w:rPr>
                <w:rFonts w:hint="default" w:ascii="Times New Roman" w:hAnsi="Times New Roman" w:eastAsia="黑体" w:cs="Times New Roman"/>
                <w:iCs/>
                <w:snapToGrid w:val="0"/>
                <w:color w:val="auto"/>
                <w:spacing w:val="0"/>
                <w:kern w:val="0"/>
                <w:sz w:val="21"/>
                <w:szCs w:val="20"/>
                <w:highlight w:val="none"/>
                <w:lang w:val="en-US" w:eastAsia="zh-CN" w:bidi="ar-SA"/>
              </w:rPr>
              <w:t xml:space="preserve"> </w:t>
            </w:r>
            <w:r>
              <w:rPr>
                <w:rFonts w:hint="eastAsia" w:eastAsia="黑体" w:cs="Times New Roman"/>
                <w:iCs/>
                <w:snapToGrid w:val="0"/>
                <w:color w:val="auto"/>
                <w:spacing w:val="0"/>
                <w:kern w:val="0"/>
                <w:sz w:val="21"/>
                <w:szCs w:val="20"/>
                <w:highlight w:val="none"/>
                <w:lang w:val="en-US" w:eastAsia="zh-CN" w:bidi="ar-SA"/>
              </w:rPr>
              <w:t xml:space="preserve"> </w:t>
            </w:r>
            <w:r>
              <w:rPr>
                <w:rFonts w:hint="default" w:ascii="Times New Roman" w:hAnsi="Times New Roman" w:eastAsia="黑体" w:cs="Times New Roman"/>
                <w:iCs/>
                <w:snapToGrid w:val="0"/>
                <w:color w:val="auto"/>
                <w:spacing w:val="0"/>
                <w:kern w:val="0"/>
                <w:sz w:val="21"/>
                <w:szCs w:val="20"/>
                <w:highlight w:val="none"/>
                <w:lang w:val="en-US" w:eastAsia="zh-CN" w:bidi="ar-SA"/>
              </w:rPr>
              <w:t>水平衡分析</w:t>
            </w:r>
          </w:p>
          <w:tbl>
            <w:tblPr>
              <w:tblStyle w:val="26"/>
              <w:tblW w:w="7937" w:type="dxa"/>
              <w:jc w:val="center"/>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fixed"/>
              <w:tblCellMar>
                <w:top w:w="0" w:type="dxa"/>
                <w:left w:w="108" w:type="dxa"/>
                <w:bottom w:w="0" w:type="dxa"/>
                <w:right w:w="108" w:type="dxa"/>
              </w:tblCellMar>
            </w:tblPr>
            <w:tblGrid>
              <w:gridCol w:w="1348"/>
              <w:gridCol w:w="2064"/>
              <w:gridCol w:w="1154"/>
              <w:gridCol w:w="1218"/>
              <w:gridCol w:w="1069"/>
              <w:gridCol w:w="1084"/>
            </w:tblGrid>
            <w:tr w14:paraId="71FCA92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348" w:type="dxa"/>
                  <w:vMerge w:val="restart"/>
                  <w:vAlign w:val="center"/>
                </w:tcPr>
                <w:p w14:paraId="1BB9F12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用水类型</w:t>
                  </w:r>
                </w:p>
              </w:tc>
              <w:tc>
                <w:tcPr>
                  <w:tcW w:w="2064" w:type="dxa"/>
                  <w:vMerge w:val="restart"/>
                  <w:vAlign w:val="center"/>
                </w:tcPr>
                <w:p w14:paraId="209588A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用水量指标</w:t>
                  </w:r>
                </w:p>
              </w:tc>
              <w:tc>
                <w:tcPr>
                  <w:tcW w:w="2372" w:type="dxa"/>
                  <w:gridSpan w:val="2"/>
                  <w:vAlign w:val="center"/>
                </w:tcPr>
                <w:p w14:paraId="5AE09B5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用水量（m</w:t>
                  </w:r>
                  <w:r>
                    <w:rPr>
                      <w:rFonts w:hint="default" w:ascii="Times New Roman" w:hAnsi="Times New Roman" w:eastAsia="宋体" w:cs="Times New Roman"/>
                      <w:color w:val="auto"/>
                      <w:szCs w:val="21"/>
                      <w:highlight w:val="none"/>
                      <w:vertAlign w:val="superscript"/>
                    </w:rPr>
                    <w:t>3</w:t>
                  </w:r>
                  <w:r>
                    <w:rPr>
                      <w:rFonts w:hint="default" w:ascii="Times New Roman" w:hAnsi="Times New Roman" w:eastAsia="宋体" w:cs="Times New Roman"/>
                      <w:color w:val="auto"/>
                      <w:szCs w:val="21"/>
                      <w:highlight w:val="none"/>
                    </w:rPr>
                    <w:t>）</w:t>
                  </w:r>
                </w:p>
              </w:tc>
              <w:tc>
                <w:tcPr>
                  <w:tcW w:w="2153" w:type="dxa"/>
                  <w:gridSpan w:val="2"/>
                  <w:vAlign w:val="center"/>
                </w:tcPr>
                <w:p w14:paraId="0F53684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产</w:t>
                  </w:r>
                  <w:r>
                    <w:rPr>
                      <w:rFonts w:hint="eastAsia" w:ascii="Times New Roman" w:hAnsi="Times New Roman" w:eastAsia="宋体" w:cs="Times New Roman"/>
                      <w:color w:val="auto"/>
                      <w:szCs w:val="21"/>
                      <w:highlight w:val="none"/>
                      <w:lang w:val="en-US" w:eastAsia="zh-CN"/>
                    </w:rPr>
                    <w:t>废</w:t>
                  </w:r>
                  <w:r>
                    <w:rPr>
                      <w:rFonts w:hint="default" w:ascii="Times New Roman" w:hAnsi="Times New Roman" w:eastAsia="宋体" w:cs="Times New Roman"/>
                      <w:color w:val="auto"/>
                      <w:szCs w:val="21"/>
                      <w:highlight w:val="none"/>
                    </w:rPr>
                    <w:t>量（m</w:t>
                  </w:r>
                  <w:r>
                    <w:rPr>
                      <w:rFonts w:hint="default" w:ascii="Times New Roman" w:hAnsi="Times New Roman" w:eastAsia="宋体" w:cs="Times New Roman"/>
                      <w:color w:val="auto"/>
                      <w:szCs w:val="21"/>
                      <w:highlight w:val="none"/>
                      <w:vertAlign w:val="superscript"/>
                    </w:rPr>
                    <w:t>3</w:t>
                  </w:r>
                  <w:r>
                    <w:rPr>
                      <w:rFonts w:hint="default" w:ascii="Times New Roman" w:hAnsi="Times New Roman" w:eastAsia="宋体" w:cs="Times New Roman"/>
                      <w:color w:val="auto"/>
                      <w:szCs w:val="21"/>
                      <w:highlight w:val="none"/>
                    </w:rPr>
                    <w:t>）</w:t>
                  </w:r>
                </w:p>
              </w:tc>
            </w:tr>
            <w:tr w14:paraId="3AA0F23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348" w:type="dxa"/>
                  <w:vMerge w:val="continue"/>
                  <w:vAlign w:val="center"/>
                </w:tcPr>
                <w:p w14:paraId="6DA3A8F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1"/>
                      <w:highlight w:val="none"/>
                    </w:rPr>
                  </w:pPr>
                </w:p>
              </w:tc>
              <w:tc>
                <w:tcPr>
                  <w:tcW w:w="2064" w:type="dxa"/>
                  <w:vMerge w:val="continue"/>
                  <w:vAlign w:val="center"/>
                </w:tcPr>
                <w:p w14:paraId="408FFB9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1"/>
                      <w:highlight w:val="none"/>
                    </w:rPr>
                  </w:pPr>
                </w:p>
              </w:tc>
              <w:tc>
                <w:tcPr>
                  <w:tcW w:w="1154" w:type="dxa"/>
                  <w:vAlign w:val="center"/>
                </w:tcPr>
                <w:p w14:paraId="63DF284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日用水量</w:t>
                  </w:r>
                </w:p>
              </w:tc>
              <w:tc>
                <w:tcPr>
                  <w:tcW w:w="1218" w:type="dxa"/>
                  <w:vAlign w:val="center"/>
                </w:tcPr>
                <w:p w14:paraId="1AA6839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年用水量</w:t>
                  </w:r>
                </w:p>
              </w:tc>
              <w:tc>
                <w:tcPr>
                  <w:tcW w:w="1069" w:type="dxa"/>
                  <w:vAlign w:val="center"/>
                </w:tcPr>
                <w:p w14:paraId="5110BA7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日产生量</w:t>
                  </w:r>
                </w:p>
              </w:tc>
              <w:tc>
                <w:tcPr>
                  <w:tcW w:w="1084" w:type="dxa"/>
                  <w:vAlign w:val="center"/>
                </w:tcPr>
                <w:p w14:paraId="3539EDD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年产生量</w:t>
                  </w:r>
                </w:p>
              </w:tc>
            </w:tr>
            <w:tr w14:paraId="3219AC6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348" w:type="dxa"/>
                  <w:vAlign w:val="center"/>
                </w:tcPr>
                <w:p w14:paraId="602474D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Cs w:val="21"/>
                      <w:highlight w:val="none"/>
                      <w:lang w:val="en-US" w:eastAsia="zh-CN"/>
                    </w:rPr>
                  </w:pPr>
                  <w:r>
                    <w:rPr>
                      <w:rFonts w:hint="eastAsia" w:cs="Times New Roman"/>
                      <w:bCs/>
                      <w:color w:val="auto"/>
                      <w:sz w:val="21"/>
                      <w:szCs w:val="21"/>
                      <w:highlight w:val="none"/>
                      <w:lang w:val="en-US" w:eastAsia="zh-CN"/>
                    </w:rPr>
                    <w:t>皮带转载喷雾系统</w:t>
                  </w:r>
                  <w:r>
                    <w:rPr>
                      <w:rFonts w:hint="default" w:cs="Times New Roman"/>
                      <w:bCs/>
                      <w:color w:val="auto"/>
                      <w:sz w:val="21"/>
                      <w:szCs w:val="21"/>
                      <w:highlight w:val="none"/>
                      <w:lang w:val="en-US" w:eastAsia="zh-CN"/>
                    </w:rPr>
                    <w:t>洒水</w:t>
                  </w:r>
                </w:p>
              </w:tc>
              <w:tc>
                <w:tcPr>
                  <w:tcW w:w="2064" w:type="dxa"/>
                  <w:vAlign w:val="center"/>
                </w:tcPr>
                <w:p w14:paraId="0F20CAA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bCs/>
                      <w:color w:val="auto"/>
                      <w:sz w:val="21"/>
                      <w:szCs w:val="21"/>
                      <w:highlight w:val="none"/>
                      <w:lang w:val="en-US" w:eastAsia="zh-CN"/>
                    </w:rPr>
                    <w:t>/</w:t>
                  </w:r>
                </w:p>
              </w:tc>
              <w:tc>
                <w:tcPr>
                  <w:tcW w:w="1154" w:type="dxa"/>
                  <w:vAlign w:val="center"/>
                </w:tcPr>
                <w:p w14:paraId="00B61CC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6.0</w:t>
                  </w:r>
                </w:p>
              </w:tc>
              <w:tc>
                <w:tcPr>
                  <w:tcW w:w="1218" w:type="dxa"/>
                  <w:vAlign w:val="center"/>
                </w:tcPr>
                <w:p w14:paraId="1A0B4A9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1980</w:t>
                  </w:r>
                </w:p>
              </w:tc>
              <w:tc>
                <w:tcPr>
                  <w:tcW w:w="1069" w:type="dxa"/>
                  <w:vAlign w:val="center"/>
                </w:tcPr>
                <w:p w14:paraId="405E599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0</w:t>
                  </w:r>
                </w:p>
              </w:tc>
              <w:tc>
                <w:tcPr>
                  <w:tcW w:w="1084" w:type="dxa"/>
                  <w:vAlign w:val="center"/>
                </w:tcPr>
                <w:p w14:paraId="75FD36A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0</w:t>
                  </w:r>
                </w:p>
              </w:tc>
            </w:tr>
            <w:tr w14:paraId="4A89116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348" w:type="dxa"/>
                  <w:vAlign w:val="center"/>
                </w:tcPr>
                <w:p w14:paraId="559158D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筒仓仓顶房及仓底冲洗废水</w:t>
                  </w:r>
                </w:p>
              </w:tc>
              <w:tc>
                <w:tcPr>
                  <w:tcW w:w="2064" w:type="dxa"/>
                  <w:vAlign w:val="center"/>
                </w:tcPr>
                <w:p w14:paraId="5195C67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cs="Times New Roman"/>
                      <w:bCs/>
                      <w:color w:val="auto"/>
                      <w:sz w:val="21"/>
                      <w:szCs w:val="21"/>
                      <w:highlight w:val="none"/>
                      <w:lang w:val="en-US" w:eastAsia="zh-CN"/>
                    </w:rPr>
                  </w:pPr>
                  <w:r>
                    <w:rPr>
                      <w:rFonts w:hint="eastAsia" w:cs="Times New Roman"/>
                      <w:bCs/>
                      <w:color w:val="auto"/>
                      <w:sz w:val="21"/>
                      <w:szCs w:val="21"/>
                      <w:highlight w:val="none"/>
                      <w:lang w:val="en-US" w:eastAsia="zh-CN"/>
                    </w:rPr>
                    <w:t>/</w:t>
                  </w:r>
                </w:p>
              </w:tc>
              <w:tc>
                <w:tcPr>
                  <w:tcW w:w="1154" w:type="dxa"/>
                  <w:vAlign w:val="center"/>
                </w:tcPr>
                <w:p w14:paraId="2FFBF46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cs="Times New Roman"/>
                      <w:color w:val="auto"/>
                      <w:szCs w:val="21"/>
                      <w:highlight w:val="none"/>
                      <w:lang w:val="en-US" w:eastAsia="zh-CN"/>
                    </w:rPr>
                  </w:pPr>
                  <w:r>
                    <w:rPr>
                      <w:rFonts w:hint="eastAsia" w:cs="Times New Roman"/>
                      <w:color w:val="auto"/>
                      <w:szCs w:val="21"/>
                      <w:highlight w:val="none"/>
                      <w:lang w:val="en-US" w:eastAsia="zh-CN"/>
                    </w:rPr>
                    <w:t>3.0</w:t>
                  </w:r>
                </w:p>
              </w:tc>
              <w:tc>
                <w:tcPr>
                  <w:tcW w:w="1218" w:type="dxa"/>
                  <w:vAlign w:val="center"/>
                </w:tcPr>
                <w:p w14:paraId="6611D57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cs="Times New Roman"/>
                      <w:color w:val="auto"/>
                      <w:szCs w:val="21"/>
                      <w:highlight w:val="none"/>
                      <w:lang w:val="en-US" w:eastAsia="zh-CN"/>
                    </w:rPr>
                  </w:pPr>
                  <w:r>
                    <w:rPr>
                      <w:rFonts w:hint="eastAsia" w:cs="Times New Roman"/>
                      <w:color w:val="auto"/>
                      <w:szCs w:val="21"/>
                      <w:highlight w:val="none"/>
                      <w:lang w:val="en-US" w:eastAsia="zh-CN"/>
                    </w:rPr>
                    <w:t>990</w:t>
                  </w:r>
                </w:p>
              </w:tc>
              <w:tc>
                <w:tcPr>
                  <w:tcW w:w="1069" w:type="dxa"/>
                  <w:vAlign w:val="center"/>
                </w:tcPr>
                <w:p w14:paraId="625DFF2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cs="Times New Roman"/>
                      <w:color w:val="auto"/>
                      <w:szCs w:val="21"/>
                      <w:highlight w:val="none"/>
                      <w:lang w:val="en-US" w:eastAsia="zh-CN"/>
                    </w:rPr>
                  </w:pPr>
                  <w:r>
                    <w:rPr>
                      <w:rFonts w:hint="eastAsia" w:cs="Times New Roman"/>
                      <w:color w:val="auto"/>
                      <w:szCs w:val="21"/>
                      <w:highlight w:val="none"/>
                      <w:lang w:val="en-US" w:eastAsia="zh-CN"/>
                    </w:rPr>
                    <w:t>2.4</w:t>
                  </w:r>
                </w:p>
              </w:tc>
              <w:tc>
                <w:tcPr>
                  <w:tcW w:w="1084" w:type="dxa"/>
                  <w:vAlign w:val="center"/>
                </w:tcPr>
                <w:p w14:paraId="1A54312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cs="Times New Roman"/>
                      <w:color w:val="auto"/>
                      <w:szCs w:val="21"/>
                      <w:highlight w:val="none"/>
                      <w:lang w:val="en-US" w:eastAsia="zh-CN"/>
                    </w:rPr>
                  </w:pPr>
                  <w:r>
                    <w:rPr>
                      <w:rFonts w:hint="eastAsia" w:cs="Times New Roman"/>
                      <w:color w:val="auto"/>
                      <w:szCs w:val="21"/>
                      <w:highlight w:val="none"/>
                      <w:lang w:val="en-US" w:eastAsia="zh-CN"/>
                    </w:rPr>
                    <w:t>792</w:t>
                  </w:r>
                </w:p>
              </w:tc>
            </w:tr>
            <w:tr w14:paraId="741EC45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3412" w:type="dxa"/>
                  <w:gridSpan w:val="2"/>
                  <w:vAlign w:val="center"/>
                </w:tcPr>
                <w:p w14:paraId="53DD210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合计</w:t>
                  </w:r>
                </w:p>
              </w:tc>
              <w:tc>
                <w:tcPr>
                  <w:tcW w:w="1154" w:type="dxa"/>
                  <w:vAlign w:val="center"/>
                </w:tcPr>
                <w:p w14:paraId="24F6CFC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9.0</w:t>
                  </w:r>
                </w:p>
              </w:tc>
              <w:tc>
                <w:tcPr>
                  <w:tcW w:w="1218" w:type="dxa"/>
                  <w:vAlign w:val="center"/>
                </w:tcPr>
                <w:p w14:paraId="6B9ECEC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2970</w:t>
                  </w:r>
                </w:p>
              </w:tc>
              <w:tc>
                <w:tcPr>
                  <w:tcW w:w="1069" w:type="dxa"/>
                  <w:vAlign w:val="center"/>
                </w:tcPr>
                <w:p w14:paraId="5498D4B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2.4</w:t>
                  </w:r>
                </w:p>
              </w:tc>
              <w:tc>
                <w:tcPr>
                  <w:tcW w:w="1084" w:type="dxa"/>
                  <w:vAlign w:val="center"/>
                </w:tcPr>
                <w:p w14:paraId="21F83BD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792</w:t>
                  </w:r>
                </w:p>
              </w:tc>
            </w:tr>
          </w:tbl>
          <w:p w14:paraId="1473846B">
            <w:pPr>
              <w:keepNext w:val="0"/>
              <w:keepLines w:val="0"/>
              <w:pageBreakBefore w:val="0"/>
              <w:widowControl w:val="0"/>
              <w:kinsoku/>
              <w:wordWrap/>
              <w:overflowPunct/>
              <w:topLinePunct w:val="0"/>
              <w:bidi w:val="0"/>
              <w:spacing w:line="360" w:lineRule="auto"/>
              <w:jc w:val="center"/>
              <w:textAlignment w:val="auto"/>
              <w:rPr>
                <w:rFonts w:hint="default" w:ascii="Times New Roman" w:hAnsi="Times New Roman" w:eastAsia="宋体" w:cs="Times New Roman"/>
                <w:b w:val="0"/>
                <w:bCs/>
                <w:color w:val="auto"/>
                <w:spacing w:val="0"/>
                <w:sz w:val="24"/>
                <w:szCs w:val="24"/>
                <w:highlight w:val="none"/>
                <w:lang w:val="en-US" w:eastAsia="zh-CN"/>
              </w:rPr>
            </w:pPr>
            <w:r>
              <w:rPr>
                <w:rFonts w:hint="default" w:ascii="Times New Roman" w:hAnsi="Times New Roman" w:eastAsia="黑体" w:cs="Times New Roman"/>
                <w:iCs/>
                <w:snapToGrid w:val="0"/>
                <w:color w:val="auto"/>
                <w:spacing w:val="0"/>
                <w:kern w:val="0"/>
                <w:sz w:val="21"/>
                <w:szCs w:val="20"/>
                <w:highlight w:val="none"/>
                <w:lang w:val="en-US" w:eastAsia="zh-CN" w:bidi="ar-SA"/>
              </w:rPr>
              <w:object>
                <v:shape id="_x0000_i1025" o:spt="75" type="#_x0000_t75" style="height:118.15pt;width:409.6pt;" o:ole="t" filled="f" o:preferrelative="t" stroked="f" coordsize="21600,21600">
                  <v:path/>
                  <v:fill on="f" focussize="0,0"/>
                  <v:stroke on="f"/>
                  <v:imagedata r:id="rId25" o:title=""/>
                  <o:lock v:ext="edit" aspectratio="f"/>
                  <w10:wrap type="none"/>
                  <w10:anchorlock/>
                </v:shape>
                <o:OLEObject Type="Embed" ProgID="Visio.Drawing.15" ShapeID="_x0000_i1025" DrawAspect="Content" ObjectID="_1468075725" r:id="rId24">
                  <o:LockedField>false</o:LockedField>
                </o:OLEObject>
              </w:object>
            </w:r>
            <w:r>
              <w:rPr>
                <w:rFonts w:hint="default" w:ascii="Times New Roman" w:hAnsi="Times New Roman" w:eastAsia="黑体" w:cs="Times New Roman"/>
                <w:iCs/>
                <w:snapToGrid w:val="0"/>
                <w:color w:val="auto"/>
                <w:spacing w:val="0"/>
                <w:kern w:val="0"/>
                <w:sz w:val="21"/>
                <w:szCs w:val="20"/>
                <w:highlight w:val="none"/>
                <w:lang w:val="en-US" w:eastAsia="zh-CN" w:bidi="ar-SA"/>
              </w:rPr>
              <w:t>图</w:t>
            </w:r>
            <w:r>
              <w:rPr>
                <w:rFonts w:hint="eastAsia" w:eastAsia="黑体" w:cs="Times New Roman"/>
                <w:iCs/>
                <w:snapToGrid w:val="0"/>
                <w:color w:val="auto"/>
                <w:spacing w:val="0"/>
                <w:kern w:val="0"/>
                <w:sz w:val="21"/>
                <w:szCs w:val="20"/>
                <w:highlight w:val="none"/>
                <w:lang w:val="en-US" w:eastAsia="zh-CN" w:bidi="ar-SA"/>
              </w:rPr>
              <w:t>2.7</w:t>
            </w:r>
            <w:r>
              <w:rPr>
                <w:rFonts w:hint="default" w:ascii="Times New Roman" w:hAnsi="Times New Roman" w:eastAsia="黑体" w:cs="Times New Roman"/>
                <w:iCs/>
                <w:snapToGrid w:val="0"/>
                <w:color w:val="auto"/>
                <w:spacing w:val="0"/>
                <w:kern w:val="0"/>
                <w:sz w:val="21"/>
                <w:szCs w:val="20"/>
                <w:highlight w:val="none"/>
                <w:lang w:val="en-US" w:eastAsia="zh-CN" w:bidi="ar-SA"/>
              </w:rPr>
              <w:t>-1   本项目水平衡图（m³/d）</w:t>
            </w:r>
          </w:p>
          <w:p w14:paraId="4C7E93F6">
            <w:pPr>
              <w:keepNext w:val="0"/>
              <w:keepLines w:val="0"/>
              <w:pageBreakBefore w:val="0"/>
              <w:widowControl w:val="0"/>
              <w:kinsoku/>
              <w:wordWrap/>
              <w:overflowPunct/>
              <w:topLinePunct w:val="0"/>
              <w:bidi w:val="0"/>
              <w:spacing w:line="480" w:lineRule="exact"/>
              <w:ind w:firstLine="480" w:firstLineChars="200"/>
              <w:textAlignment w:val="auto"/>
              <w:rPr>
                <w:rFonts w:hint="default" w:ascii="Times New Roman" w:hAnsi="Times New Roman" w:eastAsia="宋体" w:cs="Times New Roman"/>
                <w:b w:val="0"/>
                <w:bCs/>
                <w:color w:val="auto"/>
                <w:spacing w:val="0"/>
                <w:sz w:val="24"/>
                <w:szCs w:val="24"/>
                <w:highlight w:val="none"/>
                <w:lang w:val="en-US" w:eastAsia="zh-CN"/>
              </w:rPr>
            </w:pPr>
            <w:r>
              <w:rPr>
                <w:rFonts w:hint="default" w:ascii="Times New Roman" w:hAnsi="Times New Roman" w:eastAsia="宋体" w:cs="Times New Roman"/>
                <w:b w:val="0"/>
                <w:bCs/>
                <w:color w:val="auto"/>
                <w:spacing w:val="0"/>
                <w:sz w:val="24"/>
                <w:szCs w:val="24"/>
                <w:highlight w:val="none"/>
                <w:lang w:val="en-US" w:eastAsia="zh-CN"/>
              </w:rPr>
              <w:t>2</w:t>
            </w:r>
            <w:r>
              <w:rPr>
                <w:rFonts w:hint="eastAsia" w:ascii="Times New Roman" w:hAnsi="Times New Roman" w:eastAsia="宋体" w:cs="Times New Roman"/>
                <w:b w:val="0"/>
                <w:bCs/>
                <w:color w:val="auto"/>
                <w:spacing w:val="0"/>
                <w:sz w:val="24"/>
                <w:szCs w:val="24"/>
                <w:highlight w:val="none"/>
                <w:lang w:val="en-US" w:eastAsia="zh-CN"/>
              </w:rPr>
              <w:t>.</w:t>
            </w:r>
            <w:r>
              <w:rPr>
                <w:rFonts w:hint="default" w:ascii="Times New Roman" w:hAnsi="Times New Roman" w:eastAsia="宋体" w:cs="Times New Roman"/>
                <w:b w:val="0"/>
                <w:bCs/>
                <w:color w:val="auto"/>
                <w:spacing w:val="0"/>
                <w:sz w:val="24"/>
                <w:szCs w:val="24"/>
                <w:highlight w:val="none"/>
                <w:lang w:val="en-US" w:eastAsia="zh-CN"/>
              </w:rPr>
              <w:t>供电</w:t>
            </w:r>
          </w:p>
          <w:p w14:paraId="02DB586E">
            <w:pPr>
              <w:keepNext w:val="0"/>
              <w:keepLines w:val="0"/>
              <w:pageBreakBefore w:val="0"/>
              <w:widowControl w:val="0"/>
              <w:kinsoku/>
              <w:wordWrap/>
              <w:overflowPunct/>
              <w:topLinePunct w:val="0"/>
              <w:bidi w:val="0"/>
              <w:spacing w:line="480" w:lineRule="exact"/>
              <w:ind w:firstLine="480" w:firstLineChars="200"/>
              <w:textAlignment w:val="auto"/>
              <w:rPr>
                <w:rFonts w:hint="default" w:ascii="Times New Roman" w:hAnsi="Times New Roman" w:eastAsia="宋体" w:cs="Times New Roman"/>
                <w:bCs/>
                <w:color w:val="auto"/>
                <w:spacing w:val="0"/>
                <w:sz w:val="24"/>
                <w:szCs w:val="24"/>
                <w:highlight w:val="none"/>
                <w:lang w:val="en-US" w:eastAsia="zh-CN"/>
              </w:rPr>
            </w:pPr>
            <w:r>
              <w:rPr>
                <w:rFonts w:hint="eastAsia" w:ascii="Times New Roman" w:hAnsi="Times New Roman" w:eastAsia="宋体" w:cs="Times New Roman"/>
                <w:bCs/>
                <w:color w:val="auto"/>
                <w:spacing w:val="0"/>
                <w:sz w:val="24"/>
                <w:szCs w:val="24"/>
                <w:highlight w:val="none"/>
                <w:lang w:val="en-US" w:eastAsia="zh-CN"/>
              </w:rPr>
              <w:t>本项目</w:t>
            </w:r>
            <w:r>
              <w:rPr>
                <w:rFonts w:hint="eastAsia" w:cs="Times New Roman"/>
                <w:bCs/>
                <w:color w:val="auto"/>
                <w:spacing w:val="0"/>
                <w:sz w:val="24"/>
                <w:szCs w:val="24"/>
                <w:highlight w:val="none"/>
                <w:lang w:val="en-US" w:eastAsia="zh-CN"/>
              </w:rPr>
              <w:t>用电</w:t>
            </w:r>
            <w:r>
              <w:rPr>
                <w:rFonts w:hint="eastAsia" w:ascii="Times New Roman" w:hAnsi="Times New Roman" w:eastAsia="宋体" w:cs="Times New Roman"/>
                <w:bCs/>
                <w:color w:val="auto"/>
                <w:spacing w:val="0"/>
                <w:sz w:val="24"/>
                <w:szCs w:val="24"/>
                <w:highlight w:val="none"/>
                <w:lang w:val="en-US" w:eastAsia="zh-CN"/>
              </w:rPr>
              <w:t>接自选煤厂工业场地电气楼高压配电室，配电室双回电源分别引自矿井35kV变电站10kV不同母线段。</w:t>
            </w:r>
          </w:p>
          <w:p w14:paraId="58B4BF99">
            <w:pPr>
              <w:keepNext w:val="0"/>
              <w:keepLines w:val="0"/>
              <w:pageBreakBefore w:val="0"/>
              <w:widowControl w:val="0"/>
              <w:kinsoku/>
              <w:wordWrap/>
              <w:overflowPunct/>
              <w:topLinePunct w:val="0"/>
              <w:bidi w:val="0"/>
              <w:spacing w:line="480" w:lineRule="exact"/>
              <w:ind w:firstLine="480" w:firstLineChars="200"/>
              <w:textAlignment w:val="auto"/>
              <w:rPr>
                <w:rFonts w:hint="default" w:ascii="Times New Roman" w:hAnsi="Times New Roman" w:eastAsia="宋体" w:cs="Times New Roman"/>
                <w:b w:val="0"/>
                <w:bCs/>
                <w:color w:val="auto"/>
                <w:spacing w:val="0"/>
                <w:sz w:val="24"/>
                <w:szCs w:val="24"/>
                <w:highlight w:val="none"/>
                <w:lang w:val="en-US" w:eastAsia="zh-CN"/>
              </w:rPr>
            </w:pPr>
            <w:r>
              <w:rPr>
                <w:rFonts w:hint="default" w:ascii="Times New Roman" w:hAnsi="Times New Roman" w:eastAsia="宋体" w:cs="Times New Roman"/>
                <w:b w:val="0"/>
                <w:bCs/>
                <w:color w:val="auto"/>
                <w:spacing w:val="0"/>
                <w:sz w:val="24"/>
                <w:szCs w:val="24"/>
                <w:highlight w:val="none"/>
                <w:lang w:val="en-US" w:eastAsia="zh-CN"/>
              </w:rPr>
              <w:t>3</w:t>
            </w:r>
            <w:r>
              <w:rPr>
                <w:rFonts w:hint="eastAsia" w:ascii="Times New Roman" w:hAnsi="Times New Roman" w:eastAsia="宋体" w:cs="Times New Roman"/>
                <w:b w:val="0"/>
                <w:bCs/>
                <w:color w:val="auto"/>
                <w:spacing w:val="0"/>
                <w:sz w:val="24"/>
                <w:szCs w:val="24"/>
                <w:highlight w:val="none"/>
                <w:lang w:val="en-US" w:eastAsia="zh-CN"/>
              </w:rPr>
              <w:t>.</w:t>
            </w:r>
            <w:r>
              <w:rPr>
                <w:rFonts w:hint="default" w:ascii="Times New Roman" w:hAnsi="Times New Roman" w:eastAsia="宋体" w:cs="Times New Roman"/>
                <w:b w:val="0"/>
                <w:bCs/>
                <w:color w:val="auto"/>
                <w:spacing w:val="0"/>
                <w:sz w:val="24"/>
                <w:szCs w:val="24"/>
                <w:highlight w:val="none"/>
                <w:lang w:val="en-US" w:eastAsia="zh-CN"/>
              </w:rPr>
              <w:t>采暖</w:t>
            </w:r>
          </w:p>
          <w:p w14:paraId="349FD5DF">
            <w:pPr>
              <w:keepNext w:val="0"/>
              <w:keepLines w:val="0"/>
              <w:pageBreakBefore w:val="0"/>
              <w:widowControl w:val="0"/>
              <w:kinsoku/>
              <w:wordWrap/>
              <w:overflowPunct/>
              <w:topLinePunct w:val="0"/>
              <w:bidi w:val="0"/>
              <w:spacing w:line="480" w:lineRule="exact"/>
              <w:ind w:firstLine="480" w:firstLineChars="200"/>
              <w:textAlignment w:val="auto"/>
              <w:rPr>
                <w:rFonts w:hint="default" w:ascii="Times New Roman" w:hAnsi="Times New Roman" w:eastAsia="宋体" w:cs="Times New Roman"/>
                <w:bCs/>
                <w:color w:val="auto"/>
                <w:spacing w:val="0"/>
                <w:sz w:val="24"/>
                <w:szCs w:val="24"/>
                <w:highlight w:val="none"/>
                <w:lang w:val="en-US" w:eastAsia="zh-CN"/>
              </w:rPr>
            </w:pPr>
            <w:r>
              <w:rPr>
                <w:rFonts w:hint="default" w:ascii="Times New Roman" w:hAnsi="Times New Roman" w:eastAsia="宋体" w:cs="Times New Roman"/>
                <w:bCs/>
                <w:color w:val="auto"/>
                <w:spacing w:val="0"/>
                <w:sz w:val="24"/>
                <w:szCs w:val="24"/>
                <w:highlight w:val="none"/>
                <w:lang w:val="en-US" w:eastAsia="zh-CN"/>
              </w:rPr>
              <w:t>本项目不</w:t>
            </w:r>
            <w:r>
              <w:rPr>
                <w:rFonts w:hint="eastAsia" w:cs="Times New Roman"/>
                <w:bCs/>
                <w:color w:val="auto"/>
                <w:spacing w:val="0"/>
                <w:sz w:val="24"/>
                <w:szCs w:val="24"/>
                <w:highlight w:val="none"/>
                <w:lang w:val="en-US" w:eastAsia="zh-CN"/>
              </w:rPr>
              <w:t>需</w:t>
            </w:r>
            <w:r>
              <w:rPr>
                <w:rFonts w:hint="default" w:ascii="Times New Roman" w:hAnsi="Times New Roman" w:eastAsia="宋体" w:cs="Times New Roman"/>
                <w:bCs/>
                <w:color w:val="auto"/>
                <w:spacing w:val="0"/>
                <w:sz w:val="24"/>
                <w:szCs w:val="24"/>
                <w:highlight w:val="none"/>
                <w:lang w:val="en-US" w:eastAsia="zh-CN"/>
              </w:rPr>
              <w:t>供暖。</w:t>
            </w:r>
          </w:p>
        </w:tc>
      </w:tr>
      <w:tr w14:paraId="31DAA6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781" w:type="dxa"/>
            <w:vAlign w:val="center"/>
          </w:tcPr>
          <w:p w14:paraId="613636B0">
            <w:pPr>
              <w:pStyle w:val="19"/>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br w:type="page"/>
            </w:r>
            <w:r>
              <w:rPr>
                <w:rFonts w:hint="default" w:ascii="Times New Roman" w:hAnsi="Times New Roman" w:cs="Times New Roman"/>
                <w:color w:val="auto"/>
                <w:sz w:val="21"/>
                <w:szCs w:val="21"/>
                <w:highlight w:val="none"/>
              </w:rPr>
              <w:t>工艺流程和产排污环节</w:t>
            </w:r>
          </w:p>
        </w:tc>
        <w:tc>
          <w:tcPr>
            <w:tcW w:w="8280" w:type="dxa"/>
          </w:tcPr>
          <w:p w14:paraId="63DD9CEA">
            <w:pPr>
              <w:keepNext w:val="0"/>
              <w:keepLines w:val="0"/>
              <w:pageBreakBefore w:val="0"/>
              <w:widowControl w:val="0"/>
              <w:kinsoku/>
              <w:wordWrap/>
              <w:overflowPunct/>
              <w:topLinePunct w:val="0"/>
              <w:autoSpaceDE w:val="0"/>
              <w:autoSpaceDN w:val="0"/>
              <w:bidi w:val="0"/>
              <w:adjustRightInd w:val="0"/>
              <w:snapToGrid w:val="0"/>
              <w:spacing w:line="480" w:lineRule="exact"/>
              <w:ind w:firstLine="482" w:firstLineChars="200"/>
              <w:jc w:val="both"/>
              <w:textAlignment w:val="auto"/>
              <w:rPr>
                <w:rFonts w:hint="eastAsia"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2.</w:t>
            </w:r>
            <w:r>
              <w:rPr>
                <w:rFonts w:hint="eastAsia" w:cs="Times New Roman"/>
                <w:b/>
                <w:bCs/>
                <w:color w:val="auto"/>
                <w:sz w:val="24"/>
                <w:szCs w:val="24"/>
                <w:highlight w:val="none"/>
                <w:lang w:val="en-US" w:eastAsia="zh-CN"/>
              </w:rPr>
              <w:t>8</w:t>
            </w:r>
            <w:r>
              <w:rPr>
                <w:rFonts w:hint="eastAsia" w:ascii="Times New Roman" w:hAnsi="Times New Roman" w:eastAsia="宋体" w:cs="Times New Roman"/>
                <w:b/>
                <w:bCs/>
                <w:color w:val="auto"/>
                <w:sz w:val="24"/>
                <w:szCs w:val="24"/>
                <w:highlight w:val="none"/>
                <w:lang w:val="en-US" w:eastAsia="zh-CN"/>
              </w:rPr>
              <w:t>工艺流程和产排污环节</w:t>
            </w:r>
          </w:p>
          <w:p w14:paraId="05923EBF">
            <w:pPr>
              <w:keepNext w:val="0"/>
              <w:keepLines w:val="0"/>
              <w:pageBreakBefore w:val="0"/>
              <w:widowControl w:val="0"/>
              <w:kinsoku/>
              <w:wordWrap/>
              <w:overflowPunct/>
              <w:topLinePunct w:val="0"/>
              <w:autoSpaceDE w:val="0"/>
              <w:autoSpaceDN w:val="0"/>
              <w:bidi w:val="0"/>
              <w:adjustRightInd w:val="0"/>
              <w:snapToGrid w:val="0"/>
              <w:spacing w:line="480" w:lineRule="exact"/>
              <w:ind w:firstLine="482" w:firstLineChars="200"/>
              <w:jc w:val="both"/>
              <w:textAlignment w:val="auto"/>
              <w:rPr>
                <w:rFonts w:hint="eastAsia"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2.</w:t>
            </w:r>
            <w:r>
              <w:rPr>
                <w:rFonts w:hint="eastAsia" w:cs="Times New Roman"/>
                <w:b/>
                <w:bCs/>
                <w:color w:val="auto"/>
                <w:sz w:val="24"/>
                <w:szCs w:val="24"/>
                <w:highlight w:val="none"/>
                <w:lang w:val="en-US" w:eastAsia="zh-CN"/>
              </w:rPr>
              <w:t>8</w:t>
            </w:r>
            <w:r>
              <w:rPr>
                <w:rFonts w:hint="eastAsia" w:ascii="Times New Roman" w:hAnsi="Times New Roman" w:eastAsia="宋体" w:cs="Times New Roman"/>
                <w:b/>
                <w:bCs/>
                <w:color w:val="auto"/>
                <w:sz w:val="24"/>
                <w:szCs w:val="24"/>
                <w:highlight w:val="none"/>
                <w:lang w:val="en-US" w:eastAsia="zh-CN"/>
              </w:rPr>
              <w:t>.1 生产工艺流程</w:t>
            </w:r>
          </w:p>
          <w:p w14:paraId="4CF2005A">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本项目为</w:t>
            </w:r>
            <w:r>
              <w:rPr>
                <w:rFonts w:hint="eastAsia" w:cs="Times New Roman"/>
                <w:color w:val="auto"/>
                <w:sz w:val="24"/>
                <w:szCs w:val="24"/>
                <w:lang w:val="en-US" w:eastAsia="zh-CN"/>
              </w:rPr>
              <w:t>赵庄煤业15号煤配采选煤厂配套工程，</w:t>
            </w:r>
            <w:r>
              <w:rPr>
                <w:rFonts w:hint="default" w:ascii="Times New Roman" w:hAnsi="Times New Roman" w:eastAsia="宋体" w:cs="Times New Roman"/>
                <w:color w:val="auto"/>
                <w:sz w:val="24"/>
                <w:szCs w:val="24"/>
              </w:rPr>
              <w:t>主要</w:t>
            </w:r>
            <w:r>
              <w:rPr>
                <w:rFonts w:hint="eastAsia" w:ascii="Times New Roman" w:hAnsi="Times New Roman" w:eastAsia="宋体" w:cs="Times New Roman"/>
                <w:color w:val="auto"/>
                <w:sz w:val="24"/>
                <w:szCs w:val="24"/>
                <w:lang w:val="en-US" w:eastAsia="zh-CN"/>
              </w:rPr>
              <w:t>为</w:t>
            </w:r>
            <w:r>
              <w:rPr>
                <w:rFonts w:hint="default" w:ascii="Times New Roman" w:hAnsi="Times New Roman" w:cs="Times New Roman"/>
                <w:color w:val="auto"/>
                <w:kern w:val="0"/>
                <w:sz w:val="24"/>
                <w:szCs w:val="24"/>
                <w:highlight w:val="none"/>
                <w:lang w:val="en-US" w:eastAsia="zh-CN"/>
              </w:rPr>
              <w:t>煤炭储存</w:t>
            </w:r>
            <w:r>
              <w:rPr>
                <w:rFonts w:hint="eastAsia" w:cs="Times New Roman"/>
                <w:color w:val="auto"/>
                <w:kern w:val="0"/>
                <w:sz w:val="24"/>
                <w:szCs w:val="24"/>
                <w:highlight w:val="none"/>
                <w:lang w:val="en-US" w:eastAsia="zh-CN"/>
              </w:rPr>
              <w:t>，煤炭开采及选煤工序均已另行评价</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具体工艺流程如下：</w:t>
            </w:r>
          </w:p>
          <w:p w14:paraId="213B9CAB">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1、</w:t>
            </w:r>
            <w:r>
              <w:rPr>
                <w:rFonts w:hint="eastAsia" w:cs="Times New Roman"/>
                <w:color w:val="auto"/>
                <w:sz w:val="24"/>
                <w:szCs w:val="24"/>
                <w:lang w:val="en-US" w:eastAsia="zh-CN"/>
              </w:rPr>
              <w:t>原煤仓来煤</w:t>
            </w:r>
          </w:p>
          <w:p w14:paraId="6AB4A04A">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eastAsia" w:cs="Times New Roman"/>
                <w:color w:val="auto"/>
                <w:spacing w:val="0"/>
                <w:sz w:val="24"/>
                <w:szCs w:val="20"/>
                <w:highlight w:val="none"/>
                <w:lang w:val="en-US" w:eastAsia="zh-CN"/>
              </w:rPr>
              <w:t>本矿开采15号煤与3号煤在井下分装、分运、分时段提升储存，15号原煤经顺槽带式输送机、巷道带式输送机、15煤配仓带式输送机转载至主斜井井底15号煤仓，由15号煤仓仓下给料机进入仓下转载皮带输送至主斜井带式输送机输送至地面</w:t>
            </w:r>
            <w:r>
              <w:rPr>
                <w:rFonts w:hint="default" w:ascii="Times New Roman" w:hAnsi="Times New Roman" w:eastAsia="宋体" w:cs="Times New Roman"/>
                <w:color w:val="auto"/>
                <w:sz w:val="24"/>
                <w:szCs w:val="24"/>
                <w:lang w:val="en-US" w:eastAsia="zh-CN"/>
              </w:rPr>
              <w:t>，</w:t>
            </w:r>
            <w:r>
              <w:rPr>
                <w:rFonts w:hint="eastAsia" w:cs="Times New Roman"/>
                <w:color w:val="auto"/>
                <w:sz w:val="24"/>
                <w:szCs w:val="24"/>
                <w:lang w:val="en-US" w:eastAsia="zh-CN"/>
              </w:rPr>
              <w:t>通过</w:t>
            </w:r>
            <w:r>
              <w:rPr>
                <w:rFonts w:hint="default" w:ascii="Times New Roman" w:hAnsi="Times New Roman" w:eastAsia="宋体" w:cs="Times New Roman"/>
                <w:color w:val="auto"/>
                <w:sz w:val="24"/>
                <w:szCs w:val="24"/>
                <w:lang w:val="en-US" w:eastAsia="zh-CN"/>
              </w:rPr>
              <w:t>仓上配仓带式输送机，给入</w:t>
            </w:r>
            <w:r>
              <w:rPr>
                <w:rFonts w:hint="eastAsia" w:cs="Times New Roman"/>
                <w:color w:val="auto"/>
                <w:sz w:val="24"/>
                <w:szCs w:val="24"/>
                <w:lang w:val="en-US" w:eastAsia="zh-CN"/>
              </w:rPr>
              <w:t>本项目</w:t>
            </w:r>
            <w:r>
              <w:rPr>
                <w:rFonts w:hint="default" w:ascii="Times New Roman" w:hAnsi="Times New Roman" w:eastAsia="宋体" w:cs="Times New Roman"/>
                <w:color w:val="auto"/>
                <w:sz w:val="24"/>
                <w:szCs w:val="24"/>
                <w:lang w:val="en-US" w:eastAsia="zh-CN"/>
              </w:rPr>
              <w:t>新建原煤仓，仓下由4台给煤机将15号原煤给入现有仓下带式输送机，与3号原煤一同（或分时）进入筛分破碎车间。</w:t>
            </w:r>
          </w:p>
          <w:p w14:paraId="5C6880D6">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2、</w:t>
            </w:r>
            <w:r>
              <w:rPr>
                <w:rFonts w:hint="eastAsia" w:cs="Times New Roman"/>
                <w:color w:val="auto"/>
                <w:sz w:val="24"/>
                <w:szCs w:val="24"/>
                <w:lang w:val="en-US" w:eastAsia="zh-CN"/>
              </w:rPr>
              <w:t>末煤仓</w:t>
            </w:r>
          </w:p>
          <w:p w14:paraId="157BED54">
            <w:pPr>
              <w:keepNext w:val="0"/>
              <w:keepLines w:val="0"/>
              <w:pageBreakBefore w:val="0"/>
              <w:widowControl w:val="0"/>
              <w:kinsoku/>
              <w:wordWrap/>
              <w:overflowPunct/>
              <w:topLinePunct w:val="0"/>
              <w:autoSpaceDE w:val="0"/>
              <w:autoSpaceDN w:val="0"/>
              <w:bidi w:val="0"/>
              <w:adjustRightInd w:val="0"/>
              <w:snapToGrid w:val="0"/>
              <w:spacing w:line="480" w:lineRule="exact"/>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配洗后的末煤通过现有末煤仓带式输送机运输至现有末煤仓上，</w:t>
            </w:r>
            <w:r>
              <w:rPr>
                <w:rFonts w:hint="eastAsia" w:cs="Times New Roman"/>
                <w:color w:val="auto"/>
                <w:sz w:val="24"/>
                <w:szCs w:val="24"/>
                <w:lang w:val="en-US" w:eastAsia="zh-CN"/>
              </w:rPr>
              <w:t>通过</w:t>
            </w:r>
            <w:r>
              <w:rPr>
                <w:rFonts w:hint="default" w:ascii="Times New Roman" w:hAnsi="Times New Roman" w:eastAsia="宋体" w:cs="Times New Roman"/>
                <w:color w:val="auto"/>
                <w:sz w:val="24"/>
                <w:szCs w:val="24"/>
                <w:lang w:val="en-US" w:eastAsia="zh-CN"/>
              </w:rPr>
              <w:t>仓上配仓带式输送机</w:t>
            </w:r>
            <w:r>
              <w:rPr>
                <w:rFonts w:hint="eastAsia"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给入</w:t>
            </w:r>
            <w:r>
              <w:rPr>
                <w:rFonts w:hint="eastAsia" w:cs="Times New Roman"/>
                <w:color w:val="auto"/>
                <w:sz w:val="24"/>
                <w:szCs w:val="24"/>
                <w:lang w:val="en-US" w:eastAsia="zh-CN"/>
              </w:rPr>
              <w:t>本项目</w:t>
            </w:r>
            <w:r>
              <w:rPr>
                <w:rFonts w:hint="default" w:ascii="Times New Roman" w:hAnsi="Times New Roman" w:eastAsia="宋体" w:cs="Times New Roman"/>
                <w:color w:val="auto"/>
                <w:sz w:val="24"/>
                <w:szCs w:val="24"/>
                <w:lang w:val="en-US" w:eastAsia="zh-CN"/>
              </w:rPr>
              <w:t>新建末煤仓，仓下由4台给煤机将产品给入现有末煤仓仓下收集带式输送机后，经各转载点及带式输送机栈桥转载装车外运。</w:t>
            </w:r>
          </w:p>
          <w:p w14:paraId="0C46626A">
            <w:pPr>
              <w:keepNext w:val="0"/>
              <w:keepLines w:val="0"/>
              <w:pageBreakBefore w:val="0"/>
              <w:widowControl w:val="0"/>
              <w:kinsoku/>
              <w:wordWrap/>
              <w:overflowPunct/>
              <w:topLinePunct w:val="0"/>
              <w:bidi w:val="0"/>
              <w:adjustRightInd w:val="0"/>
              <w:snapToGrid w:val="0"/>
              <w:spacing w:line="480" w:lineRule="exact"/>
              <w:ind w:firstLine="480" w:firstLineChars="200"/>
              <w:jc w:val="both"/>
              <w:textAlignment w:val="auto"/>
              <w:rPr>
                <w:rFonts w:hint="eastAsia" w:ascii="Times New Roman" w:hAnsi="Times New Roman" w:eastAsia="宋体" w:cs="Times New Roman"/>
                <w:bCs/>
                <w:color w:val="auto"/>
                <w:sz w:val="24"/>
                <w:szCs w:val="24"/>
                <w:highlight w:val="none"/>
                <w:lang w:val="en-US" w:eastAsia="zh-CN"/>
              </w:rPr>
            </w:pPr>
            <w:r>
              <w:rPr>
                <w:rFonts w:hint="eastAsia" w:ascii="Times New Roman" w:hAnsi="Times New Roman" w:eastAsia="宋体" w:cs="Times New Roman"/>
                <w:bCs/>
                <w:color w:val="auto"/>
                <w:sz w:val="24"/>
                <w:szCs w:val="24"/>
                <w:highlight w:val="none"/>
                <w:lang w:val="en-US" w:eastAsia="zh-CN"/>
              </w:rPr>
              <w:t>生产工艺流程及污染节点见</w:t>
            </w:r>
            <w:r>
              <w:rPr>
                <w:rFonts w:hint="eastAsia" w:cs="Times New Roman"/>
                <w:bCs/>
                <w:color w:val="auto"/>
                <w:sz w:val="24"/>
                <w:szCs w:val="24"/>
                <w:highlight w:val="none"/>
                <w:lang w:val="en-US" w:eastAsia="zh-CN"/>
              </w:rPr>
              <w:t>下</w:t>
            </w:r>
            <w:r>
              <w:rPr>
                <w:rFonts w:hint="eastAsia" w:ascii="Times New Roman" w:hAnsi="Times New Roman" w:eastAsia="宋体" w:cs="Times New Roman"/>
                <w:bCs/>
                <w:color w:val="auto"/>
                <w:sz w:val="24"/>
                <w:szCs w:val="24"/>
                <w:highlight w:val="none"/>
                <w:lang w:val="en-US" w:eastAsia="zh-CN"/>
              </w:rPr>
              <w:t>图。</w:t>
            </w:r>
          </w:p>
          <w:p w14:paraId="5B01C6AE">
            <w:pPr>
              <w:jc w:val="center"/>
              <w:rPr>
                <w:rFonts w:hint="eastAsia"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object>
                <v:shape id="_x0000_i1026" o:spt="75" type="#_x0000_t75" style="height:71.95pt;width:408.6pt;" o:ole="t" filled="f" o:preferrelative="t" stroked="f" coordsize="21600,21600">
                  <v:path/>
                  <v:fill on="f" focussize="0,0"/>
                  <v:stroke on="f"/>
                  <v:imagedata r:id="rId27" o:title=""/>
                  <o:lock v:ext="edit" aspectratio="f"/>
                  <w10:wrap type="none"/>
                  <w10:anchorlock/>
                </v:shape>
                <o:OLEObject Type="Embed" ProgID="Visio.Drawing.15" ShapeID="_x0000_i1026" DrawAspect="Content" ObjectID="_1468075726" r:id="rId26">
                  <o:LockedField>false</o:LockedField>
                </o:OLEObject>
              </w:object>
            </w:r>
            <w:r>
              <w:rPr>
                <w:rFonts w:hint="default" w:ascii="Times New Roman" w:hAnsi="Times New Roman" w:eastAsia="黑体" w:cs="Times New Roman"/>
                <w:b w:val="0"/>
                <w:bCs w:val="0"/>
                <w:color w:val="auto"/>
                <w:kern w:val="2"/>
                <w:sz w:val="21"/>
                <w:szCs w:val="21"/>
                <w:highlight w:val="none"/>
                <w:lang w:val="en-US" w:eastAsia="zh-CN" w:bidi="ar-SA"/>
              </w:rPr>
              <w:t>图</w:t>
            </w:r>
            <w:r>
              <w:rPr>
                <w:rFonts w:hint="eastAsia" w:eastAsia="黑体" w:cs="Times New Roman"/>
                <w:b w:val="0"/>
                <w:bCs w:val="0"/>
                <w:color w:val="auto"/>
                <w:kern w:val="2"/>
                <w:sz w:val="21"/>
                <w:szCs w:val="21"/>
                <w:highlight w:val="none"/>
                <w:lang w:val="en-US" w:eastAsia="zh-CN" w:bidi="ar-SA"/>
              </w:rPr>
              <w:t>2.8-1</w:t>
            </w:r>
            <w:r>
              <w:rPr>
                <w:rFonts w:hint="default" w:ascii="Times New Roman" w:hAnsi="Times New Roman" w:eastAsia="黑体" w:cs="Times New Roman"/>
                <w:b w:val="0"/>
                <w:bCs w:val="0"/>
                <w:color w:val="auto"/>
                <w:kern w:val="2"/>
                <w:sz w:val="21"/>
                <w:szCs w:val="21"/>
                <w:highlight w:val="none"/>
                <w:lang w:val="en-US" w:eastAsia="zh-CN" w:bidi="ar-SA"/>
              </w:rPr>
              <w:t xml:space="preserve">  生产工艺流程及</w:t>
            </w:r>
            <w:r>
              <w:rPr>
                <w:rFonts w:hint="eastAsia" w:eastAsia="黑体" w:cs="Times New Roman"/>
                <w:b w:val="0"/>
                <w:bCs w:val="0"/>
                <w:color w:val="auto"/>
                <w:kern w:val="2"/>
                <w:sz w:val="21"/>
                <w:szCs w:val="21"/>
                <w:highlight w:val="none"/>
                <w:lang w:val="en-US" w:eastAsia="zh-CN" w:bidi="ar-SA"/>
              </w:rPr>
              <w:t>产污</w:t>
            </w:r>
            <w:r>
              <w:rPr>
                <w:rFonts w:hint="default" w:ascii="Times New Roman" w:hAnsi="Times New Roman" w:eastAsia="黑体" w:cs="Times New Roman"/>
                <w:b w:val="0"/>
                <w:bCs w:val="0"/>
                <w:color w:val="auto"/>
                <w:kern w:val="2"/>
                <w:sz w:val="21"/>
                <w:szCs w:val="21"/>
                <w:highlight w:val="none"/>
                <w:lang w:val="en-US" w:eastAsia="zh-CN" w:bidi="ar-SA"/>
              </w:rPr>
              <w:t>节点图</w:t>
            </w:r>
          </w:p>
          <w:p w14:paraId="392BAA89">
            <w:pPr>
              <w:keepNext w:val="0"/>
              <w:keepLines w:val="0"/>
              <w:pageBreakBefore w:val="0"/>
              <w:widowControl w:val="0"/>
              <w:kinsoku/>
              <w:wordWrap/>
              <w:overflowPunct/>
              <w:topLinePunct w:val="0"/>
              <w:autoSpaceDE w:val="0"/>
              <w:autoSpaceDN w:val="0"/>
              <w:bidi w:val="0"/>
              <w:adjustRightInd w:val="0"/>
              <w:snapToGrid w:val="0"/>
              <w:spacing w:line="480" w:lineRule="exact"/>
              <w:ind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2.</w:t>
            </w:r>
            <w:r>
              <w:rPr>
                <w:rFonts w:hint="eastAsia" w:cs="Times New Roman"/>
                <w:b/>
                <w:bCs/>
                <w:color w:val="auto"/>
                <w:sz w:val="24"/>
                <w:szCs w:val="24"/>
                <w:highlight w:val="none"/>
                <w:lang w:val="en-US" w:eastAsia="zh-CN"/>
              </w:rPr>
              <w:t>8</w:t>
            </w:r>
            <w:r>
              <w:rPr>
                <w:rFonts w:hint="eastAsia" w:ascii="Times New Roman" w:hAnsi="Times New Roman" w:eastAsia="宋体" w:cs="Times New Roman"/>
                <w:b/>
                <w:bCs/>
                <w:color w:val="auto"/>
                <w:sz w:val="24"/>
                <w:szCs w:val="24"/>
                <w:highlight w:val="none"/>
                <w:lang w:val="en-US" w:eastAsia="zh-CN"/>
              </w:rPr>
              <w:t xml:space="preserve">.2 </w:t>
            </w:r>
            <w:r>
              <w:rPr>
                <w:rFonts w:hint="default" w:ascii="Times New Roman" w:hAnsi="Times New Roman" w:eastAsia="宋体" w:cs="Times New Roman"/>
                <w:b/>
                <w:bCs w:val="0"/>
                <w:color w:val="auto"/>
                <w:sz w:val="24"/>
                <w:szCs w:val="24"/>
                <w:highlight w:val="none"/>
                <w:lang w:val="en-US" w:eastAsia="zh-CN"/>
              </w:rPr>
              <w:t>产排污环节</w:t>
            </w:r>
          </w:p>
          <w:p w14:paraId="40D6E776">
            <w:pPr>
              <w:keepNext w:val="0"/>
              <w:keepLines w:val="0"/>
              <w:pageBreakBefore w:val="0"/>
              <w:widowControl w:val="0"/>
              <w:kinsoku/>
              <w:wordWrap/>
              <w:overflowPunct/>
              <w:topLinePunct w:val="0"/>
              <w:bidi w:val="0"/>
              <w:adjustRightInd w:val="0"/>
              <w:snapToGrid w:val="0"/>
              <w:spacing w:line="480" w:lineRule="exact"/>
              <w:ind w:firstLine="480" w:firstLineChars="200"/>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1</w:t>
            </w:r>
            <w:r>
              <w:rPr>
                <w:rFonts w:hint="eastAsia" w:ascii="Times New Roman" w:hAnsi="Times New Roman" w:eastAsia="宋体" w:cs="Times New Roman"/>
                <w:bCs/>
                <w:color w:val="auto"/>
                <w:sz w:val="24"/>
                <w:szCs w:val="24"/>
                <w:highlight w:val="none"/>
                <w:lang w:val="en-US" w:eastAsia="zh-CN"/>
              </w:rPr>
              <w:t>.</w:t>
            </w:r>
            <w:r>
              <w:rPr>
                <w:rFonts w:hint="default" w:ascii="Times New Roman" w:hAnsi="Times New Roman" w:eastAsia="宋体" w:cs="Times New Roman"/>
                <w:bCs/>
                <w:color w:val="auto"/>
                <w:sz w:val="24"/>
                <w:szCs w:val="24"/>
                <w:highlight w:val="none"/>
                <w:lang w:val="en-US" w:eastAsia="zh-CN"/>
              </w:rPr>
              <w:t>施工期</w:t>
            </w:r>
          </w:p>
          <w:p w14:paraId="3231BECA">
            <w:pPr>
              <w:keepNext w:val="0"/>
              <w:keepLines w:val="0"/>
              <w:pageBreakBefore w:val="0"/>
              <w:widowControl w:val="0"/>
              <w:kinsoku/>
              <w:wordWrap/>
              <w:overflowPunct/>
              <w:topLinePunct w:val="0"/>
              <w:bidi w:val="0"/>
              <w:spacing w:line="480" w:lineRule="exact"/>
              <w:ind w:firstLine="480" w:firstLineChars="200"/>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（1）施工现场物料装卸、堆放</w:t>
            </w:r>
            <w:r>
              <w:rPr>
                <w:rFonts w:hint="eastAsia" w:cs="Times New Roman"/>
                <w:bCs/>
                <w:color w:val="auto"/>
                <w:sz w:val="24"/>
                <w:szCs w:val="24"/>
                <w:highlight w:val="none"/>
                <w:lang w:val="en-US" w:eastAsia="zh-CN"/>
              </w:rPr>
              <w:t>、运输、拆除工程</w:t>
            </w:r>
            <w:r>
              <w:rPr>
                <w:rFonts w:hint="default" w:ascii="Times New Roman" w:hAnsi="Times New Roman" w:eastAsia="宋体" w:cs="Times New Roman"/>
                <w:bCs/>
                <w:color w:val="auto"/>
                <w:sz w:val="24"/>
                <w:szCs w:val="24"/>
                <w:highlight w:val="none"/>
                <w:lang w:val="en-US" w:eastAsia="zh-CN"/>
              </w:rPr>
              <w:t>等过</w:t>
            </w:r>
            <w:r>
              <w:rPr>
                <w:rFonts w:hint="eastAsia" w:cs="Times New Roman"/>
                <w:bCs/>
                <w:color w:val="auto"/>
                <w:sz w:val="24"/>
                <w:szCs w:val="24"/>
                <w:highlight w:val="none"/>
                <w:lang w:val="en-US" w:eastAsia="zh-CN"/>
              </w:rPr>
              <w:t>程中</w:t>
            </w:r>
            <w:r>
              <w:rPr>
                <w:rFonts w:hint="default" w:ascii="Times New Roman" w:hAnsi="Times New Roman" w:eastAsia="宋体" w:cs="Times New Roman"/>
                <w:bCs/>
                <w:color w:val="auto"/>
                <w:sz w:val="24"/>
                <w:szCs w:val="24"/>
                <w:highlight w:val="none"/>
                <w:lang w:val="en-US" w:eastAsia="zh-CN"/>
              </w:rPr>
              <w:t>产生的扬尘；</w:t>
            </w:r>
          </w:p>
          <w:p w14:paraId="68E71595">
            <w:pPr>
              <w:keepNext w:val="0"/>
              <w:keepLines w:val="0"/>
              <w:pageBreakBefore w:val="0"/>
              <w:widowControl w:val="0"/>
              <w:kinsoku/>
              <w:wordWrap/>
              <w:overflowPunct/>
              <w:topLinePunct w:val="0"/>
              <w:bidi w:val="0"/>
              <w:spacing w:line="480" w:lineRule="exact"/>
              <w:ind w:firstLine="480" w:firstLineChars="200"/>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w:t>
            </w:r>
            <w:r>
              <w:rPr>
                <w:rFonts w:hint="eastAsia" w:ascii="Times New Roman" w:hAnsi="Times New Roman" w:eastAsia="宋体" w:cs="Times New Roman"/>
                <w:bCs/>
                <w:color w:val="auto"/>
                <w:sz w:val="24"/>
                <w:szCs w:val="24"/>
                <w:highlight w:val="none"/>
                <w:lang w:val="en-US" w:eastAsia="zh-CN"/>
              </w:rPr>
              <w:t>2</w:t>
            </w:r>
            <w:r>
              <w:rPr>
                <w:rFonts w:hint="default" w:ascii="Times New Roman" w:hAnsi="Times New Roman" w:eastAsia="宋体" w:cs="Times New Roman"/>
                <w:bCs/>
                <w:color w:val="auto"/>
                <w:sz w:val="24"/>
                <w:szCs w:val="24"/>
                <w:highlight w:val="none"/>
                <w:lang w:val="en-US" w:eastAsia="zh-CN"/>
              </w:rPr>
              <w:t>）施工废水和施工人员的生活污水；</w:t>
            </w:r>
          </w:p>
          <w:p w14:paraId="03D6B67E">
            <w:pPr>
              <w:keepNext w:val="0"/>
              <w:keepLines w:val="0"/>
              <w:pageBreakBefore w:val="0"/>
              <w:widowControl w:val="0"/>
              <w:kinsoku/>
              <w:wordWrap/>
              <w:overflowPunct/>
              <w:topLinePunct w:val="0"/>
              <w:bidi w:val="0"/>
              <w:spacing w:line="480" w:lineRule="exact"/>
              <w:ind w:firstLine="480" w:firstLineChars="200"/>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w:t>
            </w:r>
            <w:r>
              <w:rPr>
                <w:rFonts w:hint="eastAsia" w:ascii="Times New Roman" w:hAnsi="Times New Roman" w:eastAsia="宋体" w:cs="Times New Roman"/>
                <w:bCs/>
                <w:color w:val="auto"/>
                <w:sz w:val="24"/>
                <w:szCs w:val="24"/>
                <w:highlight w:val="none"/>
                <w:lang w:val="en-US" w:eastAsia="zh-CN"/>
              </w:rPr>
              <w:t>3</w:t>
            </w:r>
            <w:r>
              <w:rPr>
                <w:rFonts w:hint="default" w:ascii="Times New Roman" w:hAnsi="Times New Roman" w:eastAsia="宋体" w:cs="Times New Roman"/>
                <w:bCs/>
                <w:color w:val="auto"/>
                <w:sz w:val="24"/>
                <w:szCs w:val="24"/>
                <w:highlight w:val="none"/>
                <w:lang w:val="en-US" w:eastAsia="zh-CN"/>
              </w:rPr>
              <w:t>）施工现场的各类机械设备噪声和建筑物料运输造成的交通噪声；</w:t>
            </w:r>
          </w:p>
          <w:p w14:paraId="56A58E77">
            <w:pPr>
              <w:keepNext w:val="0"/>
              <w:keepLines w:val="0"/>
              <w:pageBreakBefore w:val="0"/>
              <w:widowControl w:val="0"/>
              <w:kinsoku/>
              <w:wordWrap/>
              <w:overflowPunct/>
              <w:topLinePunct w:val="0"/>
              <w:bidi w:val="0"/>
              <w:spacing w:line="480" w:lineRule="exact"/>
              <w:ind w:firstLine="480" w:firstLineChars="200"/>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（4）建筑垃圾和施工人员的生活垃圾。</w:t>
            </w:r>
          </w:p>
          <w:p w14:paraId="2D69694D">
            <w:pPr>
              <w:keepNext w:val="0"/>
              <w:keepLines w:val="0"/>
              <w:pageBreakBefore w:val="0"/>
              <w:widowControl w:val="0"/>
              <w:kinsoku/>
              <w:wordWrap/>
              <w:overflowPunct/>
              <w:topLinePunct w:val="0"/>
              <w:bidi w:val="0"/>
              <w:spacing w:line="480" w:lineRule="exact"/>
              <w:ind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eastAsia" w:ascii="Times New Roman" w:hAnsi="Times New Roman" w:eastAsia="宋体" w:cs="Times New Roman"/>
                <w:b w:val="0"/>
                <w:bCs/>
                <w:color w:val="auto"/>
                <w:sz w:val="24"/>
                <w:szCs w:val="24"/>
                <w:highlight w:val="none"/>
                <w:lang w:val="en-US" w:eastAsia="zh-CN"/>
              </w:rPr>
              <w:t>2.运营期</w:t>
            </w:r>
          </w:p>
          <w:p w14:paraId="22C4AB43">
            <w:pPr>
              <w:keepNext w:val="0"/>
              <w:keepLines w:val="0"/>
              <w:pageBreakBefore w:val="0"/>
              <w:widowControl w:val="0"/>
              <w:kinsoku/>
              <w:wordWrap/>
              <w:overflowPunct/>
              <w:topLinePunct w:val="0"/>
              <w:bidi w:val="0"/>
              <w:spacing w:line="480" w:lineRule="exact"/>
              <w:ind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1</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大气污染环节</w:t>
            </w:r>
          </w:p>
          <w:p w14:paraId="4DB9BB3F">
            <w:pPr>
              <w:keepNext w:val="0"/>
              <w:keepLines w:val="0"/>
              <w:pageBreakBefore w:val="0"/>
              <w:widowControl w:val="0"/>
              <w:kinsoku/>
              <w:wordWrap/>
              <w:overflowPunct/>
              <w:topLinePunct w:val="0"/>
              <w:bidi w:val="0"/>
              <w:spacing w:line="480" w:lineRule="exact"/>
              <w:ind w:firstLine="480" w:firstLineChars="200"/>
              <w:textAlignment w:val="auto"/>
              <w:rPr>
                <w:rFonts w:hint="default" w:cs="Times New Roman"/>
                <w:color w:val="auto"/>
                <w:sz w:val="24"/>
                <w:highlight w:val="none"/>
                <w:lang w:val="en-US" w:eastAsia="zh-CN"/>
              </w:rPr>
            </w:pPr>
            <w:r>
              <w:rPr>
                <w:rFonts w:hint="default" w:ascii="Times New Roman" w:hAnsi="Times New Roman" w:cs="Times New Roman"/>
                <w:color w:val="auto"/>
                <w:sz w:val="24"/>
                <w:highlight w:val="none"/>
              </w:rPr>
              <w:t>G1</w:t>
            </w:r>
            <w:r>
              <w:rPr>
                <w:rFonts w:hint="eastAsia" w:cs="Times New Roman"/>
                <w:color w:val="auto"/>
                <w:sz w:val="24"/>
                <w:highlight w:val="none"/>
                <w:lang w:eastAsia="zh-CN"/>
              </w:rPr>
              <w:t>：</w:t>
            </w:r>
            <w:r>
              <w:rPr>
                <w:rFonts w:hint="eastAsia" w:cs="Times New Roman"/>
                <w:color w:val="auto"/>
                <w:sz w:val="24"/>
                <w:highlight w:val="none"/>
                <w:lang w:val="en-US" w:eastAsia="zh-CN"/>
              </w:rPr>
              <w:t>皮带转载粉尘；</w:t>
            </w:r>
          </w:p>
          <w:p w14:paraId="0B99CB9B">
            <w:pPr>
              <w:keepNext w:val="0"/>
              <w:keepLines w:val="0"/>
              <w:pageBreakBefore w:val="0"/>
              <w:widowControl w:val="0"/>
              <w:kinsoku/>
              <w:wordWrap/>
              <w:overflowPunct/>
              <w:topLinePunct w:val="0"/>
              <w:bidi w:val="0"/>
              <w:spacing w:line="480" w:lineRule="exact"/>
              <w:ind w:firstLine="480" w:firstLineChars="200"/>
              <w:textAlignment w:val="auto"/>
              <w:rPr>
                <w:rFonts w:hint="default" w:ascii="Times New Roman" w:hAnsi="Times New Roman" w:eastAsia="宋体" w:cs="Times New Roman"/>
                <w:bCs/>
                <w:color w:val="auto"/>
                <w:sz w:val="24"/>
                <w:szCs w:val="24"/>
                <w:highlight w:val="none"/>
                <w:lang w:val="en-US" w:eastAsia="zh-CN"/>
              </w:rPr>
            </w:pPr>
            <w:r>
              <w:rPr>
                <w:rFonts w:hint="eastAsia" w:cs="Times New Roman"/>
                <w:color w:val="auto"/>
                <w:sz w:val="24"/>
                <w:highlight w:val="none"/>
                <w:lang w:val="en-US" w:eastAsia="zh-CN"/>
              </w:rPr>
              <w:t>G2：煤炭储存粉尘</w:t>
            </w:r>
            <w:r>
              <w:rPr>
                <w:rFonts w:hint="default" w:ascii="Times New Roman" w:hAnsi="Times New Roman" w:eastAsia="宋体" w:cs="Times New Roman"/>
                <w:color w:val="auto"/>
                <w:sz w:val="24"/>
                <w:szCs w:val="20"/>
                <w:highlight w:val="none"/>
                <w:lang w:eastAsia="zh-CN"/>
              </w:rPr>
              <w:t>。</w:t>
            </w:r>
          </w:p>
          <w:p w14:paraId="1FBC0B2F">
            <w:pPr>
              <w:keepNext w:val="0"/>
              <w:keepLines w:val="0"/>
              <w:pageBreakBefore w:val="0"/>
              <w:widowControl w:val="0"/>
              <w:kinsoku/>
              <w:wordWrap/>
              <w:overflowPunct/>
              <w:topLinePunct w:val="0"/>
              <w:bidi w:val="0"/>
              <w:spacing w:line="480" w:lineRule="exact"/>
              <w:ind w:firstLine="480" w:firstLineChars="200"/>
              <w:textAlignment w:val="auto"/>
              <w:rPr>
                <w:rFonts w:hint="eastAsia"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（2）</w:t>
            </w:r>
            <w:r>
              <w:rPr>
                <w:rFonts w:hint="eastAsia" w:cs="Times New Roman"/>
                <w:bCs/>
                <w:color w:val="auto"/>
                <w:sz w:val="24"/>
                <w:szCs w:val="24"/>
                <w:highlight w:val="none"/>
                <w:lang w:val="en-US" w:eastAsia="zh-CN"/>
              </w:rPr>
              <w:t>水污染环节</w:t>
            </w:r>
          </w:p>
          <w:p w14:paraId="0A1DDABA">
            <w:pPr>
              <w:keepNext w:val="0"/>
              <w:keepLines w:val="0"/>
              <w:pageBreakBefore w:val="0"/>
              <w:widowControl w:val="0"/>
              <w:kinsoku/>
              <w:wordWrap/>
              <w:overflowPunct/>
              <w:topLinePunct w:val="0"/>
              <w:bidi w:val="0"/>
              <w:spacing w:line="480" w:lineRule="exact"/>
              <w:ind w:firstLine="480" w:firstLineChars="200"/>
              <w:textAlignment w:val="auto"/>
              <w:rPr>
                <w:rFonts w:hint="default" w:cs="Times New Roman"/>
                <w:bCs/>
                <w:color w:val="auto"/>
                <w:sz w:val="24"/>
                <w:szCs w:val="24"/>
                <w:highlight w:val="none"/>
                <w:lang w:val="en-US" w:eastAsia="zh-CN"/>
              </w:rPr>
            </w:pPr>
            <w:r>
              <w:rPr>
                <w:rFonts w:hint="eastAsia" w:cs="Times New Roman"/>
                <w:bCs/>
                <w:color w:val="auto"/>
                <w:sz w:val="24"/>
                <w:szCs w:val="24"/>
                <w:highlight w:val="none"/>
                <w:lang w:val="en-US" w:eastAsia="zh-CN"/>
              </w:rPr>
              <w:t>W1：冲洗废水。</w:t>
            </w:r>
          </w:p>
          <w:p w14:paraId="03606A2F">
            <w:pPr>
              <w:keepNext w:val="0"/>
              <w:keepLines w:val="0"/>
              <w:pageBreakBefore w:val="0"/>
              <w:widowControl w:val="0"/>
              <w:kinsoku/>
              <w:wordWrap/>
              <w:overflowPunct/>
              <w:topLinePunct w:val="0"/>
              <w:bidi w:val="0"/>
              <w:spacing w:line="480" w:lineRule="exact"/>
              <w:ind w:firstLine="480" w:firstLineChars="200"/>
              <w:textAlignment w:val="auto"/>
              <w:rPr>
                <w:rFonts w:hint="default" w:ascii="Times New Roman" w:hAnsi="Times New Roman" w:eastAsia="宋体" w:cs="Times New Roman"/>
                <w:bCs/>
                <w:color w:val="auto"/>
                <w:sz w:val="24"/>
                <w:szCs w:val="24"/>
                <w:highlight w:val="none"/>
                <w:lang w:val="en-US" w:eastAsia="zh-CN"/>
              </w:rPr>
            </w:pPr>
            <w:r>
              <w:rPr>
                <w:rFonts w:hint="eastAsia" w:cs="Times New Roman"/>
                <w:bCs/>
                <w:color w:val="auto"/>
                <w:sz w:val="24"/>
                <w:szCs w:val="24"/>
                <w:highlight w:val="none"/>
                <w:lang w:val="en-US" w:eastAsia="zh-CN"/>
              </w:rPr>
              <w:t>（3）</w:t>
            </w:r>
            <w:r>
              <w:rPr>
                <w:rFonts w:hint="default" w:ascii="Times New Roman" w:hAnsi="Times New Roman" w:eastAsia="宋体" w:cs="Times New Roman"/>
                <w:bCs/>
                <w:color w:val="auto"/>
                <w:sz w:val="24"/>
                <w:szCs w:val="24"/>
                <w:highlight w:val="none"/>
                <w:lang w:val="en-US" w:eastAsia="zh-CN"/>
              </w:rPr>
              <w:t>噪声污染</w:t>
            </w:r>
            <w:r>
              <w:rPr>
                <w:rFonts w:hint="eastAsia" w:ascii="Times New Roman" w:hAnsi="Times New Roman" w:eastAsia="宋体" w:cs="Times New Roman"/>
                <w:bCs/>
                <w:color w:val="auto"/>
                <w:sz w:val="24"/>
                <w:szCs w:val="24"/>
                <w:highlight w:val="none"/>
                <w:lang w:val="en-US" w:eastAsia="zh-CN"/>
              </w:rPr>
              <w:t>环节</w:t>
            </w:r>
          </w:p>
          <w:p w14:paraId="1E5AE5F7">
            <w:pPr>
              <w:keepNext w:val="0"/>
              <w:keepLines w:val="0"/>
              <w:pageBreakBefore w:val="0"/>
              <w:widowControl w:val="0"/>
              <w:kinsoku/>
              <w:wordWrap/>
              <w:overflowPunct/>
              <w:topLinePunct w:val="0"/>
              <w:bidi w:val="0"/>
              <w:spacing w:line="480" w:lineRule="exact"/>
              <w:ind w:firstLine="480" w:firstLineChars="200"/>
              <w:textAlignment w:val="auto"/>
              <w:rPr>
                <w:rFonts w:hint="eastAsia"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本项目噪声源主要为</w:t>
            </w:r>
            <w:r>
              <w:rPr>
                <w:rFonts w:hint="eastAsia" w:cs="Times New Roman"/>
                <w:bCs/>
                <w:color w:val="auto"/>
                <w:sz w:val="24"/>
                <w:szCs w:val="24"/>
                <w:highlight w:val="none"/>
                <w:lang w:val="en-US" w:eastAsia="zh-CN"/>
              </w:rPr>
              <w:t>给煤机、皮带输送过程中</w:t>
            </w:r>
            <w:r>
              <w:rPr>
                <w:rFonts w:hint="default" w:ascii="Times New Roman" w:hAnsi="Times New Roman" w:eastAsia="宋体" w:cs="Times New Roman"/>
                <w:bCs/>
                <w:color w:val="auto"/>
                <w:sz w:val="24"/>
                <w:szCs w:val="24"/>
                <w:highlight w:val="none"/>
                <w:lang w:val="en-US" w:eastAsia="zh-CN"/>
              </w:rPr>
              <w:t>产生的噪声</w:t>
            </w:r>
            <w:r>
              <w:rPr>
                <w:rFonts w:hint="eastAsia" w:ascii="Times New Roman" w:hAnsi="Times New Roman" w:eastAsia="宋体" w:cs="Times New Roman"/>
                <w:bCs/>
                <w:color w:val="auto"/>
                <w:sz w:val="24"/>
                <w:szCs w:val="24"/>
                <w:highlight w:val="none"/>
                <w:lang w:val="en-US" w:eastAsia="zh-CN"/>
              </w:rPr>
              <w:t>。</w:t>
            </w:r>
          </w:p>
          <w:p w14:paraId="60400C4B">
            <w:pPr>
              <w:keepNext w:val="0"/>
              <w:keepLines w:val="0"/>
              <w:pageBreakBefore w:val="0"/>
              <w:widowControl w:val="0"/>
              <w:kinsoku/>
              <w:wordWrap/>
              <w:overflowPunct/>
              <w:topLinePunct w:val="0"/>
              <w:bidi w:val="0"/>
              <w:spacing w:line="480" w:lineRule="exact"/>
              <w:ind w:firstLine="480" w:firstLineChars="200"/>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w:t>
            </w:r>
            <w:r>
              <w:rPr>
                <w:rFonts w:hint="eastAsia" w:cs="Times New Roman"/>
                <w:bCs/>
                <w:color w:val="auto"/>
                <w:sz w:val="24"/>
                <w:szCs w:val="24"/>
                <w:highlight w:val="none"/>
                <w:lang w:val="en-US" w:eastAsia="zh-CN"/>
              </w:rPr>
              <w:t>4</w:t>
            </w:r>
            <w:r>
              <w:rPr>
                <w:rFonts w:hint="default" w:ascii="Times New Roman" w:hAnsi="Times New Roman" w:eastAsia="宋体" w:cs="Times New Roman"/>
                <w:bCs/>
                <w:color w:val="auto"/>
                <w:sz w:val="24"/>
                <w:szCs w:val="24"/>
                <w:highlight w:val="none"/>
                <w:lang w:val="en-US" w:eastAsia="zh-CN"/>
              </w:rPr>
              <w:t>）固体废物污染</w:t>
            </w:r>
            <w:r>
              <w:rPr>
                <w:rFonts w:hint="eastAsia" w:ascii="Times New Roman" w:hAnsi="Times New Roman" w:eastAsia="宋体" w:cs="Times New Roman"/>
                <w:bCs/>
                <w:color w:val="auto"/>
                <w:sz w:val="24"/>
                <w:szCs w:val="24"/>
                <w:highlight w:val="none"/>
                <w:lang w:val="en-US" w:eastAsia="zh-CN"/>
              </w:rPr>
              <w:t>环节</w:t>
            </w:r>
          </w:p>
          <w:p w14:paraId="1D743006">
            <w:pPr>
              <w:keepNext w:val="0"/>
              <w:keepLines w:val="0"/>
              <w:pageBreakBefore w:val="0"/>
              <w:widowControl w:val="0"/>
              <w:kinsoku/>
              <w:wordWrap/>
              <w:overflowPunct/>
              <w:topLinePunct w:val="0"/>
              <w:bidi w:val="0"/>
              <w:adjustRightInd w:val="0"/>
              <w:snapToGrid w:val="0"/>
              <w:spacing w:line="480" w:lineRule="exact"/>
              <w:ind w:firstLine="480" w:firstLineChars="200"/>
              <w:jc w:val="both"/>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本项目运营期产生的固体废物主要包括：生产设备维修保养产生的废矿物油</w:t>
            </w:r>
            <w:r>
              <w:rPr>
                <w:rFonts w:hint="eastAsia" w:cs="Times New Roman"/>
                <w:bCs/>
                <w:color w:val="auto"/>
                <w:sz w:val="24"/>
                <w:szCs w:val="24"/>
                <w:highlight w:val="none"/>
                <w:lang w:val="en-US" w:eastAsia="zh-CN"/>
              </w:rPr>
              <w:t>、废油桶</w:t>
            </w:r>
            <w:r>
              <w:rPr>
                <w:rFonts w:hint="default" w:ascii="Times New Roman" w:hAnsi="Times New Roman" w:eastAsia="宋体" w:cs="Times New Roman"/>
                <w:bCs/>
                <w:color w:val="auto"/>
                <w:sz w:val="24"/>
                <w:szCs w:val="24"/>
                <w:highlight w:val="none"/>
                <w:lang w:val="en-US" w:eastAsia="zh-CN"/>
              </w:rPr>
              <w:t>和雨水收集池产生的沉淀煤泥。</w:t>
            </w:r>
          </w:p>
        </w:tc>
      </w:tr>
      <w:tr w14:paraId="02BFB0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87" w:hRule="atLeast"/>
          <w:jc w:val="center"/>
        </w:trPr>
        <w:tc>
          <w:tcPr>
            <w:tcW w:w="781" w:type="dxa"/>
            <w:vAlign w:val="center"/>
          </w:tcPr>
          <w:p w14:paraId="20EDC1DB">
            <w:pPr>
              <w:pStyle w:val="19"/>
              <w:adjustRightInd w:val="0"/>
              <w:snapToGrid w:val="0"/>
              <w:spacing w:before="0" w:beforeAutospacing="0" w:after="0" w:afterAutospacing="0"/>
              <w:jc w:val="center"/>
              <w:rPr>
                <w:rFonts w:hint="default" w:ascii="Times New Roman" w:hAnsi="Times New Roman" w:cs="Times New Roman"/>
                <w:color w:val="auto"/>
                <w:kern w:val="0"/>
                <w:sz w:val="21"/>
                <w:szCs w:val="21"/>
                <w:highlight w:val="none"/>
                <w:lang w:val="en-US" w:eastAsia="zh-CN" w:bidi="ar-SA"/>
              </w:rPr>
            </w:pPr>
            <w:r>
              <w:rPr>
                <w:rFonts w:hint="default" w:ascii="Times New Roman" w:hAnsi="Times New Roman" w:cs="Times New Roman"/>
                <w:bCs/>
                <w:color w:val="auto"/>
                <w:kern w:val="2"/>
                <w:sz w:val="21"/>
                <w:szCs w:val="21"/>
                <w:highlight w:val="none"/>
              </w:rPr>
              <w:t>与项目有关的原有环境污染问题</w:t>
            </w:r>
          </w:p>
        </w:tc>
        <w:tc>
          <w:tcPr>
            <w:tcW w:w="8280" w:type="dxa"/>
            <w:vAlign w:val="center"/>
          </w:tcPr>
          <w:p w14:paraId="6D81EAEF">
            <w:pPr>
              <w:keepNext w:val="0"/>
              <w:keepLines w:val="0"/>
              <w:pageBreakBefore w:val="0"/>
              <w:widowControl w:val="0"/>
              <w:kinsoku/>
              <w:wordWrap/>
              <w:overflowPunct/>
              <w:topLinePunct w:val="0"/>
              <w:autoSpaceDE w:val="0"/>
              <w:autoSpaceDN w:val="0"/>
              <w:bidi w:val="0"/>
              <w:adjustRightInd w:val="0"/>
              <w:snapToGrid w:val="0"/>
              <w:spacing w:line="480" w:lineRule="exact"/>
              <w:ind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2.</w:t>
            </w:r>
            <w:r>
              <w:rPr>
                <w:rFonts w:hint="eastAsia" w:cs="Times New Roman"/>
                <w:b/>
                <w:bCs/>
                <w:color w:val="auto"/>
                <w:sz w:val="24"/>
                <w:szCs w:val="24"/>
                <w:highlight w:val="none"/>
                <w:lang w:val="en-US" w:eastAsia="zh-CN"/>
              </w:rPr>
              <w:t>9与本项目有关的</w:t>
            </w:r>
            <w:r>
              <w:rPr>
                <w:rFonts w:hint="eastAsia" w:ascii="Times New Roman" w:hAnsi="Times New Roman" w:eastAsia="宋体" w:cs="Times New Roman"/>
                <w:b/>
                <w:bCs/>
                <w:color w:val="auto"/>
                <w:sz w:val="24"/>
                <w:szCs w:val="24"/>
                <w:highlight w:val="none"/>
                <w:lang w:val="en-US" w:eastAsia="zh-CN"/>
              </w:rPr>
              <w:t>现有</w:t>
            </w:r>
            <w:r>
              <w:rPr>
                <w:rFonts w:hint="eastAsia" w:cs="Times New Roman"/>
                <w:b/>
                <w:bCs/>
                <w:color w:val="auto"/>
                <w:sz w:val="24"/>
                <w:szCs w:val="24"/>
                <w:highlight w:val="none"/>
                <w:lang w:val="en-US" w:eastAsia="zh-CN"/>
              </w:rPr>
              <w:t>工程</w:t>
            </w:r>
            <w:r>
              <w:rPr>
                <w:rFonts w:hint="eastAsia" w:ascii="Times New Roman" w:hAnsi="Times New Roman" w:eastAsia="宋体" w:cs="Times New Roman"/>
                <w:b/>
                <w:bCs/>
                <w:color w:val="auto"/>
                <w:sz w:val="24"/>
                <w:szCs w:val="24"/>
                <w:highlight w:val="none"/>
                <w:lang w:val="en-US" w:eastAsia="zh-CN"/>
              </w:rPr>
              <w:t>环保手续履行情况</w:t>
            </w:r>
          </w:p>
          <w:p w14:paraId="3E5509A3">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eastAsia" w:cs="Times New Roman"/>
                <w:bCs/>
                <w:color w:val="auto"/>
                <w:spacing w:val="0"/>
                <w:sz w:val="24"/>
                <w:szCs w:val="24"/>
                <w:highlight w:val="none"/>
                <w:lang w:val="en-US" w:eastAsia="zh-CN"/>
              </w:rPr>
            </w:pPr>
            <w:r>
              <w:rPr>
                <w:rFonts w:hint="eastAsia" w:cs="Times New Roman"/>
                <w:bCs/>
                <w:color w:val="auto"/>
                <w:spacing w:val="0"/>
                <w:sz w:val="24"/>
                <w:szCs w:val="24"/>
                <w:highlight w:val="none"/>
                <w:lang w:val="en-US" w:eastAsia="zh-CN"/>
              </w:rPr>
              <w:t>与本项目有关的现有工程环保手续履行情况见下表。</w:t>
            </w:r>
          </w:p>
          <w:p w14:paraId="1663D20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黑体" w:cs="Times New Roman"/>
                <w:b w:val="0"/>
                <w:bCs w:val="0"/>
                <w:color w:val="auto"/>
                <w:kern w:val="2"/>
                <w:sz w:val="21"/>
                <w:szCs w:val="21"/>
                <w:highlight w:val="none"/>
                <w:lang w:val="en-US" w:eastAsia="zh-CN" w:bidi="ar-SA"/>
              </w:rPr>
            </w:pPr>
            <w:r>
              <w:rPr>
                <w:rFonts w:hint="default" w:ascii="Times New Roman" w:hAnsi="Times New Roman" w:eastAsia="黑体" w:cs="Times New Roman"/>
                <w:b w:val="0"/>
                <w:bCs w:val="0"/>
                <w:color w:val="auto"/>
                <w:kern w:val="2"/>
                <w:sz w:val="21"/>
                <w:szCs w:val="21"/>
                <w:highlight w:val="none"/>
                <w:lang w:val="en-US" w:eastAsia="zh-CN" w:bidi="ar-SA"/>
              </w:rPr>
              <w:t>表2</w:t>
            </w:r>
            <w:r>
              <w:rPr>
                <w:rFonts w:hint="eastAsia" w:eastAsia="黑体" w:cs="Times New Roman"/>
                <w:b w:val="0"/>
                <w:bCs w:val="0"/>
                <w:color w:val="auto"/>
                <w:kern w:val="2"/>
                <w:sz w:val="21"/>
                <w:szCs w:val="21"/>
                <w:highlight w:val="none"/>
                <w:lang w:val="en-US" w:eastAsia="zh-CN" w:bidi="ar-SA"/>
              </w:rPr>
              <w:t>.9</w:t>
            </w:r>
            <w:r>
              <w:rPr>
                <w:rFonts w:hint="default" w:ascii="Times New Roman" w:hAnsi="Times New Roman" w:eastAsia="黑体" w:cs="Times New Roman"/>
                <w:b w:val="0"/>
                <w:bCs w:val="0"/>
                <w:color w:val="auto"/>
                <w:kern w:val="2"/>
                <w:sz w:val="21"/>
                <w:szCs w:val="21"/>
                <w:highlight w:val="none"/>
                <w:lang w:val="en-US" w:eastAsia="zh-CN" w:bidi="ar-SA"/>
              </w:rPr>
              <w:t>-</w:t>
            </w:r>
            <w:r>
              <w:rPr>
                <w:rFonts w:hint="eastAsia" w:eastAsia="黑体" w:cs="Times New Roman"/>
                <w:b w:val="0"/>
                <w:bCs w:val="0"/>
                <w:color w:val="auto"/>
                <w:kern w:val="2"/>
                <w:sz w:val="21"/>
                <w:szCs w:val="21"/>
                <w:highlight w:val="none"/>
                <w:lang w:val="en-US" w:eastAsia="zh-CN" w:bidi="ar-SA"/>
              </w:rPr>
              <w:t>1</w:t>
            </w:r>
            <w:r>
              <w:rPr>
                <w:rFonts w:hint="default" w:ascii="Times New Roman" w:hAnsi="Times New Roman" w:eastAsia="黑体" w:cs="Times New Roman"/>
                <w:b w:val="0"/>
                <w:bCs w:val="0"/>
                <w:color w:val="auto"/>
                <w:kern w:val="2"/>
                <w:sz w:val="21"/>
                <w:szCs w:val="21"/>
                <w:highlight w:val="none"/>
                <w:lang w:val="en-US" w:eastAsia="zh-CN" w:bidi="ar-SA"/>
              </w:rPr>
              <w:t xml:space="preserve">  与本项目有关的现有</w:t>
            </w:r>
            <w:r>
              <w:rPr>
                <w:rFonts w:hint="eastAsia" w:eastAsia="黑体" w:cs="Times New Roman"/>
                <w:b w:val="0"/>
                <w:bCs w:val="0"/>
                <w:color w:val="auto"/>
                <w:kern w:val="2"/>
                <w:sz w:val="21"/>
                <w:szCs w:val="21"/>
                <w:highlight w:val="none"/>
                <w:lang w:val="en-US" w:eastAsia="zh-CN" w:bidi="ar-SA"/>
              </w:rPr>
              <w:t>工程</w:t>
            </w:r>
            <w:r>
              <w:rPr>
                <w:rFonts w:hint="default" w:ascii="Times New Roman" w:hAnsi="Times New Roman" w:eastAsia="黑体" w:cs="Times New Roman"/>
                <w:b w:val="0"/>
                <w:bCs w:val="0"/>
                <w:color w:val="auto"/>
                <w:kern w:val="2"/>
                <w:sz w:val="21"/>
                <w:szCs w:val="21"/>
                <w:highlight w:val="none"/>
                <w:lang w:val="en-US" w:eastAsia="zh-CN" w:bidi="ar-SA"/>
              </w:rPr>
              <w:t>环保手续履行情况</w:t>
            </w:r>
            <w:r>
              <w:rPr>
                <w:rFonts w:hint="eastAsia" w:eastAsia="黑体" w:cs="Times New Roman"/>
                <w:b w:val="0"/>
                <w:bCs w:val="0"/>
                <w:color w:val="auto"/>
                <w:kern w:val="2"/>
                <w:sz w:val="21"/>
                <w:szCs w:val="21"/>
                <w:highlight w:val="none"/>
                <w:lang w:val="en-US" w:eastAsia="zh-CN" w:bidi="ar-SA"/>
              </w:rPr>
              <w:t>表</w:t>
            </w:r>
          </w:p>
          <w:tbl>
            <w:tblPr>
              <w:tblStyle w:val="27"/>
              <w:tblW w:w="80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1390"/>
              <w:gridCol w:w="1687"/>
              <w:gridCol w:w="2044"/>
              <w:gridCol w:w="1777"/>
            </w:tblGrid>
            <w:tr w14:paraId="1AEF0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1200" w:type="dxa"/>
                  <w:vAlign w:val="center"/>
                </w:tcPr>
                <w:p w14:paraId="56BEEB02">
                  <w:pPr>
                    <w:adjustRightInd w:val="0"/>
                    <w:spacing w:line="280" w:lineRule="exact"/>
                    <w:ind w:firstLine="0" w:firstLineChars="0"/>
                    <w:jc w:val="center"/>
                    <w:textAlignment w:val="baseline"/>
                    <w:rPr>
                      <w:rFonts w:hint="eastAsia" w:eastAsia="宋体"/>
                      <w:snapToGrid w:val="0"/>
                      <w:color w:val="auto"/>
                      <w:kern w:val="0"/>
                      <w:sz w:val="21"/>
                      <w:szCs w:val="21"/>
                      <w:lang w:eastAsia="zh-CN"/>
                    </w:rPr>
                  </w:pPr>
                  <w:r>
                    <w:rPr>
                      <w:rFonts w:hint="eastAsia"/>
                      <w:snapToGrid w:val="0"/>
                      <w:color w:val="auto"/>
                      <w:kern w:val="0"/>
                      <w:sz w:val="21"/>
                      <w:szCs w:val="21"/>
                      <w:lang w:val="en-US" w:eastAsia="zh-CN"/>
                    </w:rPr>
                    <w:t>建设时间</w:t>
                  </w:r>
                </w:p>
              </w:tc>
              <w:tc>
                <w:tcPr>
                  <w:tcW w:w="1390" w:type="dxa"/>
                  <w:vAlign w:val="center"/>
                </w:tcPr>
                <w:p w14:paraId="0EA125AC">
                  <w:pPr>
                    <w:adjustRightInd w:val="0"/>
                    <w:spacing w:line="280" w:lineRule="exact"/>
                    <w:ind w:firstLine="0" w:firstLineChars="0"/>
                    <w:jc w:val="center"/>
                    <w:textAlignment w:val="baseline"/>
                    <w:rPr>
                      <w:snapToGrid w:val="0"/>
                      <w:color w:val="auto"/>
                      <w:kern w:val="0"/>
                      <w:sz w:val="21"/>
                      <w:szCs w:val="21"/>
                    </w:rPr>
                  </w:pPr>
                  <w:r>
                    <w:rPr>
                      <w:snapToGrid w:val="0"/>
                      <w:color w:val="auto"/>
                      <w:kern w:val="0"/>
                      <w:sz w:val="21"/>
                      <w:szCs w:val="21"/>
                    </w:rPr>
                    <w:t>工程内容</w:t>
                  </w:r>
                </w:p>
              </w:tc>
              <w:tc>
                <w:tcPr>
                  <w:tcW w:w="1687" w:type="dxa"/>
                  <w:vAlign w:val="center"/>
                </w:tcPr>
                <w:p w14:paraId="1731D220">
                  <w:pPr>
                    <w:adjustRightInd w:val="0"/>
                    <w:spacing w:line="280" w:lineRule="exact"/>
                    <w:ind w:firstLine="0" w:firstLineChars="0"/>
                    <w:jc w:val="center"/>
                    <w:textAlignment w:val="baseline"/>
                    <w:rPr>
                      <w:snapToGrid w:val="0"/>
                      <w:color w:val="auto"/>
                      <w:kern w:val="0"/>
                      <w:sz w:val="21"/>
                      <w:szCs w:val="21"/>
                    </w:rPr>
                  </w:pPr>
                  <w:r>
                    <w:rPr>
                      <w:snapToGrid w:val="0"/>
                      <w:color w:val="auto"/>
                      <w:kern w:val="0"/>
                      <w:sz w:val="21"/>
                      <w:szCs w:val="21"/>
                    </w:rPr>
                    <w:t>主要工程内容</w:t>
                  </w:r>
                </w:p>
              </w:tc>
              <w:tc>
                <w:tcPr>
                  <w:tcW w:w="2044" w:type="dxa"/>
                  <w:vAlign w:val="center"/>
                </w:tcPr>
                <w:p w14:paraId="06895C49">
                  <w:pPr>
                    <w:adjustRightInd w:val="0"/>
                    <w:spacing w:line="280" w:lineRule="exact"/>
                    <w:ind w:firstLine="0" w:firstLineChars="0"/>
                    <w:jc w:val="center"/>
                    <w:textAlignment w:val="baseline"/>
                    <w:rPr>
                      <w:snapToGrid w:val="0"/>
                      <w:color w:val="auto"/>
                      <w:kern w:val="0"/>
                      <w:sz w:val="21"/>
                      <w:szCs w:val="21"/>
                    </w:rPr>
                  </w:pPr>
                  <w:r>
                    <w:rPr>
                      <w:snapToGrid w:val="0"/>
                      <w:color w:val="auto"/>
                      <w:kern w:val="0"/>
                      <w:sz w:val="21"/>
                      <w:szCs w:val="21"/>
                    </w:rPr>
                    <w:t>环评批复情况</w:t>
                  </w:r>
                </w:p>
              </w:tc>
              <w:tc>
                <w:tcPr>
                  <w:tcW w:w="1777" w:type="dxa"/>
                  <w:vAlign w:val="center"/>
                </w:tcPr>
                <w:p w14:paraId="3851636D">
                  <w:pPr>
                    <w:adjustRightInd w:val="0"/>
                    <w:spacing w:line="280" w:lineRule="exact"/>
                    <w:ind w:firstLine="0" w:firstLineChars="0"/>
                    <w:jc w:val="center"/>
                    <w:textAlignment w:val="baseline"/>
                    <w:rPr>
                      <w:snapToGrid w:val="0"/>
                      <w:color w:val="auto"/>
                      <w:kern w:val="0"/>
                      <w:sz w:val="21"/>
                      <w:szCs w:val="21"/>
                    </w:rPr>
                  </w:pPr>
                  <w:r>
                    <w:rPr>
                      <w:snapToGrid w:val="0"/>
                      <w:color w:val="auto"/>
                      <w:kern w:val="0"/>
                      <w:sz w:val="21"/>
                      <w:szCs w:val="21"/>
                    </w:rPr>
                    <w:t>验收情况</w:t>
                  </w:r>
                </w:p>
              </w:tc>
            </w:tr>
            <w:tr w14:paraId="5B7CC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6" w:hRule="atLeast"/>
              </w:trPr>
              <w:tc>
                <w:tcPr>
                  <w:tcW w:w="1200" w:type="dxa"/>
                  <w:shd w:val="clear" w:color="auto" w:fill="auto"/>
                  <w:vAlign w:val="center"/>
                </w:tcPr>
                <w:p w14:paraId="3CEF3DD7">
                  <w:pPr>
                    <w:adjustRightInd w:val="0"/>
                    <w:spacing w:line="280" w:lineRule="exact"/>
                    <w:ind w:firstLine="0" w:firstLineChars="0"/>
                    <w:jc w:val="center"/>
                    <w:textAlignment w:val="baseline"/>
                    <w:rPr>
                      <w:rFonts w:hint="eastAsia"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2003-2006</w:t>
                  </w:r>
                </w:p>
              </w:tc>
              <w:tc>
                <w:tcPr>
                  <w:tcW w:w="1390" w:type="dxa"/>
                  <w:shd w:val="clear" w:color="auto" w:fill="auto"/>
                  <w:vAlign w:val="center"/>
                </w:tcPr>
                <w:p w14:paraId="5C3519E3">
                  <w:pPr>
                    <w:adjustRightInd w:val="0"/>
                    <w:spacing w:line="280" w:lineRule="exact"/>
                    <w:ind w:firstLine="0" w:firstLineChars="0"/>
                    <w:jc w:val="center"/>
                    <w:textAlignment w:val="baseline"/>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山西晋城无烟煤矿业集团有限责任公司赵庄矿井与选煤厂</w:t>
                  </w:r>
                </w:p>
              </w:tc>
              <w:tc>
                <w:tcPr>
                  <w:tcW w:w="1687" w:type="dxa"/>
                  <w:shd w:val="clear" w:color="auto" w:fill="auto"/>
                  <w:vAlign w:val="center"/>
                </w:tcPr>
                <w:p w14:paraId="0C848FA3">
                  <w:pPr>
                    <w:adjustRightInd w:val="0"/>
                    <w:spacing w:line="280" w:lineRule="exact"/>
                    <w:ind w:firstLine="0" w:firstLineChars="0"/>
                    <w:jc w:val="center"/>
                    <w:textAlignment w:val="baseline"/>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新建600万吨/年矿井及配套选煤厂</w:t>
                  </w:r>
                </w:p>
              </w:tc>
              <w:tc>
                <w:tcPr>
                  <w:tcW w:w="2044" w:type="dxa"/>
                  <w:shd w:val="clear" w:color="auto" w:fill="auto"/>
                  <w:vAlign w:val="center"/>
                </w:tcPr>
                <w:p w14:paraId="23B5EEA0">
                  <w:pPr>
                    <w:adjustRightInd w:val="0"/>
                    <w:spacing w:line="280" w:lineRule="exact"/>
                    <w:ind w:firstLine="0" w:firstLineChars="0"/>
                    <w:jc w:val="center"/>
                    <w:textAlignment w:val="baseline"/>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2003年10月，原国家环境保护总局以环审</w:t>
                  </w:r>
                  <w:r>
                    <w:rPr>
                      <w:snapToGrid w:val="0"/>
                      <w:color w:val="auto"/>
                      <w:kern w:val="0"/>
                      <w:sz w:val="21"/>
                      <w:szCs w:val="21"/>
                    </w:rPr>
                    <w:t>〔20</w:t>
                  </w:r>
                  <w:r>
                    <w:rPr>
                      <w:rFonts w:hint="eastAsia"/>
                      <w:snapToGrid w:val="0"/>
                      <w:color w:val="auto"/>
                      <w:kern w:val="0"/>
                      <w:sz w:val="21"/>
                      <w:szCs w:val="21"/>
                      <w:lang w:val="en-US" w:eastAsia="zh-CN"/>
                    </w:rPr>
                    <w:t>03</w:t>
                  </w:r>
                  <w:r>
                    <w:rPr>
                      <w:snapToGrid w:val="0"/>
                      <w:color w:val="auto"/>
                      <w:kern w:val="0"/>
                      <w:sz w:val="21"/>
                      <w:szCs w:val="21"/>
                    </w:rPr>
                    <w:t>〕</w:t>
                  </w:r>
                  <w:r>
                    <w:rPr>
                      <w:rFonts w:hint="eastAsia"/>
                      <w:snapToGrid w:val="0"/>
                      <w:color w:val="auto"/>
                      <w:kern w:val="0"/>
                      <w:sz w:val="21"/>
                      <w:szCs w:val="21"/>
                      <w:lang w:val="en-US" w:eastAsia="zh-CN"/>
                    </w:rPr>
                    <w:t>285号出具了审查意见的复函</w:t>
                  </w:r>
                </w:p>
              </w:tc>
              <w:tc>
                <w:tcPr>
                  <w:tcW w:w="1777" w:type="dxa"/>
                  <w:shd w:val="clear" w:color="auto" w:fill="auto"/>
                  <w:vAlign w:val="center"/>
                </w:tcPr>
                <w:p w14:paraId="342D30DF">
                  <w:pPr>
                    <w:adjustRightInd w:val="0"/>
                    <w:spacing w:line="280" w:lineRule="exact"/>
                    <w:ind w:firstLine="0" w:firstLineChars="0"/>
                    <w:jc w:val="center"/>
                    <w:textAlignment w:val="baseline"/>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2006年11月，原国家环境保护总局以环验[2006]222号通过验收</w:t>
                  </w:r>
                </w:p>
              </w:tc>
            </w:tr>
            <w:tr w14:paraId="363A7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6" w:hRule="atLeast"/>
              </w:trPr>
              <w:tc>
                <w:tcPr>
                  <w:tcW w:w="1200" w:type="dxa"/>
                  <w:vAlign w:val="center"/>
                </w:tcPr>
                <w:p w14:paraId="346608F1">
                  <w:pPr>
                    <w:adjustRightInd w:val="0"/>
                    <w:spacing w:line="280" w:lineRule="exact"/>
                    <w:ind w:firstLine="0" w:firstLineChars="0"/>
                    <w:jc w:val="center"/>
                    <w:textAlignment w:val="baseline"/>
                    <w:rPr>
                      <w:rFonts w:hint="default" w:eastAsia="宋体"/>
                      <w:snapToGrid w:val="0"/>
                      <w:color w:val="auto"/>
                      <w:kern w:val="0"/>
                      <w:sz w:val="21"/>
                      <w:szCs w:val="21"/>
                      <w:lang w:val="en-US" w:eastAsia="zh-CN"/>
                    </w:rPr>
                  </w:pPr>
                  <w:r>
                    <w:rPr>
                      <w:rFonts w:hint="eastAsia"/>
                      <w:snapToGrid w:val="0"/>
                      <w:color w:val="auto"/>
                      <w:kern w:val="0"/>
                      <w:sz w:val="21"/>
                      <w:szCs w:val="21"/>
                      <w:lang w:val="en-US" w:eastAsia="zh-CN"/>
                    </w:rPr>
                    <w:t>2009-2013</w:t>
                  </w:r>
                </w:p>
              </w:tc>
              <w:tc>
                <w:tcPr>
                  <w:tcW w:w="1390" w:type="dxa"/>
                  <w:vAlign w:val="center"/>
                </w:tcPr>
                <w:p w14:paraId="0B5E6804">
                  <w:pPr>
                    <w:adjustRightInd w:val="0"/>
                    <w:spacing w:line="280" w:lineRule="exact"/>
                    <w:ind w:firstLine="0" w:firstLineChars="0"/>
                    <w:jc w:val="center"/>
                    <w:textAlignment w:val="baseline"/>
                    <w:rPr>
                      <w:snapToGrid w:val="0"/>
                      <w:color w:val="auto"/>
                      <w:kern w:val="0"/>
                      <w:sz w:val="21"/>
                      <w:szCs w:val="21"/>
                    </w:rPr>
                  </w:pPr>
                  <w:r>
                    <w:rPr>
                      <w:snapToGrid w:val="0"/>
                      <w:color w:val="auto"/>
                      <w:kern w:val="0"/>
                      <w:sz w:val="21"/>
                      <w:szCs w:val="21"/>
                    </w:rPr>
                    <w:t>山西晋煤集团赵庄煤业有限责任公司8.00Mt/a产能释放工程</w:t>
                  </w:r>
                </w:p>
              </w:tc>
              <w:tc>
                <w:tcPr>
                  <w:tcW w:w="1687" w:type="dxa"/>
                  <w:vAlign w:val="center"/>
                </w:tcPr>
                <w:p w14:paraId="6B38F0BA">
                  <w:pPr>
                    <w:adjustRightInd w:val="0"/>
                    <w:spacing w:line="280" w:lineRule="exact"/>
                    <w:ind w:firstLine="0" w:firstLineChars="0"/>
                    <w:jc w:val="center"/>
                    <w:textAlignment w:val="baseline"/>
                    <w:rPr>
                      <w:snapToGrid w:val="0"/>
                      <w:color w:val="auto"/>
                      <w:kern w:val="0"/>
                      <w:sz w:val="21"/>
                      <w:szCs w:val="21"/>
                    </w:rPr>
                  </w:pPr>
                  <w:r>
                    <w:rPr>
                      <w:snapToGrid w:val="0"/>
                      <w:color w:val="auto"/>
                      <w:kern w:val="0"/>
                      <w:sz w:val="21"/>
                      <w:szCs w:val="21"/>
                    </w:rPr>
                    <w:t>工业场地、1号矸石场、西范风井场地、张店风井场地，开采3#煤层、洗煤厂</w:t>
                  </w:r>
                </w:p>
              </w:tc>
              <w:tc>
                <w:tcPr>
                  <w:tcW w:w="2044" w:type="dxa"/>
                  <w:vAlign w:val="center"/>
                </w:tcPr>
                <w:p w14:paraId="120E0B5F">
                  <w:pPr>
                    <w:adjustRightInd w:val="0"/>
                    <w:spacing w:line="280" w:lineRule="exact"/>
                    <w:ind w:firstLine="0" w:firstLineChars="0"/>
                    <w:jc w:val="center"/>
                    <w:textAlignment w:val="baseline"/>
                    <w:rPr>
                      <w:snapToGrid w:val="0"/>
                      <w:color w:val="auto"/>
                      <w:kern w:val="0"/>
                      <w:sz w:val="21"/>
                      <w:szCs w:val="21"/>
                    </w:rPr>
                  </w:pPr>
                  <w:r>
                    <w:rPr>
                      <w:snapToGrid w:val="0"/>
                      <w:color w:val="auto"/>
                      <w:kern w:val="0"/>
                      <w:sz w:val="21"/>
                      <w:szCs w:val="21"/>
                    </w:rPr>
                    <w:t>2012年4月，</w:t>
                  </w:r>
                  <w:r>
                    <w:rPr>
                      <w:rFonts w:hint="default"/>
                      <w:snapToGrid w:val="0"/>
                      <w:color w:val="auto"/>
                      <w:kern w:val="0"/>
                      <w:sz w:val="21"/>
                      <w:szCs w:val="21"/>
                      <w:lang w:val="en-US" w:eastAsia="zh-CN"/>
                    </w:rPr>
                    <w:t>原中华人民共和国环境保护部</w:t>
                  </w:r>
                  <w:r>
                    <w:rPr>
                      <w:snapToGrid w:val="0"/>
                      <w:color w:val="auto"/>
                      <w:kern w:val="0"/>
                      <w:sz w:val="21"/>
                      <w:szCs w:val="21"/>
                    </w:rPr>
                    <w:t>以环审〔2012〕111号进行了批复</w:t>
                  </w:r>
                </w:p>
              </w:tc>
              <w:tc>
                <w:tcPr>
                  <w:tcW w:w="1777" w:type="dxa"/>
                  <w:vAlign w:val="center"/>
                </w:tcPr>
                <w:p w14:paraId="48FC2D05">
                  <w:pPr>
                    <w:adjustRightInd w:val="0"/>
                    <w:spacing w:line="280" w:lineRule="exact"/>
                    <w:ind w:firstLine="0" w:firstLineChars="0"/>
                    <w:jc w:val="center"/>
                    <w:textAlignment w:val="baseline"/>
                    <w:rPr>
                      <w:snapToGrid w:val="0"/>
                      <w:color w:val="auto"/>
                      <w:kern w:val="0"/>
                      <w:sz w:val="21"/>
                      <w:szCs w:val="21"/>
                    </w:rPr>
                  </w:pPr>
                  <w:r>
                    <w:rPr>
                      <w:snapToGrid w:val="0"/>
                      <w:color w:val="auto"/>
                      <w:kern w:val="0"/>
                      <w:sz w:val="21"/>
                      <w:szCs w:val="21"/>
                    </w:rPr>
                    <w:t>201</w:t>
                  </w:r>
                  <w:r>
                    <w:rPr>
                      <w:rFonts w:hint="eastAsia"/>
                      <w:snapToGrid w:val="0"/>
                      <w:color w:val="auto"/>
                      <w:kern w:val="0"/>
                      <w:sz w:val="21"/>
                      <w:szCs w:val="21"/>
                      <w:lang w:val="en-US" w:eastAsia="zh-CN"/>
                    </w:rPr>
                    <w:t>3</w:t>
                  </w:r>
                  <w:r>
                    <w:rPr>
                      <w:snapToGrid w:val="0"/>
                      <w:color w:val="auto"/>
                      <w:kern w:val="0"/>
                      <w:sz w:val="21"/>
                      <w:szCs w:val="21"/>
                    </w:rPr>
                    <w:t>年</w:t>
                  </w:r>
                  <w:r>
                    <w:rPr>
                      <w:rFonts w:hint="eastAsia"/>
                      <w:snapToGrid w:val="0"/>
                      <w:color w:val="auto"/>
                      <w:kern w:val="0"/>
                      <w:sz w:val="21"/>
                      <w:szCs w:val="21"/>
                      <w:lang w:val="en-US" w:eastAsia="zh-CN"/>
                    </w:rPr>
                    <w:t>5</w:t>
                  </w:r>
                  <w:r>
                    <w:rPr>
                      <w:snapToGrid w:val="0"/>
                      <w:color w:val="auto"/>
                      <w:kern w:val="0"/>
                      <w:sz w:val="21"/>
                      <w:szCs w:val="21"/>
                    </w:rPr>
                    <w:t>月，</w:t>
                  </w:r>
                  <w:r>
                    <w:rPr>
                      <w:rFonts w:hint="default"/>
                      <w:snapToGrid w:val="0"/>
                      <w:color w:val="auto"/>
                      <w:kern w:val="0"/>
                      <w:sz w:val="21"/>
                      <w:szCs w:val="21"/>
                      <w:lang w:val="en-US" w:eastAsia="zh-CN"/>
                    </w:rPr>
                    <w:t>原中华人民共和国环境保护部</w:t>
                  </w:r>
                  <w:r>
                    <w:rPr>
                      <w:snapToGrid w:val="0"/>
                      <w:color w:val="auto"/>
                      <w:kern w:val="0"/>
                      <w:sz w:val="21"/>
                      <w:szCs w:val="21"/>
                    </w:rPr>
                    <w:t>以</w:t>
                  </w:r>
                  <w:r>
                    <w:rPr>
                      <w:rFonts w:hint="eastAsia"/>
                      <w:snapToGrid w:val="0"/>
                      <w:color w:val="auto"/>
                      <w:kern w:val="0"/>
                      <w:sz w:val="21"/>
                      <w:szCs w:val="21"/>
                      <w:lang w:val="en-US" w:eastAsia="zh-CN"/>
                    </w:rPr>
                    <w:t>环验</w:t>
                  </w:r>
                  <w:r>
                    <w:rPr>
                      <w:snapToGrid w:val="0"/>
                      <w:color w:val="auto"/>
                      <w:kern w:val="0"/>
                      <w:sz w:val="21"/>
                      <w:szCs w:val="21"/>
                    </w:rPr>
                    <w:t>〔2013〕103号进行了验收批复</w:t>
                  </w:r>
                </w:p>
              </w:tc>
            </w:tr>
            <w:tr w14:paraId="5B1CA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6" w:hRule="atLeast"/>
              </w:trPr>
              <w:tc>
                <w:tcPr>
                  <w:tcW w:w="1200" w:type="dxa"/>
                  <w:vAlign w:val="center"/>
                </w:tcPr>
                <w:p w14:paraId="7ECDE3B1">
                  <w:pPr>
                    <w:adjustRightInd w:val="0"/>
                    <w:spacing w:line="280" w:lineRule="exact"/>
                    <w:ind w:firstLine="0" w:firstLineChars="0"/>
                    <w:jc w:val="center"/>
                    <w:textAlignment w:val="baseline"/>
                    <w:rPr>
                      <w:rFonts w:hint="default" w:eastAsia="宋体"/>
                      <w:snapToGrid w:val="0"/>
                      <w:color w:val="auto"/>
                      <w:kern w:val="0"/>
                      <w:sz w:val="21"/>
                      <w:szCs w:val="21"/>
                      <w:highlight w:val="none"/>
                      <w:lang w:val="en-US" w:eastAsia="zh-CN"/>
                    </w:rPr>
                  </w:pPr>
                  <w:r>
                    <w:rPr>
                      <w:rFonts w:hint="eastAsia"/>
                      <w:snapToGrid w:val="0"/>
                      <w:color w:val="auto"/>
                      <w:kern w:val="0"/>
                      <w:sz w:val="21"/>
                      <w:szCs w:val="21"/>
                      <w:highlight w:val="none"/>
                      <w:lang w:val="en-US" w:eastAsia="zh-CN"/>
                    </w:rPr>
                    <w:t>2022-</w:t>
                  </w:r>
                </w:p>
              </w:tc>
              <w:tc>
                <w:tcPr>
                  <w:tcW w:w="1390" w:type="dxa"/>
                  <w:vAlign w:val="center"/>
                </w:tcPr>
                <w:p w14:paraId="58EF2CC8">
                  <w:pPr>
                    <w:adjustRightInd w:val="0"/>
                    <w:spacing w:line="280" w:lineRule="exact"/>
                    <w:ind w:firstLine="0" w:firstLineChars="0"/>
                    <w:jc w:val="center"/>
                    <w:textAlignment w:val="baseline"/>
                    <w:rPr>
                      <w:color w:val="auto"/>
                      <w:kern w:val="0"/>
                      <w:sz w:val="21"/>
                      <w:szCs w:val="21"/>
                    </w:rPr>
                  </w:pPr>
                  <w:r>
                    <w:rPr>
                      <w:color w:val="auto"/>
                      <w:kern w:val="0"/>
                      <w:sz w:val="21"/>
                      <w:szCs w:val="21"/>
                    </w:rPr>
                    <w:t>山西晋城无烟煤矿业集团有限责任公司赵庄煤业15号煤配采工程</w:t>
                  </w:r>
                </w:p>
              </w:tc>
              <w:tc>
                <w:tcPr>
                  <w:tcW w:w="1687" w:type="dxa"/>
                  <w:vAlign w:val="center"/>
                </w:tcPr>
                <w:p w14:paraId="44D85B39">
                  <w:pPr>
                    <w:adjustRightInd w:val="0"/>
                    <w:spacing w:line="280" w:lineRule="exact"/>
                    <w:ind w:firstLine="0" w:firstLineChars="0"/>
                    <w:jc w:val="center"/>
                    <w:textAlignment w:val="baseline"/>
                    <w:rPr>
                      <w:bCs/>
                      <w:snapToGrid w:val="0"/>
                      <w:color w:val="auto"/>
                      <w:spacing w:val="-12"/>
                    </w:rPr>
                  </w:pPr>
                  <w:r>
                    <w:rPr>
                      <w:bCs/>
                      <w:snapToGrid w:val="0"/>
                      <w:color w:val="auto"/>
                      <w:spacing w:val="-12"/>
                    </w:rPr>
                    <w:t>15号煤配采工程</w:t>
                  </w:r>
                </w:p>
              </w:tc>
              <w:tc>
                <w:tcPr>
                  <w:tcW w:w="2044" w:type="dxa"/>
                  <w:vAlign w:val="center"/>
                </w:tcPr>
                <w:p w14:paraId="05DA07E6">
                  <w:pPr>
                    <w:adjustRightInd w:val="0"/>
                    <w:spacing w:line="280" w:lineRule="exact"/>
                    <w:ind w:firstLine="0" w:firstLineChars="0"/>
                    <w:jc w:val="center"/>
                    <w:textAlignment w:val="baseline"/>
                    <w:rPr>
                      <w:rFonts w:hint="default" w:eastAsia="宋体"/>
                      <w:snapToGrid w:val="0"/>
                      <w:color w:val="auto"/>
                      <w:kern w:val="0"/>
                      <w:sz w:val="21"/>
                      <w:szCs w:val="21"/>
                      <w:lang w:val="en-US" w:eastAsia="zh-CN"/>
                    </w:rPr>
                  </w:pPr>
                  <w:r>
                    <w:rPr>
                      <w:rFonts w:hint="eastAsia"/>
                      <w:snapToGrid w:val="0"/>
                      <w:color w:val="auto"/>
                      <w:kern w:val="0"/>
                      <w:sz w:val="21"/>
                      <w:szCs w:val="21"/>
                      <w:lang w:val="en-US" w:eastAsia="zh-CN"/>
                    </w:rPr>
                    <w:t>2022年10月，长治市生态环境局长子分局以长子环函[2022]47号进行了批复</w:t>
                  </w:r>
                </w:p>
              </w:tc>
              <w:tc>
                <w:tcPr>
                  <w:tcW w:w="1777" w:type="dxa"/>
                  <w:vAlign w:val="center"/>
                </w:tcPr>
                <w:p w14:paraId="6DD4BBDF">
                  <w:pPr>
                    <w:adjustRightInd w:val="0"/>
                    <w:spacing w:line="280" w:lineRule="exact"/>
                    <w:ind w:firstLine="0" w:firstLineChars="0"/>
                    <w:jc w:val="center"/>
                    <w:textAlignment w:val="baseline"/>
                    <w:rPr>
                      <w:rFonts w:hint="default" w:eastAsia="宋体"/>
                      <w:snapToGrid w:val="0"/>
                      <w:color w:val="auto"/>
                      <w:kern w:val="0"/>
                      <w:sz w:val="21"/>
                      <w:szCs w:val="21"/>
                      <w:lang w:val="en-US" w:eastAsia="zh-CN"/>
                    </w:rPr>
                  </w:pPr>
                  <w:r>
                    <w:rPr>
                      <w:rFonts w:hint="eastAsia"/>
                      <w:snapToGrid w:val="0"/>
                      <w:color w:val="auto"/>
                      <w:kern w:val="0"/>
                      <w:sz w:val="21"/>
                      <w:szCs w:val="21"/>
                      <w:lang w:val="en-US" w:eastAsia="zh-CN"/>
                    </w:rPr>
                    <w:t>正在建设中</w:t>
                  </w:r>
                </w:p>
              </w:tc>
            </w:tr>
          </w:tbl>
          <w:p w14:paraId="0A20AEC2">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default" w:cs="Times New Roman"/>
                <w:bCs/>
                <w:color w:val="auto"/>
                <w:spacing w:val="0"/>
                <w:sz w:val="24"/>
                <w:szCs w:val="24"/>
                <w:highlight w:val="none"/>
                <w:lang w:val="en-US" w:eastAsia="zh-CN"/>
              </w:rPr>
            </w:pPr>
            <w:r>
              <w:rPr>
                <w:rFonts w:hint="eastAsia" w:cs="Times New Roman"/>
                <w:bCs/>
                <w:color w:val="auto"/>
                <w:spacing w:val="0"/>
                <w:sz w:val="24"/>
                <w:szCs w:val="24"/>
                <w:highlight w:val="none"/>
                <w:lang w:val="en-US" w:eastAsia="zh-CN"/>
              </w:rPr>
              <w:t>2018年12月6日，长子县水利局以长子水办发〔2018〕93号文对《山西晋煤集团赵庄煤业有限责任公司入河排污口设置论证报告》进行了批复。</w:t>
            </w:r>
            <w:r>
              <w:rPr>
                <w:rFonts w:hint="eastAsia" w:ascii="Times New Roman" w:hAnsi="Times New Roman" w:eastAsia="宋体" w:cs="Times New Roman"/>
                <w:color w:val="auto"/>
                <w:sz w:val="24"/>
                <w:lang w:val="en-US" w:eastAsia="zh-CN"/>
              </w:rPr>
              <w:t>批准矿井水处理后部分回用，剩余矿井水COD、氨氮、总磷、氟化物、石油类符合地表水环</w:t>
            </w:r>
            <w:r>
              <w:rPr>
                <w:rFonts w:hint="default" w:ascii="Times New Roman" w:hAnsi="Times New Roman" w:eastAsia="宋体" w:cs="Times New Roman"/>
                <w:color w:val="auto"/>
                <w:sz w:val="24"/>
                <w:lang w:val="en-US" w:eastAsia="zh-CN"/>
              </w:rPr>
              <w:t>境质量Ⅲ类标准排放，</w:t>
            </w:r>
            <w:r>
              <w:rPr>
                <w:rFonts w:hint="eastAsia" w:ascii="Times New Roman" w:hAnsi="Times New Roman" w:eastAsia="宋体" w:cs="Times New Roman"/>
                <w:color w:val="auto"/>
                <w:sz w:val="24"/>
                <w:lang w:val="en-US" w:eastAsia="zh-CN"/>
              </w:rPr>
              <w:t>入河排污口位于长子县慈林镇东范村北约500m处小丹河支沟的左岸。</w:t>
            </w:r>
          </w:p>
          <w:p w14:paraId="3753FF8C">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eastAsia="宋体" w:cs="Times New Roman"/>
                <w:bCs/>
                <w:color w:val="auto"/>
                <w:spacing w:val="0"/>
                <w:sz w:val="24"/>
                <w:szCs w:val="24"/>
                <w:highlight w:val="none"/>
                <w:lang w:val="en-US" w:eastAsia="zh-CN"/>
              </w:rPr>
            </w:pPr>
            <w:r>
              <w:rPr>
                <w:rFonts w:hint="eastAsia" w:ascii="Times New Roman" w:hAnsi="Times New Roman" w:eastAsia="宋体" w:cs="Times New Roman"/>
                <w:bCs/>
                <w:color w:val="auto"/>
                <w:spacing w:val="0"/>
                <w:sz w:val="24"/>
                <w:szCs w:val="24"/>
                <w:highlight w:val="none"/>
                <w:lang w:val="en-US" w:eastAsia="zh-CN"/>
              </w:rPr>
              <w:t>2024年11月27日，由长治市生态环境局核发了山西晋煤集团赵庄煤业有限责任公司排污许可证，证书编号为：911400006966963599001Y，有效期至2029年11月26日。</w:t>
            </w:r>
          </w:p>
          <w:p w14:paraId="549CBBEA">
            <w:pPr>
              <w:keepNext w:val="0"/>
              <w:keepLines w:val="0"/>
              <w:pageBreakBefore w:val="0"/>
              <w:widowControl w:val="0"/>
              <w:kinsoku/>
              <w:wordWrap/>
              <w:overflowPunct/>
              <w:topLinePunct w:val="0"/>
              <w:autoSpaceDE w:val="0"/>
              <w:autoSpaceDN w:val="0"/>
              <w:bidi w:val="0"/>
              <w:adjustRightInd w:val="0"/>
              <w:snapToGrid w:val="0"/>
              <w:spacing w:line="480" w:lineRule="exact"/>
              <w:ind w:firstLine="482" w:firstLineChars="200"/>
              <w:jc w:val="both"/>
              <w:textAlignment w:val="auto"/>
              <w:rPr>
                <w:rFonts w:hint="eastAsia"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2.10与本项目有关的现有工程建设内容</w:t>
            </w:r>
          </w:p>
          <w:p w14:paraId="7052EACB">
            <w:pPr>
              <w:pStyle w:val="9"/>
              <w:keepNext w:val="0"/>
              <w:keepLines w:val="0"/>
              <w:pageBreakBefore w:val="0"/>
              <w:widowControl/>
              <w:kinsoku/>
              <w:wordWrap/>
              <w:overflowPunct/>
              <w:topLinePunct w:val="0"/>
              <w:autoSpaceDE/>
              <w:autoSpaceDN/>
              <w:bidi w:val="0"/>
              <w:adjustRightInd w:val="0"/>
              <w:snapToGrid w:val="0"/>
              <w:spacing w:before="0" w:after="0" w:line="480" w:lineRule="exact"/>
              <w:ind w:right="113"/>
              <w:jc w:val="center"/>
              <w:textAlignment w:val="auto"/>
              <w:rPr>
                <w:rFonts w:hint="default" w:ascii="Times New Roman" w:hAnsi="Times New Roman" w:eastAsia="黑体" w:cs="Times New Roman"/>
                <w:color w:val="auto"/>
                <w:sz w:val="21"/>
                <w:szCs w:val="21"/>
                <w:lang w:val="en-US" w:eastAsia="zh-CN"/>
              </w:rPr>
            </w:pPr>
            <w:r>
              <w:rPr>
                <w:rFonts w:hint="default" w:ascii="Times New Roman" w:hAnsi="Times New Roman" w:eastAsia="黑体" w:cs="Times New Roman"/>
                <w:color w:val="auto"/>
                <w:sz w:val="21"/>
                <w:szCs w:val="21"/>
                <w:lang w:val="en-US" w:eastAsia="zh-CN"/>
              </w:rPr>
              <w:t>表2.1</w:t>
            </w:r>
            <w:r>
              <w:rPr>
                <w:rFonts w:hint="eastAsia" w:eastAsia="黑体" w:cs="Times New Roman"/>
                <w:color w:val="auto"/>
                <w:sz w:val="21"/>
                <w:szCs w:val="21"/>
                <w:lang w:val="en-US" w:eastAsia="zh-CN"/>
              </w:rPr>
              <w:t>0</w:t>
            </w:r>
            <w:r>
              <w:rPr>
                <w:rFonts w:hint="default" w:ascii="Times New Roman" w:hAnsi="Times New Roman" w:eastAsia="黑体" w:cs="Times New Roman"/>
                <w:color w:val="auto"/>
                <w:sz w:val="21"/>
                <w:szCs w:val="21"/>
                <w:lang w:val="en-US" w:eastAsia="zh-CN"/>
              </w:rPr>
              <w:t>-1  与本项目有关的现有工程</w:t>
            </w:r>
            <w:r>
              <w:rPr>
                <w:rFonts w:hint="eastAsia" w:ascii="Times New Roman" w:hAnsi="Times New Roman" w:eastAsia="黑体" w:cs="Times New Roman"/>
                <w:color w:val="auto"/>
                <w:sz w:val="21"/>
                <w:szCs w:val="21"/>
                <w:lang w:val="en-US" w:eastAsia="zh-CN"/>
              </w:rPr>
              <w:t>建设</w:t>
            </w:r>
            <w:r>
              <w:rPr>
                <w:rFonts w:hint="default" w:ascii="Times New Roman" w:hAnsi="Times New Roman" w:eastAsia="黑体" w:cs="Times New Roman"/>
                <w:color w:val="auto"/>
                <w:sz w:val="21"/>
                <w:szCs w:val="21"/>
                <w:lang w:val="en-US" w:eastAsia="zh-CN"/>
              </w:rPr>
              <w:t>内容一览表</w:t>
            </w:r>
          </w:p>
          <w:tbl>
            <w:tblPr>
              <w:tblStyle w:val="26"/>
              <w:tblW w:w="8098" w:type="dxa"/>
              <w:tblInd w:w="-1" w:type="dxa"/>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fixed"/>
              <w:tblCellMar>
                <w:top w:w="0" w:type="dxa"/>
                <w:left w:w="108" w:type="dxa"/>
                <w:bottom w:w="0" w:type="dxa"/>
                <w:right w:w="108" w:type="dxa"/>
              </w:tblCellMar>
            </w:tblPr>
            <w:tblGrid>
              <w:gridCol w:w="752"/>
              <w:gridCol w:w="530"/>
              <w:gridCol w:w="243"/>
              <w:gridCol w:w="774"/>
              <w:gridCol w:w="4785"/>
              <w:gridCol w:w="1014"/>
            </w:tblGrid>
            <w:tr w14:paraId="5D36BDD3">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PrEx>
              <w:trPr>
                <w:trHeight w:val="451" w:hRule="atLeast"/>
              </w:trPr>
              <w:tc>
                <w:tcPr>
                  <w:tcW w:w="752" w:type="dxa"/>
                  <w:tcBorders>
                    <w:tl2br w:val="nil"/>
                    <w:tr2bl w:val="nil"/>
                  </w:tcBorders>
                  <w:noWrap w:val="0"/>
                  <w:vAlign w:val="center"/>
                </w:tcPr>
                <w:p w14:paraId="493401CD">
                  <w:pPr>
                    <w:jc w:val="center"/>
                    <w:rPr>
                      <w:rFonts w:hint="default" w:ascii="Times New Roman" w:hAnsi="Times New Roman" w:cs="Times New Roman"/>
                      <w:color w:val="auto"/>
                      <w:szCs w:val="21"/>
                    </w:rPr>
                  </w:pPr>
                  <w:r>
                    <w:rPr>
                      <w:rFonts w:hint="default" w:ascii="Times New Roman" w:hAnsi="Times New Roman" w:cs="Times New Roman"/>
                      <w:color w:val="auto"/>
                      <w:szCs w:val="21"/>
                    </w:rPr>
                    <w:t>工程</w:t>
                  </w:r>
                </w:p>
              </w:tc>
              <w:tc>
                <w:tcPr>
                  <w:tcW w:w="1547" w:type="dxa"/>
                  <w:gridSpan w:val="3"/>
                  <w:tcBorders>
                    <w:tl2br w:val="nil"/>
                    <w:tr2bl w:val="nil"/>
                  </w:tcBorders>
                  <w:noWrap w:val="0"/>
                  <w:vAlign w:val="center"/>
                </w:tcPr>
                <w:p w14:paraId="18C9F3F7">
                  <w:pPr>
                    <w:jc w:val="center"/>
                    <w:rPr>
                      <w:rFonts w:hint="eastAsia" w:ascii="Times New Roman" w:hAnsi="Times New Roman" w:eastAsia="宋体" w:cs="Times New Roman"/>
                      <w:color w:val="auto"/>
                      <w:szCs w:val="21"/>
                      <w:lang w:val="en-US" w:eastAsia="zh-CN"/>
                    </w:rPr>
                  </w:pPr>
                  <w:r>
                    <w:rPr>
                      <w:rFonts w:hint="default" w:ascii="Times New Roman" w:hAnsi="Times New Roman" w:cs="Times New Roman"/>
                      <w:color w:val="auto"/>
                      <w:szCs w:val="21"/>
                    </w:rPr>
                    <w:t>项目</w:t>
                  </w:r>
                  <w:r>
                    <w:rPr>
                      <w:rFonts w:hint="eastAsia" w:ascii="Times New Roman" w:hAnsi="Times New Roman" w:cs="Times New Roman"/>
                      <w:color w:val="auto"/>
                      <w:szCs w:val="21"/>
                      <w:lang w:val="en-US" w:eastAsia="zh-CN"/>
                    </w:rPr>
                    <w:t>分类</w:t>
                  </w:r>
                </w:p>
              </w:tc>
              <w:tc>
                <w:tcPr>
                  <w:tcW w:w="4785" w:type="dxa"/>
                  <w:tcBorders>
                    <w:tl2br w:val="nil"/>
                    <w:tr2bl w:val="nil"/>
                  </w:tcBorders>
                  <w:noWrap w:val="0"/>
                  <w:vAlign w:val="center"/>
                </w:tcPr>
                <w:p w14:paraId="21A714AA">
                  <w:pPr>
                    <w:jc w:val="center"/>
                    <w:rPr>
                      <w:rFonts w:hint="default" w:ascii="Times New Roman" w:hAnsi="Times New Roman" w:eastAsia="宋体" w:cs="Times New Roman"/>
                      <w:color w:val="auto"/>
                      <w:szCs w:val="21"/>
                      <w:lang w:val="en-US" w:eastAsia="zh-CN"/>
                    </w:rPr>
                  </w:pPr>
                  <w:r>
                    <w:rPr>
                      <w:rFonts w:hint="eastAsia" w:ascii="Times New Roman" w:hAnsi="Times New Roman" w:cs="Times New Roman"/>
                      <w:color w:val="auto"/>
                      <w:szCs w:val="21"/>
                      <w:lang w:val="en-US" w:eastAsia="zh-CN"/>
                    </w:rPr>
                    <w:t>现有工程</w:t>
                  </w:r>
                </w:p>
              </w:tc>
              <w:tc>
                <w:tcPr>
                  <w:tcW w:w="1014" w:type="dxa"/>
                  <w:tcBorders>
                    <w:tl2br w:val="nil"/>
                    <w:tr2bl w:val="nil"/>
                  </w:tcBorders>
                  <w:noWrap w:val="0"/>
                  <w:vAlign w:val="center"/>
                </w:tcPr>
                <w:p w14:paraId="4BE46EF2">
                  <w:pPr>
                    <w:jc w:val="center"/>
                    <w:rPr>
                      <w:rFonts w:hint="default" w:ascii="Times New Roman" w:hAnsi="Times New Roman" w:cs="Times New Roman"/>
                      <w:color w:val="auto"/>
                      <w:szCs w:val="21"/>
                    </w:rPr>
                  </w:pPr>
                  <w:r>
                    <w:rPr>
                      <w:rFonts w:hint="default" w:ascii="Times New Roman" w:hAnsi="Times New Roman" w:cs="Times New Roman"/>
                      <w:color w:val="auto"/>
                      <w:szCs w:val="21"/>
                    </w:rPr>
                    <w:t>备注</w:t>
                  </w:r>
                </w:p>
              </w:tc>
            </w:tr>
            <w:tr w14:paraId="363E5A4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824" w:hRule="atLeast"/>
              </w:trPr>
              <w:tc>
                <w:tcPr>
                  <w:tcW w:w="752" w:type="dxa"/>
                  <w:vMerge w:val="restart"/>
                  <w:tcBorders>
                    <w:tl2br w:val="nil"/>
                    <w:tr2bl w:val="nil"/>
                  </w:tcBorders>
                  <w:noWrap w:val="0"/>
                  <w:vAlign w:val="center"/>
                </w:tcPr>
                <w:p w14:paraId="6926BCC1">
                  <w:pPr>
                    <w:jc w:val="center"/>
                    <w:rPr>
                      <w:rFonts w:hint="default" w:ascii="Times New Roman" w:hAnsi="Times New Roman" w:cs="Times New Roman"/>
                      <w:color w:val="auto"/>
                      <w:szCs w:val="21"/>
                    </w:rPr>
                  </w:pPr>
                  <w:r>
                    <w:rPr>
                      <w:rFonts w:hint="default" w:ascii="Times New Roman" w:hAnsi="Times New Roman" w:cs="Times New Roman"/>
                      <w:color w:val="auto"/>
                      <w:szCs w:val="21"/>
                    </w:rPr>
                    <w:t>主体工程</w:t>
                  </w:r>
                </w:p>
              </w:tc>
              <w:tc>
                <w:tcPr>
                  <w:tcW w:w="1547" w:type="dxa"/>
                  <w:gridSpan w:val="3"/>
                  <w:tcBorders>
                    <w:tl2br w:val="nil"/>
                    <w:tr2bl w:val="nil"/>
                  </w:tcBorders>
                  <w:noWrap w:val="0"/>
                  <w:vAlign w:val="center"/>
                </w:tcPr>
                <w:p w14:paraId="16B7381E">
                  <w:pPr>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原煤仓</w:t>
                  </w:r>
                </w:p>
              </w:tc>
              <w:tc>
                <w:tcPr>
                  <w:tcW w:w="4785" w:type="dxa"/>
                  <w:tcBorders>
                    <w:tl2br w:val="nil"/>
                    <w:tr2bl w:val="nil"/>
                  </w:tcBorders>
                  <w:noWrap w:val="0"/>
                  <w:vAlign w:val="center"/>
                </w:tcPr>
                <w:p w14:paraId="13ABC423">
                  <w:pPr>
                    <w:jc w:val="center"/>
                    <w:rPr>
                      <w:rFonts w:hint="eastAsia"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rPr>
                    <w:t>原煤仓2个，</w:t>
                  </w:r>
                  <w:r>
                    <w:rPr>
                      <w:rFonts w:hint="eastAsia" w:ascii="Times New Roman" w:hAnsi="Times New Roman" w:cs="Times New Roman"/>
                      <w:color w:val="auto"/>
                      <w:kern w:val="0"/>
                      <w:sz w:val="21"/>
                      <w:szCs w:val="21"/>
                      <w:lang w:val="en-US" w:eastAsia="zh-CN"/>
                    </w:rPr>
                    <w:t>内径21m，壁厚400mm，高度47.7m，采用筒壁与内柱共同支撑式钢筋混凝土圆筒仓，</w:t>
                  </w:r>
                  <w:r>
                    <w:rPr>
                      <w:rFonts w:hint="default" w:ascii="Times New Roman" w:hAnsi="Times New Roman" w:cs="Times New Roman"/>
                      <w:color w:val="auto"/>
                      <w:szCs w:val="21"/>
                      <w:lang w:val="en-US"/>
                    </w:rPr>
                    <w:t>可存储原煤2万t</w:t>
                  </w:r>
                  <w:r>
                    <w:rPr>
                      <w:rFonts w:hint="eastAsia" w:ascii="Times New Roman" w:hAnsi="Times New Roman" w:cs="Times New Roman"/>
                      <w:color w:val="auto"/>
                      <w:szCs w:val="21"/>
                      <w:lang w:val="en-US" w:eastAsia="zh-CN"/>
                    </w:rPr>
                    <w:t>。</w:t>
                  </w:r>
                </w:p>
              </w:tc>
              <w:tc>
                <w:tcPr>
                  <w:tcW w:w="1014" w:type="dxa"/>
                  <w:tcBorders>
                    <w:tl2br w:val="nil"/>
                    <w:tr2bl w:val="nil"/>
                  </w:tcBorders>
                  <w:noWrap w:val="0"/>
                  <w:vAlign w:val="center"/>
                </w:tcPr>
                <w:p w14:paraId="39B7FA4A">
                  <w:pPr>
                    <w:jc w:val="center"/>
                    <w:rPr>
                      <w:rFonts w:hint="eastAsia" w:ascii="Times New Roman" w:hAnsi="Times New Roman" w:eastAsia="宋体" w:cs="Times New Roman"/>
                      <w:color w:val="auto"/>
                      <w:szCs w:val="21"/>
                      <w:lang w:eastAsia="zh-CN"/>
                    </w:rPr>
                  </w:pPr>
                </w:p>
              </w:tc>
            </w:tr>
            <w:tr w14:paraId="302AF84F">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PrEx>
              <w:trPr>
                <w:trHeight w:val="824" w:hRule="atLeast"/>
              </w:trPr>
              <w:tc>
                <w:tcPr>
                  <w:tcW w:w="752" w:type="dxa"/>
                  <w:vMerge w:val="continue"/>
                  <w:tcBorders>
                    <w:tl2br w:val="nil"/>
                    <w:tr2bl w:val="nil"/>
                  </w:tcBorders>
                  <w:noWrap w:val="0"/>
                  <w:vAlign w:val="center"/>
                </w:tcPr>
                <w:p w14:paraId="287A9B93">
                  <w:pPr>
                    <w:jc w:val="center"/>
                    <w:rPr>
                      <w:rFonts w:hint="default" w:ascii="Times New Roman" w:hAnsi="Times New Roman" w:cs="Times New Roman"/>
                      <w:color w:val="auto"/>
                      <w:szCs w:val="21"/>
                    </w:rPr>
                  </w:pPr>
                </w:p>
              </w:tc>
              <w:tc>
                <w:tcPr>
                  <w:tcW w:w="1547" w:type="dxa"/>
                  <w:gridSpan w:val="3"/>
                  <w:tcBorders>
                    <w:tl2br w:val="nil"/>
                    <w:tr2bl w:val="nil"/>
                  </w:tcBorders>
                  <w:noWrap w:val="0"/>
                  <w:vAlign w:val="center"/>
                </w:tcPr>
                <w:p w14:paraId="400A8594">
                  <w:pPr>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储煤棚</w:t>
                  </w:r>
                </w:p>
              </w:tc>
              <w:tc>
                <w:tcPr>
                  <w:tcW w:w="4785" w:type="dxa"/>
                  <w:tcBorders>
                    <w:tl2br w:val="nil"/>
                    <w:tr2bl w:val="nil"/>
                  </w:tcBorders>
                  <w:noWrap w:val="0"/>
                  <w:vAlign w:val="center"/>
                </w:tcPr>
                <w:p w14:paraId="31D7CFBD">
                  <w:pPr>
                    <w:jc w:val="center"/>
                    <w:rPr>
                      <w:rFonts w:hint="default" w:ascii="Times New Roman" w:hAnsi="Times New Roman" w:cs="Times New Roman"/>
                      <w:color w:val="auto"/>
                      <w:szCs w:val="21"/>
                      <w:lang w:val="en-US"/>
                    </w:rPr>
                  </w:pPr>
                  <w:r>
                    <w:rPr>
                      <w:rFonts w:hint="eastAsia" w:cs="Times New Roman"/>
                      <w:color w:val="auto"/>
                      <w:szCs w:val="21"/>
                      <w:lang w:val="en-US" w:eastAsia="zh-CN"/>
                    </w:rPr>
                    <w:t>设2座全封闭</w:t>
                  </w:r>
                  <w:r>
                    <w:rPr>
                      <w:rFonts w:hint="default" w:ascii="Times New Roman" w:hAnsi="Times New Roman" w:cs="Times New Roman"/>
                      <w:color w:val="auto"/>
                      <w:szCs w:val="21"/>
                      <w:lang w:val="en-US"/>
                    </w:rPr>
                    <w:t>储煤</w:t>
                  </w:r>
                  <w:r>
                    <w:rPr>
                      <w:rFonts w:hint="eastAsia" w:cs="Times New Roman"/>
                      <w:color w:val="auto"/>
                      <w:szCs w:val="21"/>
                      <w:lang w:val="en-US" w:eastAsia="zh-CN"/>
                    </w:rPr>
                    <w:t>棚，</w:t>
                  </w:r>
                  <w:r>
                    <w:rPr>
                      <w:rFonts w:hint="default" w:ascii="Times New Roman" w:hAnsi="Times New Roman" w:cs="Times New Roman"/>
                      <w:color w:val="auto"/>
                      <w:szCs w:val="21"/>
                      <w:lang w:val="en-US"/>
                    </w:rPr>
                    <w:t>位于矿井与选煤厂联合工业场地的东侧，南北宽109m，东西长287～314m。堆场中部为两条东西向的输煤皮带走廊，廊道宽2.5m，</w:t>
                  </w:r>
                  <w:r>
                    <w:rPr>
                      <w:rFonts w:hint="eastAsia" w:cs="Times New Roman"/>
                      <w:color w:val="auto"/>
                      <w:szCs w:val="21"/>
                      <w:lang w:val="en-US" w:eastAsia="zh-CN"/>
                    </w:rPr>
                    <w:t>最大储量约40</w:t>
                  </w:r>
                  <w:r>
                    <w:rPr>
                      <w:rFonts w:hint="default" w:ascii="Times New Roman" w:hAnsi="Times New Roman" w:cs="Times New Roman"/>
                      <w:color w:val="auto"/>
                      <w:szCs w:val="21"/>
                      <w:lang w:val="en-US"/>
                    </w:rPr>
                    <w:t>万吨。</w:t>
                  </w:r>
                </w:p>
              </w:tc>
              <w:tc>
                <w:tcPr>
                  <w:tcW w:w="1014" w:type="dxa"/>
                  <w:tcBorders>
                    <w:tl2br w:val="nil"/>
                    <w:tr2bl w:val="nil"/>
                  </w:tcBorders>
                  <w:noWrap w:val="0"/>
                  <w:vAlign w:val="center"/>
                </w:tcPr>
                <w:p w14:paraId="3B02E312">
                  <w:pPr>
                    <w:jc w:val="center"/>
                    <w:rPr>
                      <w:rFonts w:hint="eastAsia" w:ascii="Times New Roman" w:hAnsi="Times New Roman" w:eastAsia="宋体" w:cs="Times New Roman"/>
                      <w:color w:val="auto"/>
                      <w:szCs w:val="21"/>
                      <w:lang w:eastAsia="zh-CN"/>
                    </w:rPr>
                  </w:pPr>
                </w:p>
              </w:tc>
            </w:tr>
            <w:tr w14:paraId="316C22C0">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824" w:hRule="atLeast"/>
              </w:trPr>
              <w:tc>
                <w:tcPr>
                  <w:tcW w:w="752" w:type="dxa"/>
                  <w:vMerge w:val="continue"/>
                  <w:tcBorders>
                    <w:tl2br w:val="nil"/>
                    <w:tr2bl w:val="nil"/>
                  </w:tcBorders>
                  <w:noWrap w:val="0"/>
                  <w:vAlign w:val="center"/>
                </w:tcPr>
                <w:p w14:paraId="3F294C0A">
                  <w:pPr>
                    <w:jc w:val="center"/>
                    <w:rPr>
                      <w:rFonts w:hint="default" w:ascii="Times New Roman" w:hAnsi="Times New Roman" w:cs="Times New Roman"/>
                      <w:color w:val="auto"/>
                      <w:szCs w:val="21"/>
                    </w:rPr>
                  </w:pPr>
                </w:p>
              </w:tc>
              <w:tc>
                <w:tcPr>
                  <w:tcW w:w="1547" w:type="dxa"/>
                  <w:gridSpan w:val="3"/>
                  <w:tcBorders>
                    <w:tl2br w:val="nil"/>
                    <w:tr2bl w:val="nil"/>
                  </w:tcBorders>
                  <w:shd w:val="clear" w:color="auto" w:fill="auto"/>
                  <w:noWrap w:val="0"/>
                  <w:vAlign w:val="center"/>
                </w:tcPr>
                <w:p w14:paraId="4BB97643">
                  <w:pPr>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Cs w:val="21"/>
                      <w:lang w:val="en-US" w:eastAsia="zh-CN"/>
                    </w:rPr>
                    <w:t>末煤仓</w:t>
                  </w:r>
                </w:p>
              </w:tc>
              <w:tc>
                <w:tcPr>
                  <w:tcW w:w="4785" w:type="dxa"/>
                  <w:tcBorders>
                    <w:tl2br w:val="nil"/>
                    <w:tr2bl w:val="nil"/>
                  </w:tcBorders>
                  <w:shd w:val="clear" w:color="auto" w:fill="auto"/>
                  <w:noWrap w:val="0"/>
                  <w:vAlign w:val="center"/>
                </w:tcPr>
                <w:p w14:paraId="3A718553">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cs="Times New Roman"/>
                      <w:color w:val="auto"/>
                      <w:kern w:val="0"/>
                      <w:sz w:val="21"/>
                      <w:szCs w:val="21"/>
                      <w:lang w:val="en-US" w:eastAsia="zh-CN"/>
                    </w:rPr>
                    <w:t>末煤仓3个，内径21m，壁厚400mm，高度45.9m，采用筒壁与内柱共同支撑式钢筋混凝土圆筒仓，可存储末煤3万t。</w:t>
                  </w:r>
                </w:p>
              </w:tc>
              <w:tc>
                <w:tcPr>
                  <w:tcW w:w="1014" w:type="dxa"/>
                  <w:tcBorders>
                    <w:tl2br w:val="nil"/>
                    <w:tr2bl w:val="nil"/>
                  </w:tcBorders>
                  <w:noWrap w:val="0"/>
                  <w:vAlign w:val="center"/>
                </w:tcPr>
                <w:p w14:paraId="709A3DA8">
                  <w:pPr>
                    <w:jc w:val="center"/>
                    <w:rPr>
                      <w:rFonts w:hint="eastAsia" w:ascii="Times New Roman" w:hAnsi="Times New Roman" w:eastAsia="宋体" w:cs="Times New Roman"/>
                      <w:color w:val="auto"/>
                      <w:szCs w:val="21"/>
                      <w:lang w:eastAsia="zh-CN"/>
                    </w:rPr>
                  </w:pPr>
                </w:p>
              </w:tc>
            </w:tr>
            <w:tr w14:paraId="6B06DF3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904" w:hRule="atLeast"/>
              </w:trPr>
              <w:tc>
                <w:tcPr>
                  <w:tcW w:w="752" w:type="dxa"/>
                  <w:vMerge w:val="continue"/>
                  <w:tcBorders>
                    <w:tl2br w:val="nil"/>
                    <w:tr2bl w:val="nil"/>
                  </w:tcBorders>
                  <w:noWrap w:val="0"/>
                  <w:vAlign w:val="center"/>
                </w:tcPr>
                <w:p w14:paraId="7B4254E0">
                  <w:pPr>
                    <w:jc w:val="center"/>
                    <w:rPr>
                      <w:rFonts w:hint="default" w:ascii="Times New Roman" w:hAnsi="Times New Roman" w:cs="Times New Roman"/>
                      <w:color w:val="auto"/>
                      <w:szCs w:val="21"/>
                    </w:rPr>
                  </w:pPr>
                </w:p>
              </w:tc>
              <w:tc>
                <w:tcPr>
                  <w:tcW w:w="1547" w:type="dxa"/>
                  <w:gridSpan w:val="3"/>
                  <w:tcBorders>
                    <w:tl2br w:val="nil"/>
                    <w:tr2bl w:val="nil"/>
                  </w:tcBorders>
                  <w:noWrap w:val="0"/>
                  <w:vAlign w:val="center"/>
                </w:tcPr>
                <w:p w14:paraId="3BA6DCF9">
                  <w:pPr>
                    <w:jc w:val="center"/>
                    <w:rPr>
                      <w:rFonts w:hint="default" w:ascii="Times New Roman" w:hAnsi="Times New Roman" w:cs="Times New Roman"/>
                      <w:color w:val="auto"/>
                      <w:szCs w:val="21"/>
                      <w:lang w:val="en-US" w:eastAsia="zh-CN"/>
                    </w:rPr>
                  </w:pPr>
                  <w:r>
                    <w:rPr>
                      <w:rFonts w:hint="eastAsia" w:cs="Times New Roman"/>
                      <w:color w:val="auto"/>
                      <w:szCs w:val="21"/>
                      <w:lang w:val="en-US" w:eastAsia="zh-CN"/>
                    </w:rPr>
                    <w:t>块煤仓</w:t>
                  </w:r>
                </w:p>
              </w:tc>
              <w:tc>
                <w:tcPr>
                  <w:tcW w:w="4785" w:type="dxa"/>
                  <w:tcBorders>
                    <w:tl2br w:val="nil"/>
                    <w:tr2bl w:val="nil"/>
                  </w:tcBorders>
                  <w:shd w:val="clear" w:color="auto" w:fill="auto"/>
                  <w:noWrap w:val="0"/>
                  <w:vAlign w:val="center"/>
                </w:tcPr>
                <w:p w14:paraId="487FE7E7">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cs="Times New Roman"/>
                      <w:color w:val="auto"/>
                      <w:kern w:val="0"/>
                      <w:sz w:val="21"/>
                      <w:szCs w:val="21"/>
                      <w:lang w:val="en-US" w:eastAsia="zh-CN" w:bidi="ar-SA"/>
                    </w:rPr>
                    <w:t>设有1座块煤仓，包含2个小块方仓、2个中块方仓，总储量约8000t。</w:t>
                  </w:r>
                </w:p>
              </w:tc>
              <w:tc>
                <w:tcPr>
                  <w:tcW w:w="1014" w:type="dxa"/>
                  <w:tcBorders>
                    <w:tl2br w:val="nil"/>
                    <w:tr2bl w:val="nil"/>
                  </w:tcBorders>
                  <w:noWrap w:val="0"/>
                  <w:vAlign w:val="center"/>
                </w:tcPr>
                <w:p w14:paraId="51FF9AD7">
                  <w:pPr>
                    <w:jc w:val="center"/>
                    <w:rPr>
                      <w:rFonts w:hint="default" w:ascii="Times New Roman" w:hAnsi="Times New Roman" w:cs="Times New Roman"/>
                      <w:color w:val="auto"/>
                      <w:szCs w:val="21"/>
                      <w:lang w:val="en-US" w:eastAsia="zh-CN"/>
                    </w:rPr>
                  </w:pPr>
                </w:p>
              </w:tc>
            </w:tr>
            <w:tr w14:paraId="53323D32">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708" w:hRule="atLeast"/>
              </w:trPr>
              <w:tc>
                <w:tcPr>
                  <w:tcW w:w="752" w:type="dxa"/>
                  <w:vMerge w:val="restart"/>
                  <w:tcBorders>
                    <w:tl2br w:val="nil"/>
                    <w:tr2bl w:val="nil"/>
                  </w:tcBorders>
                  <w:noWrap w:val="0"/>
                  <w:vAlign w:val="center"/>
                </w:tcPr>
                <w:p w14:paraId="61B433A4">
                  <w:pPr>
                    <w:jc w:val="center"/>
                    <w:rPr>
                      <w:rFonts w:hint="default" w:ascii="Times New Roman" w:hAnsi="Times New Roman" w:eastAsia="宋体" w:cs="Times New Roman"/>
                      <w:color w:val="auto"/>
                      <w:szCs w:val="21"/>
                      <w:lang w:val="en-US" w:eastAsia="zh-CN"/>
                    </w:rPr>
                  </w:pPr>
                  <w:r>
                    <w:rPr>
                      <w:rFonts w:hint="eastAsia" w:ascii="Times New Roman" w:hAnsi="Times New Roman" w:cs="Times New Roman"/>
                      <w:color w:val="auto"/>
                      <w:szCs w:val="21"/>
                      <w:lang w:val="en-US" w:eastAsia="zh-CN"/>
                    </w:rPr>
                    <w:t>辅助工程</w:t>
                  </w:r>
                </w:p>
              </w:tc>
              <w:tc>
                <w:tcPr>
                  <w:tcW w:w="1547" w:type="dxa"/>
                  <w:gridSpan w:val="3"/>
                  <w:tcBorders>
                    <w:tl2br w:val="nil"/>
                    <w:tr2bl w:val="nil"/>
                  </w:tcBorders>
                  <w:noWrap w:val="0"/>
                  <w:vAlign w:val="center"/>
                </w:tcPr>
                <w:p w14:paraId="572AA0C7">
                  <w:pPr>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原煤仓下皮带走廊</w:t>
                  </w:r>
                </w:p>
              </w:tc>
              <w:tc>
                <w:tcPr>
                  <w:tcW w:w="4785" w:type="dxa"/>
                  <w:tcBorders>
                    <w:tl2br w:val="nil"/>
                    <w:tr2bl w:val="nil"/>
                  </w:tcBorders>
                  <w:shd w:val="clear" w:color="auto" w:fill="auto"/>
                  <w:noWrap w:val="0"/>
                  <w:vAlign w:val="center"/>
                </w:tcPr>
                <w:p w14:paraId="583748C4">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尺寸4m×3.6m，长度43m，共两条。门式</w:t>
                  </w:r>
                  <w:r>
                    <w:rPr>
                      <w:rFonts w:hint="eastAsia" w:ascii="Times New Roman" w:hAnsi="Times New Roman" w:cs="Times New Roman"/>
                      <w:color w:val="auto"/>
                      <w:kern w:val="0"/>
                      <w:sz w:val="21"/>
                      <w:szCs w:val="21"/>
                      <w:lang w:val="en-US" w:eastAsia="zh-CN" w:bidi="ar-SA"/>
                    </w:rPr>
                    <w:t>钢架</w:t>
                  </w:r>
                  <w:r>
                    <w:rPr>
                      <w:rFonts w:hint="default" w:ascii="Times New Roman" w:hAnsi="Times New Roman" w:eastAsia="宋体" w:cs="Times New Roman"/>
                      <w:color w:val="auto"/>
                      <w:kern w:val="0"/>
                      <w:sz w:val="21"/>
                      <w:szCs w:val="21"/>
                      <w:lang w:val="en-US" w:eastAsia="zh-CN" w:bidi="ar-SA"/>
                    </w:rPr>
                    <w:t>结构，基础为钢筋混凝土基础。</w:t>
                  </w:r>
                </w:p>
              </w:tc>
              <w:tc>
                <w:tcPr>
                  <w:tcW w:w="1014" w:type="dxa"/>
                  <w:tcBorders>
                    <w:tl2br w:val="nil"/>
                    <w:tr2bl w:val="nil"/>
                  </w:tcBorders>
                  <w:noWrap w:val="0"/>
                  <w:vAlign w:val="center"/>
                </w:tcPr>
                <w:p w14:paraId="105EA7A5">
                  <w:pPr>
                    <w:jc w:val="center"/>
                    <w:rPr>
                      <w:rFonts w:hint="default" w:ascii="Times New Roman" w:hAnsi="Times New Roman" w:cs="Times New Roman"/>
                      <w:color w:val="auto"/>
                      <w:szCs w:val="21"/>
                      <w:highlight w:val="yellow"/>
                      <w:lang w:val="en-US" w:eastAsia="zh-CN"/>
                    </w:rPr>
                  </w:pPr>
                </w:p>
              </w:tc>
            </w:tr>
            <w:tr w14:paraId="6D7045C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PrEx>
              <w:trPr>
                <w:trHeight w:val="550" w:hRule="atLeast"/>
              </w:trPr>
              <w:tc>
                <w:tcPr>
                  <w:tcW w:w="752" w:type="dxa"/>
                  <w:vMerge w:val="continue"/>
                  <w:tcBorders>
                    <w:tl2br w:val="nil"/>
                    <w:tr2bl w:val="nil"/>
                  </w:tcBorders>
                  <w:noWrap w:val="0"/>
                  <w:vAlign w:val="center"/>
                </w:tcPr>
                <w:p w14:paraId="13E2D017">
                  <w:pPr>
                    <w:jc w:val="center"/>
                    <w:rPr>
                      <w:rFonts w:hint="eastAsia" w:ascii="Times New Roman" w:hAnsi="Times New Roman" w:cs="Times New Roman"/>
                      <w:color w:val="auto"/>
                      <w:szCs w:val="21"/>
                      <w:lang w:val="en-US" w:eastAsia="zh-CN"/>
                    </w:rPr>
                  </w:pPr>
                </w:p>
              </w:tc>
              <w:tc>
                <w:tcPr>
                  <w:tcW w:w="1547" w:type="dxa"/>
                  <w:gridSpan w:val="3"/>
                  <w:tcBorders>
                    <w:tl2br w:val="nil"/>
                    <w:tr2bl w:val="nil"/>
                  </w:tcBorders>
                  <w:noWrap w:val="0"/>
                  <w:vAlign w:val="center"/>
                </w:tcPr>
                <w:p w14:paraId="76EEDC13">
                  <w:pPr>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末煤仓下皮带走廊</w:t>
                  </w:r>
                </w:p>
              </w:tc>
              <w:tc>
                <w:tcPr>
                  <w:tcW w:w="4785" w:type="dxa"/>
                  <w:tcBorders>
                    <w:tl2br w:val="nil"/>
                    <w:tr2bl w:val="nil"/>
                  </w:tcBorders>
                  <w:noWrap w:val="0"/>
                  <w:vAlign w:val="center"/>
                </w:tcPr>
                <w:p w14:paraId="5610CCAD">
                  <w:pPr>
                    <w:jc w:val="center"/>
                    <w:rPr>
                      <w:rFonts w:hint="eastAsia" w:ascii="Times New Roman" w:hAnsi="Times New Roman" w:cs="Times New Roman"/>
                      <w:color w:val="auto"/>
                      <w:szCs w:val="21"/>
                      <w:lang w:val="en-US" w:eastAsia="zh-CN"/>
                    </w:rPr>
                  </w:pPr>
                  <w:r>
                    <w:rPr>
                      <w:rFonts w:hint="eastAsia" w:ascii="Times New Roman" w:hAnsi="Times New Roman" w:cs="Times New Roman"/>
                      <w:color w:val="auto"/>
                      <w:szCs w:val="21"/>
                      <w:lang w:val="en-US" w:eastAsia="zh-CN"/>
                    </w:rPr>
                    <w:t>尺寸4.8m×3.0m，长度38m，共一条。门式</w:t>
                  </w:r>
                  <w:r>
                    <w:rPr>
                      <w:rFonts w:hint="eastAsia" w:cs="Times New Roman"/>
                      <w:color w:val="auto"/>
                      <w:szCs w:val="21"/>
                      <w:lang w:val="en-US" w:eastAsia="zh-CN"/>
                    </w:rPr>
                    <w:t>钢架</w:t>
                  </w:r>
                  <w:r>
                    <w:rPr>
                      <w:rFonts w:hint="eastAsia" w:ascii="Times New Roman" w:hAnsi="Times New Roman" w:cs="Times New Roman"/>
                      <w:color w:val="auto"/>
                      <w:szCs w:val="21"/>
                      <w:lang w:val="en-US" w:eastAsia="zh-CN"/>
                    </w:rPr>
                    <w:t>结构，基础为素混凝土基础。</w:t>
                  </w:r>
                </w:p>
              </w:tc>
              <w:tc>
                <w:tcPr>
                  <w:tcW w:w="1014" w:type="dxa"/>
                  <w:tcBorders>
                    <w:tl2br w:val="nil"/>
                    <w:tr2bl w:val="nil"/>
                  </w:tcBorders>
                  <w:noWrap w:val="0"/>
                  <w:vAlign w:val="center"/>
                </w:tcPr>
                <w:p w14:paraId="2EC4EDA5">
                  <w:pPr>
                    <w:jc w:val="center"/>
                    <w:rPr>
                      <w:rFonts w:hint="default" w:ascii="Times New Roman" w:hAnsi="Times New Roman" w:cs="Times New Roman"/>
                      <w:color w:val="auto"/>
                      <w:szCs w:val="21"/>
                      <w:highlight w:val="yellow"/>
                      <w:lang w:val="en-US" w:eastAsia="zh-CN"/>
                    </w:rPr>
                  </w:pPr>
                </w:p>
              </w:tc>
            </w:tr>
            <w:tr w14:paraId="4F5FC3C1">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550" w:hRule="atLeast"/>
              </w:trPr>
              <w:tc>
                <w:tcPr>
                  <w:tcW w:w="752" w:type="dxa"/>
                  <w:vMerge w:val="restart"/>
                  <w:tcBorders>
                    <w:tl2br w:val="nil"/>
                    <w:tr2bl w:val="nil"/>
                  </w:tcBorders>
                  <w:noWrap w:val="0"/>
                  <w:vAlign w:val="center"/>
                </w:tcPr>
                <w:p w14:paraId="171BFD99">
                  <w:pPr>
                    <w:jc w:val="center"/>
                    <w:rPr>
                      <w:rFonts w:hint="default" w:ascii="Times New Roman" w:hAnsi="Times New Roman" w:cs="Times New Roman"/>
                      <w:color w:val="auto"/>
                      <w:szCs w:val="21"/>
                    </w:rPr>
                  </w:pPr>
                  <w:r>
                    <w:rPr>
                      <w:rFonts w:hint="default" w:ascii="Times New Roman" w:hAnsi="Times New Roman" w:cs="Times New Roman"/>
                      <w:color w:val="auto"/>
                      <w:szCs w:val="21"/>
                    </w:rPr>
                    <w:t>公用工程</w:t>
                  </w:r>
                </w:p>
              </w:tc>
              <w:tc>
                <w:tcPr>
                  <w:tcW w:w="1547" w:type="dxa"/>
                  <w:gridSpan w:val="3"/>
                  <w:tcBorders>
                    <w:tl2br w:val="nil"/>
                    <w:tr2bl w:val="nil"/>
                  </w:tcBorders>
                  <w:noWrap w:val="0"/>
                  <w:vAlign w:val="center"/>
                </w:tcPr>
                <w:p w14:paraId="16F244AE">
                  <w:pPr>
                    <w:jc w:val="center"/>
                    <w:rPr>
                      <w:rFonts w:hint="default" w:ascii="Times New Roman" w:hAnsi="Times New Roman" w:cs="Times New Roman"/>
                      <w:color w:val="auto"/>
                      <w:szCs w:val="21"/>
                    </w:rPr>
                  </w:pPr>
                  <w:r>
                    <w:rPr>
                      <w:rFonts w:hint="default" w:ascii="Times New Roman" w:hAnsi="Times New Roman" w:cs="Times New Roman"/>
                      <w:color w:val="auto"/>
                      <w:szCs w:val="21"/>
                    </w:rPr>
                    <w:t>供水</w:t>
                  </w:r>
                </w:p>
              </w:tc>
              <w:tc>
                <w:tcPr>
                  <w:tcW w:w="4785" w:type="dxa"/>
                  <w:tcBorders>
                    <w:tl2br w:val="nil"/>
                    <w:tr2bl w:val="nil"/>
                  </w:tcBorders>
                  <w:noWrap w:val="0"/>
                  <w:vAlign w:val="center"/>
                </w:tcPr>
                <w:p w14:paraId="423C274F">
                  <w:pPr>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除尘及地面冲洗系统给水由供水管道供给，水源为矿井水处理站处理后的矿井水。</w:t>
                  </w:r>
                </w:p>
              </w:tc>
              <w:tc>
                <w:tcPr>
                  <w:tcW w:w="1014" w:type="dxa"/>
                  <w:tcBorders>
                    <w:tl2br w:val="nil"/>
                    <w:tr2bl w:val="nil"/>
                  </w:tcBorders>
                  <w:noWrap w:val="0"/>
                  <w:vAlign w:val="center"/>
                </w:tcPr>
                <w:p w14:paraId="51E132F0">
                  <w:pPr>
                    <w:jc w:val="center"/>
                    <w:rPr>
                      <w:rFonts w:hint="eastAsia" w:ascii="Times New Roman" w:hAnsi="Times New Roman" w:eastAsia="宋体" w:cs="Times New Roman"/>
                      <w:color w:val="auto"/>
                      <w:szCs w:val="21"/>
                      <w:lang w:eastAsia="zh-CN"/>
                    </w:rPr>
                  </w:pPr>
                </w:p>
              </w:tc>
            </w:tr>
            <w:tr w14:paraId="5A0DAEA6">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550" w:hRule="atLeast"/>
              </w:trPr>
              <w:tc>
                <w:tcPr>
                  <w:tcW w:w="752" w:type="dxa"/>
                  <w:vMerge w:val="continue"/>
                  <w:tcBorders>
                    <w:tl2br w:val="nil"/>
                    <w:tr2bl w:val="nil"/>
                  </w:tcBorders>
                  <w:noWrap w:val="0"/>
                  <w:vAlign w:val="center"/>
                </w:tcPr>
                <w:p w14:paraId="26F1429A">
                  <w:pPr>
                    <w:jc w:val="center"/>
                    <w:rPr>
                      <w:rFonts w:hint="default" w:ascii="Times New Roman" w:hAnsi="Times New Roman" w:cs="Times New Roman"/>
                      <w:color w:val="auto"/>
                      <w:szCs w:val="21"/>
                    </w:rPr>
                  </w:pPr>
                </w:p>
              </w:tc>
              <w:tc>
                <w:tcPr>
                  <w:tcW w:w="1547" w:type="dxa"/>
                  <w:gridSpan w:val="3"/>
                  <w:tcBorders>
                    <w:tl2br w:val="nil"/>
                    <w:tr2bl w:val="nil"/>
                  </w:tcBorders>
                  <w:noWrap w:val="0"/>
                  <w:vAlign w:val="center"/>
                </w:tcPr>
                <w:p w14:paraId="6B8BE44A">
                  <w:pPr>
                    <w:jc w:val="center"/>
                    <w:rPr>
                      <w:rFonts w:hint="default" w:ascii="Times New Roman" w:hAnsi="Times New Roman" w:cs="Times New Roman"/>
                      <w:color w:val="auto"/>
                      <w:szCs w:val="21"/>
                    </w:rPr>
                  </w:pPr>
                  <w:r>
                    <w:rPr>
                      <w:rFonts w:hint="default" w:ascii="Times New Roman" w:hAnsi="Times New Roman" w:cs="Times New Roman"/>
                      <w:color w:val="auto"/>
                      <w:szCs w:val="21"/>
                    </w:rPr>
                    <w:t>供电</w:t>
                  </w:r>
                </w:p>
              </w:tc>
              <w:tc>
                <w:tcPr>
                  <w:tcW w:w="4785" w:type="dxa"/>
                  <w:tcBorders>
                    <w:tl2br w:val="nil"/>
                    <w:tr2bl w:val="nil"/>
                  </w:tcBorders>
                  <w:noWrap w:val="0"/>
                  <w:vAlign w:val="center"/>
                </w:tcPr>
                <w:p w14:paraId="2347DD59">
                  <w:pPr>
                    <w:jc w:val="center"/>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zh-CN" w:eastAsia="zh-CN"/>
                    </w:rPr>
                    <w:t>矿井工业场地设110kV变电站一座，采用双回路供电，两回电源线路一回工作，一回(带电)备用</w:t>
                  </w:r>
                  <w:r>
                    <w:rPr>
                      <w:rFonts w:hint="eastAsia" w:cs="Times New Roman"/>
                      <w:color w:val="auto"/>
                      <w:szCs w:val="21"/>
                      <w:lang w:val="zh-CN" w:eastAsia="zh-CN"/>
                    </w:rPr>
                    <w:t>。</w:t>
                  </w:r>
                </w:p>
              </w:tc>
              <w:tc>
                <w:tcPr>
                  <w:tcW w:w="1014" w:type="dxa"/>
                  <w:tcBorders>
                    <w:tl2br w:val="nil"/>
                    <w:tr2bl w:val="nil"/>
                  </w:tcBorders>
                  <w:noWrap w:val="0"/>
                  <w:vAlign w:val="center"/>
                </w:tcPr>
                <w:p w14:paraId="3A269EF7">
                  <w:pPr>
                    <w:jc w:val="center"/>
                    <w:rPr>
                      <w:rFonts w:hint="default" w:ascii="Times New Roman" w:hAnsi="Times New Roman" w:cs="Times New Roman"/>
                      <w:color w:val="auto"/>
                      <w:szCs w:val="21"/>
                    </w:rPr>
                  </w:pPr>
                </w:p>
              </w:tc>
            </w:tr>
            <w:tr w14:paraId="7C369CC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556" w:hRule="atLeast"/>
              </w:trPr>
              <w:tc>
                <w:tcPr>
                  <w:tcW w:w="752" w:type="dxa"/>
                  <w:vMerge w:val="continue"/>
                  <w:tcBorders>
                    <w:tl2br w:val="nil"/>
                    <w:tr2bl w:val="nil"/>
                  </w:tcBorders>
                  <w:noWrap w:val="0"/>
                  <w:vAlign w:val="center"/>
                </w:tcPr>
                <w:p w14:paraId="3485F25E">
                  <w:pPr>
                    <w:jc w:val="center"/>
                    <w:rPr>
                      <w:rFonts w:hint="default" w:ascii="Times New Roman" w:hAnsi="Times New Roman" w:cs="Times New Roman"/>
                      <w:color w:val="auto"/>
                      <w:szCs w:val="21"/>
                    </w:rPr>
                  </w:pPr>
                </w:p>
              </w:tc>
              <w:tc>
                <w:tcPr>
                  <w:tcW w:w="1547" w:type="dxa"/>
                  <w:gridSpan w:val="3"/>
                  <w:tcBorders>
                    <w:tl2br w:val="nil"/>
                    <w:tr2bl w:val="nil"/>
                  </w:tcBorders>
                  <w:noWrap w:val="0"/>
                  <w:vAlign w:val="center"/>
                </w:tcPr>
                <w:p w14:paraId="63C9CEB6">
                  <w:pPr>
                    <w:jc w:val="center"/>
                    <w:rPr>
                      <w:rFonts w:hint="default" w:ascii="Times New Roman" w:hAnsi="Times New Roman" w:cs="Times New Roman"/>
                      <w:color w:val="auto"/>
                      <w:szCs w:val="21"/>
                    </w:rPr>
                  </w:pPr>
                  <w:r>
                    <w:rPr>
                      <w:rFonts w:hint="default" w:ascii="Times New Roman" w:hAnsi="Times New Roman" w:cs="Times New Roman"/>
                      <w:color w:val="auto"/>
                      <w:szCs w:val="21"/>
                    </w:rPr>
                    <w:t>供暖</w:t>
                  </w:r>
                </w:p>
              </w:tc>
              <w:tc>
                <w:tcPr>
                  <w:tcW w:w="4785" w:type="dxa"/>
                  <w:tcBorders>
                    <w:tl2br w:val="nil"/>
                    <w:tr2bl w:val="nil"/>
                  </w:tcBorders>
                  <w:noWrap w:val="0"/>
                  <w:vAlign w:val="center"/>
                </w:tcPr>
                <w:p w14:paraId="72C829AE">
                  <w:pPr>
                    <w:jc w:val="center"/>
                    <w:rPr>
                      <w:rFonts w:hint="default" w:ascii="Times New Roman" w:hAnsi="Times New Roman" w:cs="Times New Roman"/>
                      <w:color w:val="auto"/>
                      <w:szCs w:val="21"/>
                      <w:lang w:val="en-US"/>
                    </w:rPr>
                  </w:pPr>
                  <w:r>
                    <w:rPr>
                      <w:rFonts w:hint="eastAsia" w:ascii="Times New Roman" w:hAnsi="Times New Roman" w:cs="Times New Roman"/>
                      <w:color w:val="auto"/>
                      <w:sz w:val="21"/>
                      <w:szCs w:val="21"/>
                      <w:lang w:val="en-US" w:eastAsia="zh-CN"/>
                    </w:rPr>
                    <w:t>不需供暖。</w:t>
                  </w:r>
                </w:p>
              </w:tc>
              <w:tc>
                <w:tcPr>
                  <w:tcW w:w="1014" w:type="dxa"/>
                  <w:tcBorders>
                    <w:tl2br w:val="nil"/>
                    <w:tr2bl w:val="nil"/>
                  </w:tcBorders>
                  <w:noWrap w:val="0"/>
                  <w:vAlign w:val="center"/>
                </w:tcPr>
                <w:p w14:paraId="5EE5A6BE">
                  <w:pPr>
                    <w:jc w:val="center"/>
                    <w:rPr>
                      <w:rFonts w:hint="default" w:ascii="Times New Roman" w:hAnsi="Times New Roman" w:cs="Times New Roman"/>
                      <w:color w:val="auto"/>
                      <w:szCs w:val="21"/>
                    </w:rPr>
                  </w:pPr>
                </w:p>
              </w:tc>
            </w:tr>
            <w:tr w14:paraId="59532BC7">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606" w:hRule="atLeast"/>
              </w:trPr>
              <w:tc>
                <w:tcPr>
                  <w:tcW w:w="752" w:type="dxa"/>
                  <w:vMerge w:val="restart"/>
                  <w:tcBorders>
                    <w:tl2br w:val="nil"/>
                    <w:tr2bl w:val="nil"/>
                  </w:tcBorders>
                  <w:noWrap w:val="0"/>
                  <w:vAlign w:val="center"/>
                </w:tcPr>
                <w:p w14:paraId="72EDCCB3">
                  <w:pPr>
                    <w:jc w:val="center"/>
                    <w:rPr>
                      <w:rFonts w:hint="default" w:ascii="Times New Roman" w:hAnsi="Times New Roman" w:cs="Times New Roman"/>
                      <w:color w:val="auto"/>
                      <w:szCs w:val="21"/>
                    </w:rPr>
                  </w:pPr>
                  <w:r>
                    <w:rPr>
                      <w:rFonts w:hint="default" w:ascii="Times New Roman" w:hAnsi="Times New Roman" w:cs="Times New Roman"/>
                      <w:color w:val="auto"/>
                      <w:szCs w:val="21"/>
                    </w:rPr>
                    <w:t>环保工程</w:t>
                  </w:r>
                </w:p>
              </w:tc>
              <w:tc>
                <w:tcPr>
                  <w:tcW w:w="773" w:type="dxa"/>
                  <w:gridSpan w:val="2"/>
                  <w:vMerge w:val="restart"/>
                  <w:tcBorders>
                    <w:tl2br w:val="nil"/>
                    <w:tr2bl w:val="nil"/>
                  </w:tcBorders>
                  <w:noWrap w:val="0"/>
                  <w:vAlign w:val="center"/>
                </w:tcPr>
                <w:p w14:paraId="5E961FB4">
                  <w:pPr>
                    <w:jc w:val="center"/>
                    <w:rPr>
                      <w:rFonts w:hint="default" w:ascii="Times New Roman" w:hAnsi="Times New Roman" w:cs="Times New Roman"/>
                      <w:color w:val="auto"/>
                      <w:szCs w:val="21"/>
                    </w:rPr>
                  </w:pPr>
                  <w:r>
                    <w:rPr>
                      <w:rFonts w:hint="eastAsia" w:ascii="Times New Roman" w:hAnsi="Times New Roman" w:cs="Times New Roman"/>
                      <w:color w:val="auto"/>
                      <w:szCs w:val="21"/>
                      <w:lang w:val="en-US" w:eastAsia="zh-CN"/>
                    </w:rPr>
                    <w:t>废气</w:t>
                  </w:r>
                </w:p>
              </w:tc>
              <w:tc>
                <w:tcPr>
                  <w:tcW w:w="774" w:type="dxa"/>
                  <w:tcBorders>
                    <w:tl2br w:val="nil"/>
                    <w:tr2bl w:val="nil"/>
                  </w:tcBorders>
                  <w:shd w:val="clear" w:color="auto" w:fill="auto"/>
                  <w:noWrap w:val="0"/>
                  <w:vAlign w:val="center"/>
                </w:tcPr>
                <w:p w14:paraId="4079767F">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转载粉尘</w:t>
                  </w:r>
                </w:p>
              </w:tc>
              <w:tc>
                <w:tcPr>
                  <w:tcW w:w="4785" w:type="dxa"/>
                  <w:tcBorders>
                    <w:tl2br w:val="nil"/>
                    <w:tr2bl w:val="nil"/>
                  </w:tcBorders>
                  <w:shd w:val="clear" w:color="auto" w:fill="auto"/>
                  <w:noWrap w:val="0"/>
                  <w:vAlign w:val="center"/>
                </w:tcPr>
                <w:p w14:paraId="2AB7F975">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b w:val="0"/>
                      <w:color w:val="auto"/>
                      <w:sz w:val="21"/>
                      <w:szCs w:val="21"/>
                      <w:highlight w:val="none"/>
                      <w:lang w:val="en-US" w:eastAsia="zh-CN"/>
                    </w:rPr>
                    <w:t>采用全封闭皮带输送机进行输送，转载点设喷雾抑尘装置。</w:t>
                  </w:r>
                </w:p>
              </w:tc>
              <w:tc>
                <w:tcPr>
                  <w:tcW w:w="1014" w:type="dxa"/>
                  <w:tcBorders>
                    <w:tl2br w:val="nil"/>
                    <w:tr2bl w:val="nil"/>
                  </w:tcBorders>
                  <w:noWrap w:val="0"/>
                  <w:vAlign w:val="center"/>
                </w:tcPr>
                <w:p w14:paraId="3622A737">
                  <w:pPr>
                    <w:jc w:val="center"/>
                    <w:rPr>
                      <w:rFonts w:hint="default" w:ascii="Times New Roman" w:hAnsi="Times New Roman" w:eastAsia="宋体" w:cs="Times New Roman"/>
                      <w:color w:val="auto"/>
                      <w:szCs w:val="21"/>
                      <w:lang w:val="en-US" w:eastAsia="zh-CN"/>
                    </w:rPr>
                  </w:pPr>
                </w:p>
              </w:tc>
            </w:tr>
            <w:tr w14:paraId="4D12938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606" w:hRule="atLeast"/>
              </w:trPr>
              <w:tc>
                <w:tcPr>
                  <w:tcW w:w="752" w:type="dxa"/>
                  <w:vMerge w:val="continue"/>
                  <w:tcBorders>
                    <w:tl2br w:val="nil"/>
                    <w:tr2bl w:val="nil"/>
                  </w:tcBorders>
                  <w:noWrap w:val="0"/>
                  <w:vAlign w:val="center"/>
                </w:tcPr>
                <w:p w14:paraId="1CFD55BC">
                  <w:pPr>
                    <w:jc w:val="center"/>
                    <w:rPr>
                      <w:rFonts w:hint="default" w:ascii="Times New Roman" w:hAnsi="Times New Roman" w:cs="Times New Roman"/>
                      <w:color w:val="auto"/>
                      <w:szCs w:val="21"/>
                    </w:rPr>
                  </w:pPr>
                </w:p>
              </w:tc>
              <w:tc>
                <w:tcPr>
                  <w:tcW w:w="773" w:type="dxa"/>
                  <w:gridSpan w:val="2"/>
                  <w:vMerge w:val="continue"/>
                  <w:tcBorders>
                    <w:tl2br w:val="nil"/>
                    <w:tr2bl w:val="nil"/>
                  </w:tcBorders>
                  <w:noWrap w:val="0"/>
                  <w:vAlign w:val="center"/>
                </w:tcPr>
                <w:p w14:paraId="234DCD08">
                  <w:pPr>
                    <w:jc w:val="center"/>
                    <w:rPr>
                      <w:rFonts w:hint="eastAsia" w:ascii="Times New Roman" w:hAnsi="Times New Roman" w:cs="Times New Roman"/>
                      <w:color w:val="auto"/>
                      <w:szCs w:val="21"/>
                      <w:lang w:val="en-US" w:eastAsia="zh-CN"/>
                    </w:rPr>
                  </w:pPr>
                </w:p>
              </w:tc>
              <w:tc>
                <w:tcPr>
                  <w:tcW w:w="774" w:type="dxa"/>
                  <w:tcBorders>
                    <w:tl2br w:val="nil"/>
                    <w:tr2bl w:val="nil"/>
                  </w:tcBorders>
                  <w:shd w:val="clear" w:color="auto" w:fill="auto"/>
                  <w:noWrap w:val="0"/>
                  <w:vAlign w:val="center"/>
                </w:tcPr>
                <w:p w14:paraId="33F096C7">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kern w:val="2"/>
                      <w:sz w:val="21"/>
                      <w:szCs w:val="21"/>
                      <w:lang w:val="en-US" w:eastAsia="zh-CN" w:bidi="ar-SA"/>
                    </w:rPr>
                    <w:t>储存粉尘</w:t>
                  </w:r>
                </w:p>
              </w:tc>
              <w:tc>
                <w:tcPr>
                  <w:tcW w:w="4785" w:type="dxa"/>
                  <w:tcBorders>
                    <w:tl2br w:val="nil"/>
                    <w:tr2bl w:val="nil"/>
                  </w:tcBorders>
                  <w:shd w:val="clear" w:color="auto" w:fill="auto"/>
                  <w:noWrap w:val="0"/>
                  <w:vAlign w:val="center"/>
                </w:tcPr>
                <w:p w14:paraId="55F905B9">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rPr>
                    <w:t>全封闭</w:t>
                  </w:r>
                  <w:r>
                    <w:rPr>
                      <w:rFonts w:hint="eastAsia" w:ascii="Times New Roman" w:hAnsi="Times New Roman" w:cs="Times New Roman"/>
                      <w:color w:val="auto"/>
                      <w:spacing w:val="0"/>
                      <w:lang w:val="en-US" w:eastAsia="zh-CN"/>
                    </w:rPr>
                    <w:t>储煤棚</w:t>
                  </w:r>
                  <w:r>
                    <w:rPr>
                      <w:rFonts w:hint="eastAsia" w:ascii="Times New Roman" w:hAnsi="Times New Roman" w:cs="Times New Roman"/>
                      <w:color w:val="auto"/>
                      <w:spacing w:val="0"/>
                      <w:lang w:eastAsia="zh-CN"/>
                    </w:rPr>
                    <w:t>、</w:t>
                  </w:r>
                  <w:r>
                    <w:rPr>
                      <w:rFonts w:hint="eastAsia" w:ascii="Times New Roman" w:hAnsi="Times New Roman" w:cs="Times New Roman"/>
                      <w:color w:val="auto"/>
                      <w:spacing w:val="0"/>
                      <w:lang w:val="en-US" w:eastAsia="zh-CN"/>
                    </w:rPr>
                    <w:t>全封闭</w:t>
                  </w:r>
                  <w:r>
                    <w:rPr>
                      <w:rFonts w:hint="default" w:ascii="Times New Roman" w:hAnsi="Times New Roman" w:eastAsia="宋体" w:cs="Times New Roman"/>
                      <w:color w:val="auto"/>
                      <w:spacing w:val="0"/>
                    </w:rPr>
                    <w:t>筒仓储存</w:t>
                  </w:r>
                  <w:r>
                    <w:rPr>
                      <w:rFonts w:hint="eastAsia" w:ascii="Times New Roman" w:hAnsi="Times New Roman" w:eastAsia="宋体" w:cs="Times New Roman"/>
                      <w:color w:val="auto"/>
                      <w:spacing w:val="0"/>
                      <w:lang w:eastAsia="zh-CN"/>
                    </w:rPr>
                    <w:t>。</w:t>
                  </w:r>
                  <w:r>
                    <w:rPr>
                      <w:rFonts w:hint="eastAsia"/>
                      <w:color w:val="auto"/>
                      <w:lang w:val="en-US" w:eastAsia="zh-CN"/>
                    </w:rPr>
                    <w:t>煤棚设有喷雾抑尘装置及瓦斯检测探头装置；全封闭筒仓设有通风机排风及瓦斯检测探头装置。</w:t>
                  </w:r>
                </w:p>
              </w:tc>
              <w:tc>
                <w:tcPr>
                  <w:tcW w:w="1014" w:type="dxa"/>
                  <w:tcBorders>
                    <w:tl2br w:val="nil"/>
                    <w:tr2bl w:val="nil"/>
                  </w:tcBorders>
                  <w:noWrap w:val="0"/>
                  <w:vAlign w:val="center"/>
                </w:tcPr>
                <w:p w14:paraId="1E81EDA1">
                  <w:pPr>
                    <w:jc w:val="center"/>
                    <w:rPr>
                      <w:rFonts w:hint="default" w:ascii="Times New Roman" w:hAnsi="Times New Roman" w:eastAsia="宋体" w:cs="Times New Roman"/>
                      <w:color w:val="auto"/>
                      <w:szCs w:val="21"/>
                      <w:lang w:val="en-US" w:eastAsia="zh-CN"/>
                    </w:rPr>
                  </w:pPr>
                </w:p>
              </w:tc>
            </w:tr>
            <w:tr w14:paraId="32742F38">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550" w:hRule="atLeast"/>
              </w:trPr>
              <w:tc>
                <w:tcPr>
                  <w:tcW w:w="752" w:type="dxa"/>
                  <w:vMerge w:val="continue"/>
                  <w:tcBorders>
                    <w:tl2br w:val="nil"/>
                    <w:tr2bl w:val="nil"/>
                  </w:tcBorders>
                  <w:noWrap w:val="0"/>
                  <w:vAlign w:val="center"/>
                </w:tcPr>
                <w:p w14:paraId="50D412AA">
                  <w:pPr>
                    <w:jc w:val="center"/>
                    <w:rPr>
                      <w:rFonts w:hint="default" w:ascii="Times New Roman" w:hAnsi="Times New Roman" w:cs="Times New Roman"/>
                      <w:color w:val="auto"/>
                      <w:szCs w:val="21"/>
                    </w:rPr>
                  </w:pPr>
                </w:p>
              </w:tc>
              <w:tc>
                <w:tcPr>
                  <w:tcW w:w="773" w:type="dxa"/>
                  <w:gridSpan w:val="2"/>
                  <w:vMerge w:val="restart"/>
                  <w:tcBorders>
                    <w:tl2br w:val="nil"/>
                    <w:tr2bl w:val="nil"/>
                  </w:tcBorders>
                  <w:noWrap w:val="0"/>
                  <w:vAlign w:val="center"/>
                </w:tcPr>
                <w:p w14:paraId="0D97A0FA">
                  <w:pPr>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Cs w:val="21"/>
                    </w:rPr>
                    <w:t>废水</w:t>
                  </w:r>
                </w:p>
              </w:tc>
              <w:tc>
                <w:tcPr>
                  <w:tcW w:w="774" w:type="dxa"/>
                  <w:tcBorders>
                    <w:tl2br w:val="nil"/>
                    <w:tr2bl w:val="nil"/>
                  </w:tcBorders>
                  <w:noWrap w:val="0"/>
                  <w:vAlign w:val="center"/>
                </w:tcPr>
                <w:p w14:paraId="68C7B5C6">
                  <w:pPr>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生活污水</w:t>
                  </w:r>
                </w:p>
              </w:tc>
              <w:tc>
                <w:tcPr>
                  <w:tcW w:w="4785" w:type="dxa"/>
                  <w:tcBorders>
                    <w:tl2br w:val="nil"/>
                    <w:tr2bl w:val="nil"/>
                  </w:tcBorders>
                  <w:noWrap w:val="0"/>
                  <w:vAlign w:val="center"/>
                </w:tcPr>
                <w:p w14:paraId="12725276">
                  <w:pPr>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生活污水经污水管网收集进入生活污水处理站进行处理后优先回用。</w:t>
                  </w:r>
                </w:p>
              </w:tc>
              <w:tc>
                <w:tcPr>
                  <w:tcW w:w="1014" w:type="dxa"/>
                  <w:tcBorders>
                    <w:tl2br w:val="nil"/>
                    <w:tr2bl w:val="nil"/>
                  </w:tcBorders>
                  <w:noWrap w:val="0"/>
                  <w:vAlign w:val="center"/>
                </w:tcPr>
                <w:p w14:paraId="0FBE41B4">
                  <w:pPr>
                    <w:jc w:val="center"/>
                    <w:rPr>
                      <w:rFonts w:hint="default" w:ascii="Times New Roman" w:hAnsi="Times New Roman" w:cs="Times New Roman"/>
                      <w:color w:val="auto"/>
                      <w:szCs w:val="21"/>
                      <w:lang w:val="en-US" w:eastAsia="zh-CN"/>
                    </w:rPr>
                  </w:pPr>
                </w:p>
              </w:tc>
            </w:tr>
            <w:tr w14:paraId="74DDE601">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1091" w:hRule="atLeast"/>
              </w:trPr>
              <w:tc>
                <w:tcPr>
                  <w:tcW w:w="752" w:type="dxa"/>
                  <w:vMerge w:val="continue"/>
                  <w:tcBorders>
                    <w:tl2br w:val="nil"/>
                    <w:tr2bl w:val="nil"/>
                  </w:tcBorders>
                  <w:noWrap w:val="0"/>
                  <w:vAlign w:val="center"/>
                </w:tcPr>
                <w:p w14:paraId="215AD5B5">
                  <w:pPr>
                    <w:jc w:val="center"/>
                    <w:rPr>
                      <w:rFonts w:hint="default" w:ascii="Times New Roman" w:hAnsi="Times New Roman" w:cs="Times New Roman"/>
                      <w:color w:val="auto"/>
                      <w:szCs w:val="21"/>
                    </w:rPr>
                  </w:pPr>
                </w:p>
              </w:tc>
              <w:tc>
                <w:tcPr>
                  <w:tcW w:w="773" w:type="dxa"/>
                  <w:gridSpan w:val="2"/>
                  <w:vMerge w:val="continue"/>
                  <w:tcBorders>
                    <w:tl2br w:val="nil"/>
                    <w:tr2bl w:val="nil"/>
                  </w:tcBorders>
                  <w:noWrap w:val="0"/>
                  <w:vAlign w:val="center"/>
                </w:tcPr>
                <w:p w14:paraId="75C7A665">
                  <w:pPr>
                    <w:jc w:val="center"/>
                    <w:rPr>
                      <w:rFonts w:hint="default" w:ascii="Times New Roman" w:hAnsi="Times New Roman" w:cs="Times New Roman"/>
                      <w:color w:val="auto"/>
                      <w:szCs w:val="21"/>
                    </w:rPr>
                  </w:pPr>
                </w:p>
              </w:tc>
              <w:tc>
                <w:tcPr>
                  <w:tcW w:w="774" w:type="dxa"/>
                  <w:tcBorders>
                    <w:tl2br w:val="nil"/>
                    <w:tr2bl w:val="nil"/>
                  </w:tcBorders>
                  <w:noWrap w:val="0"/>
                  <w:vAlign w:val="center"/>
                </w:tcPr>
                <w:p w14:paraId="76C18141">
                  <w:pPr>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冲洗废水</w:t>
                  </w:r>
                </w:p>
              </w:tc>
              <w:tc>
                <w:tcPr>
                  <w:tcW w:w="4785" w:type="dxa"/>
                  <w:tcBorders>
                    <w:tl2br w:val="nil"/>
                    <w:tr2bl w:val="nil"/>
                  </w:tcBorders>
                  <w:noWrap w:val="0"/>
                  <w:vAlign w:val="center"/>
                </w:tcPr>
                <w:p w14:paraId="21A6FDD0">
                  <w:pPr>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kern w:val="2"/>
                      <w:sz w:val="21"/>
                      <w:szCs w:val="21"/>
                      <w:highlight w:val="none"/>
                      <w:lang w:val="en-US" w:eastAsia="zh-CN" w:bidi="ar-SA"/>
                    </w:rPr>
                    <w:t>筒仓</w:t>
                  </w:r>
                  <w:r>
                    <w:rPr>
                      <w:rFonts w:hint="default" w:ascii="Times New Roman" w:hAnsi="Times New Roman" w:eastAsia="宋体" w:cs="Times New Roman"/>
                      <w:color w:val="auto"/>
                      <w:kern w:val="2"/>
                      <w:sz w:val="21"/>
                      <w:szCs w:val="21"/>
                      <w:highlight w:val="none"/>
                      <w:lang w:val="en-US" w:eastAsia="zh-CN" w:bidi="ar-SA"/>
                    </w:rPr>
                    <w:t>仓顶房</w:t>
                  </w:r>
                  <w:r>
                    <w:rPr>
                      <w:rFonts w:hint="eastAsia" w:ascii="Times New Roman" w:hAnsi="Times New Roman" w:cs="Times New Roman"/>
                      <w:color w:val="auto"/>
                      <w:kern w:val="2"/>
                      <w:sz w:val="21"/>
                      <w:szCs w:val="21"/>
                      <w:highlight w:val="none"/>
                      <w:lang w:val="en-US" w:eastAsia="zh-CN" w:bidi="ar-SA"/>
                    </w:rPr>
                    <w:t>及仓底</w:t>
                  </w:r>
                  <w:r>
                    <w:rPr>
                      <w:rFonts w:hint="default" w:ascii="Times New Roman" w:hAnsi="Times New Roman" w:eastAsia="宋体" w:cs="Times New Roman"/>
                      <w:color w:val="auto"/>
                      <w:kern w:val="2"/>
                      <w:sz w:val="21"/>
                      <w:szCs w:val="21"/>
                      <w:highlight w:val="none"/>
                      <w:lang w:val="en-US" w:eastAsia="zh-CN" w:bidi="ar-SA"/>
                    </w:rPr>
                    <w:t>设冲洗水排水系统，在其最低处设地漏，</w:t>
                  </w:r>
                  <w:r>
                    <w:rPr>
                      <w:rFonts w:hint="eastAsia" w:ascii="Times New Roman" w:hAnsi="Times New Roman" w:cs="Times New Roman"/>
                      <w:color w:val="auto"/>
                      <w:kern w:val="2"/>
                      <w:sz w:val="21"/>
                      <w:szCs w:val="21"/>
                      <w:highlight w:val="none"/>
                      <w:lang w:val="en-US" w:eastAsia="zh-CN" w:bidi="ar-SA"/>
                    </w:rPr>
                    <w:t>冲洗废水经地漏收集后汇集至筒仓底部集水坑内，通过排水沟收集冲洗废水，经潜污泵加压，排至废水收集管网，全部回用于洗煤厂用于洗煤用水。</w:t>
                  </w:r>
                </w:p>
              </w:tc>
              <w:tc>
                <w:tcPr>
                  <w:tcW w:w="1014" w:type="dxa"/>
                  <w:tcBorders>
                    <w:tl2br w:val="nil"/>
                    <w:tr2bl w:val="nil"/>
                  </w:tcBorders>
                  <w:noWrap w:val="0"/>
                  <w:vAlign w:val="center"/>
                </w:tcPr>
                <w:p w14:paraId="0FB95EEB">
                  <w:pPr>
                    <w:jc w:val="center"/>
                    <w:rPr>
                      <w:rFonts w:hint="default" w:ascii="Times New Roman" w:hAnsi="Times New Roman" w:cs="Times New Roman"/>
                      <w:color w:val="auto"/>
                      <w:szCs w:val="21"/>
                      <w:lang w:val="en-US" w:eastAsia="zh-CN"/>
                    </w:rPr>
                  </w:pPr>
                </w:p>
              </w:tc>
            </w:tr>
            <w:tr w14:paraId="0652527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718" w:hRule="atLeast"/>
              </w:trPr>
              <w:tc>
                <w:tcPr>
                  <w:tcW w:w="752" w:type="dxa"/>
                  <w:vMerge w:val="continue"/>
                  <w:tcBorders>
                    <w:tl2br w:val="nil"/>
                    <w:tr2bl w:val="nil"/>
                  </w:tcBorders>
                  <w:noWrap w:val="0"/>
                  <w:vAlign w:val="center"/>
                </w:tcPr>
                <w:p w14:paraId="07EB7153">
                  <w:pPr>
                    <w:jc w:val="center"/>
                    <w:rPr>
                      <w:rFonts w:hint="default" w:ascii="Times New Roman" w:hAnsi="Times New Roman" w:cs="Times New Roman"/>
                      <w:color w:val="auto"/>
                      <w:szCs w:val="21"/>
                    </w:rPr>
                  </w:pPr>
                </w:p>
              </w:tc>
              <w:tc>
                <w:tcPr>
                  <w:tcW w:w="530" w:type="dxa"/>
                  <w:vMerge w:val="restart"/>
                  <w:tcBorders>
                    <w:tl2br w:val="nil"/>
                    <w:tr2bl w:val="nil"/>
                  </w:tcBorders>
                  <w:noWrap w:val="0"/>
                  <w:vAlign w:val="center"/>
                </w:tcPr>
                <w:p w14:paraId="78ACF9B1">
                  <w:pPr>
                    <w:jc w:val="center"/>
                    <w:rPr>
                      <w:rFonts w:hint="default" w:ascii="Times New Roman" w:hAnsi="Times New Roman" w:cs="Times New Roman"/>
                      <w:color w:val="auto"/>
                      <w:szCs w:val="21"/>
                    </w:rPr>
                  </w:pPr>
                  <w:r>
                    <w:rPr>
                      <w:rFonts w:hint="default" w:ascii="Times New Roman" w:hAnsi="Times New Roman" w:cs="Times New Roman"/>
                      <w:color w:val="auto"/>
                      <w:szCs w:val="21"/>
                    </w:rPr>
                    <w:t>固废</w:t>
                  </w:r>
                </w:p>
              </w:tc>
              <w:tc>
                <w:tcPr>
                  <w:tcW w:w="1017" w:type="dxa"/>
                  <w:gridSpan w:val="2"/>
                  <w:tcBorders>
                    <w:tl2br w:val="nil"/>
                    <w:tr2bl w:val="nil"/>
                  </w:tcBorders>
                  <w:shd w:val="clear" w:color="auto" w:fill="auto"/>
                  <w:noWrap w:val="0"/>
                  <w:vAlign w:val="center"/>
                </w:tcPr>
                <w:p w14:paraId="0FB9BB40">
                  <w:pPr>
                    <w:jc w:val="center"/>
                    <w:rPr>
                      <w:rFonts w:hint="eastAsia" w:cs="Times New Roman"/>
                      <w:color w:val="auto"/>
                      <w:kern w:val="2"/>
                      <w:sz w:val="21"/>
                      <w:szCs w:val="21"/>
                      <w:lang w:val="en-US" w:eastAsia="zh-CN" w:bidi="ar-SA"/>
                    </w:rPr>
                  </w:pPr>
                  <w:r>
                    <w:rPr>
                      <w:rFonts w:hint="eastAsia" w:cs="Times New Roman"/>
                      <w:color w:val="auto"/>
                      <w:kern w:val="2"/>
                      <w:sz w:val="21"/>
                      <w:szCs w:val="21"/>
                      <w:lang w:val="en-US" w:eastAsia="zh-CN" w:bidi="ar-SA"/>
                    </w:rPr>
                    <w:t>生活</w:t>
                  </w:r>
                </w:p>
                <w:p w14:paraId="2FFEF8A5">
                  <w:pPr>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垃圾</w:t>
                  </w:r>
                </w:p>
              </w:tc>
              <w:tc>
                <w:tcPr>
                  <w:tcW w:w="4785" w:type="dxa"/>
                  <w:tcBorders>
                    <w:tl2br w:val="nil"/>
                    <w:tr2bl w:val="nil"/>
                  </w:tcBorders>
                  <w:shd w:val="clear" w:color="auto" w:fill="auto"/>
                  <w:noWrap w:val="0"/>
                  <w:vAlign w:val="center"/>
                </w:tcPr>
                <w:p w14:paraId="27E658E5">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统一收集后交由环卫部门处理</w:t>
                  </w:r>
                  <w:r>
                    <w:rPr>
                      <w:rFonts w:hint="eastAsia" w:cs="Times New Roman"/>
                      <w:color w:val="auto"/>
                      <w:kern w:val="2"/>
                      <w:sz w:val="21"/>
                      <w:szCs w:val="21"/>
                      <w:lang w:val="en-US" w:eastAsia="zh-CN" w:bidi="ar-SA"/>
                    </w:rPr>
                    <w:t>。</w:t>
                  </w:r>
                </w:p>
              </w:tc>
              <w:tc>
                <w:tcPr>
                  <w:tcW w:w="1014" w:type="dxa"/>
                  <w:tcBorders>
                    <w:tl2br w:val="nil"/>
                    <w:tr2bl w:val="nil"/>
                  </w:tcBorders>
                  <w:noWrap w:val="0"/>
                  <w:vAlign w:val="center"/>
                </w:tcPr>
                <w:p w14:paraId="756BEC77">
                  <w:pPr>
                    <w:jc w:val="center"/>
                    <w:rPr>
                      <w:rFonts w:hint="default" w:ascii="Times New Roman" w:hAnsi="Times New Roman" w:eastAsia="宋体" w:cs="Times New Roman"/>
                      <w:color w:val="auto"/>
                      <w:szCs w:val="21"/>
                      <w:lang w:val="en-US" w:eastAsia="zh-CN"/>
                    </w:rPr>
                  </w:pPr>
                </w:p>
              </w:tc>
            </w:tr>
            <w:tr w14:paraId="27530BD4">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821" w:hRule="atLeast"/>
              </w:trPr>
              <w:tc>
                <w:tcPr>
                  <w:tcW w:w="752" w:type="dxa"/>
                  <w:vMerge w:val="continue"/>
                  <w:tcBorders>
                    <w:tl2br w:val="nil"/>
                    <w:tr2bl w:val="nil"/>
                  </w:tcBorders>
                  <w:noWrap w:val="0"/>
                  <w:vAlign w:val="center"/>
                </w:tcPr>
                <w:p w14:paraId="2DBFCCA8">
                  <w:pPr>
                    <w:jc w:val="center"/>
                    <w:rPr>
                      <w:rFonts w:hint="default" w:ascii="Times New Roman" w:hAnsi="Times New Roman" w:cs="Times New Roman"/>
                      <w:color w:val="auto"/>
                      <w:szCs w:val="21"/>
                    </w:rPr>
                  </w:pPr>
                </w:p>
              </w:tc>
              <w:tc>
                <w:tcPr>
                  <w:tcW w:w="530" w:type="dxa"/>
                  <w:vMerge w:val="continue"/>
                  <w:tcBorders>
                    <w:tl2br w:val="nil"/>
                    <w:tr2bl w:val="nil"/>
                  </w:tcBorders>
                  <w:noWrap w:val="0"/>
                  <w:vAlign w:val="center"/>
                </w:tcPr>
                <w:p w14:paraId="435046F1">
                  <w:pPr>
                    <w:jc w:val="center"/>
                    <w:rPr>
                      <w:rFonts w:hint="default" w:ascii="Times New Roman" w:hAnsi="Times New Roman" w:cs="Times New Roman"/>
                      <w:color w:val="auto"/>
                      <w:szCs w:val="21"/>
                    </w:rPr>
                  </w:pPr>
                </w:p>
              </w:tc>
              <w:tc>
                <w:tcPr>
                  <w:tcW w:w="1017" w:type="dxa"/>
                  <w:gridSpan w:val="2"/>
                  <w:tcBorders>
                    <w:tl2br w:val="nil"/>
                    <w:tr2bl w:val="nil"/>
                  </w:tcBorders>
                  <w:shd w:val="clear" w:color="auto" w:fill="auto"/>
                  <w:noWrap w:val="0"/>
                  <w:vAlign w:val="center"/>
                </w:tcPr>
                <w:p w14:paraId="3EED4CC7">
                  <w:pPr>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Cs w:val="21"/>
                      <w:lang w:val="en-US" w:eastAsia="zh-CN"/>
                    </w:rPr>
                    <w:t>废矿物油、废油桶</w:t>
                  </w:r>
                </w:p>
              </w:tc>
              <w:tc>
                <w:tcPr>
                  <w:tcW w:w="4785" w:type="dxa"/>
                  <w:tcBorders>
                    <w:tl2br w:val="nil"/>
                    <w:tr2bl w:val="nil"/>
                  </w:tcBorders>
                  <w:shd w:val="clear" w:color="auto" w:fill="auto"/>
                  <w:noWrap w:val="0"/>
                  <w:vAlign w:val="center"/>
                </w:tcPr>
                <w:p w14:paraId="682BC75D">
                  <w:pPr>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Cs w:val="21"/>
                      <w:lang w:val="en-US" w:eastAsia="zh-CN"/>
                    </w:rPr>
                    <w:t>暂存于矿区危废贮存库，定期委托资质单位处置。</w:t>
                  </w:r>
                </w:p>
              </w:tc>
              <w:tc>
                <w:tcPr>
                  <w:tcW w:w="1014" w:type="dxa"/>
                  <w:tcBorders>
                    <w:tl2br w:val="nil"/>
                    <w:tr2bl w:val="nil"/>
                  </w:tcBorders>
                  <w:noWrap w:val="0"/>
                  <w:vAlign w:val="center"/>
                </w:tcPr>
                <w:p w14:paraId="6BC1873C">
                  <w:pPr>
                    <w:jc w:val="center"/>
                    <w:rPr>
                      <w:rFonts w:hint="default" w:ascii="Times New Roman" w:hAnsi="Times New Roman" w:eastAsia="宋体" w:cs="Times New Roman"/>
                      <w:color w:val="auto"/>
                      <w:szCs w:val="21"/>
                      <w:lang w:val="en-US" w:eastAsia="zh-CN"/>
                    </w:rPr>
                  </w:pPr>
                </w:p>
              </w:tc>
            </w:tr>
            <w:tr w14:paraId="2472A4A3">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471" w:hRule="atLeast"/>
              </w:trPr>
              <w:tc>
                <w:tcPr>
                  <w:tcW w:w="752" w:type="dxa"/>
                  <w:vMerge w:val="continue"/>
                  <w:tcBorders>
                    <w:tl2br w:val="nil"/>
                    <w:tr2bl w:val="nil"/>
                  </w:tcBorders>
                  <w:noWrap w:val="0"/>
                  <w:vAlign w:val="center"/>
                </w:tcPr>
                <w:p w14:paraId="599CED64">
                  <w:pPr>
                    <w:jc w:val="center"/>
                    <w:rPr>
                      <w:rFonts w:hint="default" w:ascii="Times New Roman" w:hAnsi="Times New Roman" w:cs="Times New Roman"/>
                      <w:color w:val="auto"/>
                      <w:szCs w:val="21"/>
                    </w:rPr>
                  </w:pPr>
                </w:p>
              </w:tc>
              <w:tc>
                <w:tcPr>
                  <w:tcW w:w="1547" w:type="dxa"/>
                  <w:gridSpan w:val="3"/>
                  <w:tcBorders>
                    <w:tl2br w:val="nil"/>
                    <w:tr2bl w:val="nil"/>
                  </w:tcBorders>
                  <w:noWrap w:val="0"/>
                  <w:vAlign w:val="center"/>
                </w:tcPr>
                <w:p w14:paraId="28004085">
                  <w:pPr>
                    <w:jc w:val="center"/>
                    <w:rPr>
                      <w:rFonts w:hint="default" w:ascii="Times New Roman" w:hAnsi="Times New Roman" w:cs="Times New Roman"/>
                      <w:color w:val="auto"/>
                      <w:szCs w:val="21"/>
                    </w:rPr>
                  </w:pPr>
                  <w:r>
                    <w:rPr>
                      <w:rFonts w:hint="default" w:ascii="Times New Roman" w:hAnsi="Times New Roman" w:cs="Times New Roman"/>
                      <w:color w:val="auto"/>
                      <w:szCs w:val="21"/>
                    </w:rPr>
                    <w:t>噪声</w:t>
                  </w:r>
                </w:p>
              </w:tc>
              <w:tc>
                <w:tcPr>
                  <w:tcW w:w="4785" w:type="dxa"/>
                  <w:tcBorders>
                    <w:tl2br w:val="nil"/>
                    <w:tr2bl w:val="nil"/>
                  </w:tcBorders>
                  <w:noWrap w:val="0"/>
                  <w:vAlign w:val="center"/>
                </w:tcPr>
                <w:p w14:paraId="58B39771">
                  <w:pPr>
                    <w:jc w:val="center"/>
                    <w:rPr>
                      <w:rFonts w:hint="eastAsia" w:ascii="Times New Roman" w:hAnsi="Times New Roman" w:eastAsia="宋体" w:cs="Times New Roman"/>
                      <w:color w:val="auto"/>
                      <w:szCs w:val="21"/>
                      <w:lang w:eastAsia="zh-CN"/>
                    </w:rPr>
                  </w:pPr>
                  <w:r>
                    <w:rPr>
                      <w:rFonts w:hint="default" w:ascii="Times New Roman" w:hAnsi="Times New Roman" w:cs="Times New Roman"/>
                      <w:color w:val="auto"/>
                      <w:szCs w:val="21"/>
                    </w:rPr>
                    <w:t>选用低噪声设备、置于室内、基础减震等措施</w:t>
                  </w:r>
                  <w:r>
                    <w:rPr>
                      <w:rFonts w:hint="eastAsia" w:cs="Times New Roman"/>
                      <w:color w:val="auto"/>
                      <w:szCs w:val="21"/>
                      <w:lang w:eastAsia="zh-CN"/>
                    </w:rPr>
                    <w:t>。</w:t>
                  </w:r>
                </w:p>
              </w:tc>
              <w:tc>
                <w:tcPr>
                  <w:tcW w:w="1014" w:type="dxa"/>
                  <w:tcBorders>
                    <w:tl2br w:val="nil"/>
                    <w:tr2bl w:val="nil"/>
                  </w:tcBorders>
                  <w:noWrap w:val="0"/>
                  <w:vAlign w:val="center"/>
                </w:tcPr>
                <w:p w14:paraId="219F6DF7">
                  <w:pPr>
                    <w:jc w:val="center"/>
                    <w:rPr>
                      <w:rFonts w:hint="default" w:ascii="Times New Roman" w:hAnsi="Times New Roman" w:cs="Times New Roman"/>
                      <w:color w:val="auto"/>
                      <w:szCs w:val="21"/>
                    </w:rPr>
                  </w:pPr>
                </w:p>
              </w:tc>
            </w:tr>
          </w:tbl>
          <w:p w14:paraId="0113EC3A">
            <w:pPr>
              <w:keepNext w:val="0"/>
              <w:keepLines w:val="0"/>
              <w:pageBreakBefore w:val="0"/>
              <w:widowControl w:val="0"/>
              <w:kinsoku/>
              <w:wordWrap/>
              <w:overflowPunct/>
              <w:topLinePunct w:val="0"/>
              <w:autoSpaceDE w:val="0"/>
              <w:autoSpaceDN w:val="0"/>
              <w:bidi w:val="0"/>
              <w:adjustRightInd w:val="0"/>
              <w:snapToGrid w:val="0"/>
              <w:spacing w:line="480" w:lineRule="exact"/>
              <w:ind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2.1</w:t>
            </w:r>
            <w:r>
              <w:rPr>
                <w:rFonts w:hint="eastAsia" w:cs="Times New Roman"/>
                <w:b/>
                <w:bCs/>
                <w:color w:val="auto"/>
                <w:sz w:val="24"/>
                <w:szCs w:val="24"/>
                <w:highlight w:val="none"/>
                <w:lang w:val="en-US" w:eastAsia="zh-CN"/>
              </w:rPr>
              <w:t>1 与本项目有关的</w:t>
            </w:r>
            <w:r>
              <w:rPr>
                <w:rFonts w:hint="eastAsia" w:ascii="Times New Roman" w:hAnsi="Times New Roman" w:eastAsia="宋体" w:cs="Times New Roman"/>
                <w:b/>
                <w:bCs/>
                <w:color w:val="auto"/>
                <w:sz w:val="24"/>
                <w:szCs w:val="24"/>
                <w:highlight w:val="none"/>
                <w:lang w:val="en-US" w:eastAsia="zh-CN"/>
              </w:rPr>
              <w:t>现</w:t>
            </w:r>
            <w:r>
              <w:rPr>
                <w:rFonts w:hint="default" w:ascii="Times New Roman" w:hAnsi="Times New Roman" w:eastAsia="宋体" w:cs="Times New Roman"/>
                <w:b/>
                <w:bCs/>
                <w:color w:val="auto"/>
                <w:sz w:val="24"/>
                <w:szCs w:val="24"/>
                <w:highlight w:val="none"/>
                <w:lang w:val="en-US" w:eastAsia="zh-CN"/>
              </w:rPr>
              <w:t>有工程污染物排放情况</w:t>
            </w:r>
          </w:p>
          <w:p w14:paraId="30AEB661">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eastAsia="宋体" w:cs="Times New Roman"/>
                <w:bCs/>
                <w:color w:val="auto"/>
                <w:spacing w:val="0"/>
                <w:sz w:val="24"/>
                <w:szCs w:val="24"/>
                <w:highlight w:val="none"/>
                <w:lang w:val="en-US" w:eastAsia="zh-CN"/>
              </w:rPr>
            </w:pPr>
            <w:r>
              <w:rPr>
                <w:rFonts w:hint="eastAsia" w:ascii="Times New Roman" w:hAnsi="Times New Roman" w:eastAsia="宋体" w:cs="Times New Roman"/>
                <w:bCs/>
                <w:color w:val="auto"/>
                <w:spacing w:val="0"/>
                <w:sz w:val="24"/>
                <w:szCs w:val="24"/>
                <w:highlight w:val="none"/>
                <w:lang w:val="en-US" w:eastAsia="zh-CN"/>
              </w:rPr>
              <w:t>1.废气</w:t>
            </w:r>
          </w:p>
          <w:p w14:paraId="74673AFB">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bCs/>
                <w:color w:val="auto"/>
                <w:spacing w:val="0"/>
                <w:sz w:val="24"/>
                <w:szCs w:val="24"/>
                <w:highlight w:val="none"/>
                <w:lang w:val="en-US" w:eastAsia="zh-CN"/>
              </w:rPr>
            </w:pPr>
            <w:r>
              <w:rPr>
                <w:rFonts w:hint="eastAsia" w:ascii="Times New Roman" w:hAnsi="Times New Roman" w:eastAsia="宋体" w:cs="Times New Roman"/>
                <w:bCs/>
                <w:color w:val="auto"/>
                <w:spacing w:val="0"/>
                <w:sz w:val="24"/>
                <w:szCs w:val="24"/>
                <w:highlight w:val="none"/>
                <w:lang w:val="en-US" w:eastAsia="zh-CN"/>
              </w:rPr>
              <w:t>本次评价无组织废气监测结果引用202</w:t>
            </w:r>
            <w:r>
              <w:rPr>
                <w:rFonts w:hint="eastAsia" w:cs="Times New Roman"/>
                <w:bCs/>
                <w:color w:val="auto"/>
                <w:spacing w:val="0"/>
                <w:sz w:val="24"/>
                <w:szCs w:val="24"/>
                <w:highlight w:val="none"/>
                <w:lang w:val="en-US" w:eastAsia="zh-CN"/>
              </w:rPr>
              <w:t>6</w:t>
            </w:r>
            <w:r>
              <w:rPr>
                <w:rFonts w:hint="eastAsia" w:ascii="Times New Roman" w:hAnsi="Times New Roman" w:eastAsia="宋体" w:cs="Times New Roman"/>
                <w:bCs/>
                <w:color w:val="auto"/>
                <w:spacing w:val="0"/>
                <w:sz w:val="24"/>
                <w:szCs w:val="24"/>
                <w:highlight w:val="none"/>
                <w:lang w:val="en-US" w:eastAsia="zh-CN"/>
              </w:rPr>
              <w:t>年</w:t>
            </w:r>
            <w:r>
              <w:rPr>
                <w:rFonts w:hint="eastAsia" w:cs="Times New Roman"/>
                <w:bCs/>
                <w:color w:val="auto"/>
                <w:spacing w:val="0"/>
                <w:sz w:val="24"/>
                <w:szCs w:val="24"/>
                <w:highlight w:val="none"/>
                <w:lang w:val="en-US" w:eastAsia="zh-CN"/>
              </w:rPr>
              <w:t>2</w:t>
            </w:r>
            <w:r>
              <w:rPr>
                <w:rFonts w:hint="eastAsia" w:ascii="Times New Roman" w:hAnsi="Times New Roman" w:eastAsia="宋体" w:cs="Times New Roman"/>
                <w:bCs/>
                <w:color w:val="auto"/>
                <w:spacing w:val="0"/>
                <w:sz w:val="24"/>
                <w:szCs w:val="24"/>
                <w:highlight w:val="none"/>
                <w:lang w:val="en-US" w:eastAsia="zh-CN"/>
              </w:rPr>
              <w:t>月</w:t>
            </w:r>
            <w:r>
              <w:rPr>
                <w:rFonts w:hint="eastAsia" w:cs="Times New Roman"/>
                <w:bCs/>
                <w:color w:val="auto"/>
                <w:spacing w:val="0"/>
                <w:sz w:val="24"/>
                <w:szCs w:val="24"/>
                <w:highlight w:val="none"/>
                <w:lang w:val="en-US" w:eastAsia="zh-CN"/>
              </w:rPr>
              <w:t>10</w:t>
            </w:r>
            <w:r>
              <w:rPr>
                <w:rFonts w:hint="eastAsia" w:ascii="Times New Roman" w:hAnsi="Times New Roman" w:eastAsia="宋体" w:cs="Times New Roman"/>
                <w:bCs/>
                <w:color w:val="auto"/>
                <w:spacing w:val="0"/>
                <w:sz w:val="24"/>
                <w:szCs w:val="24"/>
                <w:highlight w:val="none"/>
                <w:lang w:val="en-US" w:eastAsia="zh-CN"/>
              </w:rPr>
              <w:t>日</w:t>
            </w:r>
            <w:r>
              <w:rPr>
                <w:rFonts w:hint="default" w:ascii="Times New Roman" w:hAnsi="Times New Roman" w:eastAsia="宋体" w:cs="Times New Roman"/>
                <w:bCs/>
                <w:color w:val="auto"/>
                <w:spacing w:val="0"/>
                <w:sz w:val="24"/>
                <w:szCs w:val="24"/>
                <w:highlight w:val="none"/>
                <w:lang w:val="en-US" w:eastAsia="zh-CN"/>
              </w:rPr>
              <w:t>由山西</w:t>
            </w:r>
            <w:r>
              <w:rPr>
                <w:rFonts w:hint="eastAsia" w:ascii="Times New Roman" w:hAnsi="Times New Roman" w:eastAsia="宋体" w:cs="Times New Roman"/>
                <w:bCs/>
                <w:color w:val="auto"/>
                <w:spacing w:val="0"/>
                <w:sz w:val="24"/>
                <w:szCs w:val="24"/>
                <w:highlight w:val="none"/>
                <w:lang w:val="en-US" w:eastAsia="zh-CN"/>
              </w:rPr>
              <w:t>华益检测科技</w:t>
            </w:r>
            <w:r>
              <w:rPr>
                <w:rFonts w:hint="default" w:ascii="Times New Roman" w:hAnsi="Times New Roman" w:eastAsia="宋体" w:cs="Times New Roman"/>
                <w:bCs/>
                <w:color w:val="auto"/>
                <w:spacing w:val="0"/>
                <w:sz w:val="24"/>
                <w:szCs w:val="24"/>
                <w:highlight w:val="none"/>
                <w:lang w:val="en-US" w:eastAsia="zh-CN"/>
              </w:rPr>
              <w:t>有限公司出具的《</w:t>
            </w:r>
            <w:r>
              <w:rPr>
                <w:rFonts w:hint="eastAsia" w:ascii="Times New Roman" w:hAnsi="Times New Roman" w:eastAsia="宋体" w:cs="Times New Roman"/>
                <w:bCs/>
                <w:color w:val="auto"/>
                <w:spacing w:val="0"/>
                <w:sz w:val="24"/>
                <w:szCs w:val="24"/>
                <w:highlight w:val="none"/>
                <w:lang w:val="en-US" w:eastAsia="zh-CN"/>
              </w:rPr>
              <w:t>山西晋煤集团赵庄煤业有限责任公司自行监测（第</w:t>
            </w:r>
            <w:r>
              <w:rPr>
                <w:rFonts w:hint="eastAsia" w:cs="Times New Roman"/>
                <w:bCs/>
                <w:color w:val="auto"/>
                <w:spacing w:val="0"/>
                <w:sz w:val="24"/>
                <w:szCs w:val="24"/>
                <w:highlight w:val="none"/>
                <w:lang w:val="en-US" w:eastAsia="zh-CN"/>
              </w:rPr>
              <w:t>一</w:t>
            </w:r>
            <w:r>
              <w:rPr>
                <w:rFonts w:hint="eastAsia" w:ascii="Times New Roman" w:hAnsi="Times New Roman" w:eastAsia="宋体" w:cs="Times New Roman"/>
                <w:bCs/>
                <w:color w:val="auto"/>
                <w:spacing w:val="0"/>
                <w:sz w:val="24"/>
                <w:szCs w:val="24"/>
                <w:highlight w:val="none"/>
                <w:lang w:val="en-US" w:eastAsia="zh-CN"/>
              </w:rPr>
              <w:t>季度无组织+噪声）</w:t>
            </w:r>
            <w:r>
              <w:rPr>
                <w:rFonts w:hint="default" w:ascii="Times New Roman" w:hAnsi="Times New Roman" w:eastAsia="宋体" w:cs="Times New Roman"/>
                <w:bCs/>
                <w:color w:val="auto"/>
                <w:spacing w:val="0"/>
                <w:sz w:val="24"/>
                <w:szCs w:val="24"/>
                <w:highlight w:val="none"/>
                <w:lang w:val="en-US" w:eastAsia="zh-CN"/>
              </w:rPr>
              <w:t>》（</w:t>
            </w:r>
            <w:r>
              <w:rPr>
                <w:rFonts w:hint="eastAsia" w:ascii="Times New Roman" w:hAnsi="Times New Roman" w:eastAsia="宋体" w:cs="Times New Roman"/>
                <w:bCs/>
                <w:color w:val="auto"/>
                <w:spacing w:val="0"/>
                <w:sz w:val="24"/>
                <w:szCs w:val="24"/>
                <w:highlight w:val="none"/>
                <w:lang w:val="en-US" w:eastAsia="zh-CN"/>
              </w:rPr>
              <w:t>SXHYJC-2</w:t>
            </w:r>
            <w:r>
              <w:rPr>
                <w:rFonts w:hint="eastAsia" w:cs="Times New Roman"/>
                <w:bCs/>
                <w:color w:val="auto"/>
                <w:spacing w:val="0"/>
                <w:sz w:val="24"/>
                <w:szCs w:val="24"/>
                <w:highlight w:val="none"/>
                <w:lang w:val="en-US" w:eastAsia="zh-CN"/>
              </w:rPr>
              <w:t>6</w:t>
            </w:r>
            <w:r>
              <w:rPr>
                <w:rFonts w:hint="eastAsia" w:ascii="Times New Roman" w:hAnsi="Times New Roman" w:eastAsia="宋体" w:cs="Times New Roman"/>
                <w:bCs/>
                <w:color w:val="auto"/>
                <w:spacing w:val="0"/>
                <w:sz w:val="24"/>
                <w:szCs w:val="24"/>
                <w:highlight w:val="none"/>
                <w:lang w:val="en-US" w:eastAsia="zh-CN"/>
              </w:rPr>
              <w:t>0</w:t>
            </w:r>
            <w:r>
              <w:rPr>
                <w:rFonts w:hint="eastAsia" w:cs="Times New Roman"/>
                <w:bCs/>
                <w:color w:val="auto"/>
                <w:spacing w:val="0"/>
                <w:sz w:val="24"/>
                <w:szCs w:val="24"/>
                <w:highlight w:val="none"/>
                <w:lang w:val="en-US" w:eastAsia="zh-CN"/>
              </w:rPr>
              <w:t>1</w:t>
            </w:r>
            <w:r>
              <w:rPr>
                <w:rFonts w:hint="eastAsia" w:ascii="Times New Roman" w:hAnsi="Times New Roman" w:eastAsia="宋体" w:cs="Times New Roman"/>
                <w:bCs/>
                <w:color w:val="auto"/>
                <w:spacing w:val="0"/>
                <w:sz w:val="24"/>
                <w:szCs w:val="24"/>
                <w:highlight w:val="none"/>
                <w:lang w:val="en-US" w:eastAsia="zh-CN"/>
              </w:rPr>
              <w:t>-</w:t>
            </w:r>
            <w:r>
              <w:rPr>
                <w:rFonts w:hint="eastAsia" w:cs="Times New Roman"/>
                <w:bCs/>
                <w:color w:val="auto"/>
                <w:spacing w:val="0"/>
                <w:sz w:val="24"/>
                <w:szCs w:val="24"/>
                <w:highlight w:val="none"/>
                <w:lang w:val="en-US" w:eastAsia="zh-CN"/>
              </w:rPr>
              <w:t>053</w:t>
            </w:r>
            <w:r>
              <w:rPr>
                <w:rFonts w:hint="default" w:ascii="Times New Roman" w:hAnsi="Times New Roman" w:eastAsia="宋体" w:cs="Times New Roman"/>
                <w:bCs/>
                <w:color w:val="auto"/>
                <w:spacing w:val="0"/>
                <w:sz w:val="24"/>
                <w:szCs w:val="24"/>
                <w:highlight w:val="none"/>
                <w:lang w:val="en-US" w:eastAsia="zh-CN"/>
              </w:rPr>
              <w:t>）</w:t>
            </w:r>
            <w:r>
              <w:rPr>
                <w:rFonts w:hint="eastAsia" w:ascii="Times New Roman" w:hAnsi="Times New Roman" w:eastAsia="宋体" w:cs="Times New Roman"/>
                <w:bCs/>
                <w:color w:val="auto"/>
                <w:spacing w:val="0"/>
                <w:sz w:val="24"/>
                <w:szCs w:val="24"/>
                <w:highlight w:val="none"/>
                <w:lang w:val="en-US" w:eastAsia="zh-CN"/>
              </w:rPr>
              <w:t>中的数据。</w:t>
            </w:r>
          </w:p>
          <w:p w14:paraId="220A11C5">
            <w:pPr>
              <w:pStyle w:val="9"/>
              <w:keepNext w:val="0"/>
              <w:keepLines w:val="0"/>
              <w:pageBreakBefore w:val="0"/>
              <w:widowControl/>
              <w:kinsoku/>
              <w:wordWrap/>
              <w:overflowPunct/>
              <w:topLinePunct w:val="0"/>
              <w:autoSpaceDE/>
              <w:autoSpaceDN/>
              <w:bidi w:val="0"/>
              <w:adjustRightInd w:val="0"/>
              <w:snapToGrid w:val="0"/>
              <w:spacing w:before="0" w:after="0" w:line="480" w:lineRule="exact"/>
              <w:ind w:right="113"/>
              <w:jc w:val="center"/>
              <w:textAlignment w:val="auto"/>
              <w:rPr>
                <w:rFonts w:hint="default" w:ascii="Times New Roman" w:hAnsi="Times New Roman" w:eastAsia="黑体" w:cs="Times New Roman"/>
                <w:color w:val="auto"/>
                <w:sz w:val="21"/>
                <w:szCs w:val="21"/>
                <w:lang w:val="en-US" w:eastAsia="zh-CN"/>
              </w:rPr>
            </w:pPr>
            <w:r>
              <w:rPr>
                <w:rFonts w:hint="eastAsia" w:eastAsia="黑体" w:cs="Times New Roman"/>
                <w:color w:val="auto"/>
                <w:sz w:val="21"/>
                <w:szCs w:val="21"/>
                <w:lang w:val="en-US" w:eastAsia="zh-CN"/>
              </w:rPr>
              <w:t xml:space="preserve">         </w:t>
            </w:r>
            <w:r>
              <w:rPr>
                <w:rFonts w:hint="default" w:ascii="Times New Roman" w:hAnsi="Times New Roman" w:eastAsia="黑体" w:cs="Times New Roman"/>
                <w:color w:val="auto"/>
                <w:sz w:val="21"/>
                <w:szCs w:val="21"/>
                <w:lang w:val="en-US" w:eastAsia="zh-CN"/>
              </w:rPr>
              <w:t>表</w:t>
            </w:r>
            <w:r>
              <w:rPr>
                <w:rFonts w:hint="eastAsia" w:eastAsia="黑体" w:cs="Times New Roman"/>
                <w:color w:val="auto"/>
                <w:sz w:val="21"/>
                <w:szCs w:val="21"/>
                <w:lang w:val="en-US" w:eastAsia="zh-CN"/>
              </w:rPr>
              <w:t>2.11-1</w:t>
            </w:r>
            <w:r>
              <w:rPr>
                <w:rFonts w:hint="default" w:ascii="Times New Roman" w:hAnsi="Times New Roman" w:eastAsia="黑体" w:cs="Times New Roman"/>
                <w:color w:val="auto"/>
                <w:sz w:val="21"/>
                <w:szCs w:val="21"/>
                <w:lang w:val="en-US" w:eastAsia="zh-CN"/>
              </w:rPr>
              <w:t xml:space="preserve">  </w:t>
            </w:r>
            <w:r>
              <w:rPr>
                <w:rFonts w:hint="eastAsia" w:ascii="Times New Roman" w:hAnsi="Times New Roman" w:eastAsia="黑体" w:cs="Times New Roman"/>
                <w:color w:val="auto"/>
                <w:sz w:val="21"/>
                <w:szCs w:val="21"/>
                <w:lang w:val="en-US" w:eastAsia="zh-CN"/>
              </w:rPr>
              <w:t>主井工业场地厂界</w:t>
            </w:r>
            <w:r>
              <w:rPr>
                <w:rFonts w:hint="default" w:ascii="Times New Roman" w:hAnsi="Times New Roman" w:eastAsia="黑体" w:cs="Times New Roman"/>
                <w:color w:val="auto"/>
                <w:sz w:val="21"/>
                <w:szCs w:val="21"/>
                <w:lang w:val="en-US" w:eastAsia="zh-CN"/>
              </w:rPr>
              <w:t>无组织</w:t>
            </w:r>
            <w:r>
              <w:rPr>
                <w:rFonts w:hint="eastAsia" w:eastAsia="黑体" w:cs="Times New Roman"/>
                <w:color w:val="auto"/>
                <w:sz w:val="21"/>
                <w:szCs w:val="21"/>
                <w:lang w:val="en-US" w:eastAsia="zh-CN"/>
              </w:rPr>
              <w:t>废气</w:t>
            </w:r>
            <w:r>
              <w:rPr>
                <w:rFonts w:hint="default" w:ascii="Times New Roman" w:hAnsi="Times New Roman" w:eastAsia="黑体" w:cs="Times New Roman"/>
                <w:color w:val="auto"/>
                <w:sz w:val="21"/>
                <w:szCs w:val="21"/>
                <w:lang w:val="en-US" w:eastAsia="zh-CN"/>
              </w:rPr>
              <w:t>监测结果</w:t>
            </w:r>
            <w:r>
              <w:rPr>
                <w:rFonts w:hint="eastAsia" w:ascii="Times New Roman" w:hAnsi="Times New Roman" w:eastAsia="黑体" w:cs="Times New Roman"/>
                <w:color w:val="auto"/>
                <w:sz w:val="21"/>
                <w:szCs w:val="21"/>
                <w:lang w:val="en-US" w:eastAsia="zh-CN"/>
              </w:rPr>
              <w:t xml:space="preserve">     单位：mg/m</w:t>
            </w:r>
            <w:r>
              <w:rPr>
                <w:rFonts w:hint="eastAsia" w:ascii="Times New Roman" w:hAnsi="Times New Roman" w:eastAsia="黑体" w:cs="Times New Roman"/>
                <w:color w:val="auto"/>
                <w:sz w:val="21"/>
                <w:szCs w:val="21"/>
                <w:vertAlign w:val="superscript"/>
                <w:lang w:val="en-US" w:eastAsia="zh-CN"/>
              </w:rPr>
              <w:t>3</w:t>
            </w:r>
          </w:p>
          <w:tbl>
            <w:tblPr>
              <w:tblStyle w:val="27"/>
              <w:tblW w:w="4996" w:type="pct"/>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8"/>
              <w:gridCol w:w="776"/>
              <w:gridCol w:w="1201"/>
              <w:gridCol w:w="1255"/>
              <w:gridCol w:w="1255"/>
              <w:gridCol w:w="1245"/>
              <w:gridCol w:w="1267"/>
            </w:tblGrid>
            <w:tr w14:paraId="4D37C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trPr>
              <w:tc>
                <w:tcPr>
                  <w:tcW w:w="1133" w:type="pct"/>
                  <w:gridSpan w:val="2"/>
                  <w:vMerge w:val="restart"/>
                  <w:tcBorders>
                    <w:tl2br w:val="nil"/>
                    <w:tr2bl w:val="nil"/>
                  </w:tcBorders>
                  <w:noWrap w:val="0"/>
                  <w:vAlign w:val="center"/>
                </w:tcPr>
                <w:p w14:paraId="5EB53446">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监测日期及</w:t>
                  </w:r>
                  <w:r>
                    <w:rPr>
                      <w:rFonts w:hint="eastAsia" w:cs="Times New Roman"/>
                      <w:b w:val="0"/>
                      <w:bCs/>
                      <w:color w:val="auto"/>
                      <w:kern w:val="2"/>
                      <w:sz w:val="21"/>
                      <w:szCs w:val="21"/>
                      <w:highlight w:val="none"/>
                      <w:vertAlign w:val="baseline"/>
                      <w:lang w:val="en-US" w:eastAsia="zh-CN" w:bidi="ar-SA"/>
                    </w:rPr>
                    <w:t>点位</w:t>
                  </w:r>
                </w:p>
              </w:tc>
              <w:tc>
                <w:tcPr>
                  <w:tcW w:w="746" w:type="pct"/>
                  <w:vMerge w:val="restart"/>
                  <w:tcBorders>
                    <w:tl2br w:val="nil"/>
                    <w:tr2bl w:val="nil"/>
                  </w:tcBorders>
                  <w:noWrap w:val="0"/>
                  <w:vAlign w:val="center"/>
                </w:tcPr>
                <w:p w14:paraId="6425CF96">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监测频次</w:t>
                  </w:r>
                </w:p>
              </w:tc>
              <w:tc>
                <w:tcPr>
                  <w:tcW w:w="1560" w:type="pct"/>
                  <w:gridSpan w:val="2"/>
                  <w:tcBorders>
                    <w:tl2br w:val="nil"/>
                    <w:tr2bl w:val="nil"/>
                  </w:tcBorders>
                  <w:noWrap w:val="0"/>
                  <w:vAlign w:val="center"/>
                </w:tcPr>
                <w:p w14:paraId="31C6414D">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颗粒物</w:t>
                  </w:r>
                </w:p>
              </w:tc>
              <w:tc>
                <w:tcPr>
                  <w:tcW w:w="1560" w:type="pct"/>
                  <w:gridSpan w:val="2"/>
                  <w:tcBorders>
                    <w:tl2br w:val="nil"/>
                    <w:tr2bl w:val="nil"/>
                  </w:tcBorders>
                  <w:noWrap w:val="0"/>
                  <w:vAlign w:val="center"/>
                </w:tcPr>
                <w:p w14:paraId="618D12F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二氧化硫</w:t>
                  </w:r>
                </w:p>
              </w:tc>
            </w:tr>
            <w:tr w14:paraId="3A67D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trPr>
              <w:tc>
                <w:tcPr>
                  <w:tcW w:w="1133" w:type="pct"/>
                  <w:gridSpan w:val="2"/>
                  <w:vMerge w:val="continue"/>
                  <w:tcBorders>
                    <w:tl2br w:val="nil"/>
                    <w:tr2bl w:val="nil"/>
                  </w:tcBorders>
                  <w:noWrap w:val="0"/>
                  <w:vAlign w:val="center"/>
                </w:tcPr>
                <w:p w14:paraId="6C5AD0C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b w:val="0"/>
                      <w:bCs/>
                      <w:color w:val="auto"/>
                    </w:rPr>
                  </w:pPr>
                </w:p>
              </w:tc>
              <w:tc>
                <w:tcPr>
                  <w:tcW w:w="746" w:type="pct"/>
                  <w:vMerge w:val="continue"/>
                  <w:tcBorders>
                    <w:tl2br w:val="nil"/>
                    <w:tr2bl w:val="nil"/>
                  </w:tcBorders>
                  <w:noWrap w:val="0"/>
                  <w:vAlign w:val="center"/>
                </w:tcPr>
                <w:p w14:paraId="780ABE7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b w:val="0"/>
                      <w:bCs/>
                      <w:color w:val="auto"/>
                    </w:rPr>
                  </w:pPr>
                </w:p>
              </w:tc>
              <w:tc>
                <w:tcPr>
                  <w:tcW w:w="780" w:type="pct"/>
                  <w:tcBorders>
                    <w:tl2br w:val="nil"/>
                    <w:tr2bl w:val="nil"/>
                  </w:tcBorders>
                  <w:noWrap w:val="0"/>
                  <w:vAlign w:val="center"/>
                </w:tcPr>
                <w:p w14:paraId="0ADBA51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原始数据</w:t>
                  </w:r>
                </w:p>
              </w:tc>
              <w:tc>
                <w:tcPr>
                  <w:tcW w:w="780" w:type="pct"/>
                  <w:tcBorders>
                    <w:tl2br w:val="nil"/>
                    <w:tr2bl w:val="nil"/>
                  </w:tcBorders>
                  <w:noWrap w:val="0"/>
                  <w:vAlign w:val="center"/>
                </w:tcPr>
                <w:p w14:paraId="61EB27D2">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扣除参照点的数据</w:t>
                  </w:r>
                </w:p>
              </w:tc>
              <w:tc>
                <w:tcPr>
                  <w:tcW w:w="773" w:type="pct"/>
                  <w:tcBorders>
                    <w:tl2br w:val="nil"/>
                    <w:tr2bl w:val="nil"/>
                  </w:tcBorders>
                  <w:shd w:val="clear" w:color="auto" w:fill="auto"/>
                  <w:noWrap w:val="0"/>
                  <w:vAlign w:val="center"/>
                </w:tcPr>
                <w:p w14:paraId="34FEA75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原始数据</w:t>
                  </w:r>
                </w:p>
              </w:tc>
              <w:tc>
                <w:tcPr>
                  <w:tcW w:w="786" w:type="pct"/>
                  <w:tcBorders>
                    <w:tl2br w:val="nil"/>
                    <w:tr2bl w:val="nil"/>
                  </w:tcBorders>
                  <w:shd w:val="clear" w:color="auto" w:fill="auto"/>
                  <w:noWrap w:val="0"/>
                  <w:vAlign w:val="center"/>
                </w:tcPr>
                <w:p w14:paraId="2DD8DEC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扣除参照点的数据</w:t>
                  </w:r>
                </w:p>
              </w:tc>
            </w:tr>
            <w:tr w14:paraId="10AF1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51" w:type="pct"/>
                  <w:vMerge w:val="restart"/>
                  <w:tcBorders>
                    <w:tl2br w:val="nil"/>
                    <w:tr2bl w:val="nil"/>
                  </w:tcBorders>
                  <w:noWrap w:val="0"/>
                  <w:vAlign w:val="center"/>
                </w:tcPr>
                <w:p w14:paraId="1F23E370">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2026.1.18</w:t>
                  </w:r>
                </w:p>
              </w:tc>
              <w:tc>
                <w:tcPr>
                  <w:tcW w:w="481" w:type="pct"/>
                  <w:vMerge w:val="restart"/>
                  <w:tcBorders>
                    <w:tl2br w:val="nil"/>
                    <w:tr2bl w:val="nil"/>
                  </w:tcBorders>
                  <w:noWrap w:val="0"/>
                  <w:vAlign w:val="center"/>
                </w:tcPr>
                <w:p w14:paraId="0F9CB15B">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default" w:ascii="Times New Roman" w:hAnsi="Times New Roman" w:eastAsia="宋体" w:cs="Times New Roman"/>
                      <w:b w:val="0"/>
                      <w:bCs/>
                      <w:color w:val="auto"/>
                      <w:kern w:val="2"/>
                      <w:sz w:val="21"/>
                      <w:szCs w:val="21"/>
                      <w:highlight w:val="none"/>
                      <w:vertAlign w:val="baseline"/>
                      <w:lang w:val="en-US" w:eastAsia="zh-CN" w:bidi="ar-SA"/>
                    </w:rPr>
                    <w:t>1</w:t>
                  </w:r>
                  <w:r>
                    <w:rPr>
                      <w:rFonts w:hint="eastAsia" w:cs="Times New Roman"/>
                      <w:b w:val="0"/>
                      <w:bCs/>
                      <w:color w:val="auto"/>
                      <w:kern w:val="2"/>
                      <w:sz w:val="21"/>
                      <w:szCs w:val="21"/>
                      <w:highlight w:val="none"/>
                      <w:vertAlign w:val="baseline"/>
                      <w:lang w:val="en-US" w:eastAsia="zh-CN" w:bidi="ar-SA"/>
                    </w:rPr>
                    <w:t>#</w:t>
                  </w:r>
                </w:p>
              </w:tc>
              <w:tc>
                <w:tcPr>
                  <w:tcW w:w="746" w:type="pct"/>
                  <w:tcBorders>
                    <w:tl2br w:val="nil"/>
                    <w:tr2bl w:val="nil"/>
                  </w:tcBorders>
                  <w:noWrap w:val="0"/>
                  <w:vAlign w:val="center"/>
                </w:tcPr>
                <w:p w14:paraId="253251A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1</w:t>
                  </w:r>
                </w:p>
              </w:tc>
              <w:tc>
                <w:tcPr>
                  <w:tcW w:w="780" w:type="pct"/>
                  <w:tcBorders>
                    <w:tl2br w:val="nil"/>
                    <w:tr2bl w:val="nil"/>
                  </w:tcBorders>
                  <w:noWrap w:val="0"/>
                  <w:vAlign w:val="center"/>
                </w:tcPr>
                <w:p w14:paraId="6B4CC07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0.248</w:t>
                  </w:r>
                </w:p>
              </w:tc>
              <w:tc>
                <w:tcPr>
                  <w:tcW w:w="780" w:type="pct"/>
                  <w:tcBorders>
                    <w:tl2br w:val="nil"/>
                    <w:tr2bl w:val="nil"/>
                  </w:tcBorders>
                  <w:noWrap w:val="0"/>
                  <w:vAlign w:val="center"/>
                </w:tcPr>
                <w:p w14:paraId="7AEEB5D1">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w:t>
                  </w:r>
                </w:p>
              </w:tc>
              <w:tc>
                <w:tcPr>
                  <w:tcW w:w="773" w:type="pct"/>
                  <w:tcBorders>
                    <w:tl2br w:val="nil"/>
                    <w:tr2bl w:val="nil"/>
                  </w:tcBorders>
                  <w:noWrap w:val="0"/>
                  <w:vAlign w:val="center"/>
                </w:tcPr>
                <w:p w14:paraId="67B4D871">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0.094</w:t>
                  </w:r>
                </w:p>
              </w:tc>
              <w:tc>
                <w:tcPr>
                  <w:tcW w:w="786" w:type="pct"/>
                  <w:tcBorders>
                    <w:tl2br w:val="nil"/>
                    <w:tr2bl w:val="nil"/>
                  </w:tcBorders>
                  <w:noWrap w:val="0"/>
                  <w:vAlign w:val="center"/>
                </w:tcPr>
                <w:p w14:paraId="294430B0">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w:t>
                  </w:r>
                </w:p>
              </w:tc>
            </w:tr>
            <w:tr w14:paraId="6614F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51" w:type="pct"/>
                  <w:vMerge w:val="continue"/>
                  <w:tcBorders>
                    <w:tl2br w:val="nil"/>
                    <w:tr2bl w:val="nil"/>
                  </w:tcBorders>
                  <w:noWrap w:val="0"/>
                  <w:vAlign w:val="center"/>
                </w:tcPr>
                <w:p w14:paraId="1C302A4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rPr>
                  </w:pPr>
                </w:p>
              </w:tc>
              <w:tc>
                <w:tcPr>
                  <w:tcW w:w="481" w:type="pct"/>
                  <w:vMerge w:val="continue"/>
                  <w:tcBorders>
                    <w:tl2br w:val="nil"/>
                    <w:tr2bl w:val="nil"/>
                  </w:tcBorders>
                  <w:noWrap w:val="0"/>
                  <w:vAlign w:val="center"/>
                </w:tcPr>
                <w:p w14:paraId="1C6872F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p>
              </w:tc>
              <w:tc>
                <w:tcPr>
                  <w:tcW w:w="746" w:type="pct"/>
                  <w:tcBorders>
                    <w:tl2br w:val="nil"/>
                    <w:tr2bl w:val="nil"/>
                  </w:tcBorders>
                  <w:noWrap w:val="0"/>
                  <w:vAlign w:val="center"/>
                </w:tcPr>
                <w:p w14:paraId="0076B6A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2</w:t>
                  </w:r>
                </w:p>
              </w:tc>
              <w:tc>
                <w:tcPr>
                  <w:tcW w:w="780" w:type="pct"/>
                  <w:tcBorders>
                    <w:tl2br w:val="nil"/>
                    <w:tr2bl w:val="nil"/>
                  </w:tcBorders>
                  <w:noWrap w:val="0"/>
                  <w:vAlign w:val="center"/>
                </w:tcPr>
                <w:p w14:paraId="3A7D5A0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0.273</w:t>
                  </w:r>
                </w:p>
              </w:tc>
              <w:tc>
                <w:tcPr>
                  <w:tcW w:w="780" w:type="pct"/>
                  <w:tcBorders>
                    <w:tl2br w:val="nil"/>
                    <w:tr2bl w:val="nil"/>
                  </w:tcBorders>
                  <w:noWrap w:val="0"/>
                  <w:vAlign w:val="center"/>
                </w:tcPr>
                <w:p w14:paraId="5907C72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w:t>
                  </w:r>
                </w:p>
              </w:tc>
              <w:tc>
                <w:tcPr>
                  <w:tcW w:w="773" w:type="pct"/>
                  <w:tcBorders>
                    <w:tl2br w:val="nil"/>
                    <w:tr2bl w:val="nil"/>
                  </w:tcBorders>
                  <w:noWrap w:val="0"/>
                  <w:vAlign w:val="center"/>
                </w:tcPr>
                <w:p w14:paraId="46B3B872">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0.091</w:t>
                  </w:r>
                </w:p>
              </w:tc>
              <w:tc>
                <w:tcPr>
                  <w:tcW w:w="786" w:type="pct"/>
                  <w:tcBorders>
                    <w:tl2br w:val="nil"/>
                    <w:tr2bl w:val="nil"/>
                  </w:tcBorders>
                  <w:noWrap w:val="0"/>
                  <w:vAlign w:val="center"/>
                </w:tcPr>
                <w:p w14:paraId="093691A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w:t>
                  </w:r>
                </w:p>
              </w:tc>
            </w:tr>
            <w:tr w14:paraId="597C8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51" w:type="pct"/>
                  <w:vMerge w:val="continue"/>
                  <w:tcBorders>
                    <w:tl2br w:val="nil"/>
                    <w:tr2bl w:val="nil"/>
                  </w:tcBorders>
                  <w:noWrap w:val="0"/>
                  <w:vAlign w:val="center"/>
                </w:tcPr>
                <w:p w14:paraId="43C5C87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p>
              </w:tc>
              <w:tc>
                <w:tcPr>
                  <w:tcW w:w="481" w:type="pct"/>
                  <w:vMerge w:val="continue"/>
                  <w:tcBorders>
                    <w:tl2br w:val="nil"/>
                    <w:tr2bl w:val="nil"/>
                  </w:tcBorders>
                  <w:noWrap w:val="0"/>
                  <w:vAlign w:val="center"/>
                </w:tcPr>
                <w:p w14:paraId="40C54DB6">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p>
              </w:tc>
              <w:tc>
                <w:tcPr>
                  <w:tcW w:w="746" w:type="pct"/>
                  <w:tcBorders>
                    <w:tl2br w:val="nil"/>
                    <w:tr2bl w:val="nil"/>
                  </w:tcBorders>
                  <w:noWrap w:val="0"/>
                  <w:vAlign w:val="center"/>
                </w:tcPr>
                <w:p w14:paraId="5D48182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3</w:t>
                  </w:r>
                </w:p>
              </w:tc>
              <w:tc>
                <w:tcPr>
                  <w:tcW w:w="780" w:type="pct"/>
                  <w:tcBorders>
                    <w:tl2br w:val="nil"/>
                    <w:tr2bl w:val="nil"/>
                  </w:tcBorders>
                  <w:noWrap w:val="0"/>
                  <w:vAlign w:val="center"/>
                </w:tcPr>
                <w:p w14:paraId="7E6C1B92">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0.290</w:t>
                  </w:r>
                </w:p>
              </w:tc>
              <w:tc>
                <w:tcPr>
                  <w:tcW w:w="780" w:type="pct"/>
                  <w:tcBorders>
                    <w:tl2br w:val="nil"/>
                    <w:tr2bl w:val="nil"/>
                  </w:tcBorders>
                  <w:noWrap w:val="0"/>
                  <w:vAlign w:val="center"/>
                </w:tcPr>
                <w:p w14:paraId="38FB8A25">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w:t>
                  </w:r>
                </w:p>
              </w:tc>
              <w:tc>
                <w:tcPr>
                  <w:tcW w:w="773" w:type="pct"/>
                  <w:tcBorders>
                    <w:tl2br w:val="nil"/>
                    <w:tr2bl w:val="nil"/>
                  </w:tcBorders>
                  <w:noWrap w:val="0"/>
                  <w:vAlign w:val="center"/>
                </w:tcPr>
                <w:p w14:paraId="121FD2A7">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0.093</w:t>
                  </w:r>
                </w:p>
              </w:tc>
              <w:tc>
                <w:tcPr>
                  <w:tcW w:w="786" w:type="pct"/>
                  <w:tcBorders>
                    <w:tl2br w:val="nil"/>
                    <w:tr2bl w:val="nil"/>
                  </w:tcBorders>
                  <w:noWrap w:val="0"/>
                  <w:vAlign w:val="center"/>
                </w:tcPr>
                <w:p w14:paraId="562FA80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w:t>
                  </w:r>
                </w:p>
              </w:tc>
            </w:tr>
            <w:tr w14:paraId="3D84F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51" w:type="pct"/>
                  <w:vMerge w:val="continue"/>
                  <w:tcBorders>
                    <w:tl2br w:val="nil"/>
                    <w:tr2bl w:val="nil"/>
                  </w:tcBorders>
                  <w:noWrap w:val="0"/>
                  <w:vAlign w:val="center"/>
                </w:tcPr>
                <w:p w14:paraId="0839E5F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p>
              </w:tc>
              <w:tc>
                <w:tcPr>
                  <w:tcW w:w="481" w:type="pct"/>
                  <w:vMerge w:val="continue"/>
                  <w:tcBorders>
                    <w:tl2br w:val="nil"/>
                    <w:tr2bl w:val="nil"/>
                  </w:tcBorders>
                  <w:noWrap w:val="0"/>
                  <w:vAlign w:val="center"/>
                </w:tcPr>
                <w:p w14:paraId="25EA13A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p>
              </w:tc>
              <w:tc>
                <w:tcPr>
                  <w:tcW w:w="746" w:type="pct"/>
                  <w:tcBorders>
                    <w:tl2br w:val="nil"/>
                    <w:tr2bl w:val="nil"/>
                  </w:tcBorders>
                  <w:noWrap w:val="0"/>
                  <w:vAlign w:val="center"/>
                </w:tcPr>
                <w:p w14:paraId="33FF5F59">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4</w:t>
                  </w:r>
                </w:p>
              </w:tc>
              <w:tc>
                <w:tcPr>
                  <w:tcW w:w="780" w:type="pct"/>
                  <w:tcBorders>
                    <w:tl2br w:val="nil"/>
                    <w:tr2bl w:val="nil"/>
                  </w:tcBorders>
                  <w:noWrap w:val="0"/>
                  <w:vAlign w:val="center"/>
                </w:tcPr>
                <w:p w14:paraId="7AC752F9">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0.264</w:t>
                  </w:r>
                </w:p>
              </w:tc>
              <w:tc>
                <w:tcPr>
                  <w:tcW w:w="780" w:type="pct"/>
                  <w:tcBorders>
                    <w:tl2br w:val="nil"/>
                    <w:tr2bl w:val="nil"/>
                  </w:tcBorders>
                  <w:noWrap w:val="0"/>
                  <w:vAlign w:val="center"/>
                </w:tcPr>
                <w:p w14:paraId="06C2801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w:t>
                  </w:r>
                </w:p>
              </w:tc>
              <w:tc>
                <w:tcPr>
                  <w:tcW w:w="773" w:type="pct"/>
                  <w:tcBorders>
                    <w:tl2br w:val="nil"/>
                    <w:tr2bl w:val="nil"/>
                  </w:tcBorders>
                  <w:noWrap w:val="0"/>
                  <w:vAlign w:val="center"/>
                </w:tcPr>
                <w:p w14:paraId="6CA96B60">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0.087</w:t>
                  </w:r>
                </w:p>
              </w:tc>
              <w:tc>
                <w:tcPr>
                  <w:tcW w:w="786" w:type="pct"/>
                  <w:tcBorders>
                    <w:tl2br w:val="nil"/>
                    <w:tr2bl w:val="nil"/>
                  </w:tcBorders>
                  <w:noWrap w:val="0"/>
                  <w:vAlign w:val="center"/>
                </w:tcPr>
                <w:p w14:paraId="2535DB9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w:t>
                  </w:r>
                </w:p>
              </w:tc>
            </w:tr>
            <w:tr w14:paraId="7E8B6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51" w:type="pct"/>
                  <w:vMerge w:val="continue"/>
                  <w:tcBorders>
                    <w:tl2br w:val="nil"/>
                    <w:tr2bl w:val="nil"/>
                  </w:tcBorders>
                  <w:noWrap w:val="0"/>
                  <w:vAlign w:val="center"/>
                </w:tcPr>
                <w:p w14:paraId="132D475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p>
              </w:tc>
              <w:tc>
                <w:tcPr>
                  <w:tcW w:w="481" w:type="pct"/>
                  <w:vMerge w:val="restart"/>
                  <w:tcBorders>
                    <w:tl2br w:val="nil"/>
                    <w:tr2bl w:val="nil"/>
                  </w:tcBorders>
                  <w:noWrap w:val="0"/>
                  <w:vAlign w:val="center"/>
                </w:tcPr>
                <w:p w14:paraId="43F94DD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default" w:ascii="Times New Roman" w:hAnsi="Times New Roman" w:eastAsia="宋体" w:cs="Times New Roman"/>
                      <w:b w:val="0"/>
                      <w:bCs/>
                      <w:color w:val="auto"/>
                      <w:kern w:val="2"/>
                      <w:sz w:val="21"/>
                      <w:szCs w:val="21"/>
                      <w:highlight w:val="none"/>
                      <w:vertAlign w:val="baseline"/>
                      <w:lang w:val="en-US" w:eastAsia="zh-CN" w:bidi="ar-SA"/>
                    </w:rPr>
                    <w:t>2</w:t>
                  </w:r>
                  <w:r>
                    <w:rPr>
                      <w:rFonts w:hint="eastAsia" w:cs="Times New Roman"/>
                      <w:b w:val="0"/>
                      <w:bCs/>
                      <w:color w:val="auto"/>
                      <w:kern w:val="2"/>
                      <w:sz w:val="21"/>
                      <w:szCs w:val="21"/>
                      <w:highlight w:val="none"/>
                      <w:vertAlign w:val="baseline"/>
                      <w:lang w:val="en-US" w:eastAsia="zh-CN" w:bidi="ar-SA"/>
                    </w:rPr>
                    <w:t>#</w:t>
                  </w:r>
                </w:p>
              </w:tc>
              <w:tc>
                <w:tcPr>
                  <w:tcW w:w="746" w:type="pct"/>
                  <w:tcBorders>
                    <w:tl2br w:val="nil"/>
                    <w:tr2bl w:val="nil"/>
                  </w:tcBorders>
                  <w:shd w:val="clear" w:color="auto" w:fill="auto"/>
                  <w:noWrap w:val="0"/>
                  <w:vAlign w:val="center"/>
                </w:tcPr>
                <w:p w14:paraId="06FDF7A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1</w:t>
                  </w:r>
                </w:p>
              </w:tc>
              <w:tc>
                <w:tcPr>
                  <w:tcW w:w="780" w:type="pct"/>
                  <w:tcBorders>
                    <w:tl2br w:val="nil"/>
                    <w:tr2bl w:val="nil"/>
                  </w:tcBorders>
                  <w:noWrap w:val="0"/>
                  <w:vAlign w:val="center"/>
                </w:tcPr>
                <w:p w14:paraId="54E04E9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0.582</w:t>
                  </w:r>
                </w:p>
              </w:tc>
              <w:tc>
                <w:tcPr>
                  <w:tcW w:w="780" w:type="pct"/>
                  <w:tcBorders>
                    <w:tl2br w:val="nil"/>
                    <w:tr2bl w:val="nil"/>
                  </w:tcBorders>
                  <w:noWrap w:val="0"/>
                  <w:vAlign w:val="center"/>
                </w:tcPr>
                <w:p w14:paraId="156E67B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0.334</w:t>
                  </w:r>
                </w:p>
              </w:tc>
              <w:tc>
                <w:tcPr>
                  <w:tcW w:w="773" w:type="pct"/>
                  <w:tcBorders>
                    <w:tl2br w:val="nil"/>
                    <w:tr2bl w:val="nil"/>
                  </w:tcBorders>
                  <w:noWrap w:val="0"/>
                  <w:vAlign w:val="center"/>
                </w:tcPr>
                <w:p w14:paraId="3CC19E5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0.261</w:t>
                  </w:r>
                </w:p>
              </w:tc>
              <w:tc>
                <w:tcPr>
                  <w:tcW w:w="786" w:type="pct"/>
                  <w:tcBorders>
                    <w:tl2br w:val="nil"/>
                    <w:tr2bl w:val="nil"/>
                  </w:tcBorders>
                  <w:noWrap w:val="0"/>
                  <w:vAlign w:val="center"/>
                </w:tcPr>
                <w:p w14:paraId="55AB4348">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0.167</w:t>
                  </w:r>
                </w:p>
              </w:tc>
            </w:tr>
            <w:tr w14:paraId="4838D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51" w:type="pct"/>
                  <w:vMerge w:val="continue"/>
                  <w:tcBorders>
                    <w:tl2br w:val="nil"/>
                    <w:tr2bl w:val="nil"/>
                  </w:tcBorders>
                  <w:noWrap w:val="0"/>
                  <w:vAlign w:val="center"/>
                </w:tcPr>
                <w:p w14:paraId="6F76022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rPr>
                  </w:pPr>
                </w:p>
              </w:tc>
              <w:tc>
                <w:tcPr>
                  <w:tcW w:w="481" w:type="pct"/>
                  <w:vMerge w:val="continue"/>
                  <w:tcBorders>
                    <w:tl2br w:val="nil"/>
                    <w:tr2bl w:val="nil"/>
                  </w:tcBorders>
                  <w:noWrap w:val="0"/>
                  <w:vAlign w:val="center"/>
                </w:tcPr>
                <w:p w14:paraId="78FDFA40">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p>
              </w:tc>
              <w:tc>
                <w:tcPr>
                  <w:tcW w:w="746" w:type="pct"/>
                  <w:tcBorders>
                    <w:tl2br w:val="nil"/>
                    <w:tr2bl w:val="nil"/>
                  </w:tcBorders>
                  <w:shd w:val="clear" w:color="auto" w:fill="auto"/>
                  <w:noWrap w:val="0"/>
                  <w:vAlign w:val="center"/>
                </w:tcPr>
                <w:p w14:paraId="36F3088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2</w:t>
                  </w:r>
                </w:p>
              </w:tc>
              <w:tc>
                <w:tcPr>
                  <w:tcW w:w="780" w:type="pct"/>
                  <w:tcBorders>
                    <w:tl2br w:val="nil"/>
                    <w:tr2bl w:val="nil"/>
                  </w:tcBorders>
                  <w:noWrap w:val="0"/>
                  <w:vAlign w:val="center"/>
                </w:tcPr>
                <w:p w14:paraId="6DA4555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0.633</w:t>
                  </w:r>
                </w:p>
              </w:tc>
              <w:tc>
                <w:tcPr>
                  <w:tcW w:w="780" w:type="pct"/>
                  <w:tcBorders>
                    <w:tl2br w:val="nil"/>
                    <w:tr2bl w:val="nil"/>
                  </w:tcBorders>
                  <w:noWrap w:val="0"/>
                  <w:vAlign w:val="center"/>
                </w:tcPr>
                <w:p w14:paraId="514ECEA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0.360</w:t>
                  </w:r>
                </w:p>
              </w:tc>
              <w:tc>
                <w:tcPr>
                  <w:tcW w:w="773" w:type="pct"/>
                  <w:tcBorders>
                    <w:tl2br w:val="nil"/>
                    <w:tr2bl w:val="nil"/>
                  </w:tcBorders>
                  <w:noWrap w:val="0"/>
                  <w:vAlign w:val="center"/>
                </w:tcPr>
                <w:p w14:paraId="5479EFA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0.265</w:t>
                  </w:r>
                </w:p>
              </w:tc>
              <w:tc>
                <w:tcPr>
                  <w:tcW w:w="786" w:type="pct"/>
                  <w:tcBorders>
                    <w:tl2br w:val="nil"/>
                    <w:tr2bl w:val="nil"/>
                  </w:tcBorders>
                  <w:noWrap w:val="0"/>
                  <w:vAlign w:val="center"/>
                </w:tcPr>
                <w:p w14:paraId="160BC927">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0.174</w:t>
                  </w:r>
                </w:p>
              </w:tc>
            </w:tr>
            <w:tr w14:paraId="29BCF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51" w:type="pct"/>
                  <w:vMerge w:val="continue"/>
                  <w:tcBorders>
                    <w:tl2br w:val="nil"/>
                    <w:tr2bl w:val="nil"/>
                  </w:tcBorders>
                  <w:noWrap w:val="0"/>
                  <w:vAlign w:val="center"/>
                </w:tcPr>
                <w:p w14:paraId="4F32A8A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p>
              </w:tc>
              <w:tc>
                <w:tcPr>
                  <w:tcW w:w="481" w:type="pct"/>
                  <w:vMerge w:val="continue"/>
                  <w:tcBorders>
                    <w:tl2br w:val="nil"/>
                    <w:tr2bl w:val="nil"/>
                  </w:tcBorders>
                  <w:noWrap w:val="0"/>
                  <w:vAlign w:val="center"/>
                </w:tcPr>
                <w:p w14:paraId="4275637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p>
              </w:tc>
              <w:tc>
                <w:tcPr>
                  <w:tcW w:w="746" w:type="pct"/>
                  <w:tcBorders>
                    <w:tl2br w:val="nil"/>
                    <w:tr2bl w:val="nil"/>
                  </w:tcBorders>
                  <w:shd w:val="clear" w:color="auto" w:fill="auto"/>
                  <w:noWrap w:val="0"/>
                  <w:vAlign w:val="center"/>
                </w:tcPr>
                <w:p w14:paraId="4D81A37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3</w:t>
                  </w:r>
                </w:p>
              </w:tc>
              <w:tc>
                <w:tcPr>
                  <w:tcW w:w="780" w:type="pct"/>
                  <w:tcBorders>
                    <w:tl2br w:val="nil"/>
                    <w:tr2bl w:val="nil"/>
                  </w:tcBorders>
                  <w:noWrap w:val="0"/>
                  <w:vAlign w:val="center"/>
                </w:tcPr>
                <w:p w14:paraId="1BAE53A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0.626</w:t>
                  </w:r>
                </w:p>
              </w:tc>
              <w:tc>
                <w:tcPr>
                  <w:tcW w:w="780" w:type="pct"/>
                  <w:tcBorders>
                    <w:tl2br w:val="nil"/>
                    <w:tr2bl w:val="nil"/>
                  </w:tcBorders>
                  <w:noWrap w:val="0"/>
                  <w:vAlign w:val="center"/>
                </w:tcPr>
                <w:p w14:paraId="1C75F3F1">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0.336</w:t>
                  </w:r>
                </w:p>
              </w:tc>
              <w:tc>
                <w:tcPr>
                  <w:tcW w:w="773" w:type="pct"/>
                  <w:tcBorders>
                    <w:tl2br w:val="nil"/>
                    <w:tr2bl w:val="nil"/>
                  </w:tcBorders>
                  <w:noWrap w:val="0"/>
                  <w:vAlign w:val="center"/>
                </w:tcPr>
                <w:p w14:paraId="16461D10">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0.258</w:t>
                  </w:r>
                </w:p>
              </w:tc>
              <w:tc>
                <w:tcPr>
                  <w:tcW w:w="786" w:type="pct"/>
                  <w:tcBorders>
                    <w:tl2br w:val="nil"/>
                    <w:tr2bl w:val="nil"/>
                  </w:tcBorders>
                  <w:noWrap w:val="0"/>
                  <w:vAlign w:val="center"/>
                </w:tcPr>
                <w:p w14:paraId="6E3C189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0.165</w:t>
                  </w:r>
                </w:p>
              </w:tc>
            </w:tr>
            <w:tr w14:paraId="7CEDC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51" w:type="pct"/>
                  <w:vMerge w:val="continue"/>
                  <w:tcBorders>
                    <w:tl2br w:val="nil"/>
                    <w:tr2bl w:val="nil"/>
                  </w:tcBorders>
                  <w:noWrap w:val="0"/>
                  <w:vAlign w:val="center"/>
                </w:tcPr>
                <w:p w14:paraId="55DD7BA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p>
              </w:tc>
              <w:tc>
                <w:tcPr>
                  <w:tcW w:w="481" w:type="pct"/>
                  <w:vMerge w:val="continue"/>
                  <w:tcBorders>
                    <w:tl2br w:val="nil"/>
                    <w:tr2bl w:val="nil"/>
                  </w:tcBorders>
                  <w:noWrap w:val="0"/>
                  <w:vAlign w:val="center"/>
                </w:tcPr>
                <w:p w14:paraId="215DCB39">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p>
              </w:tc>
              <w:tc>
                <w:tcPr>
                  <w:tcW w:w="746" w:type="pct"/>
                  <w:tcBorders>
                    <w:tl2br w:val="nil"/>
                    <w:tr2bl w:val="nil"/>
                  </w:tcBorders>
                  <w:shd w:val="clear" w:color="auto" w:fill="auto"/>
                  <w:noWrap w:val="0"/>
                  <w:vAlign w:val="center"/>
                </w:tcPr>
                <w:p w14:paraId="412C0C4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4</w:t>
                  </w:r>
                </w:p>
              </w:tc>
              <w:tc>
                <w:tcPr>
                  <w:tcW w:w="780" w:type="pct"/>
                  <w:tcBorders>
                    <w:tl2br w:val="nil"/>
                    <w:tr2bl w:val="nil"/>
                  </w:tcBorders>
                  <w:noWrap w:val="0"/>
                  <w:vAlign w:val="center"/>
                </w:tcPr>
                <w:p w14:paraId="7DA19CF0">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0.595</w:t>
                  </w:r>
                </w:p>
              </w:tc>
              <w:tc>
                <w:tcPr>
                  <w:tcW w:w="780" w:type="pct"/>
                  <w:tcBorders>
                    <w:tl2br w:val="nil"/>
                    <w:tr2bl w:val="nil"/>
                  </w:tcBorders>
                  <w:noWrap w:val="0"/>
                  <w:vAlign w:val="center"/>
                </w:tcPr>
                <w:p w14:paraId="479F4CCD">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0.331</w:t>
                  </w:r>
                </w:p>
              </w:tc>
              <w:tc>
                <w:tcPr>
                  <w:tcW w:w="773" w:type="pct"/>
                  <w:tcBorders>
                    <w:tl2br w:val="nil"/>
                    <w:tr2bl w:val="nil"/>
                  </w:tcBorders>
                  <w:noWrap w:val="0"/>
                  <w:vAlign w:val="center"/>
                </w:tcPr>
                <w:p w14:paraId="391FAA9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0.253</w:t>
                  </w:r>
                </w:p>
              </w:tc>
              <w:tc>
                <w:tcPr>
                  <w:tcW w:w="786" w:type="pct"/>
                  <w:tcBorders>
                    <w:tl2br w:val="nil"/>
                    <w:tr2bl w:val="nil"/>
                  </w:tcBorders>
                  <w:noWrap w:val="0"/>
                  <w:vAlign w:val="center"/>
                </w:tcPr>
                <w:p w14:paraId="378CE7C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0.166</w:t>
                  </w:r>
                </w:p>
              </w:tc>
            </w:tr>
            <w:tr w14:paraId="0809F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51" w:type="pct"/>
                  <w:vMerge w:val="continue"/>
                  <w:tcBorders>
                    <w:tl2br w:val="nil"/>
                    <w:tr2bl w:val="nil"/>
                  </w:tcBorders>
                  <w:noWrap w:val="0"/>
                  <w:vAlign w:val="center"/>
                </w:tcPr>
                <w:p w14:paraId="7D7F932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p>
              </w:tc>
              <w:tc>
                <w:tcPr>
                  <w:tcW w:w="481" w:type="pct"/>
                  <w:vMerge w:val="restart"/>
                  <w:tcBorders>
                    <w:tl2br w:val="nil"/>
                    <w:tr2bl w:val="nil"/>
                  </w:tcBorders>
                  <w:noWrap w:val="0"/>
                  <w:vAlign w:val="center"/>
                </w:tcPr>
                <w:p w14:paraId="1E6BC29B">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default" w:ascii="Times New Roman" w:hAnsi="Times New Roman" w:eastAsia="宋体" w:cs="Times New Roman"/>
                      <w:b w:val="0"/>
                      <w:bCs/>
                      <w:color w:val="auto"/>
                      <w:kern w:val="2"/>
                      <w:sz w:val="21"/>
                      <w:szCs w:val="21"/>
                      <w:highlight w:val="none"/>
                      <w:vertAlign w:val="baseline"/>
                      <w:lang w:val="en-US" w:eastAsia="zh-CN" w:bidi="ar-SA"/>
                    </w:rPr>
                    <w:t>3</w:t>
                  </w:r>
                  <w:r>
                    <w:rPr>
                      <w:rFonts w:hint="eastAsia" w:cs="Times New Roman"/>
                      <w:b w:val="0"/>
                      <w:bCs/>
                      <w:color w:val="auto"/>
                      <w:kern w:val="2"/>
                      <w:sz w:val="21"/>
                      <w:szCs w:val="21"/>
                      <w:highlight w:val="none"/>
                      <w:vertAlign w:val="baseline"/>
                      <w:lang w:val="en-US" w:eastAsia="zh-CN" w:bidi="ar-SA"/>
                    </w:rPr>
                    <w:t>#</w:t>
                  </w:r>
                </w:p>
              </w:tc>
              <w:tc>
                <w:tcPr>
                  <w:tcW w:w="746" w:type="pct"/>
                  <w:tcBorders>
                    <w:tl2br w:val="nil"/>
                    <w:tr2bl w:val="nil"/>
                  </w:tcBorders>
                  <w:shd w:val="clear" w:color="auto" w:fill="auto"/>
                  <w:noWrap w:val="0"/>
                  <w:vAlign w:val="center"/>
                </w:tcPr>
                <w:p w14:paraId="77D5B32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1</w:t>
                  </w:r>
                </w:p>
              </w:tc>
              <w:tc>
                <w:tcPr>
                  <w:tcW w:w="780" w:type="pct"/>
                  <w:tcBorders>
                    <w:tl2br w:val="nil"/>
                    <w:tr2bl w:val="nil"/>
                  </w:tcBorders>
                  <w:noWrap w:val="0"/>
                  <w:vAlign w:val="center"/>
                </w:tcPr>
                <w:p w14:paraId="305979A0">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0.608</w:t>
                  </w:r>
                </w:p>
              </w:tc>
              <w:tc>
                <w:tcPr>
                  <w:tcW w:w="780" w:type="pct"/>
                  <w:tcBorders>
                    <w:tl2br w:val="nil"/>
                    <w:tr2bl w:val="nil"/>
                  </w:tcBorders>
                  <w:noWrap w:val="0"/>
                  <w:vAlign w:val="center"/>
                </w:tcPr>
                <w:p w14:paraId="1827971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0.360</w:t>
                  </w:r>
                </w:p>
              </w:tc>
              <w:tc>
                <w:tcPr>
                  <w:tcW w:w="773" w:type="pct"/>
                  <w:tcBorders>
                    <w:tl2br w:val="nil"/>
                    <w:tr2bl w:val="nil"/>
                  </w:tcBorders>
                  <w:noWrap w:val="0"/>
                  <w:vAlign w:val="center"/>
                </w:tcPr>
                <w:p w14:paraId="5374F74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0.257</w:t>
                  </w:r>
                </w:p>
              </w:tc>
              <w:tc>
                <w:tcPr>
                  <w:tcW w:w="786" w:type="pct"/>
                  <w:tcBorders>
                    <w:tl2br w:val="nil"/>
                    <w:tr2bl w:val="nil"/>
                  </w:tcBorders>
                  <w:noWrap w:val="0"/>
                  <w:vAlign w:val="center"/>
                </w:tcPr>
                <w:p w14:paraId="4137BD27">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0.163</w:t>
                  </w:r>
                </w:p>
              </w:tc>
            </w:tr>
            <w:tr w14:paraId="4E4D7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51" w:type="pct"/>
                  <w:vMerge w:val="continue"/>
                  <w:tcBorders>
                    <w:tl2br w:val="nil"/>
                    <w:tr2bl w:val="nil"/>
                  </w:tcBorders>
                  <w:noWrap w:val="0"/>
                  <w:vAlign w:val="center"/>
                </w:tcPr>
                <w:p w14:paraId="33D4C9F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rPr>
                  </w:pPr>
                </w:p>
              </w:tc>
              <w:tc>
                <w:tcPr>
                  <w:tcW w:w="481" w:type="pct"/>
                  <w:vMerge w:val="continue"/>
                  <w:tcBorders>
                    <w:tl2br w:val="nil"/>
                    <w:tr2bl w:val="nil"/>
                  </w:tcBorders>
                  <w:noWrap w:val="0"/>
                  <w:vAlign w:val="center"/>
                </w:tcPr>
                <w:p w14:paraId="6AB21C55">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p>
              </w:tc>
              <w:tc>
                <w:tcPr>
                  <w:tcW w:w="746" w:type="pct"/>
                  <w:tcBorders>
                    <w:tl2br w:val="nil"/>
                    <w:tr2bl w:val="nil"/>
                  </w:tcBorders>
                  <w:shd w:val="clear" w:color="auto" w:fill="auto"/>
                  <w:noWrap w:val="0"/>
                  <w:vAlign w:val="center"/>
                </w:tcPr>
                <w:p w14:paraId="7EA0237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2</w:t>
                  </w:r>
                </w:p>
              </w:tc>
              <w:tc>
                <w:tcPr>
                  <w:tcW w:w="780" w:type="pct"/>
                  <w:tcBorders>
                    <w:tl2br w:val="nil"/>
                    <w:tr2bl w:val="nil"/>
                  </w:tcBorders>
                  <w:noWrap w:val="0"/>
                  <w:vAlign w:val="center"/>
                </w:tcPr>
                <w:p w14:paraId="22261F96">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0.637</w:t>
                  </w:r>
                </w:p>
              </w:tc>
              <w:tc>
                <w:tcPr>
                  <w:tcW w:w="780" w:type="pct"/>
                  <w:tcBorders>
                    <w:tl2br w:val="nil"/>
                    <w:tr2bl w:val="nil"/>
                  </w:tcBorders>
                  <w:noWrap w:val="0"/>
                  <w:vAlign w:val="center"/>
                </w:tcPr>
                <w:p w14:paraId="29D2F0F7">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0.364</w:t>
                  </w:r>
                </w:p>
              </w:tc>
              <w:tc>
                <w:tcPr>
                  <w:tcW w:w="773" w:type="pct"/>
                  <w:tcBorders>
                    <w:tl2br w:val="nil"/>
                    <w:tr2bl w:val="nil"/>
                  </w:tcBorders>
                  <w:noWrap w:val="0"/>
                  <w:vAlign w:val="center"/>
                </w:tcPr>
                <w:p w14:paraId="08065B2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0.254</w:t>
                  </w:r>
                </w:p>
              </w:tc>
              <w:tc>
                <w:tcPr>
                  <w:tcW w:w="786" w:type="pct"/>
                  <w:tcBorders>
                    <w:tl2br w:val="nil"/>
                    <w:tr2bl w:val="nil"/>
                  </w:tcBorders>
                  <w:noWrap w:val="0"/>
                  <w:vAlign w:val="center"/>
                </w:tcPr>
                <w:p w14:paraId="0A748419">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0.163</w:t>
                  </w:r>
                </w:p>
              </w:tc>
            </w:tr>
            <w:tr w14:paraId="5A858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51" w:type="pct"/>
                  <w:vMerge w:val="continue"/>
                  <w:tcBorders>
                    <w:tl2br w:val="nil"/>
                    <w:tr2bl w:val="nil"/>
                  </w:tcBorders>
                  <w:noWrap w:val="0"/>
                  <w:vAlign w:val="center"/>
                </w:tcPr>
                <w:p w14:paraId="69425A0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p>
              </w:tc>
              <w:tc>
                <w:tcPr>
                  <w:tcW w:w="481" w:type="pct"/>
                  <w:vMerge w:val="continue"/>
                  <w:tcBorders>
                    <w:tl2br w:val="nil"/>
                    <w:tr2bl w:val="nil"/>
                  </w:tcBorders>
                  <w:noWrap w:val="0"/>
                  <w:vAlign w:val="center"/>
                </w:tcPr>
                <w:p w14:paraId="3A3475B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p>
              </w:tc>
              <w:tc>
                <w:tcPr>
                  <w:tcW w:w="746" w:type="pct"/>
                  <w:tcBorders>
                    <w:tl2br w:val="nil"/>
                    <w:tr2bl w:val="nil"/>
                  </w:tcBorders>
                  <w:shd w:val="clear" w:color="auto" w:fill="auto"/>
                  <w:noWrap w:val="0"/>
                  <w:vAlign w:val="center"/>
                </w:tcPr>
                <w:p w14:paraId="1CF48F1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3</w:t>
                  </w:r>
                </w:p>
              </w:tc>
              <w:tc>
                <w:tcPr>
                  <w:tcW w:w="780" w:type="pct"/>
                  <w:tcBorders>
                    <w:tl2br w:val="nil"/>
                    <w:tr2bl w:val="nil"/>
                  </w:tcBorders>
                  <w:noWrap w:val="0"/>
                  <w:vAlign w:val="center"/>
                </w:tcPr>
                <w:p w14:paraId="02FB55D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0.621</w:t>
                  </w:r>
                </w:p>
              </w:tc>
              <w:tc>
                <w:tcPr>
                  <w:tcW w:w="780" w:type="pct"/>
                  <w:tcBorders>
                    <w:tl2br w:val="nil"/>
                    <w:tr2bl w:val="nil"/>
                  </w:tcBorders>
                  <w:noWrap w:val="0"/>
                  <w:vAlign w:val="center"/>
                </w:tcPr>
                <w:p w14:paraId="657B7B7B">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0.331</w:t>
                  </w:r>
                </w:p>
              </w:tc>
              <w:tc>
                <w:tcPr>
                  <w:tcW w:w="773" w:type="pct"/>
                  <w:tcBorders>
                    <w:tl2br w:val="nil"/>
                    <w:tr2bl w:val="nil"/>
                  </w:tcBorders>
                  <w:noWrap w:val="0"/>
                  <w:vAlign w:val="center"/>
                </w:tcPr>
                <w:p w14:paraId="44D11E15">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0.249</w:t>
                  </w:r>
                </w:p>
              </w:tc>
              <w:tc>
                <w:tcPr>
                  <w:tcW w:w="786" w:type="pct"/>
                  <w:tcBorders>
                    <w:tl2br w:val="nil"/>
                    <w:tr2bl w:val="nil"/>
                  </w:tcBorders>
                  <w:noWrap w:val="0"/>
                  <w:vAlign w:val="center"/>
                </w:tcPr>
                <w:p w14:paraId="6274442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0.156</w:t>
                  </w:r>
                </w:p>
              </w:tc>
            </w:tr>
            <w:tr w14:paraId="72F54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51" w:type="pct"/>
                  <w:vMerge w:val="continue"/>
                  <w:tcBorders>
                    <w:tl2br w:val="nil"/>
                    <w:tr2bl w:val="nil"/>
                  </w:tcBorders>
                  <w:noWrap w:val="0"/>
                  <w:vAlign w:val="center"/>
                </w:tcPr>
                <w:p w14:paraId="23F75CC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p>
              </w:tc>
              <w:tc>
                <w:tcPr>
                  <w:tcW w:w="481" w:type="pct"/>
                  <w:vMerge w:val="continue"/>
                  <w:tcBorders>
                    <w:tl2br w:val="nil"/>
                    <w:tr2bl w:val="nil"/>
                  </w:tcBorders>
                  <w:noWrap w:val="0"/>
                  <w:vAlign w:val="center"/>
                </w:tcPr>
                <w:p w14:paraId="41759C0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p>
              </w:tc>
              <w:tc>
                <w:tcPr>
                  <w:tcW w:w="746" w:type="pct"/>
                  <w:tcBorders>
                    <w:tl2br w:val="nil"/>
                    <w:tr2bl w:val="nil"/>
                  </w:tcBorders>
                  <w:shd w:val="clear" w:color="auto" w:fill="auto"/>
                  <w:noWrap w:val="0"/>
                  <w:vAlign w:val="center"/>
                </w:tcPr>
                <w:p w14:paraId="3F4CC7A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4</w:t>
                  </w:r>
                </w:p>
              </w:tc>
              <w:tc>
                <w:tcPr>
                  <w:tcW w:w="780" w:type="pct"/>
                  <w:tcBorders>
                    <w:tl2br w:val="nil"/>
                    <w:tr2bl w:val="nil"/>
                  </w:tcBorders>
                  <w:noWrap w:val="0"/>
                  <w:vAlign w:val="center"/>
                </w:tcPr>
                <w:p w14:paraId="2788B81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0.617</w:t>
                  </w:r>
                </w:p>
              </w:tc>
              <w:tc>
                <w:tcPr>
                  <w:tcW w:w="780" w:type="pct"/>
                  <w:tcBorders>
                    <w:tl2br w:val="nil"/>
                    <w:tr2bl w:val="nil"/>
                  </w:tcBorders>
                  <w:noWrap w:val="0"/>
                  <w:vAlign w:val="center"/>
                </w:tcPr>
                <w:p w14:paraId="53E54029">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0.353</w:t>
                  </w:r>
                </w:p>
              </w:tc>
              <w:tc>
                <w:tcPr>
                  <w:tcW w:w="773" w:type="pct"/>
                  <w:tcBorders>
                    <w:tl2br w:val="nil"/>
                    <w:tr2bl w:val="nil"/>
                  </w:tcBorders>
                  <w:noWrap w:val="0"/>
                  <w:vAlign w:val="center"/>
                </w:tcPr>
                <w:p w14:paraId="40023025">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0.252</w:t>
                  </w:r>
                </w:p>
              </w:tc>
              <w:tc>
                <w:tcPr>
                  <w:tcW w:w="786" w:type="pct"/>
                  <w:tcBorders>
                    <w:tl2br w:val="nil"/>
                    <w:tr2bl w:val="nil"/>
                  </w:tcBorders>
                  <w:noWrap w:val="0"/>
                  <w:vAlign w:val="center"/>
                </w:tcPr>
                <w:p w14:paraId="70EF2A7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0.165</w:t>
                  </w:r>
                </w:p>
              </w:tc>
            </w:tr>
            <w:tr w14:paraId="4705B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51" w:type="pct"/>
                  <w:vMerge w:val="continue"/>
                  <w:tcBorders>
                    <w:tl2br w:val="nil"/>
                    <w:tr2bl w:val="nil"/>
                  </w:tcBorders>
                  <w:noWrap w:val="0"/>
                  <w:vAlign w:val="center"/>
                </w:tcPr>
                <w:p w14:paraId="1E223AE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p>
              </w:tc>
              <w:tc>
                <w:tcPr>
                  <w:tcW w:w="481" w:type="pct"/>
                  <w:vMerge w:val="restart"/>
                  <w:tcBorders>
                    <w:tl2br w:val="nil"/>
                    <w:tr2bl w:val="nil"/>
                  </w:tcBorders>
                  <w:noWrap w:val="0"/>
                  <w:vAlign w:val="center"/>
                </w:tcPr>
                <w:p w14:paraId="11EA53E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4</w:t>
                  </w:r>
                  <w:r>
                    <w:rPr>
                      <w:rFonts w:hint="eastAsia" w:cs="Times New Roman"/>
                      <w:b w:val="0"/>
                      <w:bCs/>
                      <w:color w:val="auto"/>
                      <w:kern w:val="2"/>
                      <w:sz w:val="21"/>
                      <w:szCs w:val="21"/>
                      <w:highlight w:val="none"/>
                      <w:vertAlign w:val="baseline"/>
                      <w:lang w:val="en-US" w:eastAsia="zh-CN" w:bidi="ar-SA"/>
                    </w:rPr>
                    <w:t>#</w:t>
                  </w:r>
                </w:p>
              </w:tc>
              <w:tc>
                <w:tcPr>
                  <w:tcW w:w="746" w:type="pct"/>
                  <w:tcBorders>
                    <w:tl2br w:val="nil"/>
                    <w:tr2bl w:val="nil"/>
                  </w:tcBorders>
                  <w:shd w:val="clear" w:color="auto" w:fill="auto"/>
                  <w:noWrap w:val="0"/>
                  <w:vAlign w:val="center"/>
                </w:tcPr>
                <w:p w14:paraId="135AD4A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1</w:t>
                  </w:r>
                </w:p>
              </w:tc>
              <w:tc>
                <w:tcPr>
                  <w:tcW w:w="780" w:type="pct"/>
                  <w:tcBorders>
                    <w:tl2br w:val="nil"/>
                    <w:tr2bl w:val="nil"/>
                  </w:tcBorders>
                  <w:noWrap w:val="0"/>
                  <w:vAlign w:val="center"/>
                </w:tcPr>
                <w:p w14:paraId="2A8DF515">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0.647</w:t>
                  </w:r>
                </w:p>
              </w:tc>
              <w:tc>
                <w:tcPr>
                  <w:tcW w:w="780" w:type="pct"/>
                  <w:tcBorders>
                    <w:tl2br w:val="nil"/>
                    <w:tr2bl w:val="nil"/>
                  </w:tcBorders>
                  <w:noWrap w:val="0"/>
                  <w:vAlign w:val="center"/>
                </w:tcPr>
                <w:p w14:paraId="37CB0EA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0.399</w:t>
                  </w:r>
                </w:p>
              </w:tc>
              <w:tc>
                <w:tcPr>
                  <w:tcW w:w="773" w:type="pct"/>
                  <w:tcBorders>
                    <w:tl2br w:val="nil"/>
                    <w:tr2bl w:val="nil"/>
                  </w:tcBorders>
                  <w:noWrap w:val="0"/>
                  <w:vAlign w:val="center"/>
                </w:tcPr>
                <w:p w14:paraId="18963CD9">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0.262</w:t>
                  </w:r>
                </w:p>
              </w:tc>
              <w:tc>
                <w:tcPr>
                  <w:tcW w:w="786" w:type="pct"/>
                  <w:tcBorders>
                    <w:tl2br w:val="nil"/>
                    <w:tr2bl w:val="nil"/>
                  </w:tcBorders>
                  <w:noWrap w:val="0"/>
                  <w:vAlign w:val="center"/>
                </w:tcPr>
                <w:p w14:paraId="3F06A638">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0.168</w:t>
                  </w:r>
                </w:p>
              </w:tc>
            </w:tr>
            <w:tr w14:paraId="198A3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51" w:type="pct"/>
                  <w:vMerge w:val="continue"/>
                  <w:tcBorders>
                    <w:tl2br w:val="nil"/>
                    <w:tr2bl w:val="nil"/>
                  </w:tcBorders>
                  <w:noWrap w:val="0"/>
                  <w:vAlign w:val="center"/>
                </w:tcPr>
                <w:p w14:paraId="45C02B1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rPr>
                  </w:pPr>
                </w:p>
              </w:tc>
              <w:tc>
                <w:tcPr>
                  <w:tcW w:w="481" w:type="pct"/>
                  <w:vMerge w:val="continue"/>
                  <w:tcBorders>
                    <w:tl2br w:val="nil"/>
                    <w:tr2bl w:val="nil"/>
                  </w:tcBorders>
                  <w:noWrap w:val="0"/>
                  <w:vAlign w:val="center"/>
                </w:tcPr>
                <w:p w14:paraId="22981BE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color w:val="auto"/>
                      <w:kern w:val="2"/>
                      <w:sz w:val="21"/>
                      <w:szCs w:val="21"/>
                      <w:highlight w:val="none"/>
                      <w:vertAlign w:val="baseline"/>
                      <w:lang w:val="en-US" w:eastAsia="zh-CN" w:bidi="ar-SA"/>
                    </w:rPr>
                  </w:pPr>
                </w:p>
              </w:tc>
              <w:tc>
                <w:tcPr>
                  <w:tcW w:w="746" w:type="pct"/>
                  <w:tcBorders>
                    <w:tl2br w:val="nil"/>
                    <w:tr2bl w:val="nil"/>
                  </w:tcBorders>
                  <w:shd w:val="clear" w:color="auto" w:fill="auto"/>
                  <w:noWrap w:val="0"/>
                  <w:vAlign w:val="center"/>
                </w:tcPr>
                <w:p w14:paraId="3BDDB69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2</w:t>
                  </w:r>
                </w:p>
              </w:tc>
              <w:tc>
                <w:tcPr>
                  <w:tcW w:w="780" w:type="pct"/>
                  <w:tcBorders>
                    <w:tl2br w:val="nil"/>
                    <w:tr2bl w:val="nil"/>
                  </w:tcBorders>
                  <w:noWrap w:val="0"/>
                  <w:vAlign w:val="center"/>
                </w:tcPr>
                <w:p w14:paraId="774FF805">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0.618</w:t>
                  </w:r>
                </w:p>
              </w:tc>
              <w:tc>
                <w:tcPr>
                  <w:tcW w:w="780" w:type="pct"/>
                  <w:tcBorders>
                    <w:tl2br w:val="nil"/>
                    <w:tr2bl w:val="nil"/>
                  </w:tcBorders>
                  <w:noWrap w:val="0"/>
                  <w:vAlign w:val="center"/>
                </w:tcPr>
                <w:p w14:paraId="0D83ECD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0.345</w:t>
                  </w:r>
                </w:p>
              </w:tc>
              <w:tc>
                <w:tcPr>
                  <w:tcW w:w="773" w:type="pct"/>
                  <w:tcBorders>
                    <w:tl2br w:val="nil"/>
                    <w:tr2bl w:val="nil"/>
                  </w:tcBorders>
                  <w:noWrap w:val="0"/>
                  <w:vAlign w:val="center"/>
                </w:tcPr>
                <w:p w14:paraId="7F4C8D7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0.259</w:t>
                  </w:r>
                </w:p>
              </w:tc>
              <w:tc>
                <w:tcPr>
                  <w:tcW w:w="786" w:type="pct"/>
                  <w:tcBorders>
                    <w:tl2br w:val="nil"/>
                    <w:tr2bl w:val="nil"/>
                  </w:tcBorders>
                  <w:noWrap w:val="0"/>
                  <w:vAlign w:val="center"/>
                </w:tcPr>
                <w:p w14:paraId="70592B5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0.168</w:t>
                  </w:r>
                </w:p>
              </w:tc>
            </w:tr>
            <w:tr w14:paraId="1BB89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51" w:type="pct"/>
                  <w:vMerge w:val="continue"/>
                  <w:tcBorders>
                    <w:tl2br w:val="nil"/>
                    <w:tr2bl w:val="nil"/>
                  </w:tcBorders>
                  <w:noWrap w:val="0"/>
                  <w:vAlign w:val="center"/>
                </w:tcPr>
                <w:p w14:paraId="5DE9067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color w:val="auto"/>
                      <w:kern w:val="2"/>
                      <w:sz w:val="21"/>
                      <w:szCs w:val="21"/>
                      <w:highlight w:val="none"/>
                      <w:vertAlign w:val="baseline"/>
                      <w:lang w:val="en-US" w:eastAsia="zh-CN" w:bidi="ar-SA"/>
                    </w:rPr>
                  </w:pPr>
                </w:p>
              </w:tc>
              <w:tc>
                <w:tcPr>
                  <w:tcW w:w="481" w:type="pct"/>
                  <w:vMerge w:val="continue"/>
                  <w:tcBorders>
                    <w:tl2br w:val="nil"/>
                    <w:tr2bl w:val="nil"/>
                  </w:tcBorders>
                  <w:noWrap w:val="0"/>
                  <w:vAlign w:val="center"/>
                </w:tcPr>
                <w:p w14:paraId="632B8DC2">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color w:val="auto"/>
                      <w:kern w:val="2"/>
                      <w:sz w:val="21"/>
                      <w:szCs w:val="21"/>
                      <w:highlight w:val="none"/>
                      <w:vertAlign w:val="baseline"/>
                      <w:lang w:val="en-US" w:eastAsia="zh-CN" w:bidi="ar-SA"/>
                    </w:rPr>
                  </w:pPr>
                </w:p>
              </w:tc>
              <w:tc>
                <w:tcPr>
                  <w:tcW w:w="746" w:type="pct"/>
                  <w:tcBorders>
                    <w:tl2br w:val="nil"/>
                    <w:tr2bl w:val="nil"/>
                  </w:tcBorders>
                  <w:shd w:val="clear" w:color="auto" w:fill="auto"/>
                  <w:noWrap w:val="0"/>
                  <w:vAlign w:val="center"/>
                </w:tcPr>
                <w:p w14:paraId="7D99F3C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3</w:t>
                  </w:r>
                </w:p>
              </w:tc>
              <w:tc>
                <w:tcPr>
                  <w:tcW w:w="780" w:type="pct"/>
                  <w:tcBorders>
                    <w:tl2br w:val="nil"/>
                    <w:tr2bl w:val="nil"/>
                  </w:tcBorders>
                  <w:noWrap w:val="0"/>
                  <w:vAlign w:val="center"/>
                </w:tcPr>
                <w:p w14:paraId="0DB3ADE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0.598</w:t>
                  </w:r>
                </w:p>
              </w:tc>
              <w:tc>
                <w:tcPr>
                  <w:tcW w:w="780" w:type="pct"/>
                  <w:tcBorders>
                    <w:tl2br w:val="nil"/>
                    <w:tr2bl w:val="nil"/>
                  </w:tcBorders>
                  <w:noWrap w:val="0"/>
                  <w:vAlign w:val="center"/>
                </w:tcPr>
                <w:p w14:paraId="0436B085">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0.308</w:t>
                  </w:r>
                </w:p>
              </w:tc>
              <w:tc>
                <w:tcPr>
                  <w:tcW w:w="773" w:type="pct"/>
                  <w:tcBorders>
                    <w:tl2br w:val="nil"/>
                    <w:tr2bl w:val="nil"/>
                  </w:tcBorders>
                  <w:noWrap w:val="0"/>
                  <w:vAlign w:val="center"/>
                </w:tcPr>
                <w:p w14:paraId="63F643D7">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0.265</w:t>
                  </w:r>
                </w:p>
              </w:tc>
              <w:tc>
                <w:tcPr>
                  <w:tcW w:w="786" w:type="pct"/>
                  <w:tcBorders>
                    <w:tl2br w:val="nil"/>
                    <w:tr2bl w:val="nil"/>
                  </w:tcBorders>
                  <w:noWrap w:val="0"/>
                  <w:vAlign w:val="center"/>
                </w:tcPr>
                <w:p w14:paraId="16FC6118">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0.172</w:t>
                  </w:r>
                </w:p>
              </w:tc>
            </w:tr>
            <w:tr w14:paraId="21C9F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51" w:type="pct"/>
                  <w:vMerge w:val="continue"/>
                  <w:tcBorders>
                    <w:tl2br w:val="nil"/>
                    <w:tr2bl w:val="nil"/>
                  </w:tcBorders>
                  <w:noWrap w:val="0"/>
                  <w:vAlign w:val="center"/>
                </w:tcPr>
                <w:p w14:paraId="5ECF2D6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color w:val="auto"/>
                      <w:kern w:val="2"/>
                      <w:sz w:val="21"/>
                      <w:szCs w:val="21"/>
                      <w:highlight w:val="none"/>
                      <w:vertAlign w:val="baseline"/>
                      <w:lang w:val="en-US" w:eastAsia="zh-CN" w:bidi="ar-SA"/>
                    </w:rPr>
                  </w:pPr>
                </w:p>
              </w:tc>
              <w:tc>
                <w:tcPr>
                  <w:tcW w:w="481" w:type="pct"/>
                  <w:vMerge w:val="continue"/>
                  <w:tcBorders>
                    <w:tl2br w:val="nil"/>
                    <w:tr2bl w:val="nil"/>
                  </w:tcBorders>
                  <w:noWrap w:val="0"/>
                  <w:vAlign w:val="center"/>
                </w:tcPr>
                <w:p w14:paraId="4BC372D2">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color w:val="auto"/>
                      <w:kern w:val="2"/>
                      <w:sz w:val="21"/>
                      <w:szCs w:val="21"/>
                      <w:highlight w:val="none"/>
                      <w:vertAlign w:val="baseline"/>
                      <w:lang w:val="en-US" w:eastAsia="zh-CN" w:bidi="ar-SA"/>
                    </w:rPr>
                  </w:pPr>
                </w:p>
              </w:tc>
              <w:tc>
                <w:tcPr>
                  <w:tcW w:w="746" w:type="pct"/>
                  <w:tcBorders>
                    <w:tl2br w:val="nil"/>
                    <w:tr2bl w:val="nil"/>
                  </w:tcBorders>
                  <w:shd w:val="clear" w:color="auto" w:fill="auto"/>
                  <w:noWrap w:val="0"/>
                  <w:vAlign w:val="center"/>
                </w:tcPr>
                <w:p w14:paraId="5F32806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4</w:t>
                  </w:r>
                </w:p>
              </w:tc>
              <w:tc>
                <w:tcPr>
                  <w:tcW w:w="780" w:type="pct"/>
                  <w:tcBorders>
                    <w:tl2br w:val="nil"/>
                    <w:tr2bl w:val="nil"/>
                  </w:tcBorders>
                  <w:noWrap w:val="0"/>
                  <w:vAlign w:val="center"/>
                </w:tcPr>
                <w:p w14:paraId="30FCAF70">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0.602</w:t>
                  </w:r>
                </w:p>
              </w:tc>
              <w:tc>
                <w:tcPr>
                  <w:tcW w:w="780" w:type="pct"/>
                  <w:tcBorders>
                    <w:tl2br w:val="nil"/>
                    <w:tr2bl w:val="nil"/>
                  </w:tcBorders>
                  <w:noWrap w:val="0"/>
                  <w:vAlign w:val="center"/>
                </w:tcPr>
                <w:p w14:paraId="4A788E0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0.338</w:t>
                  </w:r>
                </w:p>
              </w:tc>
              <w:tc>
                <w:tcPr>
                  <w:tcW w:w="773" w:type="pct"/>
                  <w:tcBorders>
                    <w:tl2br w:val="nil"/>
                    <w:tr2bl w:val="nil"/>
                  </w:tcBorders>
                  <w:noWrap w:val="0"/>
                  <w:vAlign w:val="center"/>
                </w:tcPr>
                <w:p w14:paraId="0C2C0FF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0.247</w:t>
                  </w:r>
                </w:p>
              </w:tc>
              <w:tc>
                <w:tcPr>
                  <w:tcW w:w="786" w:type="pct"/>
                  <w:tcBorders>
                    <w:tl2br w:val="nil"/>
                    <w:tr2bl w:val="nil"/>
                  </w:tcBorders>
                  <w:noWrap w:val="0"/>
                  <w:vAlign w:val="center"/>
                </w:tcPr>
                <w:p w14:paraId="18C07706">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0.160</w:t>
                  </w:r>
                </w:p>
              </w:tc>
            </w:tr>
            <w:tr w14:paraId="0C53A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3" w:type="pct"/>
                  <w:gridSpan w:val="2"/>
                  <w:tcBorders>
                    <w:tl2br w:val="nil"/>
                    <w:tr2bl w:val="nil"/>
                  </w:tcBorders>
                  <w:noWrap w:val="0"/>
                  <w:vAlign w:val="center"/>
                </w:tcPr>
                <w:p w14:paraId="1E59A12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标准限值</w:t>
                  </w:r>
                </w:p>
              </w:tc>
              <w:tc>
                <w:tcPr>
                  <w:tcW w:w="746" w:type="pct"/>
                  <w:tcBorders>
                    <w:tl2br w:val="nil"/>
                    <w:tr2bl w:val="nil"/>
                  </w:tcBorders>
                  <w:noWrap w:val="0"/>
                  <w:vAlign w:val="center"/>
                </w:tcPr>
                <w:p w14:paraId="3423DB9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w:t>
                  </w:r>
                </w:p>
              </w:tc>
              <w:tc>
                <w:tcPr>
                  <w:tcW w:w="780" w:type="pct"/>
                  <w:tcBorders>
                    <w:tl2br w:val="nil"/>
                    <w:tr2bl w:val="nil"/>
                  </w:tcBorders>
                  <w:noWrap w:val="0"/>
                  <w:vAlign w:val="center"/>
                </w:tcPr>
                <w:p w14:paraId="7DD63BE2">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w:t>
                  </w:r>
                </w:p>
              </w:tc>
              <w:tc>
                <w:tcPr>
                  <w:tcW w:w="780" w:type="pct"/>
                  <w:tcBorders>
                    <w:tl2br w:val="nil"/>
                    <w:tr2bl w:val="nil"/>
                  </w:tcBorders>
                  <w:noWrap w:val="0"/>
                  <w:vAlign w:val="center"/>
                </w:tcPr>
                <w:p w14:paraId="7C57D50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1.0</w:t>
                  </w:r>
                </w:p>
              </w:tc>
              <w:tc>
                <w:tcPr>
                  <w:tcW w:w="773" w:type="pct"/>
                  <w:tcBorders>
                    <w:tl2br w:val="nil"/>
                    <w:tr2bl w:val="nil"/>
                  </w:tcBorders>
                  <w:noWrap w:val="0"/>
                  <w:vAlign w:val="center"/>
                </w:tcPr>
                <w:p w14:paraId="3B052C47">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w:t>
                  </w:r>
                </w:p>
              </w:tc>
              <w:tc>
                <w:tcPr>
                  <w:tcW w:w="786" w:type="pct"/>
                  <w:tcBorders>
                    <w:tl2br w:val="nil"/>
                    <w:tr2bl w:val="nil"/>
                  </w:tcBorders>
                  <w:noWrap w:val="0"/>
                  <w:vAlign w:val="center"/>
                </w:tcPr>
                <w:p w14:paraId="4D197451">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0.4</w:t>
                  </w:r>
                </w:p>
              </w:tc>
            </w:tr>
            <w:tr w14:paraId="2DF6A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3" w:type="pct"/>
                  <w:gridSpan w:val="2"/>
                  <w:tcBorders>
                    <w:tl2br w:val="nil"/>
                    <w:tr2bl w:val="nil"/>
                  </w:tcBorders>
                  <w:noWrap w:val="0"/>
                  <w:vAlign w:val="center"/>
                </w:tcPr>
                <w:p w14:paraId="3FB519ED">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达标情况</w:t>
                  </w:r>
                </w:p>
              </w:tc>
              <w:tc>
                <w:tcPr>
                  <w:tcW w:w="746" w:type="pct"/>
                  <w:tcBorders>
                    <w:tl2br w:val="nil"/>
                    <w:tr2bl w:val="nil"/>
                  </w:tcBorders>
                  <w:noWrap w:val="0"/>
                  <w:vAlign w:val="center"/>
                </w:tcPr>
                <w:p w14:paraId="06CA6BC7">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w:t>
                  </w:r>
                </w:p>
              </w:tc>
              <w:tc>
                <w:tcPr>
                  <w:tcW w:w="780" w:type="pct"/>
                  <w:tcBorders>
                    <w:tl2br w:val="nil"/>
                    <w:tr2bl w:val="nil"/>
                  </w:tcBorders>
                  <w:noWrap w:val="0"/>
                  <w:vAlign w:val="center"/>
                </w:tcPr>
                <w:p w14:paraId="01C7F70B">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w:t>
                  </w:r>
                </w:p>
              </w:tc>
              <w:tc>
                <w:tcPr>
                  <w:tcW w:w="780" w:type="pct"/>
                  <w:tcBorders>
                    <w:tl2br w:val="nil"/>
                    <w:tr2bl w:val="nil"/>
                  </w:tcBorders>
                  <w:noWrap w:val="0"/>
                  <w:vAlign w:val="center"/>
                </w:tcPr>
                <w:p w14:paraId="6FCD05A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达标</w:t>
                  </w:r>
                </w:p>
              </w:tc>
              <w:tc>
                <w:tcPr>
                  <w:tcW w:w="773" w:type="pct"/>
                  <w:tcBorders>
                    <w:tl2br w:val="nil"/>
                    <w:tr2bl w:val="nil"/>
                  </w:tcBorders>
                  <w:noWrap w:val="0"/>
                  <w:vAlign w:val="center"/>
                </w:tcPr>
                <w:p w14:paraId="3892FBD2">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w:t>
                  </w:r>
                </w:p>
              </w:tc>
              <w:tc>
                <w:tcPr>
                  <w:tcW w:w="786" w:type="pct"/>
                  <w:tcBorders>
                    <w:tl2br w:val="nil"/>
                    <w:tr2bl w:val="nil"/>
                  </w:tcBorders>
                  <w:noWrap w:val="0"/>
                  <w:vAlign w:val="center"/>
                </w:tcPr>
                <w:p w14:paraId="5DEB05D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达标</w:t>
                  </w:r>
                </w:p>
              </w:tc>
            </w:tr>
          </w:tbl>
          <w:p w14:paraId="711EBFA1">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default" w:cs="Times New Roman"/>
                <w:bCs/>
                <w:color w:val="auto"/>
                <w:kern w:val="2"/>
                <w:sz w:val="24"/>
                <w:szCs w:val="24"/>
                <w:highlight w:val="none"/>
                <w:lang w:val="en-US" w:eastAsia="zh-CN" w:bidi="ar-SA"/>
              </w:rPr>
            </w:pPr>
            <w:r>
              <w:rPr>
                <w:rFonts w:hint="eastAsia" w:cs="Times New Roman"/>
                <w:bCs/>
                <w:color w:val="auto"/>
                <w:kern w:val="2"/>
                <w:sz w:val="24"/>
                <w:szCs w:val="24"/>
                <w:highlight w:val="none"/>
                <w:lang w:val="en-US" w:eastAsia="zh-CN" w:bidi="ar-SA"/>
              </w:rPr>
              <w:t>由监测结果可知，主井工业场地厂界无组织颗粒物、二氧化硫排放浓度均满足《煤炭工业污染物排放标准》（GB20426-2006）中标准限值要求。</w:t>
            </w:r>
          </w:p>
          <w:p w14:paraId="0E4C8C56">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eastAsia="宋体" w:cs="Times New Roman"/>
                <w:bCs/>
                <w:color w:val="auto"/>
                <w:spacing w:val="0"/>
                <w:sz w:val="24"/>
                <w:szCs w:val="24"/>
                <w:highlight w:val="none"/>
                <w:lang w:val="en-US" w:eastAsia="zh-CN"/>
              </w:rPr>
            </w:pPr>
            <w:r>
              <w:rPr>
                <w:rFonts w:hint="eastAsia" w:ascii="Times New Roman" w:hAnsi="Times New Roman" w:eastAsia="宋体" w:cs="Times New Roman"/>
                <w:bCs/>
                <w:color w:val="auto"/>
                <w:spacing w:val="0"/>
                <w:sz w:val="24"/>
                <w:szCs w:val="24"/>
                <w:highlight w:val="none"/>
                <w:lang w:val="en-US" w:eastAsia="zh-CN"/>
              </w:rPr>
              <w:t>2.固体废物</w:t>
            </w:r>
          </w:p>
          <w:p w14:paraId="2AD457B2">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bCs/>
                <w:color w:val="auto"/>
                <w:spacing w:val="0"/>
                <w:sz w:val="24"/>
                <w:szCs w:val="24"/>
                <w:highlight w:val="none"/>
                <w:lang w:val="en-US" w:eastAsia="zh-CN"/>
              </w:rPr>
              <w:t>现有工程产生的固体废物主要为</w:t>
            </w:r>
            <w:r>
              <w:rPr>
                <w:rFonts w:hint="eastAsia" w:cs="Times New Roman"/>
                <w:bCs/>
                <w:color w:val="auto"/>
                <w:spacing w:val="0"/>
                <w:sz w:val="24"/>
                <w:szCs w:val="24"/>
                <w:highlight w:val="none"/>
                <w:lang w:val="en-US" w:eastAsia="zh-CN"/>
              </w:rPr>
              <w:t>设备维修产生的废矿物油和废油桶，</w:t>
            </w:r>
            <w:r>
              <w:rPr>
                <w:rFonts w:hint="eastAsia" w:ascii="Times New Roman" w:hAnsi="Times New Roman" w:eastAsia="宋体" w:cs="Times New Roman"/>
                <w:color w:val="auto"/>
                <w:sz w:val="24"/>
                <w:szCs w:val="24"/>
                <w:lang w:val="en-US" w:eastAsia="zh-CN"/>
              </w:rPr>
              <w:t>暂存于矿区危废贮存库，定期委托资质单位处置。</w:t>
            </w:r>
          </w:p>
          <w:p w14:paraId="26856B58">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eastAsia="宋体" w:cs="Times New Roman"/>
                <w:bCs/>
                <w:color w:val="auto"/>
                <w:spacing w:val="0"/>
                <w:sz w:val="24"/>
                <w:szCs w:val="24"/>
                <w:highlight w:val="none"/>
                <w:lang w:val="en-US" w:eastAsia="zh-CN"/>
              </w:rPr>
            </w:pPr>
            <w:r>
              <w:rPr>
                <w:rFonts w:hint="eastAsia" w:ascii="Times New Roman" w:hAnsi="Times New Roman" w:eastAsia="宋体" w:cs="Times New Roman"/>
                <w:bCs/>
                <w:color w:val="auto"/>
                <w:spacing w:val="0"/>
                <w:sz w:val="24"/>
                <w:szCs w:val="24"/>
                <w:highlight w:val="none"/>
                <w:lang w:val="en-US" w:eastAsia="zh-CN"/>
              </w:rPr>
              <w:t>3.噪声</w:t>
            </w:r>
          </w:p>
          <w:p w14:paraId="5F3FBD1B">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bCs/>
                <w:color w:val="auto"/>
                <w:spacing w:val="0"/>
                <w:sz w:val="24"/>
                <w:szCs w:val="24"/>
                <w:highlight w:val="none"/>
                <w:lang w:val="en-US" w:eastAsia="zh-CN"/>
              </w:rPr>
            </w:pPr>
            <w:r>
              <w:rPr>
                <w:rFonts w:hint="eastAsia" w:ascii="Times New Roman" w:hAnsi="Times New Roman" w:eastAsia="宋体" w:cs="Times New Roman"/>
                <w:bCs/>
                <w:color w:val="auto"/>
                <w:spacing w:val="0"/>
                <w:sz w:val="24"/>
                <w:szCs w:val="24"/>
                <w:highlight w:val="none"/>
                <w:lang w:val="en-US" w:eastAsia="zh-CN"/>
              </w:rPr>
              <w:t>本次评价</w:t>
            </w:r>
            <w:r>
              <w:rPr>
                <w:rFonts w:hint="eastAsia" w:cs="Times New Roman"/>
                <w:bCs/>
                <w:color w:val="auto"/>
                <w:spacing w:val="0"/>
                <w:sz w:val="24"/>
                <w:szCs w:val="24"/>
                <w:highlight w:val="none"/>
                <w:lang w:val="en-US" w:eastAsia="zh-CN"/>
              </w:rPr>
              <w:t>噪声</w:t>
            </w:r>
            <w:r>
              <w:rPr>
                <w:rFonts w:hint="eastAsia" w:ascii="Times New Roman" w:hAnsi="Times New Roman" w:eastAsia="宋体" w:cs="Times New Roman"/>
                <w:bCs/>
                <w:color w:val="auto"/>
                <w:spacing w:val="0"/>
                <w:sz w:val="24"/>
                <w:szCs w:val="24"/>
                <w:highlight w:val="none"/>
                <w:lang w:val="en-US" w:eastAsia="zh-CN"/>
              </w:rPr>
              <w:t>监测结果引用202</w:t>
            </w:r>
            <w:r>
              <w:rPr>
                <w:rFonts w:hint="eastAsia" w:cs="Times New Roman"/>
                <w:bCs/>
                <w:color w:val="auto"/>
                <w:spacing w:val="0"/>
                <w:sz w:val="24"/>
                <w:szCs w:val="24"/>
                <w:highlight w:val="none"/>
                <w:lang w:val="en-US" w:eastAsia="zh-CN"/>
              </w:rPr>
              <w:t>6</w:t>
            </w:r>
            <w:r>
              <w:rPr>
                <w:rFonts w:hint="eastAsia" w:ascii="Times New Roman" w:hAnsi="Times New Roman" w:eastAsia="宋体" w:cs="Times New Roman"/>
                <w:bCs/>
                <w:color w:val="auto"/>
                <w:spacing w:val="0"/>
                <w:sz w:val="24"/>
                <w:szCs w:val="24"/>
                <w:highlight w:val="none"/>
                <w:lang w:val="en-US" w:eastAsia="zh-CN"/>
              </w:rPr>
              <w:t>年</w:t>
            </w:r>
            <w:r>
              <w:rPr>
                <w:rFonts w:hint="eastAsia" w:cs="Times New Roman"/>
                <w:bCs/>
                <w:color w:val="auto"/>
                <w:spacing w:val="0"/>
                <w:sz w:val="24"/>
                <w:szCs w:val="24"/>
                <w:highlight w:val="none"/>
                <w:lang w:val="en-US" w:eastAsia="zh-CN"/>
              </w:rPr>
              <w:t>2</w:t>
            </w:r>
            <w:r>
              <w:rPr>
                <w:rFonts w:hint="eastAsia" w:ascii="Times New Roman" w:hAnsi="Times New Roman" w:eastAsia="宋体" w:cs="Times New Roman"/>
                <w:bCs/>
                <w:color w:val="auto"/>
                <w:spacing w:val="0"/>
                <w:sz w:val="24"/>
                <w:szCs w:val="24"/>
                <w:highlight w:val="none"/>
                <w:lang w:val="en-US" w:eastAsia="zh-CN"/>
              </w:rPr>
              <w:t>月</w:t>
            </w:r>
            <w:r>
              <w:rPr>
                <w:rFonts w:hint="eastAsia" w:cs="Times New Roman"/>
                <w:bCs/>
                <w:color w:val="auto"/>
                <w:spacing w:val="0"/>
                <w:sz w:val="24"/>
                <w:szCs w:val="24"/>
                <w:highlight w:val="none"/>
                <w:lang w:val="en-US" w:eastAsia="zh-CN"/>
              </w:rPr>
              <w:t>10</w:t>
            </w:r>
            <w:r>
              <w:rPr>
                <w:rFonts w:hint="eastAsia" w:ascii="Times New Roman" w:hAnsi="Times New Roman" w:eastAsia="宋体" w:cs="Times New Roman"/>
                <w:bCs/>
                <w:color w:val="auto"/>
                <w:spacing w:val="0"/>
                <w:sz w:val="24"/>
                <w:szCs w:val="24"/>
                <w:highlight w:val="none"/>
                <w:lang w:val="en-US" w:eastAsia="zh-CN"/>
              </w:rPr>
              <w:t>日</w:t>
            </w:r>
            <w:r>
              <w:rPr>
                <w:rFonts w:hint="default" w:ascii="Times New Roman" w:hAnsi="Times New Roman" w:eastAsia="宋体" w:cs="Times New Roman"/>
                <w:bCs/>
                <w:color w:val="auto"/>
                <w:spacing w:val="0"/>
                <w:sz w:val="24"/>
                <w:szCs w:val="24"/>
                <w:highlight w:val="none"/>
                <w:lang w:val="en-US" w:eastAsia="zh-CN"/>
              </w:rPr>
              <w:t>由山西</w:t>
            </w:r>
            <w:r>
              <w:rPr>
                <w:rFonts w:hint="eastAsia" w:ascii="Times New Roman" w:hAnsi="Times New Roman" w:eastAsia="宋体" w:cs="Times New Roman"/>
                <w:bCs/>
                <w:color w:val="auto"/>
                <w:spacing w:val="0"/>
                <w:sz w:val="24"/>
                <w:szCs w:val="24"/>
                <w:highlight w:val="none"/>
                <w:lang w:val="en-US" w:eastAsia="zh-CN"/>
              </w:rPr>
              <w:t>华益检测科技</w:t>
            </w:r>
            <w:r>
              <w:rPr>
                <w:rFonts w:hint="default" w:ascii="Times New Roman" w:hAnsi="Times New Roman" w:eastAsia="宋体" w:cs="Times New Roman"/>
                <w:bCs/>
                <w:color w:val="auto"/>
                <w:spacing w:val="0"/>
                <w:sz w:val="24"/>
                <w:szCs w:val="24"/>
                <w:highlight w:val="none"/>
                <w:lang w:val="en-US" w:eastAsia="zh-CN"/>
              </w:rPr>
              <w:t>有限公司出具的《</w:t>
            </w:r>
            <w:r>
              <w:rPr>
                <w:rFonts w:hint="eastAsia" w:ascii="Times New Roman" w:hAnsi="Times New Roman" w:eastAsia="宋体" w:cs="Times New Roman"/>
                <w:bCs/>
                <w:color w:val="auto"/>
                <w:spacing w:val="0"/>
                <w:sz w:val="24"/>
                <w:szCs w:val="24"/>
                <w:highlight w:val="none"/>
                <w:lang w:val="en-US" w:eastAsia="zh-CN"/>
              </w:rPr>
              <w:t>山西晋煤集团赵庄煤业有限责任公司自行监测（第</w:t>
            </w:r>
            <w:r>
              <w:rPr>
                <w:rFonts w:hint="eastAsia" w:cs="Times New Roman"/>
                <w:bCs/>
                <w:color w:val="auto"/>
                <w:spacing w:val="0"/>
                <w:sz w:val="24"/>
                <w:szCs w:val="24"/>
                <w:highlight w:val="none"/>
                <w:lang w:val="en-US" w:eastAsia="zh-CN"/>
              </w:rPr>
              <w:t>一</w:t>
            </w:r>
            <w:r>
              <w:rPr>
                <w:rFonts w:hint="eastAsia" w:ascii="Times New Roman" w:hAnsi="Times New Roman" w:eastAsia="宋体" w:cs="Times New Roman"/>
                <w:bCs/>
                <w:color w:val="auto"/>
                <w:spacing w:val="0"/>
                <w:sz w:val="24"/>
                <w:szCs w:val="24"/>
                <w:highlight w:val="none"/>
                <w:lang w:val="en-US" w:eastAsia="zh-CN"/>
              </w:rPr>
              <w:t>季度无组织+噪声）</w:t>
            </w:r>
            <w:r>
              <w:rPr>
                <w:rFonts w:hint="default" w:ascii="Times New Roman" w:hAnsi="Times New Roman" w:eastAsia="宋体" w:cs="Times New Roman"/>
                <w:bCs/>
                <w:color w:val="auto"/>
                <w:spacing w:val="0"/>
                <w:sz w:val="24"/>
                <w:szCs w:val="24"/>
                <w:highlight w:val="none"/>
                <w:lang w:val="en-US" w:eastAsia="zh-CN"/>
              </w:rPr>
              <w:t>》（</w:t>
            </w:r>
            <w:r>
              <w:rPr>
                <w:rFonts w:hint="eastAsia" w:ascii="Times New Roman" w:hAnsi="Times New Roman" w:eastAsia="宋体" w:cs="Times New Roman"/>
                <w:bCs/>
                <w:color w:val="auto"/>
                <w:spacing w:val="0"/>
                <w:sz w:val="24"/>
                <w:szCs w:val="24"/>
                <w:highlight w:val="none"/>
                <w:lang w:val="en-US" w:eastAsia="zh-CN"/>
              </w:rPr>
              <w:t>SXHYJC-2</w:t>
            </w:r>
            <w:r>
              <w:rPr>
                <w:rFonts w:hint="eastAsia" w:cs="Times New Roman"/>
                <w:bCs/>
                <w:color w:val="auto"/>
                <w:spacing w:val="0"/>
                <w:sz w:val="24"/>
                <w:szCs w:val="24"/>
                <w:highlight w:val="none"/>
                <w:lang w:val="en-US" w:eastAsia="zh-CN"/>
              </w:rPr>
              <w:t>6</w:t>
            </w:r>
            <w:r>
              <w:rPr>
                <w:rFonts w:hint="eastAsia" w:ascii="Times New Roman" w:hAnsi="Times New Roman" w:eastAsia="宋体" w:cs="Times New Roman"/>
                <w:bCs/>
                <w:color w:val="auto"/>
                <w:spacing w:val="0"/>
                <w:sz w:val="24"/>
                <w:szCs w:val="24"/>
                <w:highlight w:val="none"/>
                <w:lang w:val="en-US" w:eastAsia="zh-CN"/>
              </w:rPr>
              <w:t>0</w:t>
            </w:r>
            <w:r>
              <w:rPr>
                <w:rFonts w:hint="eastAsia" w:cs="Times New Roman"/>
                <w:bCs/>
                <w:color w:val="auto"/>
                <w:spacing w:val="0"/>
                <w:sz w:val="24"/>
                <w:szCs w:val="24"/>
                <w:highlight w:val="none"/>
                <w:lang w:val="en-US" w:eastAsia="zh-CN"/>
              </w:rPr>
              <w:t>1</w:t>
            </w:r>
            <w:r>
              <w:rPr>
                <w:rFonts w:hint="eastAsia" w:ascii="Times New Roman" w:hAnsi="Times New Roman" w:eastAsia="宋体" w:cs="Times New Roman"/>
                <w:bCs/>
                <w:color w:val="auto"/>
                <w:spacing w:val="0"/>
                <w:sz w:val="24"/>
                <w:szCs w:val="24"/>
                <w:highlight w:val="none"/>
                <w:lang w:val="en-US" w:eastAsia="zh-CN"/>
              </w:rPr>
              <w:t>-</w:t>
            </w:r>
            <w:r>
              <w:rPr>
                <w:rFonts w:hint="eastAsia" w:cs="Times New Roman"/>
                <w:bCs/>
                <w:color w:val="auto"/>
                <w:spacing w:val="0"/>
                <w:sz w:val="24"/>
                <w:szCs w:val="24"/>
                <w:highlight w:val="none"/>
                <w:lang w:val="en-US" w:eastAsia="zh-CN"/>
              </w:rPr>
              <w:t>053</w:t>
            </w:r>
            <w:r>
              <w:rPr>
                <w:rFonts w:hint="default" w:ascii="Times New Roman" w:hAnsi="Times New Roman" w:eastAsia="宋体" w:cs="Times New Roman"/>
                <w:bCs/>
                <w:color w:val="auto"/>
                <w:spacing w:val="0"/>
                <w:sz w:val="24"/>
                <w:szCs w:val="24"/>
                <w:highlight w:val="none"/>
                <w:lang w:val="en-US" w:eastAsia="zh-CN"/>
              </w:rPr>
              <w:t>）</w:t>
            </w:r>
            <w:r>
              <w:rPr>
                <w:rFonts w:hint="eastAsia" w:ascii="Times New Roman" w:hAnsi="Times New Roman" w:eastAsia="宋体" w:cs="Times New Roman"/>
                <w:bCs/>
                <w:color w:val="auto"/>
                <w:spacing w:val="0"/>
                <w:sz w:val="24"/>
                <w:szCs w:val="24"/>
                <w:highlight w:val="none"/>
                <w:lang w:val="en-US" w:eastAsia="zh-CN"/>
              </w:rPr>
              <w:t>中的数据。</w:t>
            </w:r>
          </w:p>
          <w:p w14:paraId="2CF4018C">
            <w:pPr>
              <w:keepNext w:val="0"/>
              <w:keepLines w:val="0"/>
              <w:pageBreakBefore w:val="0"/>
              <w:widowControl w:val="0"/>
              <w:kinsoku/>
              <w:wordWrap/>
              <w:overflowPunct/>
              <w:topLinePunct w:val="0"/>
              <w:autoSpaceDE/>
              <w:autoSpaceDN/>
              <w:bidi w:val="0"/>
              <w:adjustRightInd/>
              <w:snapToGrid/>
              <w:spacing w:before="0" w:after="0" w:line="480" w:lineRule="exact"/>
              <w:ind w:firstLine="0" w:firstLineChars="0"/>
              <w:jc w:val="right"/>
              <w:textAlignment w:val="baseline"/>
              <w:rPr>
                <w:rFonts w:hint="default" w:ascii="Times New Roman" w:hAnsi="Times New Roman" w:eastAsia="宋体" w:cs="Times New Roman"/>
                <w:b/>
                <w:bCs/>
                <w:iCs/>
                <w:snapToGrid w:val="0"/>
                <w:color w:val="auto"/>
                <w:spacing w:val="0"/>
                <w:kern w:val="0"/>
                <w:sz w:val="24"/>
                <w:szCs w:val="24"/>
                <w:highlight w:val="none"/>
                <w:lang w:val="en-US" w:eastAsia="zh-CN" w:bidi="ar-SA"/>
              </w:rPr>
            </w:pPr>
            <w:r>
              <w:rPr>
                <w:rFonts w:hint="default" w:ascii="Times New Roman" w:hAnsi="Times New Roman" w:eastAsia="黑体" w:cs="Times New Roman"/>
                <w:color w:val="auto"/>
                <w:kern w:val="0"/>
                <w:sz w:val="21"/>
                <w:szCs w:val="21"/>
                <w:lang w:val="en-US" w:eastAsia="zh-CN" w:bidi="ar-SA"/>
              </w:rPr>
              <w:t>表</w:t>
            </w:r>
            <w:r>
              <w:rPr>
                <w:rFonts w:hint="eastAsia" w:eastAsia="黑体" w:cs="Times New Roman"/>
                <w:color w:val="auto"/>
                <w:kern w:val="0"/>
                <w:sz w:val="21"/>
                <w:szCs w:val="21"/>
                <w:lang w:val="en-US" w:eastAsia="zh-CN" w:bidi="ar-SA"/>
              </w:rPr>
              <w:t>2.11-2</w:t>
            </w:r>
            <w:r>
              <w:rPr>
                <w:rFonts w:hint="default" w:ascii="Times New Roman" w:hAnsi="Times New Roman" w:eastAsia="黑体" w:cs="Times New Roman"/>
                <w:color w:val="auto"/>
                <w:kern w:val="0"/>
                <w:sz w:val="21"/>
                <w:szCs w:val="21"/>
                <w:lang w:val="en-US" w:eastAsia="zh-CN" w:bidi="ar-SA"/>
              </w:rPr>
              <w:t xml:space="preserve">  </w:t>
            </w:r>
            <w:r>
              <w:rPr>
                <w:rFonts w:hint="eastAsia" w:ascii="Times New Roman" w:hAnsi="Times New Roman" w:eastAsia="黑体" w:cs="Times New Roman"/>
                <w:color w:val="auto"/>
                <w:kern w:val="0"/>
                <w:sz w:val="21"/>
                <w:szCs w:val="21"/>
                <w:lang w:val="en-US" w:eastAsia="zh-CN" w:bidi="ar-SA"/>
              </w:rPr>
              <w:t xml:space="preserve"> </w:t>
            </w:r>
            <w:r>
              <w:rPr>
                <w:rFonts w:hint="eastAsia" w:eastAsia="黑体" w:cs="Times New Roman"/>
                <w:color w:val="auto"/>
                <w:kern w:val="0"/>
                <w:sz w:val="21"/>
                <w:szCs w:val="21"/>
                <w:lang w:val="en-US" w:eastAsia="zh-CN" w:bidi="ar-SA"/>
              </w:rPr>
              <w:t>主井工业场地</w:t>
            </w:r>
            <w:r>
              <w:rPr>
                <w:rFonts w:hint="eastAsia" w:ascii="Times New Roman" w:hAnsi="Times New Roman" w:eastAsia="黑体" w:cs="Times New Roman"/>
                <w:color w:val="auto"/>
                <w:kern w:val="0"/>
                <w:sz w:val="21"/>
                <w:szCs w:val="21"/>
                <w:lang w:val="en-US" w:eastAsia="zh-CN" w:bidi="ar-SA"/>
              </w:rPr>
              <w:t>厂界噪声</w:t>
            </w:r>
            <w:r>
              <w:rPr>
                <w:rFonts w:hint="default" w:ascii="Times New Roman" w:hAnsi="Times New Roman" w:eastAsia="黑体" w:cs="Times New Roman"/>
                <w:color w:val="auto"/>
                <w:kern w:val="0"/>
                <w:sz w:val="21"/>
                <w:szCs w:val="21"/>
                <w:lang w:val="en-US" w:eastAsia="zh-CN" w:bidi="ar-SA"/>
              </w:rPr>
              <w:t>监测结果</w:t>
            </w:r>
            <w:r>
              <w:rPr>
                <w:rFonts w:hint="eastAsia" w:ascii="Times New Roman" w:hAnsi="Times New Roman" w:eastAsia="黑体" w:cs="Times New Roman"/>
                <w:color w:val="auto"/>
                <w:kern w:val="0"/>
                <w:sz w:val="21"/>
                <w:szCs w:val="21"/>
                <w:lang w:val="en-US" w:eastAsia="zh-CN" w:bidi="ar-SA"/>
              </w:rPr>
              <w:t xml:space="preserve">        单位：dB（A）</w:t>
            </w:r>
          </w:p>
          <w:tbl>
            <w:tblPr>
              <w:tblStyle w:val="2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2"/>
              <w:gridCol w:w="2738"/>
              <w:gridCol w:w="1134"/>
              <w:gridCol w:w="1405"/>
              <w:gridCol w:w="1361"/>
            </w:tblGrid>
            <w:tr w14:paraId="2EA6E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877" w:type="pct"/>
                  <w:vMerge w:val="restart"/>
                  <w:tcBorders>
                    <w:tl2br w:val="nil"/>
                    <w:tr2bl w:val="nil"/>
                  </w:tcBorders>
                  <w:noWrap w:val="0"/>
                  <w:vAlign w:val="center"/>
                </w:tcPr>
                <w:p w14:paraId="53BABD5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监测日期</w:t>
                  </w:r>
                </w:p>
              </w:tc>
              <w:tc>
                <w:tcPr>
                  <w:tcW w:w="1700" w:type="pct"/>
                  <w:vMerge w:val="restart"/>
                  <w:tcBorders>
                    <w:tl2br w:val="nil"/>
                    <w:tr2bl w:val="nil"/>
                  </w:tcBorders>
                  <w:noWrap w:val="0"/>
                  <w:vAlign w:val="center"/>
                </w:tcPr>
                <w:p w14:paraId="5C6E39E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监测点位</w:t>
                  </w:r>
                </w:p>
              </w:tc>
              <w:tc>
                <w:tcPr>
                  <w:tcW w:w="704" w:type="pct"/>
                  <w:vMerge w:val="restart"/>
                  <w:tcBorders>
                    <w:tl2br w:val="nil"/>
                    <w:tr2bl w:val="nil"/>
                  </w:tcBorders>
                  <w:noWrap w:val="0"/>
                  <w:vAlign w:val="center"/>
                </w:tcPr>
                <w:p w14:paraId="4151E7F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监测项目</w:t>
                  </w:r>
                </w:p>
              </w:tc>
              <w:tc>
                <w:tcPr>
                  <w:tcW w:w="1717" w:type="pct"/>
                  <w:gridSpan w:val="2"/>
                  <w:tcBorders>
                    <w:tl2br w:val="nil"/>
                    <w:tr2bl w:val="nil"/>
                  </w:tcBorders>
                  <w:noWrap w:val="0"/>
                  <w:vAlign w:val="center"/>
                </w:tcPr>
                <w:p w14:paraId="74AC4A1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监测结果</w:t>
                  </w:r>
                </w:p>
              </w:tc>
            </w:tr>
            <w:tr w14:paraId="65574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trPr>
              <w:tc>
                <w:tcPr>
                  <w:tcW w:w="877" w:type="pct"/>
                  <w:vMerge w:val="continue"/>
                  <w:tcBorders>
                    <w:tl2br w:val="nil"/>
                    <w:tr2bl w:val="nil"/>
                  </w:tcBorders>
                  <w:noWrap w:val="0"/>
                  <w:vAlign w:val="center"/>
                </w:tcPr>
                <w:p w14:paraId="6C585E6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p>
              </w:tc>
              <w:tc>
                <w:tcPr>
                  <w:tcW w:w="1700" w:type="pct"/>
                  <w:vMerge w:val="continue"/>
                  <w:tcBorders>
                    <w:tl2br w:val="nil"/>
                    <w:tr2bl w:val="nil"/>
                  </w:tcBorders>
                  <w:noWrap w:val="0"/>
                  <w:vAlign w:val="center"/>
                </w:tcPr>
                <w:p w14:paraId="7900E74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p>
              </w:tc>
              <w:tc>
                <w:tcPr>
                  <w:tcW w:w="704" w:type="pct"/>
                  <w:vMerge w:val="continue"/>
                  <w:tcBorders>
                    <w:tl2br w:val="nil"/>
                    <w:tr2bl w:val="nil"/>
                  </w:tcBorders>
                  <w:noWrap w:val="0"/>
                  <w:vAlign w:val="center"/>
                </w:tcPr>
                <w:p w14:paraId="7862BC7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p>
              </w:tc>
              <w:tc>
                <w:tcPr>
                  <w:tcW w:w="872" w:type="pct"/>
                  <w:tcBorders>
                    <w:tl2br w:val="nil"/>
                    <w:tr2bl w:val="nil"/>
                  </w:tcBorders>
                  <w:noWrap w:val="0"/>
                  <w:vAlign w:val="center"/>
                </w:tcPr>
                <w:p w14:paraId="6409A78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昼间</w:t>
                  </w:r>
                </w:p>
              </w:tc>
              <w:tc>
                <w:tcPr>
                  <w:tcW w:w="845" w:type="pct"/>
                  <w:tcBorders>
                    <w:tl2br w:val="nil"/>
                    <w:tr2bl w:val="nil"/>
                  </w:tcBorders>
                  <w:noWrap w:val="0"/>
                  <w:vAlign w:val="center"/>
                </w:tcPr>
                <w:p w14:paraId="36D8B13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夜间</w:t>
                  </w:r>
                </w:p>
              </w:tc>
            </w:tr>
            <w:tr w14:paraId="7893D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877" w:type="pct"/>
                  <w:vMerge w:val="restart"/>
                  <w:tcBorders>
                    <w:tl2br w:val="nil"/>
                    <w:tr2bl w:val="nil"/>
                  </w:tcBorders>
                  <w:noWrap w:val="0"/>
                  <w:vAlign w:val="center"/>
                </w:tcPr>
                <w:p w14:paraId="51ECCCB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2026.1.17</w:t>
                  </w:r>
                </w:p>
              </w:tc>
              <w:tc>
                <w:tcPr>
                  <w:tcW w:w="1700" w:type="pct"/>
                  <w:tcBorders>
                    <w:tl2br w:val="nil"/>
                    <w:tr2bl w:val="nil"/>
                  </w:tcBorders>
                  <w:noWrap w:val="0"/>
                  <w:vAlign w:val="center"/>
                </w:tcPr>
                <w:p w14:paraId="3CED1CA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主井工业场地厂界1#</w:t>
                  </w:r>
                </w:p>
              </w:tc>
              <w:tc>
                <w:tcPr>
                  <w:tcW w:w="704" w:type="pct"/>
                  <w:tcBorders>
                    <w:tl2br w:val="nil"/>
                    <w:tr2bl w:val="nil"/>
                  </w:tcBorders>
                  <w:noWrap w:val="0"/>
                  <w:vAlign w:val="center"/>
                </w:tcPr>
                <w:p w14:paraId="395D2BA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Leq</w:t>
                  </w:r>
                </w:p>
              </w:tc>
              <w:tc>
                <w:tcPr>
                  <w:tcW w:w="872" w:type="pct"/>
                  <w:tcBorders>
                    <w:tl2br w:val="nil"/>
                    <w:tr2bl w:val="nil"/>
                  </w:tcBorders>
                  <w:noWrap w:val="0"/>
                  <w:vAlign w:val="center"/>
                </w:tcPr>
                <w:p w14:paraId="662654C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54.3</w:t>
                  </w:r>
                </w:p>
              </w:tc>
              <w:tc>
                <w:tcPr>
                  <w:tcW w:w="845" w:type="pct"/>
                  <w:tcBorders>
                    <w:tl2br w:val="nil"/>
                    <w:tr2bl w:val="nil"/>
                  </w:tcBorders>
                  <w:noWrap w:val="0"/>
                  <w:vAlign w:val="center"/>
                </w:tcPr>
                <w:p w14:paraId="4444D5A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47.1</w:t>
                  </w:r>
                </w:p>
              </w:tc>
            </w:tr>
            <w:tr w14:paraId="4EBC0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877" w:type="pct"/>
                  <w:vMerge w:val="continue"/>
                  <w:tcBorders>
                    <w:tl2br w:val="nil"/>
                    <w:tr2bl w:val="nil"/>
                  </w:tcBorders>
                  <w:noWrap w:val="0"/>
                  <w:vAlign w:val="center"/>
                </w:tcPr>
                <w:p w14:paraId="41A94B8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color w:val="auto"/>
                      <w:kern w:val="2"/>
                      <w:sz w:val="21"/>
                      <w:szCs w:val="21"/>
                      <w:highlight w:val="none"/>
                      <w:vertAlign w:val="baseline"/>
                      <w:lang w:val="en-US" w:eastAsia="zh-CN" w:bidi="ar-SA"/>
                    </w:rPr>
                  </w:pPr>
                </w:p>
              </w:tc>
              <w:tc>
                <w:tcPr>
                  <w:tcW w:w="1700" w:type="pct"/>
                  <w:tcBorders>
                    <w:tl2br w:val="nil"/>
                    <w:tr2bl w:val="nil"/>
                  </w:tcBorders>
                  <w:noWrap w:val="0"/>
                  <w:vAlign w:val="center"/>
                </w:tcPr>
                <w:p w14:paraId="60CE0EF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主井工业场地厂界2#</w:t>
                  </w:r>
                </w:p>
              </w:tc>
              <w:tc>
                <w:tcPr>
                  <w:tcW w:w="704" w:type="pct"/>
                  <w:tcBorders>
                    <w:tl2br w:val="nil"/>
                    <w:tr2bl w:val="nil"/>
                  </w:tcBorders>
                  <w:noWrap w:val="0"/>
                  <w:vAlign w:val="center"/>
                </w:tcPr>
                <w:p w14:paraId="79DF823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Leq</w:t>
                  </w:r>
                </w:p>
              </w:tc>
              <w:tc>
                <w:tcPr>
                  <w:tcW w:w="872" w:type="pct"/>
                  <w:tcBorders>
                    <w:tl2br w:val="nil"/>
                    <w:tr2bl w:val="nil"/>
                  </w:tcBorders>
                  <w:noWrap w:val="0"/>
                  <w:vAlign w:val="center"/>
                </w:tcPr>
                <w:p w14:paraId="2C6D588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55.0</w:t>
                  </w:r>
                </w:p>
              </w:tc>
              <w:tc>
                <w:tcPr>
                  <w:tcW w:w="845" w:type="pct"/>
                  <w:tcBorders>
                    <w:tl2br w:val="nil"/>
                    <w:tr2bl w:val="nil"/>
                  </w:tcBorders>
                  <w:noWrap w:val="0"/>
                  <w:vAlign w:val="center"/>
                </w:tcPr>
                <w:p w14:paraId="7BC806D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44.6</w:t>
                  </w:r>
                </w:p>
              </w:tc>
            </w:tr>
            <w:tr w14:paraId="5BC6C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877" w:type="pct"/>
                  <w:vMerge w:val="continue"/>
                  <w:tcBorders>
                    <w:tl2br w:val="nil"/>
                    <w:tr2bl w:val="nil"/>
                  </w:tcBorders>
                  <w:noWrap w:val="0"/>
                  <w:vAlign w:val="center"/>
                </w:tcPr>
                <w:p w14:paraId="49DBBDA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color w:val="auto"/>
                      <w:kern w:val="2"/>
                      <w:sz w:val="21"/>
                      <w:szCs w:val="21"/>
                      <w:highlight w:val="none"/>
                      <w:vertAlign w:val="baseline"/>
                      <w:lang w:val="en-US" w:eastAsia="zh-CN" w:bidi="ar-SA"/>
                    </w:rPr>
                  </w:pPr>
                </w:p>
              </w:tc>
              <w:tc>
                <w:tcPr>
                  <w:tcW w:w="1700" w:type="pct"/>
                  <w:tcBorders>
                    <w:tl2br w:val="nil"/>
                    <w:tr2bl w:val="nil"/>
                  </w:tcBorders>
                  <w:noWrap w:val="0"/>
                  <w:vAlign w:val="center"/>
                </w:tcPr>
                <w:p w14:paraId="20DEC1E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主井工业场地厂界3#</w:t>
                  </w:r>
                </w:p>
              </w:tc>
              <w:tc>
                <w:tcPr>
                  <w:tcW w:w="704" w:type="pct"/>
                  <w:tcBorders>
                    <w:tl2br w:val="nil"/>
                    <w:tr2bl w:val="nil"/>
                  </w:tcBorders>
                  <w:noWrap w:val="0"/>
                  <w:vAlign w:val="center"/>
                </w:tcPr>
                <w:p w14:paraId="3C1B7EE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Leq</w:t>
                  </w:r>
                </w:p>
              </w:tc>
              <w:tc>
                <w:tcPr>
                  <w:tcW w:w="872" w:type="pct"/>
                  <w:tcBorders>
                    <w:tl2br w:val="nil"/>
                    <w:tr2bl w:val="nil"/>
                  </w:tcBorders>
                  <w:noWrap w:val="0"/>
                  <w:vAlign w:val="center"/>
                </w:tcPr>
                <w:p w14:paraId="1220DE8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56.3</w:t>
                  </w:r>
                </w:p>
              </w:tc>
              <w:tc>
                <w:tcPr>
                  <w:tcW w:w="845" w:type="pct"/>
                  <w:tcBorders>
                    <w:tl2br w:val="nil"/>
                    <w:tr2bl w:val="nil"/>
                  </w:tcBorders>
                  <w:noWrap w:val="0"/>
                  <w:vAlign w:val="center"/>
                </w:tcPr>
                <w:p w14:paraId="086555F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42.1</w:t>
                  </w:r>
                </w:p>
              </w:tc>
            </w:tr>
            <w:tr w14:paraId="3990F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877" w:type="pct"/>
                  <w:vMerge w:val="continue"/>
                  <w:tcBorders>
                    <w:tl2br w:val="nil"/>
                    <w:tr2bl w:val="nil"/>
                  </w:tcBorders>
                  <w:noWrap w:val="0"/>
                  <w:vAlign w:val="center"/>
                </w:tcPr>
                <w:p w14:paraId="3A0FCA7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color w:val="auto"/>
                      <w:kern w:val="2"/>
                      <w:sz w:val="21"/>
                      <w:szCs w:val="21"/>
                      <w:highlight w:val="none"/>
                      <w:vertAlign w:val="baseline"/>
                      <w:lang w:val="en-US" w:eastAsia="zh-CN" w:bidi="ar-SA"/>
                    </w:rPr>
                  </w:pPr>
                </w:p>
              </w:tc>
              <w:tc>
                <w:tcPr>
                  <w:tcW w:w="1700" w:type="pct"/>
                  <w:tcBorders>
                    <w:tl2br w:val="nil"/>
                    <w:tr2bl w:val="nil"/>
                  </w:tcBorders>
                  <w:noWrap w:val="0"/>
                  <w:vAlign w:val="center"/>
                </w:tcPr>
                <w:p w14:paraId="140BD3C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主井工业场地厂界4#</w:t>
                  </w:r>
                </w:p>
              </w:tc>
              <w:tc>
                <w:tcPr>
                  <w:tcW w:w="704" w:type="pct"/>
                  <w:tcBorders>
                    <w:tl2br w:val="nil"/>
                    <w:tr2bl w:val="nil"/>
                  </w:tcBorders>
                  <w:noWrap w:val="0"/>
                  <w:vAlign w:val="center"/>
                </w:tcPr>
                <w:p w14:paraId="248064C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Leq</w:t>
                  </w:r>
                </w:p>
              </w:tc>
              <w:tc>
                <w:tcPr>
                  <w:tcW w:w="872" w:type="pct"/>
                  <w:tcBorders>
                    <w:tl2br w:val="nil"/>
                    <w:tr2bl w:val="nil"/>
                  </w:tcBorders>
                  <w:noWrap w:val="0"/>
                  <w:vAlign w:val="center"/>
                </w:tcPr>
                <w:p w14:paraId="5CA38EC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54.7</w:t>
                  </w:r>
                </w:p>
              </w:tc>
              <w:tc>
                <w:tcPr>
                  <w:tcW w:w="845" w:type="pct"/>
                  <w:tcBorders>
                    <w:tl2br w:val="nil"/>
                    <w:tr2bl w:val="nil"/>
                  </w:tcBorders>
                  <w:noWrap w:val="0"/>
                  <w:vAlign w:val="center"/>
                </w:tcPr>
                <w:p w14:paraId="7762273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41.3</w:t>
                  </w:r>
                </w:p>
              </w:tc>
            </w:tr>
            <w:tr w14:paraId="14EF1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877" w:type="pct"/>
                  <w:vMerge w:val="continue"/>
                  <w:tcBorders>
                    <w:tl2br w:val="nil"/>
                    <w:tr2bl w:val="nil"/>
                  </w:tcBorders>
                  <w:noWrap w:val="0"/>
                  <w:vAlign w:val="center"/>
                </w:tcPr>
                <w:p w14:paraId="03A31A7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color w:val="auto"/>
                      <w:kern w:val="2"/>
                      <w:sz w:val="21"/>
                      <w:szCs w:val="21"/>
                      <w:highlight w:val="none"/>
                      <w:vertAlign w:val="baseline"/>
                      <w:lang w:val="en-US" w:eastAsia="zh-CN" w:bidi="ar-SA"/>
                    </w:rPr>
                  </w:pPr>
                </w:p>
              </w:tc>
              <w:tc>
                <w:tcPr>
                  <w:tcW w:w="1700" w:type="pct"/>
                  <w:tcBorders>
                    <w:tl2br w:val="nil"/>
                    <w:tr2bl w:val="nil"/>
                  </w:tcBorders>
                  <w:noWrap w:val="0"/>
                  <w:vAlign w:val="center"/>
                </w:tcPr>
                <w:p w14:paraId="3EC9379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主井工业场地厂界5#</w:t>
                  </w:r>
                </w:p>
              </w:tc>
              <w:tc>
                <w:tcPr>
                  <w:tcW w:w="704" w:type="pct"/>
                  <w:tcBorders>
                    <w:tl2br w:val="nil"/>
                    <w:tr2bl w:val="nil"/>
                  </w:tcBorders>
                  <w:noWrap w:val="0"/>
                  <w:vAlign w:val="center"/>
                </w:tcPr>
                <w:p w14:paraId="5D29CD3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Leq</w:t>
                  </w:r>
                </w:p>
              </w:tc>
              <w:tc>
                <w:tcPr>
                  <w:tcW w:w="872" w:type="pct"/>
                  <w:tcBorders>
                    <w:tl2br w:val="nil"/>
                    <w:tr2bl w:val="nil"/>
                  </w:tcBorders>
                  <w:noWrap w:val="0"/>
                  <w:vAlign w:val="center"/>
                </w:tcPr>
                <w:p w14:paraId="35788AB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55.9</w:t>
                  </w:r>
                </w:p>
              </w:tc>
              <w:tc>
                <w:tcPr>
                  <w:tcW w:w="845" w:type="pct"/>
                  <w:tcBorders>
                    <w:tl2br w:val="nil"/>
                    <w:tr2bl w:val="nil"/>
                  </w:tcBorders>
                  <w:noWrap w:val="0"/>
                  <w:vAlign w:val="center"/>
                </w:tcPr>
                <w:p w14:paraId="357E94B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38.3</w:t>
                  </w:r>
                </w:p>
              </w:tc>
            </w:tr>
            <w:tr w14:paraId="52EEC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877" w:type="pct"/>
                  <w:vMerge w:val="continue"/>
                  <w:tcBorders>
                    <w:tl2br w:val="nil"/>
                    <w:tr2bl w:val="nil"/>
                  </w:tcBorders>
                  <w:noWrap w:val="0"/>
                  <w:vAlign w:val="center"/>
                </w:tcPr>
                <w:p w14:paraId="5BF593C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color w:val="auto"/>
                      <w:kern w:val="2"/>
                      <w:sz w:val="21"/>
                      <w:szCs w:val="21"/>
                      <w:highlight w:val="none"/>
                      <w:vertAlign w:val="baseline"/>
                      <w:lang w:val="en-US" w:eastAsia="zh-CN" w:bidi="ar-SA"/>
                    </w:rPr>
                  </w:pPr>
                </w:p>
              </w:tc>
              <w:tc>
                <w:tcPr>
                  <w:tcW w:w="1700" w:type="pct"/>
                  <w:tcBorders>
                    <w:tl2br w:val="nil"/>
                    <w:tr2bl w:val="nil"/>
                  </w:tcBorders>
                  <w:noWrap w:val="0"/>
                  <w:vAlign w:val="center"/>
                </w:tcPr>
                <w:p w14:paraId="09CFF3B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主井工业场地厂界6#</w:t>
                  </w:r>
                </w:p>
              </w:tc>
              <w:tc>
                <w:tcPr>
                  <w:tcW w:w="704" w:type="pct"/>
                  <w:tcBorders>
                    <w:tl2br w:val="nil"/>
                    <w:tr2bl w:val="nil"/>
                  </w:tcBorders>
                  <w:noWrap w:val="0"/>
                  <w:vAlign w:val="center"/>
                </w:tcPr>
                <w:p w14:paraId="093FF42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Leq</w:t>
                  </w:r>
                </w:p>
              </w:tc>
              <w:tc>
                <w:tcPr>
                  <w:tcW w:w="872" w:type="pct"/>
                  <w:tcBorders>
                    <w:tl2br w:val="nil"/>
                    <w:tr2bl w:val="nil"/>
                  </w:tcBorders>
                  <w:noWrap w:val="0"/>
                  <w:vAlign w:val="center"/>
                </w:tcPr>
                <w:p w14:paraId="1DBA2AD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56.3</w:t>
                  </w:r>
                </w:p>
              </w:tc>
              <w:tc>
                <w:tcPr>
                  <w:tcW w:w="845" w:type="pct"/>
                  <w:tcBorders>
                    <w:tl2br w:val="nil"/>
                    <w:tr2bl w:val="nil"/>
                  </w:tcBorders>
                  <w:noWrap w:val="0"/>
                  <w:vAlign w:val="center"/>
                </w:tcPr>
                <w:p w14:paraId="093F7E8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40.1</w:t>
                  </w:r>
                </w:p>
              </w:tc>
            </w:tr>
            <w:tr w14:paraId="35AC3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877" w:type="pct"/>
                  <w:vMerge w:val="continue"/>
                  <w:tcBorders>
                    <w:tl2br w:val="nil"/>
                    <w:tr2bl w:val="nil"/>
                  </w:tcBorders>
                  <w:noWrap w:val="0"/>
                  <w:vAlign w:val="center"/>
                </w:tcPr>
                <w:p w14:paraId="4D22BDC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color w:val="auto"/>
                      <w:kern w:val="2"/>
                      <w:sz w:val="21"/>
                      <w:szCs w:val="21"/>
                      <w:highlight w:val="none"/>
                      <w:vertAlign w:val="baseline"/>
                      <w:lang w:val="en-US" w:eastAsia="zh-CN" w:bidi="ar-SA"/>
                    </w:rPr>
                  </w:pPr>
                </w:p>
              </w:tc>
              <w:tc>
                <w:tcPr>
                  <w:tcW w:w="1700" w:type="pct"/>
                  <w:tcBorders>
                    <w:tl2br w:val="nil"/>
                    <w:tr2bl w:val="nil"/>
                  </w:tcBorders>
                  <w:noWrap w:val="0"/>
                  <w:vAlign w:val="center"/>
                </w:tcPr>
                <w:p w14:paraId="5BE5B6B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主井工业场地厂界7#</w:t>
                  </w:r>
                </w:p>
              </w:tc>
              <w:tc>
                <w:tcPr>
                  <w:tcW w:w="704" w:type="pct"/>
                  <w:tcBorders>
                    <w:tl2br w:val="nil"/>
                    <w:tr2bl w:val="nil"/>
                  </w:tcBorders>
                  <w:noWrap w:val="0"/>
                  <w:vAlign w:val="center"/>
                </w:tcPr>
                <w:p w14:paraId="02CCB60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Leq</w:t>
                  </w:r>
                </w:p>
              </w:tc>
              <w:tc>
                <w:tcPr>
                  <w:tcW w:w="872" w:type="pct"/>
                  <w:tcBorders>
                    <w:tl2br w:val="nil"/>
                    <w:tr2bl w:val="nil"/>
                  </w:tcBorders>
                  <w:noWrap w:val="0"/>
                  <w:vAlign w:val="center"/>
                </w:tcPr>
                <w:p w14:paraId="5284BFE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57.5</w:t>
                  </w:r>
                </w:p>
              </w:tc>
              <w:tc>
                <w:tcPr>
                  <w:tcW w:w="845" w:type="pct"/>
                  <w:tcBorders>
                    <w:tl2br w:val="nil"/>
                    <w:tr2bl w:val="nil"/>
                  </w:tcBorders>
                  <w:noWrap w:val="0"/>
                  <w:vAlign w:val="center"/>
                </w:tcPr>
                <w:p w14:paraId="71082A2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42.0</w:t>
                  </w:r>
                </w:p>
              </w:tc>
            </w:tr>
            <w:tr w14:paraId="59313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877" w:type="pct"/>
                  <w:vMerge w:val="continue"/>
                  <w:tcBorders>
                    <w:tl2br w:val="nil"/>
                    <w:tr2bl w:val="nil"/>
                  </w:tcBorders>
                  <w:noWrap w:val="0"/>
                  <w:vAlign w:val="center"/>
                </w:tcPr>
                <w:p w14:paraId="552C8EA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color w:val="auto"/>
                      <w:kern w:val="2"/>
                      <w:sz w:val="21"/>
                      <w:szCs w:val="21"/>
                      <w:highlight w:val="none"/>
                      <w:vertAlign w:val="baseline"/>
                      <w:lang w:val="en-US" w:eastAsia="zh-CN" w:bidi="ar-SA"/>
                    </w:rPr>
                  </w:pPr>
                </w:p>
              </w:tc>
              <w:tc>
                <w:tcPr>
                  <w:tcW w:w="1700" w:type="pct"/>
                  <w:tcBorders>
                    <w:tl2br w:val="nil"/>
                    <w:tr2bl w:val="nil"/>
                  </w:tcBorders>
                  <w:noWrap w:val="0"/>
                  <w:vAlign w:val="center"/>
                </w:tcPr>
                <w:p w14:paraId="6F0C1C8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主井工业场地厂界8#</w:t>
                  </w:r>
                </w:p>
              </w:tc>
              <w:tc>
                <w:tcPr>
                  <w:tcW w:w="704" w:type="pct"/>
                  <w:tcBorders>
                    <w:tl2br w:val="nil"/>
                    <w:tr2bl w:val="nil"/>
                  </w:tcBorders>
                  <w:noWrap w:val="0"/>
                  <w:vAlign w:val="center"/>
                </w:tcPr>
                <w:p w14:paraId="5A84A08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Leq</w:t>
                  </w:r>
                </w:p>
              </w:tc>
              <w:tc>
                <w:tcPr>
                  <w:tcW w:w="872" w:type="pct"/>
                  <w:tcBorders>
                    <w:tl2br w:val="nil"/>
                    <w:tr2bl w:val="nil"/>
                  </w:tcBorders>
                  <w:noWrap w:val="0"/>
                  <w:vAlign w:val="center"/>
                </w:tcPr>
                <w:p w14:paraId="56CA445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55.5</w:t>
                  </w:r>
                </w:p>
              </w:tc>
              <w:tc>
                <w:tcPr>
                  <w:tcW w:w="845" w:type="pct"/>
                  <w:tcBorders>
                    <w:tl2br w:val="nil"/>
                    <w:tr2bl w:val="nil"/>
                  </w:tcBorders>
                  <w:noWrap w:val="0"/>
                  <w:vAlign w:val="center"/>
                </w:tcPr>
                <w:p w14:paraId="0759B24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38.3</w:t>
                  </w:r>
                </w:p>
              </w:tc>
            </w:tr>
            <w:tr w14:paraId="06DFB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877" w:type="pct"/>
                  <w:tcBorders>
                    <w:tl2br w:val="nil"/>
                    <w:tr2bl w:val="nil"/>
                  </w:tcBorders>
                  <w:noWrap w:val="0"/>
                  <w:vAlign w:val="center"/>
                </w:tcPr>
                <w:p w14:paraId="48970FC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标准值</w:t>
                  </w:r>
                </w:p>
              </w:tc>
              <w:tc>
                <w:tcPr>
                  <w:tcW w:w="1700" w:type="pct"/>
                  <w:tcBorders>
                    <w:tl2br w:val="nil"/>
                    <w:tr2bl w:val="nil"/>
                  </w:tcBorders>
                  <w:noWrap w:val="0"/>
                  <w:vAlign w:val="center"/>
                </w:tcPr>
                <w:p w14:paraId="2AD4DBA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w:t>
                  </w:r>
                </w:p>
              </w:tc>
              <w:tc>
                <w:tcPr>
                  <w:tcW w:w="704" w:type="pct"/>
                  <w:tcBorders>
                    <w:tl2br w:val="nil"/>
                    <w:tr2bl w:val="nil"/>
                  </w:tcBorders>
                  <w:noWrap w:val="0"/>
                  <w:vAlign w:val="center"/>
                </w:tcPr>
                <w:p w14:paraId="47FB4B6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w:t>
                  </w:r>
                </w:p>
              </w:tc>
              <w:tc>
                <w:tcPr>
                  <w:tcW w:w="872" w:type="pct"/>
                  <w:tcBorders>
                    <w:tl2br w:val="nil"/>
                    <w:tr2bl w:val="nil"/>
                  </w:tcBorders>
                  <w:noWrap w:val="0"/>
                  <w:vAlign w:val="center"/>
                </w:tcPr>
                <w:p w14:paraId="76904EC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60</w:t>
                  </w:r>
                </w:p>
              </w:tc>
              <w:tc>
                <w:tcPr>
                  <w:tcW w:w="845" w:type="pct"/>
                  <w:tcBorders>
                    <w:tl2br w:val="nil"/>
                    <w:tr2bl w:val="nil"/>
                  </w:tcBorders>
                  <w:noWrap w:val="0"/>
                  <w:vAlign w:val="center"/>
                </w:tcPr>
                <w:p w14:paraId="47A5092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50</w:t>
                  </w:r>
                </w:p>
              </w:tc>
            </w:tr>
          </w:tbl>
          <w:p w14:paraId="0D3CF162">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eastAsia="宋体" w:cs="Times New Roman"/>
                <w:bCs/>
                <w:color w:val="auto"/>
                <w:spacing w:val="0"/>
                <w:sz w:val="24"/>
                <w:szCs w:val="24"/>
                <w:highlight w:val="none"/>
                <w:lang w:val="en-US" w:eastAsia="zh-CN"/>
              </w:rPr>
            </w:pPr>
            <w:r>
              <w:rPr>
                <w:rFonts w:hint="eastAsia" w:ascii="Times New Roman" w:hAnsi="Times New Roman" w:eastAsia="宋体" w:cs="Times New Roman"/>
                <w:bCs/>
                <w:color w:val="auto"/>
                <w:spacing w:val="0"/>
                <w:sz w:val="24"/>
                <w:szCs w:val="24"/>
                <w:highlight w:val="none"/>
                <w:lang w:val="en-US" w:eastAsia="zh-CN"/>
              </w:rPr>
              <w:t>根据监测结果可知，主井工业场地厂界噪声监测结果均符合《工业企业厂界环境噪声排放标准》（GB12348-2008）中的标准限值要求。</w:t>
            </w:r>
          </w:p>
          <w:p w14:paraId="5D86F15F">
            <w:pPr>
              <w:keepNext w:val="0"/>
              <w:keepLines w:val="0"/>
              <w:pageBreakBefore w:val="0"/>
              <w:widowControl w:val="0"/>
              <w:kinsoku/>
              <w:wordWrap/>
              <w:overflowPunct/>
              <w:topLinePunct w:val="0"/>
              <w:autoSpaceDE w:val="0"/>
              <w:autoSpaceDN w:val="0"/>
              <w:bidi w:val="0"/>
              <w:adjustRightInd w:val="0"/>
              <w:snapToGrid w:val="0"/>
              <w:spacing w:line="480" w:lineRule="exact"/>
              <w:ind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2.1</w:t>
            </w:r>
            <w:r>
              <w:rPr>
                <w:rFonts w:hint="eastAsia" w:cs="Times New Roman"/>
                <w:b/>
                <w:bCs/>
                <w:color w:val="auto"/>
                <w:sz w:val="24"/>
                <w:szCs w:val="24"/>
                <w:highlight w:val="none"/>
                <w:lang w:val="en-US" w:eastAsia="zh-CN"/>
              </w:rPr>
              <w:t>2 现有工程存在的环境问题</w:t>
            </w:r>
          </w:p>
          <w:p w14:paraId="4344E6A8">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eastAsia="宋体" w:cs="Times New Roman"/>
                <w:bCs/>
                <w:color w:val="auto"/>
                <w:spacing w:val="0"/>
                <w:sz w:val="24"/>
                <w:szCs w:val="24"/>
                <w:highlight w:val="none"/>
                <w:lang w:val="en-US" w:eastAsia="zh-CN"/>
              </w:rPr>
            </w:pPr>
            <w:r>
              <w:rPr>
                <w:rFonts w:hint="eastAsia" w:ascii="Times New Roman" w:hAnsi="Times New Roman" w:eastAsia="宋体" w:cs="Times New Roman"/>
                <w:bCs/>
                <w:color w:val="auto"/>
                <w:spacing w:val="0"/>
                <w:sz w:val="24"/>
                <w:szCs w:val="24"/>
                <w:highlight w:val="none"/>
                <w:lang w:val="en-US" w:eastAsia="zh-CN"/>
              </w:rPr>
              <w:t>无。</w:t>
            </w:r>
          </w:p>
          <w:p w14:paraId="747F829E">
            <w:pPr>
              <w:rPr>
                <w:rFonts w:hint="default"/>
                <w:color w:val="auto"/>
                <w:lang w:val="en-US" w:eastAsia="zh-CN"/>
              </w:rPr>
            </w:pPr>
          </w:p>
          <w:p w14:paraId="6CB85838">
            <w:pPr>
              <w:rPr>
                <w:rFonts w:hint="default"/>
                <w:color w:val="auto"/>
                <w:lang w:val="en-US" w:eastAsia="zh-CN"/>
              </w:rPr>
            </w:pPr>
          </w:p>
          <w:p w14:paraId="5673653B">
            <w:pPr>
              <w:rPr>
                <w:rFonts w:hint="default"/>
                <w:color w:val="auto"/>
                <w:lang w:val="en-US" w:eastAsia="zh-CN"/>
              </w:rPr>
            </w:pPr>
          </w:p>
          <w:p w14:paraId="08A4389E">
            <w:pPr>
              <w:rPr>
                <w:rFonts w:hint="default"/>
                <w:color w:val="auto"/>
                <w:lang w:val="en-US" w:eastAsia="zh-CN"/>
              </w:rPr>
            </w:pPr>
          </w:p>
          <w:p w14:paraId="3EA2F065">
            <w:pPr>
              <w:rPr>
                <w:rFonts w:hint="default"/>
                <w:color w:val="auto"/>
                <w:lang w:val="en-US" w:eastAsia="zh-CN"/>
              </w:rPr>
            </w:pPr>
          </w:p>
          <w:p w14:paraId="02987E59">
            <w:pPr>
              <w:rPr>
                <w:rFonts w:hint="default"/>
                <w:color w:val="auto"/>
                <w:lang w:val="en-US" w:eastAsia="zh-CN"/>
              </w:rPr>
            </w:pPr>
          </w:p>
          <w:p w14:paraId="194B2D70">
            <w:pPr>
              <w:rPr>
                <w:rFonts w:hint="default"/>
                <w:color w:val="auto"/>
                <w:lang w:val="en-US" w:eastAsia="zh-CN"/>
              </w:rPr>
            </w:pPr>
          </w:p>
          <w:p w14:paraId="614947EF">
            <w:pPr>
              <w:rPr>
                <w:rFonts w:hint="default"/>
                <w:color w:val="auto"/>
                <w:lang w:val="en-US" w:eastAsia="zh-CN"/>
              </w:rPr>
            </w:pPr>
          </w:p>
          <w:p w14:paraId="61AF78F6">
            <w:pPr>
              <w:rPr>
                <w:rFonts w:hint="default"/>
                <w:color w:val="auto"/>
                <w:lang w:val="en-US" w:eastAsia="zh-CN"/>
              </w:rPr>
            </w:pPr>
          </w:p>
          <w:p w14:paraId="39289CAA">
            <w:pPr>
              <w:rPr>
                <w:rFonts w:hint="default"/>
                <w:color w:val="auto"/>
                <w:lang w:val="en-US" w:eastAsia="zh-CN"/>
              </w:rPr>
            </w:pPr>
          </w:p>
          <w:p w14:paraId="47CCC87A">
            <w:pPr>
              <w:rPr>
                <w:rFonts w:hint="default"/>
                <w:color w:val="auto"/>
                <w:lang w:val="en-US" w:eastAsia="zh-CN"/>
              </w:rPr>
            </w:pPr>
          </w:p>
          <w:p w14:paraId="7065E469">
            <w:pPr>
              <w:rPr>
                <w:rFonts w:hint="default"/>
                <w:color w:val="auto"/>
                <w:lang w:val="en-US" w:eastAsia="zh-CN"/>
              </w:rPr>
            </w:pPr>
          </w:p>
          <w:p w14:paraId="78C7BE17">
            <w:pPr>
              <w:rPr>
                <w:rFonts w:hint="default"/>
                <w:color w:val="auto"/>
                <w:lang w:val="en-US" w:eastAsia="zh-CN"/>
              </w:rPr>
            </w:pPr>
          </w:p>
          <w:p w14:paraId="1126DE98">
            <w:pPr>
              <w:rPr>
                <w:rFonts w:hint="default"/>
                <w:color w:val="auto"/>
                <w:lang w:val="en-US" w:eastAsia="zh-CN"/>
              </w:rPr>
            </w:pPr>
          </w:p>
          <w:p w14:paraId="07E6FEF2">
            <w:pPr>
              <w:rPr>
                <w:rFonts w:hint="default"/>
                <w:color w:val="auto"/>
                <w:lang w:val="en-US" w:eastAsia="zh-CN"/>
              </w:rPr>
            </w:pPr>
          </w:p>
          <w:p w14:paraId="40E154D6">
            <w:pPr>
              <w:rPr>
                <w:rFonts w:hint="default"/>
                <w:color w:val="auto"/>
                <w:lang w:val="en-US" w:eastAsia="zh-CN"/>
              </w:rPr>
            </w:pPr>
          </w:p>
          <w:p w14:paraId="13909D71">
            <w:pPr>
              <w:rPr>
                <w:rFonts w:hint="default"/>
                <w:color w:val="auto"/>
                <w:lang w:val="en-US" w:eastAsia="zh-CN"/>
              </w:rPr>
            </w:pPr>
          </w:p>
          <w:p w14:paraId="1748AD7B">
            <w:pPr>
              <w:rPr>
                <w:rFonts w:hint="default"/>
                <w:color w:val="auto"/>
                <w:lang w:val="en-US" w:eastAsia="zh-CN"/>
              </w:rPr>
            </w:pPr>
          </w:p>
          <w:p w14:paraId="720B24CE">
            <w:pPr>
              <w:rPr>
                <w:rFonts w:hint="default"/>
                <w:color w:val="auto"/>
                <w:lang w:val="en-US" w:eastAsia="zh-CN"/>
              </w:rPr>
            </w:pPr>
          </w:p>
          <w:p w14:paraId="4575DCC5">
            <w:pPr>
              <w:rPr>
                <w:rFonts w:hint="default"/>
                <w:color w:val="auto"/>
                <w:lang w:val="en-US" w:eastAsia="zh-CN"/>
              </w:rPr>
            </w:pPr>
          </w:p>
          <w:p w14:paraId="7093D9DB">
            <w:pPr>
              <w:rPr>
                <w:rFonts w:hint="default"/>
                <w:color w:val="auto"/>
                <w:lang w:val="en-US" w:eastAsia="zh-CN"/>
              </w:rPr>
            </w:pPr>
          </w:p>
          <w:p w14:paraId="470733C3">
            <w:pPr>
              <w:rPr>
                <w:rFonts w:hint="default"/>
                <w:color w:val="auto"/>
                <w:lang w:val="en-US" w:eastAsia="zh-CN"/>
              </w:rPr>
            </w:pPr>
          </w:p>
          <w:p w14:paraId="7F289982">
            <w:pPr>
              <w:rPr>
                <w:rFonts w:hint="default"/>
                <w:color w:val="auto"/>
                <w:lang w:val="en-US" w:eastAsia="zh-CN"/>
              </w:rPr>
            </w:pPr>
          </w:p>
          <w:p w14:paraId="214335EC">
            <w:pPr>
              <w:rPr>
                <w:rFonts w:hint="default"/>
                <w:color w:val="auto"/>
                <w:lang w:val="en-US" w:eastAsia="zh-CN"/>
              </w:rPr>
            </w:pPr>
          </w:p>
          <w:p w14:paraId="67936C21">
            <w:pPr>
              <w:rPr>
                <w:rFonts w:hint="default"/>
                <w:color w:val="auto"/>
                <w:lang w:val="en-US" w:eastAsia="zh-CN"/>
              </w:rPr>
            </w:pPr>
          </w:p>
          <w:p w14:paraId="2BD5E626">
            <w:pPr>
              <w:rPr>
                <w:rFonts w:hint="default"/>
                <w:color w:val="auto"/>
                <w:lang w:val="en-US" w:eastAsia="zh-CN"/>
              </w:rPr>
            </w:pPr>
          </w:p>
          <w:p w14:paraId="466FF968">
            <w:pPr>
              <w:rPr>
                <w:rFonts w:hint="default"/>
                <w:color w:val="auto"/>
                <w:lang w:val="en-US" w:eastAsia="zh-CN"/>
              </w:rPr>
            </w:pPr>
          </w:p>
          <w:p w14:paraId="4CEF2755">
            <w:pPr>
              <w:rPr>
                <w:rFonts w:hint="default"/>
                <w:color w:val="auto"/>
                <w:lang w:val="en-US" w:eastAsia="zh-CN"/>
              </w:rPr>
            </w:pPr>
          </w:p>
          <w:p w14:paraId="37A318B5">
            <w:pPr>
              <w:rPr>
                <w:rFonts w:hint="default"/>
                <w:color w:val="auto"/>
                <w:lang w:val="en-US" w:eastAsia="zh-CN"/>
              </w:rPr>
            </w:pPr>
          </w:p>
          <w:p w14:paraId="673D4A23">
            <w:pPr>
              <w:rPr>
                <w:rFonts w:hint="default"/>
                <w:color w:val="auto"/>
                <w:lang w:val="en-US" w:eastAsia="zh-CN"/>
              </w:rPr>
            </w:pPr>
          </w:p>
          <w:p w14:paraId="5CE91F36">
            <w:pPr>
              <w:rPr>
                <w:rFonts w:hint="default"/>
                <w:color w:val="auto"/>
                <w:lang w:val="en-US" w:eastAsia="zh-CN"/>
              </w:rPr>
            </w:pPr>
          </w:p>
          <w:p w14:paraId="06FCA721">
            <w:pPr>
              <w:rPr>
                <w:rFonts w:hint="default"/>
                <w:color w:val="auto"/>
                <w:lang w:val="en-US" w:eastAsia="zh-CN"/>
              </w:rPr>
            </w:pPr>
          </w:p>
          <w:p w14:paraId="04798315">
            <w:pPr>
              <w:rPr>
                <w:rFonts w:hint="default"/>
                <w:color w:val="auto"/>
                <w:lang w:val="en-US" w:eastAsia="zh-CN"/>
              </w:rPr>
            </w:pPr>
          </w:p>
          <w:p w14:paraId="6E373E0B">
            <w:pPr>
              <w:rPr>
                <w:rFonts w:hint="default"/>
                <w:color w:val="auto"/>
                <w:lang w:val="en-US" w:eastAsia="zh-CN"/>
              </w:rPr>
            </w:pPr>
          </w:p>
          <w:p w14:paraId="7D250A83">
            <w:pPr>
              <w:rPr>
                <w:rFonts w:hint="default"/>
                <w:color w:val="auto"/>
                <w:lang w:val="en-US" w:eastAsia="zh-CN"/>
              </w:rPr>
            </w:pPr>
          </w:p>
          <w:p w14:paraId="06EB6BB0">
            <w:pPr>
              <w:rPr>
                <w:rFonts w:hint="default"/>
                <w:color w:val="auto"/>
                <w:lang w:val="en-US" w:eastAsia="zh-CN"/>
              </w:rPr>
            </w:pPr>
          </w:p>
          <w:p w14:paraId="6CD0BBED">
            <w:pPr>
              <w:rPr>
                <w:rFonts w:hint="default"/>
                <w:color w:val="auto"/>
                <w:lang w:val="en-US" w:eastAsia="zh-CN"/>
              </w:rPr>
            </w:pPr>
          </w:p>
          <w:p w14:paraId="2AD6A652">
            <w:pPr>
              <w:rPr>
                <w:rFonts w:hint="default"/>
                <w:color w:val="auto"/>
                <w:lang w:val="en-US" w:eastAsia="zh-CN"/>
              </w:rPr>
            </w:pPr>
          </w:p>
          <w:p w14:paraId="04A021F1">
            <w:pPr>
              <w:rPr>
                <w:rFonts w:hint="default"/>
                <w:color w:val="auto"/>
                <w:lang w:val="en-US" w:eastAsia="zh-CN"/>
              </w:rPr>
            </w:pPr>
          </w:p>
        </w:tc>
      </w:tr>
    </w:tbl>
    <w:p w14:paraId="5FC221E8">
      <w:pPr>
        <w:pStyle w:val="19"/>
        <w:jc w:val="center"/>
        <w:outlineLvl w:val="0"/>
        <w:rPr>
          <w:rFonts w:hint="default" w:ascii="Times New Roman" w:hAnsi="Times New Roman" w:eastAsia="黑体" w:cs="Times New Roman"/>
          <w:snapToGrid w:val="0"/>
          <w:color w:val="auto"/>
          <w:sz w:val="30"/>
          <w:szCs w:val="30"/>
          <w:highlight w:val="none"/>
        </w:rPr>
        <w:sectPr>
          <w:pgSz w:w="11907" w:h="16840"/>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bookmarkStart w:id="5" w:name="_Toc3155"/>
    </w:p>
    <w:p w14:paraId="63473011">
      <w:pPr>
        <w:pStyle w:val="19"/>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eastAsia="黑体" w:cs="Times New Roman"/>
          <w:snapToGrid w:val="0"/>
          <w:color w:val="auto"/>
          <w:sz w:val="30"/>
          <w:szCs w:val="30"/>
          <w:highlight w:val="none"/>
        </w:rPr>
        <w:t>三、区域环境质量现状、环境保护目标及评价标准</w:t>
      </w:r>
      <w:bookmarkEnd w:id="5"/>
    </w:p>
    <w:tbl>
      <w:tblPr>
        <w:tblStyle w:val="2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0"/>
        <w:gridCol w:w="8190"/>
      </w:tblGrid>
      <w:tr w14:paraId="79EBC5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0" w:type="dxa"/>
            <w:vAlign w:val="center"/>
          </w:tcPr>
          <w:p w14:paraId="56B91B35">
            <w:pPr>
              <w:adjustRightInd w:val="0"/>
              <w:snapToGrid w:val="0"/>
              <w:jc w:val="center"/>
              <w:rPr>
                <w:rFonts w:hint="default" w:ascii="Times New Roman" w:hAnsi="Times New Roman" w:cs="Times New Roman"/>
                <w:color w:val="auto"/>
                <w:spacing w:val="0"/>
                <w:kern w:val="0"/>
                <w:position w:val="0"/>
                <w:szCs w:val="21"/>
                <w:highlight w:val="none"/>
              </w:rPr>
            </w:pPr>
            <w:r>
              <w:rPr>
                <w:rFonts w:hint="default" w:ascii="Times New Roman" w:hAnsi="Times New Roman" w:cs="Times New Roman"/>
                <w:color w:val="auto"/>
                <w:spacing w:val="0"/>
                <w:kern w:val="0"/>
                <w:position w:val="0"/>
                <w:szCs w:val="21"/>
                <w:highlight w:val="none"/>
              </w:rPr>
              <w:t>区域</w:t>
            </w:r>
          </w:p>
          <w:p w14:paraId="1E1FAF75">
            <w:pPr>
              <w:adjustRightInd w:val="0"/>
              <w:snapToGrid w:val="0"/>
              <w:jc w:val="center"/>
              <w:rPr>
                <w:rFonts w:hint="default" w:ascii="Times New Roman" w:hAnsi="Times New Roman" w:cs="Times New Roman"/>
                <w:color w:val="auto"/>
                <w:spacing w:val="0"/>
                <w:kern w:val="0"/>
                <w:position w:val="0"/>
                <w:szCs w:val="21"/>
                <w:highlight w:val="none"/>
              </w:rPr>
            </w:pPr>
            <w:r>
              <w:rPr>
                <w:rFonts w:hint="default" w:ascii="Times New Roman" w:hAnsi="Times New Roman" w:cs="Times New Roman"/>
                <w:color w:val="auto"/>
                <w:spacing w:val="0"/>
                <w:kern w:val="0"/>
                <w:position w:val="0"/>
                <w:szCs w:val="21"/>
                <w:highlight w:val="none"/>
              </w:rPr>
              <w:t>环境</w:t>
            </w:r>
          </w:p>
          <w:p w14:paraId="0DB21016">
            <w:pPr>
              <w:adjustRightInd w:val="0"/>
              <w:snapToGrid w:val="0"/>
              <w:jc w:val="center"/>
              <w:rPr>
                <w:rFonts w:hint="default" w:ascii="Times New Roman" w:hAnsi="Times New Roman" w:cs="Times New Roman"/>
                <w:color w:val="auto"/>
                <w:spacing w:val="0"/>
                <w:kern w:val="0"/>
                <w:position w:val="0"/>
                <w:szCs w:val="21"/>
                <w:highlight w:val="none"/>
              </w:rPr>
            </w:pPr>
            <w:r>
              <w:rPr>
                <w:rFonts w:hint="default" w:ascii="Times New Roman" w:hAnsi="Times New Roman" w:cs="Times New Roman"/>
                <w:color w:val="auto"/>
                <w:spacing w:val="0"/>
                <w:kern w:val="0"/>
                <w:position w:val="0"/>
                <w:szCs w:val="21"/>
                <w:highlight w:val="none"/>
              </w:rPr>
              <w:t>质量</w:t>
            </w:r>
          </w:p>
          <w:p w14:paraId="06309C96">
            <w:pPr>
              <w:adjustRightInd w:val="0"/>
              <w:snapToGrid w:val="0"/>
              <w:jc w:val="center"/>
              <w:rPr>
                <w:rFonts w:hint="default" w:ascii="Times New Roman" w:hAnsi="Times New Roman" w:cs="Times New Roman"/>
                <w:color w:val="auto"/>
                <w:spacing w:val="0"/>
                <w:kern w:val="0"/>
                <w:position w:val="0"/>
                <w:szCs w:val="21"/>
                <w:highlight w:val="none"/>
              </w:rPr>
            </w:pPr>
            <w:r>
              <w:rPr>
                <w:rFonts w:hint="default" w:ascii="Times New Roman" w:hAnsi="Times New Roman" w:cs="Times New Roman"/>
                <w:color w:val="auto"/>
                <w:spacing w:val="0"/>
                <w:kern w:val="0"/>
                <w:position w:val="0"/>
                <w:szCs w:val="21"/>
                <w:highlight w:val="none"/>
              </w:rPr>
              <w:t>现状</w:t>
            </w:r>
          </w:p>
        </w:tc>
        <w:tc>
          <w:tcPr>
            <w:tcW w:w="8190" w:type="dxa"/>
            <w:vAlign w:val="center"/>
          </w:tcPr>
          <w:p w14:paraId="417290DC">
            <w:pPr>
              <w:pStyle w:val="4"/>
              <w:keepNext/>
              <w:keepLines/>
              <w:pageBreakBefore w:val="0"/>
              <w:widowControl w:val="0"/>
              <w:kinsoku/>
              <w:wordWrap/>
              <w:overflowPunct/>
              <w:topLinePunct w:val="0"/>
              <w:autoSpaceDE/>
              <w:autoSpaceDN/>
              <w:bidi w:val="0"/>
              <w:adjustRightInd w:val="0"/>
              <w:snapToGrid w:val="0"/>
              <w:spacing w:before="0" w:line="480" w:lineRule="exact"/>
              <w:ind w:firstLine="482" w:firstLineChars="200"/>
              <w:jc w:val="both"/>
              <w:textAlignment w:val="auto"/>
              <w:rPr>
                <w:rFonts w:hint="default" w:ascii="Times New Roman" w:hAnsi="Times New Roman" w:eastAsia="宋体" w:cs="Times New Roman"/>
                <w:color w:val="auto"/>
                <w:spacing w:val="0"/>
                <w:position w:val="0"/>
                <w:sz w:val="24"/>
                <w:szCs w:val="24"/>
                <w:highlight w:val="none"/>
                <w:lang w:val="en-US" w:eastAsia="zh-CN"/>
              </w:rPr>
            </w:pPr>
            <w:r>
              <w:rPr>
                <w:rFonts w:hint="eastAsia" w:ascii="Times New Roman" w:hAnsi="Times New Roman" w:eastAsia="宋体" w:cs="Times New Roman"/>
                <w:color w:val="auto"/>
                <w:spacing w:val="0"/>
                <w:position w:val="0"/>
                <w:sz w:val="24"/>
                <w:szCs w:val="24"/>
                <w:highlight w:val="none"/>
                <w:lang w:val="en-US" w:eastAsia="zh-CN"/>
              </w:rPr>
              <w:t>3.1 大气环境</w:t>
            </w:r>
          </w:p>
          <w:p w14:paraId="3DDBFE7B">
            <w:pPr>
              <w:pStyle w:val="4"/>
              <w:keepNext/>
              <w:keepLines/>
              <w:pageBreakBefore w:val="0"/>
              <w:widowControl w:val="0"/>
              <w:kinsoku/>
              <w:wordWrap/>
              <w:overflowPunct/>
              <w:topLinePunct w:val="0"/>
              <w:autoSpaceDE/>
              <w:autoSpaceDN/>
              <w:bidi w:val="0"/>
              <w:adjustRightInd w:val="0"/>
              <w:snapToGrid w:val="0"/>
              <w:spacing w:before="0" w:line="480" w:lineRule="exact"/>
              <w:ind w:firstLine="482" w:firstLineChars="200"/>
              <w:jc w:val="both"/>
              <w:textAlignment w:val="auto"/>
              <w:rPr>
                <w:rFonts w:hint="eastAsia" w:eastAsia="宋体" w:cs="Times New Roman"/>
                <w:color w:val="auto"/>
                <w:spacing w:val="0"/>
                <w:position w:val="0"/>
                <w:sz w:val="24"/>
                <w:szCs w:val="24"/>
                <w:highlight w:val="none"/>
                <w:lang w:val="en-US" w:eastAsia="zh-CN" w:bidi="ar-SA"/>
              </w:rPr>
            </w:pPr>
            <w:r>
              <w:rPr>
                <w:rFonts w:hint="eastAsia" w:eastAsia="宋体" w:cs="Times New Roman"/>
                <w:color w:val="auto"/>
                <w:spacing w:val="0"/>
                <w:position w:val="0"/>
                <w:sz w:val="24"/>
                <w:szCs w:val="24"/>
                <w:highlight w:val="none"/>
                <w:lang w:val="en-US" w:eastAsia="zh-CN" w:bidi="ar-SA"/>
              </w:rPr>
              <w:t>*</w:t>
            </w:r>
          </w:p>
          <w:p w14:paraId="7C4594DC">
            <w:pPr>
              <w:pStyle w:val="4"/>
              <w:keepNext/>
              <w:keepLines/>
              <w:pageBreakBefore w:val="0"/>
              <w:widowControl w:val="0"/>
              <w:kinsoku/>
              <w:wordWrap/>
              <w:overflowPunct/>
              <w:topLinePunct w:val="0"/>
              <w:autoSpaceDE/>
              <w:autoSpaceDN/>
              <w:bidi w:val="0"/>
              <w:adjustRightInd w:val="0"/>
              <w:snapToGrid w:val="0"/>
              <w:spacing w:before="0" w:line="480" w:lineRule="exact"/>
              <w:ind w:firstLine="482" w:firstLineChars="200"/>
              <w:jc w:val="both"/>
              <w:textAlignment w:val="auto"/>
              <w:rPr>
                <w:rFonts w:hint="default" w:ascii="Times New Roman" w:hAnsi="Times New Roman" w:eastAsia="宋体" w:cs="Times New Roman"/>
                <w:color w:val="auto"/>
                <w:spacing w:val="0"/>
                <w:position w:val="0"/>
                <w:sz w:val="24"/>
                <w:szCs w:val="24"/>
                <w:highlight w:val="none"/>
                <w:lang w:val="en-US" w:eastAsia="zh-CN"/>
              </w:rPr>
            </w:pPr>
            <w:r>
              <w:rPr>
                <w:rFonts w:hint="eastAsia" w:ascii="Times New Roman" w:hAnsi="Times New Roman" w:eastAsia="宋体" w:cs="Times New Roman"/>
                <w:color w:val="auto"/>
                <w:spacing w:val="0"/>
                <w:position w:val="0"/>
                <w:sz w:val="24"/>
                <w:szCs w:val="24"/>
                <w:highlight w:val="none"/>
                <w:lang w:val="en-US" w:eastAsia="zh-CN"/>
              </w:rPr>
              <w:t xml:space="preserve">3.4 </w:t>
            </w:r>
            <w:r>
              <w:rPr>
                <w:rFonts w:hint="default" w:ascii="Times New Roman" w:hAnsi="Times New Roman" w:eastAsia="宋体" w:cs="Times New Roman"/>
                <w:color w:val="auto"/>
                <w:spacing w:val="0"/>
                <w:position w:val="0"/>
                <w:sz w:val="24"/>
                <w:szCs w:val="24"/>
                <w:highlight w:val="none"/>
                <w:lang w:val="en-US" w:eastAsia="zh-CN"/>
              </w:rPr>
              <w:t>生态环境</w:t>
            </w:r>
          </w:p>
          <w:p w14:paraId="36A0E833">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pacing w:val="0"/>
                <w:kern w:val="0"/>
                <w:position w:val="0"/>
                <w:sz w:val="24"/>
                <w:szCs w:val="24"/>
                <w:highlight w:val="none"/>
                <w:lang w:val="en-US" w:eastAsia="zh-CN"/>
              </w:rPr>
            </w:pPr>
            <w:r>
              <w:rPr>
                <w:rFonts w:hint="default" w:ascii="Times New Roman" w:hAnsi="Times New Roman" w:eastAsia="宋体" w:cs="Times New Roman"/>
                <w:color w:val="auto"/>
                <w:spacing w:val="0"/>
                <w:position w:val="0"/>
                <w:sz w:val="24"/>
                <w:szCs w:val="24"/>
                <w:highlight w:val="none"/>
                <w:lang w:eastAsia="zh-CN"/>
              </w:rPr>
              <w:t>本项目在</w:t>
            </w:r>
            <w:r>
              <w:rPr>
                <w:rFonts w:hint="default" w:ascii="Times New Roman" w:hAnsi="Times New Roman" w:eastAsia="宋体" w:cs="Times New Roman"/>
                <w:color w:val="auto"/>
                <w:spacing w:val="0"/>
                <w:position w:val="0"/>
                <w:sz w:val="24"/>
                <w:szCs w:val="24"/>
                <w:highlight w:val="none"/>
                <w:lang w:val="en-US" w:eastAsia="zh-CN"/>
              </w:rPr>
              <w:t>赵庄煤业洗煤厂西南侧</w:t>
            </w:r>
            <w:r>
              <w:rPr>
                <w:rFonts w:hint="default" w:ascii="Times New Roman" w:hAnsi="Times New Roman" w:eastAsia="宋体" w:cs="Times New Roman"/>
                <w:color w:val="auto"/>
                <w:spacing w:val="0"/>
                <w:position w:val="0"/>
                <w:sz w:val="24"/>
                <w:szCs w:val="24"/>
                <w:highlight w:val="none"/>
                <w:lang w:eastAsia="zh-CN"/>
              </w:rPr>
              <w:t>进行建设，不新增占地，且经调查，</w:t>
            </w:r>
            <w:r>
              <w:rPr>
                <w:rFonts w:hint="default" w:ascii="Times New Roman" w:hAnsi="Times New Roman" w:eastAsia="宋体" w:cs="Times New Roman"/>
                <w:color w:val="auto"/>
                <w:spacing w:val="0"/>
                <w:position w:val="0"/>
                <w:sz w:val="24"/>
                <w:szCs w:val="24"/>
                <w:highlight w:val="none"/>
                <w:lang w:val="en-US" w:eastAsia="zh-CN"/>
              </w:rPr>
              <w:t>项目</w:t>
            </w:r>
            <w:r>
              <w:rPr>
                <w:rFonts w:hint="default" w:ascii="Times New Roman" w:hAnsi="Times New Roman" w:eastAsia="宋体" w:cs="Times New Roman"/>
                <w:color w:val="auto"/>
                <w:spacing w:val="0"/>
                <w:kern w:val="0"/>
                <w:position w:val="0"/>
                <w:sz w:val="24"/>
                <w:szCs w:val="24"/>
                <w:highlight w:val="none"/>
                <w:lang w:val="en-US" w:eastAsia="zh-CN"/>
              </w:rPr>
              <w:t>不涉及自然保护区、风景名胜区、水源地、特殊地下水资源保护区、森林公园等环境保护敏感目标。</w:t>
            </w:r>
          </w:p>
          <w:p w14:paraId="71E264EB">
            <w:pPr>
              <w:pStyle w:val="4"/>
              <w:keepNext/>
              <w:keepLines/>
              <w:pageBreakBefore w:val="0"/>
              <w:widowControl w:val="0"/>
              <w:kinsoku/>
              <w:wordWrap/>
              <w:overflowPunct/>
              <w:topLinePunct w:val="0"/>
              <w:autoSpaceDE/>
              <w:autoSpaceDN/>
              <w:bidi w:val="0"/>
              <w:adjustRightInd w:val="0"/>
              <w:snapToGrid w:val="0"/>
              <w:spacing w:before="0" w:beforeLines="0" w:line="480" w:lineRule="exact"/>
              <w:ind w:firstLine="482" w:firstLineChars="200"/>
              <w:jc w:val="both"/>
              <w:textAlignment w:val="auto"/>
              <w:rPr>
                <w:rFonts w:hint="eastAsia" w:ascii="Times New Roman" w:hAnsi="Times New Roman" w:eastAsia="宋体" w:cs="Times New Roman"/>
                <w:color w:val="auto"/>
                <w:spacing w:val="0"/>
                <w:position w:val="0"/>
                <w:sz w:val="24"/>
                <w:szCs w:val="24"/>
                <w:highlight w:val="none"/>
                <w:lang w:val="en-US" w:eastAsia="zh-CN"/>
              </w:rPr>
            </w:pPr>
            <w:r>
              <w:rPr>
                <w:rFonts w:hint="eastAsia" w:ascii="Times New Roman" w:hAnsi="Times New Roman" w:eastAsia="宋体" w:cs="Times New Roman"/>
                <w:color w:val="auto"/>
                <w:spacing w:val="0"/>
                <w:position w:val="0"/>
                <w:sz w:val="24"/>
                <w:szCs w:val="24"/>
                <w:highlight w:val="none"/>
                <w:lang w:val="en-US" w:eastAsia="zh-CN"/>
              </w:rPr>
              <w:t>3.5土壤、地下水环境</w:t>
            </w:r>
          </w:p>
          <w:p w14:paraId="0F7A1CC1">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pacing w:val="0"/>
                <w:kern w:val="0"/>
                <w:position w:val="0"/>
                <w:sz w:val="24"/>
                <w:szCs w:val="24"/>
                <w:highlight w:val="none"/>
                <w:lang w:val="en-US" w:eastAsia="zh-CN"/>
              </w:rPr>
            </w:pPr>
            <w:r>
              <w:rPr>
                <w:rFonts w:hint="eastAsia" w:ascii="Times New Roman" w:hAnsi="Times New Roman" w:eastAsia="宋体" w:cs="Times New Roman"/>
                <w:color w:val="auto"/>
                <w:sz w:val="24"/>
                <w:szCs w:val="24"/>
                <w:lang w:eastAsia="zh-CN"/>
              </w:rPr>
              <w:t>根据《建设项目环境影响报告表编制技术指南（污染影响类）》（试行）中要求：“原则上不开展地下水、土壤环境质量现状调查”，结合本项目厂界外500米范围内无地下水集中式饮用水水源和热水、矿泉水、温泉等</w:t>
            </w:r>
            <w:r>
              <w:rPr>
                <w:rFonts w:hint="eastAsia" w:ascii="Times New Roman" w:hAnsi="Times New Roman" w:eastAsia="宋体" w:cs="Times New Roman"/>
                <w:color w:val="auto"/>
                <w:sz w:val="24"/>
                <w:szCs w:val="24"/>
                <w:lang w:val="en-US" w:eastAsia="zh-CN"/>
              </w:rPr>
              <w:t>特殊地下水资源</w:t>
            </w:r>
            <w:r>
              <w:rPr>
                <w:rFonts w:hint="eastAsia" w:cs="Times New Roman"/>
                <w:color w:val="auto"/>
                <w:sz w:val="24"/>
                <w:szCs w:val="24"/>
                <w:lang w:val="en-US" w:eastAsia="zh-CN"/>
              </w:rPr>
              <w:t>，涉及农村分散式水源井</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本项目在正常生产及采取防渗措施情况下不存在地下水及土壤的污染途径，无需开展环境质量现状调查。</w:t>
            </w:r>
          </w:p>
        </w:tc>
      </w:tr>
      <w:tr w14:paraId="63B1CF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0" w:type="dxa"/>
            <w:vAlign w:val="center"/>
          </w:tcPr>
          <w:p w14:paraId="5D2C9D3B">
            <w:pPr>
              <w:adjustRightInd w:val="0"/>
              <w:snapToGrid w:val="0"/>
              <w:jc w:val="center"/>
              <w:rPr>
                <w:rFonts w:hint="default" w:ascii="Times New Roman" w:hAnsi="Times New Roman" w:cs="Times New Roman"/>
                <w:color w:val="auto"/>
                <w:spacing w:val="0"/>
                <w:kern w:val="0"/>
                <w:position w:val="0"/>
                <w:szCs w:val="21"/>
                <w:highlight w:val="none"/>
              </w:rPr>
            </w:pPr>
            <w:r>
              <w:rPr>
                <w:rFonts w:hint="default" w:ascii="Times New Roman" w:hAnsi="Times New Roman" w:cs="Times New Roman"/>
                <w:color w:val="auto"/>
                <w:spacing w:val="0"/>
                <w:kern w:val="0"/>
                <w:position w:val="0"/>
                <w:szCs w:val="21"/>
                <w:highlight w:val="none"/>
              </w:rPr>
              <w:t>环境</w:t>
            </w:r>
          </w:p>
          <w:p w14:paraId="7E66C763">
            <w:pPr>
              <w:adjustRightInd w:val="0"/>
              <w:snapToGrid w:val="0"/>
              <w:jc w:val="center"/>
              <w:rPr>
                <w:rFonts w:hint="default" w:ascii="Times New Roman" w:hAnsi="Times New Roman" w:cs="Times New Roman"/>
                <w:color w:val="auto"/>
                <w:spacing w:val="0"/>
                <w:kern w:val="0"/>
                <w:position w:val="0"/>
                <w:szCs w:val="21"/>
                <w:highlight w:val="none"/>
              </w:rPr>
            </w:pPr>
            <w:r>
              <w:rPr>
                <w:rFonts w:hint="default" w:ascii="Times New Roman" w:hAnsi="Times New Roman" w:cs="Times New Roman"/>
                <w:color w:val="auto"/>
                <w:spacing w:val="0"/>
                <w:kern w:val="0"/>
                <w:position w:val="0"/>
                <w:szCs w:val="21"/>
                <w:highlight w:val="none"/>
              </w:rPr>
              <w:t>保护</w:t>
            </w:r>
          </w:p>
          <w:p w14:paraId="203E8B06">
            <w:pPr>
              <w:adjustRightInd w:val="0"/>
              <w:snapToGrid w:val="0"/>
              <w:jc w:val="center"/>
              <w:rPr>
                <w:rFonts w:hint="default" w:ascii="Times New Roman" w:hAnsi="Times New Roman" w:cs="Times New Roman"/>
                <w:color w:val="auto"/>
                <w:spacing w:val="0"/>
                <w:kern w:val="0"/>
                <w:position w:val="0"/>
                <w:szCs w:val="21"/>
                <w:highlight w:val="none"/>
              </w:rPr>
            </w:pPr>
            <w:r>
              <w:rPr>
                <w:rFonts w:hint="default" w:ascii="Times New Roman" w:hAnsi="Times New Roman" w:cs="Times New Roman"/>
                <w:color w:val="auto"/>
                <w:spacing w:val="0"/>
                <w:kern w:val="0"/>
                <w:position w:val="0"/>
                <w:szCs w:val="21"/>
                <w:highlight w:val="none"/>
              </w:rPr>
              <w:t>目标</w:t>
            </w:r>
          </w:p>
        </w:tc>
        <w:tc>
          <w:tcPr>
            <w:tcW w:w="8190" w:type="dxa"/>
            <w:vAlign w:val="center"/>
          </w:tcPr>
          <w:p w14:paraId="31FF8129">
            <w:pPr>
              <w:keepNext w:val="0"/>
              <w:keepLines w:val="0"/>
              <w:pageBreakBefore w:val="0"/>
              <w:widowControl w:val="0"/>
              <w:kinsoku/>
              <w:wordWrap/>
              <w:overflowPunct/>
              <w:topLinePunct w:val="0"/>
              <w:autoSpaceDE w:val="0"/>
              <w:autoSpaceDN w:val="0"/>
              <w:bidi w:val="0"/>
              <w:adjustRightInd w:val="0"/>
              <w:snapToGrid w:val="0"/>
              <w:spacing w:line="480" w:lineRule="exact"/>
              <w:ind w:firstLine="482" w:firstLineChars="200"/>
              <w:jc w:val="both"/>
              <w:textAlignment w:val="auto"/>
              <w:rPr>
                <w:rFonts w:hint="default" w:ascii="Times New Roman" w:hAnsi="Times New Roman" w:eastAsia="宋体" w:cs="Times New Roman"/>
                <w:b/>
                <w:bCs/>
                <w:color w:val="auto"/>
                <w:spacing w:val="0"/>
                <w:kern w:val="0"/>
                <w:position w:val="0"/>
                <w:sz w:val="24"/>
                <w:szCs w:val="24"/>
                <w:highlight w:val="none"/>
                <w:lang w:val="en-US" w:eastAsia="zh-CN"/>
              </w:rPr>
            </w:pPr>
            <w:r>
              <w:rPr>
                <w:rFonts w:hint="eastAsia" w:ascii="Times New Roman" w:hAnsi="Times New Roman" w:eastAsia="宋体" w:cs="Times New Roman"/>
                <w:b/>
                <w:bCs/>
                <w:color w:val="auto"/>
                <w:spacing w:val="0"/>
                <w:kern w:val="0"/>
                <w:position w:val="0"/>
                <w:sz w:val="24"/>
                <w:szCs w:val="24"/>
                <w:highlight w:val="none"/>
                <w:lang w:val="en-US" w:eastAsia="zh-CN"/>
              </w:rPr>
              <w:t>3.</w:t>
            </w:r>
            <w:r>
              <w:rPr>
                <w:rFonts w:hint="eastAsia" w:cs="Times New Roman"/>
                <w:b/>
                <w:bCs/>
                <w:color w:val="auto"/>
                <w:spacing w:val="0"/>
                <w:kern w:val="0"/>
                <w:position w:val="0"/>
                <w:sz w:val="24"/>
                <w:szCs w:val="24"/>
                <w:highlight w:val="none"/>
                <w:lang w:val="en-US" w:eastAsia="zh-CN"/>
              </w:rPr>
              <w:t>6</w:t>
            </w:r>
            <w:r>
              <w:rPr>
                <w:rFonts w:hint="eastAsia" w:ascii="Times New Roman" w:hAnsi="Times New Roman" w:eastAsia="宋体" w:cs="Times New Roman"/>
                <w:b/>
                <w:bCs/>
                <w:color w:val="auto"/>
                <w:spacing w:val="0"/>
                <w:kern w:val="0"/>
                <w:position w:val="0"/>
                <w:sz w:val="24"/>
                <w:szCs w:val="24"/>
                <w:highlight w:val="none"/>
                <w:lang w:val="en-US" w:eastAsia="zh-CN"/>
              </w:rPr>
              <w:t xml:space="preserve"> </w:t>
            </w:r>
            <w:r>
              <w:rPr>
                <w:rFonts w:hint="default" w:ascii="Times New Roman" w:hAnsi="Times New Roman" w:eastAsia="宋体" w:cs="Times New Roman"/>
                <w:b/>
                <w:bCs/>
                <w:color w:val="auto"/>
                <w:spacing w:val="0"/>
                <w:kern w:val="0"/>
                <w:position w:val="0"/>
                <w:sz w:val="24"/>
                <w:szCs w:val="24"/>
                <w:highlight w:val="none"/>
                <w:lang w:val="en-US" w:eastAsia="zh-CN"/>
              </w:rPr>
              <w:t>大气环境</w:t>
            </w:r>
          </w:p>
          <w:p w14:paraId="47D4B120">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pacing w:val="0"/>
                <w:kern w:val="0"/>
                <w:position w:val="0"/>
                <w:sz w:val="24"/>
                <w:szCs w:val="24"/>
                <w:highlight w:val="none"/>
                <w:lang w:val="en-US" w:eastAsia="zh-CN"/>
              </w:rPr>
            </w:pPr>
            <w:r>
              <w:rPr>
                <w:rFonts w:hint="default" w:ascii="Times New Roman" w:hAnsi="Times New Roman" w:eastAsia="宋体" w:cs="Times New Roman"/>
                <w:color w:val="auto"/>
                <w:spacing w:val="0"/>
                <w:kern w:val="0"/>
                <w:position w:val="0"/>
                <w:sz w:val="24"/>
                <w:szCs w:val="24"/>
                <w:highlight w:val="none"/>
                <w:lang w:val="en-US" w:eastAsia="zh-CN"/>
              </w:rPr>
              <w:t>根据调查，</w:t>
            </w:r>
            <w:r>
              <w:rPr>
                <w:rFonts w:hint="eastAsia" w:cs="Times New Roman"/>
                <w:color w:val="auto"/>
                <w:sz w:val="24"/>
                <w:highlight w:val="none"/>
                <w:lang w:val="en-US" w:eastAsia="zh-CN"/>
              </w:rPr>
              <w:t>工业场地</w:t>
            </w:r>
            <w:r>
              <w:rPr>
                <w:rFonts w:hint="default" w:ascii="Times New Roman" w:hAnsi="Times New Roman" w:eastAsia="宋体" w:cs="Times New Roman"/>
                <w:color w:val="auto"/>
                <w:spacing w:val="0"/>
                <w:kern w:val="0"/>
                <w:position w:val="0"/>
                <w:sz w:val="24"/>
                <w:szCs w:val="24"/>
                <w:highlight w:val="none"/>
                <w:lang w:val="en-US" w:eastAsia="zh-CN"/>
              </w:rPr>
              <w:t>厂界外500m范围内有</w:t>
            </w:r>
            <w:r>
              <w:rPr>
                <w:rFonts w:hint="eastAsia" w:cs="Times New Roman"/>
                <w:color w:val="auto"/>
                <w:spacing w:val="0"/>
                <w:kern w:val="0"/>
                <w:position w:val="0"/>
                <w:sz w:val="24"/>
                <w:szCs w:val="24"/>
                <w:highlight w:val="none"/>
                <w:lang w:val="en-US" w:eastAsia="zh-CN"/>
              </w:rPr>
              <w:t>崇瓦张村、南张店村、东范村、南郜村、崇南沟村、慈林春城</w:t>
            </w:r>
            <w:r>
              <w:rPr>
                <w:rFonts w:hint="default" w:ascii="Times New Roman" w:hAnsi="Times New Roman" w:eastAsia="宋体" w:cs="Times New Roman"/>
                <w:color w:val="auto"/>
                <w:spacing w:val="0"/>
                <w:kern w:val="0"/>
                <w:position w:val="0"/>
                <w:sz w:val="24"/>
                <w:szCs w:val="24"/>
                <w:highlight w:val="none"/>
                <w:lang w:val="en-US" w:eastAsia="zh-CN"/>
              </w:rPr>
              <w:t>。</w:t>
            </w:r>
          </w:p>
          <w:p w14:paraId="7AE237CD">
            <w:pPr>
              <w:keepNext w:val="0"/>
              <w:keepLines w:val="0"/>
              <w:pageBreakBefore w:val="0"/>
              <w:widowControl w:val="0"/>
              <w:kinsoku/>
              <w:wordWrap/>
              <w:overflowPunct/>
              <w:topLinePunct w:val="0"/>
              <w:autoSpaceDE w:val="0"/>
              <w:autoSpaceDN w:val="0"/>
              <w:bidi w:val="0"/>
              <w:adjustRightInd w:val="0"/>
              <w:snapToGrid w:val="0"/>
              <w:spacing w:line="480" w:lineRule="exact"/>
              <w:ind w:firstLine="482" w:firstLineChars="200"/>
              <w:jc w:val="both"/>
              <w:textAlignment w:val="auto"/>
              <w:rPr>
                <w:rFonts w:hint="default" w:ascii="Times New Roman" w:hAnsi="Times New Roman" w:eastAsia="宋体" w:cs="Times New Roman"/>
                <w:b/>
                <w:bCs/>
                <w:color w:val="auto"/>
                <w:spacing w:val="0"/>
                <w:kern w:val="0"/>
                <w:position w:val="0"/>
                <w:sz w:val="24"/>
                <w:szCs w:val="24"/>
                <w:highlight w:val="none"/>
                <w:lang w:val="en-US" w:eastAsia="zh-CN"/>
              </w:rPr>
            </w:pPr>
            <w:r>
              <w:rPr>
                <w:rFonts w:hint="eastAsia" w:ascii="Times New Roman" w:hAnsi="Times New Roman" w:eastAsia="宋体" w:cs="Times New Roman"/>
                <w:b/>
                <w:bCs/>
                <w:color w:val="auto"/>
                <w:spacing w:val="0"/>
                <w:kern w:val="0"/>
                <w:position w:val="0"/>
                <w:sz w:val="24"/>
                <w:szCs w:val="24"/>
                <w:highlight w:val="none"/>
                <w:lang w:val="en-US" w:eastAsia="zh-CN"/>
              </w:rPr>
              <w:t>3.</w:t>
            </w:r>
            <w:r>
              <w:rPr>
                <w:rFonts w:hint="eastAsia" w:cs="Times New Roman"/>
                <w:b/>
                <w:bCs/>
                <w:color w:val="auto"/>
                <w:spacing w:val="0"/>
                <w:kern w:val="0"/>
                <w:position w:val="0"/>
                <w:sz w:val="24"/>
                <w:szCs w:val="24"/>
                <w:highlight w:val="none"/>
                <w:lang w:val="en-US" w:eastAsia="zh-CN"/>
              </w:rPr>
              <w:t>7</w:t>
            </w:r>
            <w:r>
              <w:rPr>
                <w:rFonts w:hint="eastAsia" w:ascii="Times New Roman" w:hAnsi="Times New Roman" w:eastAsia="宋体" w:cs="Times New Roman"/>
                <w:b/>
                <w:bCs/>
                <w:color w:val="auto"/>
                <w:spacing w:val="0"/>
                <w:kern w:val="0"/>
                <w:position w:val="0"/>
                <w:sz w:val="24"/>
                <w:szCs w:val="24"/>
                <w:highlight w:val="none"/>
                <w:lang w:val="en-US" w:eastAsia="zh-CN"/>
              </w:rPr>
              <w:t xml:space="preserve"> </w:t>
            </w:r>
            <w:r>
              <w:rPr>
                <w:rFonts w:hint="default" w:ascii="Times New Roman" w:hAnsi="Times New Roman" w:eastAsia="宋体" w:cs="Times New Roman"/>
                <w:b/>
                <w:bCs/>
                <w:color w:val="auto"/>
                <w:spacing w:val="0"/>
                <w:kern w:val="0"/>
                <w:position w:val="0"/>
                <w:sz w:val="24"/>
                <w:szCs w:val="24"/>
                <w:highlight w:val="none"/>
                <w:lang w:val="en-US" w:eastAsia="zh-CN"/>
              </w:rPr>
              <w:t>声环境</w:t>
            </w:r>
          </w:p>
          <w:p w14:paraId="2AD37577">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pacing w:val="0"/>
                <w:kern w:val="0"/>
                <w:position w:val="0"/>
                <w:sz w:val="24"/>
                <w:szCs w:val="24"/>
                <w:highlight w:val="none"/>
                <w:lang w:val="en-US" w:eastAsia="zh-CN"/>
              </w:rPr>
            </w:pPr>
            <w:r>
              <w:rPr>
                <w:rFonts w:hint="eastAsia" w:cs="Times New Roman"/>
                <w:color w:val="auto"/>
                <w:sz w:val="24"/>
                <w:highlight w:val="none"/>
                <w:lang w:val="en-US" w:eastAsia="zh-CN"/>
              </w:rPr>
              <w:t>工业场地</w:t>
            </w:r>
            <w:r>
              <w:rPr>
                <w:rFonts w:hint="default" w:ascii="Times New Roman" w:hAnsi="Times New Roman" w:eastAsia="宋体" w:cs="Times New Roman"/>
                <w:color w:val="auto"/>
                <w:spacing w:val="0"/>
                <w:kern w:val="0"/>
                <w:position w:val="0"/>
                <w:sz w:val="24"/>
                <w:szCs w:val="24"/>
                <w:highlight w:val="none"/>
                <w:lang w:val="en-US" w:eastAsia="zh-CN"/>
              </w:rPr>
              <w:t>厂界外50m范围内声环境保护目标为</w:t>
            </w:r>
            <w:r>
              <w:rPr>
                <w:rFonts w:hint="eastAsia" w:cs="Times New Roman"/>
                <w:color w:val="auto"/>
                <w:spacing w:val="0"/>
                <w:kern w:val="0"/>
                <w:position w:val="0"/>
                <w:sz w:val="24"/>
                <w:szCs w:val="24"/>
                <w:highlight w:val="none"/>
                <w:lang w:val="en-US" w:eastAsia="zh-CN"/>
              </w:rPr>
              <w:t>崇瓦张村</w:t>
            </w:r>
            <w:r>
              <w:rPr>
                <w:rFonts w:hint="default" w:ascii="Times New Roman" w:hAnsi="Times New Roman" w:eastAsia="宋体" w:cs="Times New Roman"/>
                <w:color w:val="auto"/>
                <w:spacing w:val="0"/>
                <w:kern w:val="0"/>
                <w:position w:val="0"/>
                <w:sz w:val="24"/>
                <w:szCs w:val="24"/>
                <w:highlight w:val="none"/>
                <w:lang w:val="en-US" w:eastAsia="zh-CN"/>
              </w:rPr>
              <w:t>。</w:t>
            </w:r>
          </w:p>
          <w:p w14:paraId="54C40182">
            <w:pPr>
              <w:keepNext w:val="0"/>
              <w:keepLines w:val="0"/>
              <w:pageBreakBefore w:val="0"/>
              <w:widowControl w:val="0"/>
              <w:kinsoku/>
              <w:wordWrap/>
              <w:overflowPunct/>
              <w:topLinePunct w:val="0"/>
              <w:autoSpaceDE w:val="0"/>
              <w:autoSpaceDN w:val="0"/>
              <w:bidi w:val="0"/>
              <w:adjustRightInd w:val="0"/>
              <w:snapToGrid w:val="0"/>
              <w:spacing w:line="480" w:lineRule="exact"/>
              <w:ind w:firstLine="482" w:firstLineChars="200"/>
              <w:jc w:val="both"/>
              <w:textAlignment w:val="auto"/>
              <w:rPr>
                <w:rFonts w:hint="default" w:ascii="Times New Roman" w:hAnsi="Times New Roman" w:eastAsia="宋体" w:cs="Times New Roman"/>
                <w:b/>
                <w:bCs/>
                <w:color w:val="auto"/>
                <w:spacing w:val="0"/>
                <w:kern w:val="0"/>
                <w:position w:val="0"/>
                <w:sz w:val="24"/>
                <w:szCs w:val="24"/>
                <w:highlight w:val="none"/>
                <w:lang w:val="en-US" w:eastAsia="zh-CN"/>
              </w:rPr>
            </w:pPr>
            <w:r>
              <w:rPr>
                <w:rFonts w:hint="eastAsia" w:ascii="Times New Roman" w:hAnsi="Times New Roman" w:eastAsia="宋体" w:cs="Times New Roman"/>
                <w:b/>
                <w:bCs/>
                <w:color w:val="auto"/>
                <w:spacing w:val="0"/>
                <w:kern w:val="0"/>
                <w:position w:val="0"/>
                <w:sz w:val="24"/>
                <w:szCs w:val="24"/>
                <w:highlight w:val="none"/>
                <w:lang w:val="en-US" w:eastAsia="zh-CN"/>
              </w:rPr>
              <w:t>3.</w:t>
            </w:r>
            <w:r>
              <w:rPr>
                <w:rFonts w:hint="eastAsia" w:cs="Times New Roman"/>
                <w:b/>
                <w:bCs/>
                <w:color w:val="auto"/>
                <w:spacing w:val="0"/>
                <w:kern w:val="0"/>
                <w:position w:val="0"/>
                <w:sz w:val="24"/>
                <w:szCs w:val="24"/>
                <w:highlight w:val="none"/>
                <w:lang w:val="en-US" w:eastAsia="zh-CN"/>
              </w:rPr>
              <w:t>8</w:t>
            </w:r>
            <w:r>
              <w:rPr>
                <w:rFonts w:hint="eastAsia" w:ascii="Times New Roman" w:hAnsi="Times New Roman" w:eastAsia="宋体" w:cs="Times New Roman"/>
                <w:b/>
                <w:bCs/>
                <w:color w:val="auto"/>
                <w:spacing w:val="0"/>
                <w:kern w:val="0"/>
                <w:position w:val="0"/>
                <w:sz w:val="24"/>
                <w:szCs w:val="24"/>
                <w:highlight w:val="none"/>
                <w:lang w:val="en-US" w:eastAsia="zh-CN"/>
              </w:rPr>
              <w:t xml:space="preserve"> </w:t>
            </w:r>
            <w:r>
              <w:rPr>
                <w:rFonts w:hint="default" w:ascii="Times New Roman" w:hAnsi="Times New Roman" w:eastAsia="宋体" w:cs="Times New Roman"/>
                <w:b/>
                <w:bCs/>
                <w:color w:val="auto"/>
                <w:spacing w:val="0"/>
                <w:kern w:val="0"/>
                <w:position w:val="0"/>
                <w:sz w:val="24"/>
                <w:szCs w:val="24"/>
                <w:highlight w:val="none"/>
                <w:lang w:val="en-US" w:eastAsia="zh-CN"/>
              </w:rPr>
              <w:t>地下水环境</w:t>
            </w:r>
          </w:p>
          <w:p w14:paraId="746C925F">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pacing w:val="0"/>
                <w:kern w:val="0"/>
                <w:position w:val="0"/>
                <w:sz w:val="24"/>
                <w:szCs w:val="24"/>
                <w:highlight w:val="none"/>
                <w:lang w:val="en-US" w:eastAsia="zh-CN"/>
              </w:rPr>
            </w:pPr>
            <w:r>
              <w:rPr>
                <w:rFonts w:hint="eastAsia" w:cs="Times New Roman"/>
                <w:color w:val="auto"/>
                <w:sz w:val="24"/>
                <w:highlight w:val="none"/>
                <w:lang w:val="en-US" w:eastAsia="zh-CN"/>
              </w:rPr>
              <w:t>工业场地</w:t>
            </w:r>
            <w:r>
              <w:rPr>
                <w:rFonts w:hint="default" w:ascii="Times New Roman" w:hAnsi="Times New Roman" w:eastAsia="宋体" w:cs="Times New Roman"/>
                <w:color w:val="auto"/>
                <w:spacing w:val="0"/>
                <w:kern w:val="0"/>
                <w:position w:val="0"/>
                <w:sz w:val="24"/>
                <w:szCs w:val="24"/>
                <w:highlight w:val="none"/>
                <w:lang w:val="en-US" w:eastAsia="zh-CN"/>
              </w:rPr>
              <w:t>厂界外500m范围内无地下水集中式饮用水水源和热水、矿泉水、温泉等特殊地下水资源</w:t>
            </w:r>
            <w:r>
              <w:rPr>
                <w:rFonts w:hint="eastAsia" w:cs="Times New Roman"/>
                <w:color w:val="auto"/>
                <w:spacing w:val="0"/>
                <w:kern w:val="0"/>
                <w:position w:val="0"/>
                <w:sz w:val="24"/>
                <w:szCs w:val="24"/>
                <w:highlight w:val="none"/>
                <w:lang w:val="en-US" w:eastAsia="zh-CN"/>
              </w:rPr>
              <w:t>，涉及农村分散式水源井</w:t>
            </w:r>
            <w:r>
              <w:rPr>
                <w:rFonts w:hint="default" w:ascii="Times New Roman" w:hAnsi="Times New Roman" w:eastAsia="宋体" w:cs="Times New Roman"/>
                <w:color w:val="auto"/>
                <w:spacing w:val="0"/>
                <w:kern w:val="0"/>
                <w:position w:val="0"/>
                <w:sz w:val="24"/>
                <w:szCs w:val="24"/>
                <w:highlight w:val="none"/>
                <w:lang w:val="en-US" w:eastAsia="zh-CN"/>
              </w:rPr>
              <w:t>。</w:t>
            </w:r>
          </w:p>
          <w:p w14:paraId="7E5282B7">
            <w:pPr>
              <w:keepNext w:val="0"/>
              <w:keepLines w:val="0"/>
              <w:pageBreakBefore w:val="0"/>
              <w:widowControl w:val="0"/>
              <w:kinsoku/>
              <w:wordWrap/>
              <w:overflowPunct/>
              <w:topLinePunct w:val="0"/>
              <w:autoSpaceDE w:val="0"/>
              <w:autoSpaceDN w:val="0"/>
              <w:bidi w:val="0"/>
              <w:adjustRightInd w:val="0"/>
              <w:snapToGrid w:val="0"/>
              <w:spacing w:line="480" w:lineRule="exact"/>
              <w:ind w:firstLine="482" w:firstLineChars="200"/>
              <w:jc w:val="both"/>
              <w:textAlignment w:val="auto"/>
              <w:rPr>
                <w:rFonts w:hint="default" w:ascii="Times New Roman" w:hAnsi="Times New Roman" w:eastAsia="宋体" w:cs="Times New Roman"/>
                <w:b/>
                <w:bCs/>
                <w:color w:val="auto"/>
                <w:spacing w:val="0"/>
                <w:kern w:val="0"/>
                <w:position w:val="0"/>
                <w:sz w:val="24"/>
                <w:szCs w:val="24"/>
                <w:highlight w:val="none"/>
                <w:lang w:val="en-US" w:eastAsia="zh-CN"/>
              </w:rPr>
            </w:pPr>
            <w:r>
              <w:rPr>
                <w:rFonts w:hint="eastAsia" w:ascii="Times New Roman" w:hAnsi="Times New Roman" w:eastAsia="宋体" w:cs="Times New Roman"/>
                <w:b/>
                <w:bCs/>
                <w:color w:val="auto"/>
                <w:spacing w:val="0"/>
                <w:kern w:val="0"/>
                <w:position w:val="0"/>
                <w:sz w:val="24"/>
                <w:szCs w:val="24"/>
                <w:highlight w:val="none"/>
                <w:lang w:val="en-US" w:eastAsia="zh-CN"/>
              </w:rPr>
              <w:t>3.</w:t>
            </w:r>
            <w:r>
              <w:rPr>
                <w:rFonts w:hint="eastAsia" w:cs="Times New Roman"/>
                <w:b/>
                <w:bCs/>
                <w:color w:val="auto"/>
                <w:spacing w:val="0"/>
                <w:kern w:val="0"/>
                <w:position w:val="0"/>
                <w:sz w:val="24"/>
                <w:szCs w:val="24"/>
                <w:highlight w:val="none"/>
                <w:lang w:val="en-US" w:eastAsia="zh-CN"/>
              </w:rPr>
              <w:t>9</w:t>
            </w:r>
            <w:r>
              <w:rPr>
                <w:rFonts w:hint="eastAsia" w:ascii="Times New Roman" w:hAnsi="Times New Roman" w:eastAsia="宋体" w:cs="Times New Roman"/>
                <w:b/>
                <w:bCs/>
                <w:color w:val="auto"/>
                <w:spacing w:val="0"/>
                <w:kern w:val="0"/>
                <w:position w:val="0"/>
                <w:sz w:val="24"/>
                <w:szCs w:val="24"/>
                <w:highlight w:val="none"/>
                <w:lang w:val="en-US" w:eastAsia="zh-CN"/>
              </w:rPr>
              <w:t xml:space="preserve"> </w:t>
            </w:r>
            <w:r>
              <w:rPr>
                <w:rFonts w:hint="default" w:ascii="Times New Roman" w:hAnsi="Times New Roman" w:eastAsia="宋体" w:cs="Times New Roman"/>
                <w:b/>
                <w:bCs/>
                <w:color w:val="auto"/>
                <w:spacing w:val="0"/>
                <w:kern w:val="0"/>
                <w:position w:val="0"/>
                <w:sz w:val="24"/>
                <w:szCs w:val="24"/>
                <w:highlight w:val="none"/>
                <w:lang w:val="en-US" w:eastAsia="zh-CN"/>
              </w:rPr>
              <w:t>生态环境</w:t>
            </w:r>
          </w:p>
          <w:p w14:paraId="561F7D33">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eastAsia" w:ascii="Times New Roman" w:hAnsi="Times New Roman" w:eastAsia="宋体" w:cs="Times New Roman"/>
                <w:color w:val="auto"/>
                <w:spacing w:val="0"/>
                <w:kern w:val="0"/>
                <w:position w:val="0"/>
                <w:sz w:val="24"/>
                <w:szCs w:val="24"/>
                <w:highlight w:val="none"/>
                <w:lang w:val="en-US" w:eastAsia="zh-CN"/>
              </w:rPr>
            </w:pPr>
            <w:r>
              <w:rPr>
                <w:rFonts w:hint="default" w:ascii="Times New Roman" w:hAnsi="Times New Roman" w:eastAsia="宋体" w:cs="Times New Roman"/>
                <w:color w:val="auto"/>
                <w:spacing w:val="0"/>
                <w:kern w:val="0"/>
                <w:position w:val="0"/>
                <w:sz w:val="24"/>
                <w:szCs w:val="24"/>
                <w:highlight w:val="none"/>
                <w:lang w:val="en-US" w:eastAsia="zh-CN"/>
              </w:rPr>
              <w:t>项目不涉及自然保护区、风景名胜区、水源地、特殊地下水资源保护区、森林公园等环境保护敏感目标。</w:t>
            </w:r>
          </w:p>
          <w:p w14:paraId="3CCE7ECD">
            <w:pPr>
              <w:spacing w:line="480" w:lineRule="exact"/>
              <w:ind w:right="-40"/>
              <w:jc w:val="center"/>
              <w:rPr>
                <w:rFonts w:hint="default" w:ascii="Times New Roman" w:hAnsi="Times New Roman" w:eastAsia="黑体" w:cs="Times New Roman"/>
                <w:bCs/>
                <w:color w:val="auto"/>
                <w:spacing w:val="0"/>
                <w:position w:val="0"/>
                <w:sz w:val="21"/>
                <w:szCs w:val="21"/>
                <w:highlight w:val="none"/>
                <w:lang w:val="en-US" w:eastAsia="zh-CN"/>
              </w:rPr>
            </w:pPr>
          </w:p>
          <w:p w14:paraId="7BDADDC5">
            <w:pPr>
              <w:spacing w:line="480" w:lineRule="exact"/>
              <w:ind w:right="-40"/>
              <w:jc w:val="center"/>
              <w:rPr>
                <w:rFonts w:hint="default" w:ascii="Times New Roman" w:hAnsi="Times New Roman" w:eastAsia="黑体" w:cs="Times New Roman"/>
                <w:bCs/>
                <w:color w:val="auto"/>
                <w:spacing w:val="0"/>
                <w:position w:val="0"/>
                <w:sz w:val="21"/>
                <w:szCs w:val="21"/>
                <w:highlight w:val="none"/>
                <w:lang w:val="en-US" w:eastAsia="zh-CN"/>
              </w:rPr>
            </w:pPr>
          </w:p>
          <w:p w14:paraId="4E05802B">
            <w:pPr>
              <w:spacing w:line="480" w:lineRule="exact"/>
              <w:ind w:right="-40"/>
              <w:jc w:val="center"/>
              <w:rPr>
                <w:rFonts w:hint="default" w:ascii="Times New Roman" w:hAnsi="Times New Roman" w:eastAsia="黑体" w:cs="Times New Roman"/>
                <w:bCs/>
                <w:color w:val="auto"/>
                <w:spacing w:val="0"/>
                <w:position w:val="0"/>
                <w:sz w:val="21"/>
                <w:szCs w:val="21"/>
                <w:highlight w:val="none"/>
                <w:lang w:val="en-US" w:eastAsia="zh-CN"/>
              </w:rPr>
            </w:pPr>
            <w:r>
              <w:rPr>
                <w:rFonts w:hint="default" w:ascii="Times New Roman" w:hAnsi="Times New Roman" w:eastAsia="黑体" w:cs="Times New Roman"/>
                <w:bCs/>
                <w:color w:val="auto"/>
                <w:spacing w:val="0"/>
                <w:position w:val="0"/>
                <w:sz w:val="21"/>
                <w:szCs w:val="21"/>
                <w:highlight w:val="none"/>
                <w:lang w:val="en-US" w:eastAsia="zh-CN"/>
              </w:rPr>
              <w:t>表</w:t>
            </w:r>
            <w:r>
              <w:rPr>
                <w:rFonts w:hint="eastAsia" w:eastAsia="黑体" w:cs="Times New Roman"/>
                <w:bCs/>
                <w:color w:val="auto"/>
                <w:spacing w:val="0"/>
                <w:position w:val="0"/>
                <w:sz w:val="21"/>
                <w:szCs w:val="21"/>
                <w:highlight w:val="none"/>
                <w:lang w:val="en-US" w:eastAsia="zh-CN"/>
              </w:rPr>
              <w:t>3.9-1</w:t>
            </w:r>
            <w:r>
              <w:rPr>
                <w:rFonts w:hint="default" w:ascii="Times New Roman" w:hAnsi="Times New Roman" w:eastAsia="黑体" w:cs="Times New Roman"/>
                <w:bCs/>
                <w:color w:val="auto"/>
                <w:spacing w:val="0"/>
                <w:position w:val="0"/>
                <w:sz w:val="21"/>
                <w:szCs w:val="21"/>
                <w:highlight w:val="none"/>
                <w:lang w:val="en-US" w:eastAsia="zh-CN"/>
              </w:rPr>
              <w:t xml:space="preserve">  环境</w:t>
            </w:r>
            <w:r>
              <w:rPr>
                <w:rFonts w:hint="eastAsia" w:ascii="Times New Roman" w:hAnsi="Times New Roman" w:eastAsia="黑体" w:cs="Times New Roman"/>
                <w:bCs/>
                <w:color w:val="auto"/>
                <w:spacing w:val="0"/>
                <w:position w:val="0"/>
                <w:sz w:val="21"/>
                <w:szCs w:val="21"/>
                <w:highlight w:val="none"/>
                <w:lang w:val="en-US" w:eastAsia="zh-CN"/>
              </w:rPr>
              <w:t>保护</w:t>
            </w:r>
            <w:r>
              <w:rPr>
                <w:rFonts w:hint="default" w:ascii="Times New Roman" w:hAnsi="Times New Roman" w:eastAsia="黑体" w:cs="Times New Roman"/>
                <w:bCs/>
                <w:color w:val="auto"/>
                <w:spacing w:val="0"/>
                <w:position w:val="0"/>
                <w:sz w:val="21"/>
                <w:szCs w:val="21"/>
                <w:highlight w:val="none"/>
                <w:lang w:val="en-US" w:eastAsia="zh-CN"/>
              </w:rPr>
              <w:t>目标</w:t>
            </w:r>
            <w:r>
              <w:rPr>
                <w:rFonts w:hint="eastAsia" w:ascii="Times New Roman" w:hAnsi="Times New Roman" w:eastAsia="黑体" w:cs="Times New Roman"/>
                <w:bCs/>
                <w:color w:val="auto"/>
                <w:spacing w:val="0"/>
                <w:position w:val="0"/>
                <w:sz w:val="21"/>
                <w:szCs w:val="21"/>
                <w:highlight w:val="none"/>
                <w:lang w:val="en-US" w:eastAsia="zh-CN"/>
              </w:rPr>
              <w:t>表</w:t>
            </w:r>
          </w:p>
          <w:tbl>
            <w:tblPr>
              <w:tblStyle w:val="26"/>
              <w:tblW w:w="7937"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82"/>
              <w:gridCol w:w="1113"/>
              <w:gridCol w:w="1087"/>
              <w:gridCol w:w="813"/>
              <w:gridCol w:w="1025"/>
              <w:gridCol w:w="862"/>
              <w:gridCol w:w="750"/>
              <w:gridCol w:w="1505"/>
            </w:tblGrid>
            <w:tr w14:paraId="7E2B928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782" w:type="dxa"/>
                  <w:tcBorders>
                    <w:tl2br w:val="nil"/>
                    <w:tr2bl w:val="nil"/>
                  </w:tcBorders>
                  <w:vAlign w:val="center"/>
                </w:tcPr>
                <w:p w14:paraId="334263AB">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position w:val="0"/>
                      <w:sz w:val="21"/>
                      <w:szCs w:val="21"/>
                      <w:highlight w:val="none"/>
                      <w:lang w:val="en-US" w:eastAsia="zh-CN"/>
                    </w:rPr>
                  </w:pPr>
                  <w:r>
                    <w:rPr>
                      <w:rFonts w:hint="default" w:ascii="Times New Roman" w:hAnsi="Times New Roman" w:cs="Times New Roman"/>
                      <w:color w:val="auto"/>
                      <w:spacing w:val="0"/>
                      <w:position w:val="0"/>
                      <w:sz w:val="21"/>
                      <w:szCs w:val="21"/>
                      <w:highlight w:val="none"/>
                      <w:lang w:val="en-US" w:eastAsia="zh-CN"/>
                    </w:rPr>
                    <w:t>类别</w:t>
                  </w:r>
                </w:p>
              </w:tc>
              <w:tc>
                <w:tcPr>
                  <w:tcW w:w="1113" w:type="dxa"/>
                  <w:tcBorders>
                    <w:tl2br w:val="nil"/>
                    <w:tr2bl w:val="nil"/>
                  </w:tcBorders>
                  <w:vAlign w:val="center"/>
                </w:tcPr>
                <w:p w14:paraId="2AF4D848">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position w:val="0"/>
                      <w:sz w:val="21"/>
                      <w:szCs w:val="21"/>
                      <w:highlight w:val="none"/>
                      <w:lang w:val="en-US" w:eastAsia="zh-CN"/>
                    </w:rPr>
                  </w:pPr>
                  <w:r>
                    <w:rPr>
                      <w:rFonts w:hint="default" w:ascii="Times New Roman" w:hAnsi="Times New Roman" w:eastAsia="宋体" w:cs="Times New Roman"/>
                      <w:color w:val="auto"/>
                      <w:spacing w:val="0"/>
                      <w:position w:val="0"/>
                      <w:sz w:val="21"/>
                      <w:szCs w:val="21"/>
                      <w:highlight w:val="none"/>
                      <w:lang w:val="en-US" w:eastAsia="zh-CN"/>
                    </w:rPr>
                    <w:t>保护目标</w:t>
                  </w:r>
                </w:p>
              </w:tc>
              <w:tc>
                <w:tcPr>
                  <w:tcW w:w="1087" w:type="dxa"/>
                  <w:tcBorders>
                    <w:tl2br w:val="nil"/>
                    <w:tr2bl w:val="nil"/>
                  </w:tcBorders>
                  <w:vAlign w:val="center"/>
                </w:tcPr>
                <w:p w14:paraId="4C8BDABF">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default" w:ascii="Times New Roman" w:hAnsi="Times New Roman" w:eastAsia="宋体" w:cs="Times New Roman"/>
                      <w:color w:val="auto"/>
                      <w:spacing w:val="0"/>
                      <w:position w:val="0"/>
                      <w:sz w:val="21"/>
                      <w:szCs w:val="21"/>
                      <w:highlight w:val="none"/>
                      <w:lang w:val="en-US" w:eastAsia="zh-CN"/>
                    </w:rPr>
                    <w:t>方位（相对</w:t>
                  </w:r>
                  <w:r>
                    <w:rPr>
                      <w:rFonts w:hint="eastAsia" w:cs="Times New Roman"/>
                      <w:color w:val="auto"/>
                      <w:spacing w:val="0"/>
                      <w:position w:val="0"/>
                      <w:sz w:val="21"/>
                      <w:szCs w:val="21"/>
                      <w:highlight w:val="none"/>
                      <w:lang w:val="en-US" w:eastAsia="zh-CN"/>
                    </w:rPr>
                    <w:t>工业场地边界</w:t>
                  </w:r>
                  <w:r>
                    <w:rPr>
                      <w:rFonts w:hint="default" w:ascii="Times New Roman" w:hAnsi="Times New Roman" w:eastAsia="宋体" w:cs="Times New Roman"/>
                      <w:color w:val="auto"/>
                      <w:spacing w:val="0"/>
                      <w:position w:val="0"/>
                      <w:sz w:val="21"/>
                      <w:szCs w:val="21"/>
                      <w:highlight w:val="none"/>
                      <w:lang w:val="en-US" w:eastAsia="zh-CN"/>
                    </w:rPr>
                    <w:t>）</w:t>
                  </w:r>
                </w:p>
              </w:tc>
              <w:tc>
                <w:tcPr>
                  <w:tcW w:w="813" w:type="dxa"/>
                  <w:tcBorders>
                    <w:tl2br w:val="nil"/>
                    <w:tr2bl w:val="nil"/>
                  </w:tcBorders>
                  <w:vAlign w:val="center"/>
                </w:tcPr>
                <w:p w14:paraId="4D3B0373">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default" w:ascii="Times New Roman" w:hAnsi="Times New Roman" w:eastAsia="宋体" w:cs="Times New Roman"/>
                      <w:color w:val="auto"/>
                      <w:spacing w:val="0"/>
                      <w:position w:val="0"/>
                      <w:sz w:val="21"/>
                      <w:szCs w:val="21"/>
                      <w:highlight w:val="none"/>
                      <w:lang w:val="en-US" w:eastAsia="zh-CN"/>
                    </w:rPr>
                    <w:t>距离（km）</w:t>
                  </w:r>
                </w:p>
              </w:tc>
              <w:tc>
                <w:tcPr>
                  <w:tcW w:w="1025" w:type="dxa"/>
                  <w:tcBorders>
                    <w:tl2br w:val="nil"/>
                    <w:tr2bl w:val="nil"/>
                  </w:tcBorders>
                  <w:vAlign w:val="center"/>
                </w:tcPr>
                <w:p w14:paraId="27471248">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default" w:ascii="Times New Roman" w:hAnsi="Times New Roman" w:eastAsia="宋体" w:cs="Times New Roman"/>
                      <w:color w:val="auto"/>
                      <w:spacing w:val="0"/>
                      <w:position w:val="0"/>
                      <w:sz w:val="21"/>
                      <w:szCs w:val="21"/>
                      <w:highlight w:val="none"/>
                      <w:lang w:val="en-US" w:eastAsia="zh-CN"/>
                    </w:rPr>
                    <w:t>方位（相对</w:t>
                  </w:r>
                  <w:r>
                    <w:rPr>
                      <w:rFonts w:hint="eastAsia" w:cs="Times New Roman"/>
                      <w:color w:val="auto"/>
                      <w:spacing w:val="0"/>
                      <w:position w:val="0"/>
                      <w:sz w:val="21"/>
                      <w:szCs w:val="21"/>
                      <w:highlight w:val="none"/>
                      <w:lang w:val="en-US" w:eastAsia="zh-CN"/>
                    </w:rPr>
                    <w:t>本项目边界</w:t>
                  </w:r>
                  <w:r>
                    <w:rPr>
                      <w:rFonts w:hint="default" w:ascii="Times New Roman" w:hAnsi="Times New Roman" w:eastAsia="宋体" w:cs="Times New Roman"/>
                      <w:color w:val="auto"/>
                      <w:spacing w:val="0"/>
                      <w:position w:val="0"/>
                      <w:sz w:val="21"/>
                      <w:szCs w:val="21"/>
                      <w:highlight w:val="none"/>
                      <w:lang w:val="en-US" w:eastAsia="zh-CN"/>
                    </w:rPr>
                    <w:t>）</w:t>
                  </w:r>
                </w:p>
              </w:tc>
              <w:tc>
                <w:tcPr>
                  <w:tcW w:w="862" w:type="dxa"/>
                  <w:tcBorders>
                    <w:tl2br w:val="nil"/>
                    <w:tr2bl w:val="nil"/>
                  </w:tcBorders>
                  <w:vAlign w:val="center"/>
                </w:tcPr>
                <w:p w14:paraId="0FFB53EF">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position w:val="0"/>
                      <w:sz w:val="21"/>
                      <w:szCs w:val="21"/>
                      <w:highlight w:val="none"/>
                      <w:lang w:val="en-US" w:eastAsia="zh-CN"/>
                    </w:rPr>
                  </w:pPr>
                  <w:r>
                    <w:rPr>
                      <w:rFonts w:hint="default" w:ascii="Times New Roman" w:hAnsi="Times New Roman" w:eastAsia="宋体" w:cs="Times New Roman"/>
                      <w:color w:val="auto"/>
                      <w:spacing w:val="0"/>
                      <w:position w:val="0"/>
                      <w:sz w:val="21"/>
                      <w:szCs w:val="21"/>
                      <w:highlight w:val="none"/>
                      <w:lang w:val="en-US" w:eastAsia="zh-CN"/>
                    </w:rPr>
                    <w:t>距离（km）</w:t>
                  </w:r>
                </w:p>
              </w:tc>
              <w:tc>
                <w:tcPr>
                  <w:tcW w:w="750" w:type="dxa"/>
                  <w:tcBorders>
                    <w:tl2br w:val="nil"/>
                    <w:tr2bl w:val="nil"/>
                  </w:tcBorders>
                  <w:vAlign w:val="center"/>
                </w:tcPr>
                <w:p w14:paraId="61E0EB0E">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position w:val="0"/>
                      <w:sz w:val="21"/>
                      <w:szCs w:val="21"/>
                      <w:highlight w:val="none"/>
                      <w:lang w:val="en-US" w:eastAsia="zh-CN"/>
                    </w:rPr>
                  </w:pPr>
                  <w:r>
                    <w:rPr>
                      <w:rFonts w:hint="default" w:ascii="Times New Roman" w:hAnsi="Times New Roman" w:eastAsia="宋体" w:cs="Times New Roman"/>
                      <w:color w:val="auto"/>
                      <w:spacing w:val="0"/>
                      <w:position w:val="0"/>
                      <w:sz w:val="21"/>
                      <w:szCs w:val="21"/>
                      <w:highlight w:val="none"/>
                      <w:lang w:val="en-US" w:eastAsia="zh-CN"/>
                    </w:rPr>
                    <w:t>保护</w:t>
                  </w:r>
                  <w:r>
                    <w:rPr>
                      <w:rFonts w:hint="eastAsia" w:ascii="Times New Roman" w:hAnsi="Times New Roman" w:eastAsia="宋体" w:cs="Times New Roman"/>
                      <w:color w:val="auto"/>
                      <w:spacing w:val="0"/>
                      <w:position w:val="0"/>
                      <w:sz w:val="21"/>
                      <w:szCs w:val="21"/>
                      <w:highlight w:val="none"/>
                      <w:lang w:val="en-US" w:eastAsia="zh-CN"/>
                    </w:rPr>
                    <w:t>内容</w:t>
                  </w:r>
                </w:p>
              </w:tc>
              <w:tc>
                <w:tcPr>
                  <w:tcW w:w="1505" w:type="dxa"/>
                  <w:tcBorders>
                    <w:tl2br w:val="nil"/>
                    <w:tr2bl w:val="nil"/>
                  </w:tcBorders>
                  <w:vAlign w:val="center"/>
                </w:tcPr>
                <w:p w14:paraId="62CF372A">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default" w:ascii="Times New Roman" w:hAnsi="Times New Roman" w:eastAsia="宋体" w:cs="Times New Roman"/>
                      <w:color w:val="auto"/>
                      <w:spacing w:val="0"/>
                      <w:position w:val="0"/>
                      <w:sz w:val="21"/>
                      <w:szCs w:val="21"/>
                      <w:highlight w:val="none"/>
                      <w:lang w:val="en-US" w:eastAsia="zh-CN"/>
                    </w:rPr>
                    <w:t>保护级别</w:t>
                  </w:r>
                </w:p>
              </w:tc>
            </w:tr>
            <w:tr w14:paraId="027FB84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782" w:type="dxa"/>
                  <w:vMerge w:val="restart"/>
                  <w:tcBorders>
                    <w:tl2br w:val="nil"/>
                    <w:tr2bl w:val="nil"/>
                  </w:tcBorders>
                  <w:vAlign w:val="center"/>
                </w:tcPr>
                <w:p w14:paraId="05935B5B">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position w:val="0"/>
                      <w:sz w:val="21"/>
                      <w:szCs w:val="21"/>
                      <w:highlight w:val="none"/>
                      <w:lang w:val="en-US" w:eastAsia="zh-CN"/>
                    </w:rPr>
                  </w:pPr>
                  <w:r>
                    <w:rPr>
                      <w:rFonts w:hint="default" w:ascii="Times New Roman" w:hAnsi="Times New Roman" w:cs="Times New Roman"/>
                      <w:color w:val="auto"/>
                      <w:spacing w:val="0"/>
                      <w:position w:val="0"/>
                      <w:sz w:val="21"/>
                      <w:szCs w:val="21"/>
                      <w:highlight w:val="none"/>
                      <w:lang w:val="en-US" w:eastAsia="zh-CN"/>
                    </w:rPr>
                    <w:t>环境空气</w:t>
                  </w:r>
                </w:p>
              </w:tc>
              <w:tc>
                <w:tcPr>
                  <w:tcW w:w="1113" w:type="dxa"/>
                  <w:tcBorders>
                    <w:tl2br w:val="nil"/>
                    <w:tr2bl w:val="nil"/>
                  </w:tcBorders>
                  <w:vAlign w:val="center"/>
                </w:tcPr>
                <w:p w14:paraId="6BD13BE3">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position w:val="0"/>
                      <w:sz w:val="21"/>
                      <w:szCs w:val="21"/>
                      <w:highlight w:val="none"/>
                      <w:lang w:val="en-US" w:eastAsia="zh-CN"/>
                    </w:rPr>
                  </w:pPr>
                  <w:r>
                    <w:rPr>
                      <w:rFonts w:hint="default" w:ascii="Times New Roman" w:hAnsi="Times New Roman" w:eastAsia="宋体" w:cs="Times New Roman"/>
                      <w:color w:val="auto"/>
                      <w:spacing w:val="0"/>
                      <w:position w:val="0"/>
                      <w:sz w:val="21"/>
                      <w:szCs w:val="21"/>
                      <w:highlight w:val="none"/>
                      <w:lang w:val="en-US" w:eastAsia="zh-CN"/>
                    </w:rPr>
                    <w:t>崇瓦张村</w:t>
                  </w:r>
                </w:p>
              </w:tc>
              <w:tc>
                <w:tcPr>
                  <w:tcW w:w="1087" w:type="dxa"/>
                  <w:tcBorders>
                    <w:tl2br w:val="nil"/>
                    <w:tr2bl w:val="nil"/>
                  </w:tcBorders>
                  <w:vAlign w:val="center"/>
                </w:tcPr>
                <w:p w14:paraId="7F7611CD">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NW</w:t>
                  </w:r>
                </w:p>
              </w:tc>
              <w:tc>
                <w:tcPr>
                  <w:tcW w:w="813" w:type="dxa"/>
                  <w:tcBorders>
                    <w:tl2br w:val="nil"/>
                    <w:tr2bl w:val="nil"/>
                  </w:tcBorders>
                  <w:vAlign w:val="center"/>
                </w:tcPr>
                <w:p w14:paraId="0E702ECE">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0.001</w:t>
                  </w:r>
                </w:p>
              </w:tc>
              <w:tc>
                <w:tcPr>
                  <w:tcW w:w="1025" w:type="dxa"/>
                  <w:tcBorders>
                    <w:tl2br w:val="nil"/>
                    <w:tr2bl w:val="nil"/>
                  </w:tcBorders>
                  <w:vAlign w:val="center"/>
                </w:tcPr>
                <w:p w14:paraId="6B335DB0">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default" w:ascii="Times New Roman" w:hAnsi="Times New Roman" w:cs="Times New Roman"/>
                      <w:color w:val="auto"/>
                      <w:spacing w:val="0"/>
                      <w:position w:val="0"/>
                      <w:sz w:val="21"/>
                      <w:szCs w:val="21"/>
                      <w:highlight w:val="none"/>
                      <w:lang w:val="en-US" w:eastAsia="zh-CN"/>
                    </w:rPr>
                    <w:t>NW</w:t>
                  </w:r>
                </w:p>
              </w:tc>
              <w:tc>
                <w:tcPr>
                  <w:tcW w:w="862" w:type="dxa"/>
                  <w:tcBorders>
                    <w:tl2br w:val="nil"/>
                    <w:tr2bl w:val="nil"/>
                  </w:tcBorders>
                  <w:vAlign w:val="center"/>
                </w:tcPr>
                <w:p w14:paraId="1ABA27AD">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0.74</w:t>
                  </w:r>
                </w:p>
              </w:tc>
              <w:tc>
                <w:tcPr>
                  <w:tcW w:w="750" w:type="dxa"/>
                  <w:vMerge w:val="restart"/>
                  <w:tcBorders>
                    <w:tl2br w:val="nil"/>
                    <w:tr2bl w:val="nil"/>
                  </w:tcBorders>
                  <w:vAlign w:val="center"/>
                </w:tcPr>
                <w:p w14:paraId="0F0840EE">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eastAsia"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居民</w:t>
                  </w:r>
                </w:p>
              </w:tc>
              <w:tc>
                <w:tcPr>
                  <w:tcW w:w="1505" w:type="dxa"/>
                  <w:vMerge w:val="restart"/>
                  <w:tcBorders>
                    <w:tl2br w:val="nil"/>
                    <w:tr2bl w:val="nil"/>
                  </w:tcBorders>
                  <w:vAlign w:val="center"/>
                </w:tcPr>
                <w:p w14:paraId="25A9584E">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default" w:ascii="Times New Roman" w:hAnsi="Times New Roman" w:cs="Times New Roman"/>
                      <w:color w:val="auto"/>
                      <w:spacing w:val="0"/>
                      <w:position w:val="0"/>
                      <w:sz w:val="21"/>
                      <w:szCs w:val="21"/>
                      <w:highlight w:val="none"/>
                      <w:lang w:val="en-US" w:eastAsia="zh-CN"/>
                    </w:rPr>
                    <w:t>《环境空气质量标准》（GB3095-20</w:t>
                  </w:r>
                  <w:r>
                    <w:rPr>
                      <w:rFonts w:hint="eastAsia" w:cs="Times New Roman"/>
                      <w:color w:val="auto"/>
                      <w:spacing w:val="0"/>
                      <w:position w:val="0"/>
                      <w:sz w:val="21"/>
                      <w:szCs w:val="21"/>
                      <w:highlight w:val="none"/>
                      <w:lang w:val="en-US" w:eastAsia="zh-CN"/>
                    </w:rPr>
                    <w:t>26</w:t>
                  </w:r>
                  <w:r>
                    <w:rPr>
                      <w:rFonts w:hint="default" w:ascii="Times New Roman" w:hAnsi="Times New Roman" w:cs="Times New Roman"/>
                      <w:color w:val="auto"/>
                      <w:spacing w:val="0"/>
                      <w:position w:val="0"/>
                      <w:sz w:val="21"/>
                      <w:szCs w:val="21"/>
                      <w:highlight w:val="none"/>
                      <w:lang w:val="en-US" w:eastAsia="zh-CN"/>
                    </w:rPr>
                    <w:t>）中二级标准</w:t>
                  </w:r>
                </w:p>
              </w:tc>
            </w:tr>
            <w:tr w14:paraId="1934128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782" w:type="dxa"/>
                  <w:vMerge w:val="continue"/>
                  <w:tcBorders>
                    <w:tl2br w:val="nil"/>
                    <w:tr2bl w:val="nil"/>
                  </w:tcBorders>
                  <w:vAlign w:val="center"/>
                </w:tcPr>
                <w:p w14:paraId="541C019F">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p>
              </w:tc>
              <w:tc>
                <w:tcPr>
                  <w:tcW w:w="1113" w:type="dxa"/>
                  <w:tcBorders>
                    <w:tl2br w:val="nil"/>
                    <w:tr2bl w:val="nil"/>
                  </w:tcBorders>
                  <w:vAlign w:val="center"/>
                </w:tcPr>
                <w:p w14:paraId="74E1E350">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南</w:t>
                  </w:r>
                  <w:r>
                    <w:rPr>
                      <w:rFonts w:hint="default" w:ascii="Times New Roman" w:hAnsi="Times New Roman" w:eastAsia="宋体" w:cs="Times New Roman"/>
                      <w:color w:val="auto"/>
                      <w:spacing w:val="0"/>
                      <w:position w:val="0"/>
                      <w:sz w:val="21"/>
                      <w:szCs w:val="21"/>
                      <w:highlight w:val="none"/>
                      <w:lang w:val="en-US" w:eastAsia="zh-CN"/>
                    </w:rPr>
                    <w:t>张店村</w:t>
                  </w:r>
                </w:p>
              </w:tc>
              <w:tc>
                <w:tcPr>
                  <w:tcW w:w="1087" w:type="dxa"/>
                  <w:tcBorders>
                    <w:tl2br w:val="nil"/>
                    <w:tr2bl w:val="nil"/>
                  </w:tcBorders>
                  <w:vAlign w:val="center"/>
                </w:tcPr>
                <w:p w14:paraId="4CFCBBAC">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S</w:t>
                  </w:r>
                </w:p>
              </w:tc>
              <w:tc>
                <w:tcPr>
                  <w:tcW w:w="813" w:type="dxa"/>
                  <w:tcBorders>
                    <w:tl2br w:val="nil"/>
                    <w:tr2bl w:val="nil"/>
                  </w:tcBorders>
                  <w:vAlign w:val="center"/>
                </w:tcPr>
                <w:p w14:paraId="063F1E06">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0.19</w:t>
                  </w:r>
                </w:p>
              </w:tc>
              <w:tc>
                <w:tcPr>
                  <w:tcW w:w="1025" w:type="dxa"/>
                  <w:tcBorders>
                    <w:tl2br w:val="nil"/>
                    <w:tr2bl w:val="nil"/>
                  </w:tcBorders>
                  <w:vAlign w:val="center"/>
                </w:tcPr>
                <w:p w14:paraId="31E947AE">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SW</w:t>
                  </w:r>
                </w:p>
              </w:tc>
              <w:tc>
                <w:tcPr>
                  <w:tcW w:w="862" w:type="dxa"/>
                  <w:tcBorders>
                    <w:tl2br w:val="nil"/>
                    <w:tr2bl w:val="nil"/>
                  </w:tcBorders>
                  <w:vAlign w:val="center"/>
                </w:tcPr>
                <w:p w14:paraId="145348F1">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0.75</w:t>
                  </w:r>
                </w:p>
              </w:tc>
              <w:tc>
                <w:tcPr>
                  <w:tcW w:w="750" w:type="dxa"/>
                  <w:vMerge w:val="continue"/>
                  <w:tcBorders>
                    <w:tl2br w:val="nil"/>
                    <w:tr2bl w:val="nil"/>
                  </w:tcBorders>
                  <w:vAlign w:val="center"/>
                </w:tcPr>
                <w:p w14:paraId="2521FB8A">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eastAsia" w:ascii="Times New Roman" w:hAnsi="Times New Roman" w:cs="Times New Roman"/>
                      <w:color w:val="auto"/>
                      <w:spacing w:val="0"/>
                      <w:position w:val="0"/>
                      <w:sz w:val="21"/>
                      <w:szCs w:val="21"/>
                      <w:highlight w:val="none"/>
                      <w:lang w:val="en-US" w:eastAsia="zh-CN"/>
                    </w:rPr>
                  </w:pPr>
                </w:p>
              </w:tc>
              <w:tc>
                <w:tcPr>
                  <w:tcW w:w="1505" w:type="dxa"/>
                  <w:vMerge w:val="continue"/>
                  <w:tcBorders>
                    <w:tl2br w:val="nil"/>
                    <w:tr2bl w:val="nil"/>
                  </w:tcBorders>
                  <w:vAlign w:val="center"/>
                </w:tcPr>
                <w:p w14:paraId="1BF047FA">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p>
              </w:tc>
            </w:tr>
            <w:tr w14:paraId="62A8B85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782" w:type="dxa"/>
                  <w:vMerge w:val="continue"/>
                  <w:tcBorders>
                    <w:tl2br w:val="nil"/>
                    <w:tr2bl w:val="nil"/>
                  </w:tcBorders>
                  <w:vAlign w:val="center"/>
                </w:tcPr>
                <w:p w14:paraId="0C614986">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p>
              </w:tc>
              <w:tc>
                <w:tcPr>
                  <w:tcW w:w="1113" w:type="dxa"/>
                  <w:tcBorders>
                    <w:tl2br w:val="nil"/>
                    <w:tr2bl w:val="nil"/>
                  </w:tcBorders>
                  <w:vAlign w:val="center"/>
                </w:tcPr>
                <w:p w14:paraId="403E41C0">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东范村</w:t>
                  </w:r>
                </w:p>
              </w:tc>
              <w:tc>
                <w:tcPr>
                  <w:tcW w:w="1087" w:type="dxa"/>
                  <w:tcBorders>
                    <w:tl2br w:val="nil"/>
                    <w:tr2bl w:val="nil"/>
                  </w:tcBorders>
                  <w:vAlign w:val="center"/>
                </w:tcPr>
                <w:p w14:paraId="34608C7A">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S</w:t>
                  </w:r>
                </w:p>
              </w:tc>
              <w:tc>
                <w:tcPr>
                  <w:tcW w:w="813" w:type="dxa"/>
                  <w:tcBorders>
                    <w:tl2br w:val="nil"/>
                    <w:tr2bl w:val="nil"/>
                  </w:tcBorders>
                  <w:vAlign w:val="center"/>
                </w:tcPr>
                <w:p w14:paraId="76609B52">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0.14</w:t>
                  </w:r>
                </w:p>
              </w:tc>
              <w:tc>
                <w:tcPr>
                  <w:tcW w:w="1025" w:type="dxa"/>
                  <w:tcBorders>
                    <w:tl2br w:val="nil"/>
                    <w:tr2bl w:val="nil"/>
                  </w:tcBorders>
                  <w:vAlign w:val="center"/>
                </w:tcPr>
                <w:p w14:paraId="525CA6F9">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S</w:t>
                  </w:r>
                </w:p>
              </w:tc>
              <w:tc>
                <w:tcPr>
                  <w:tcW w:w="862" w:type="dxa"/>
                  <w:tcBorders>
                    <w:tl2br w:val="nil"/>
                    <w:tr2bl w:val="nil"/>
                  </w:tcBorders>
                  <w:vAlign w:val="center"/>
                </w:tcPr>
                <w:p w14:paraId="5DF00576">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0.47</w:t>
                  </w:r>
                </w:p>
              </w:tc>
              <w:tc>
                <w:tcPr>
                  <w:tcW w:w="750" w:type="dxa"/>
                  <w:vMerge w:val="continue"/>
                  <w:tcBorders>
                    <w:tl2br w:val="nil"/>
                    <w:tr2bl w:val="nil"/>
                  </w:tcBorders>
                  <w:vAlign w:val="center"/>
                </w:tcPr>
                <w:p w14:paraId="460F7CE5">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eastAsia" w:ascii="Times New Roman" w:hAnsi="Times New Roman" w:cs="Times New Roman"/>
                      <w:color w:val="auto"/>
                      <w:spacing w:val="0"/>
                      <w:position w:val="0"/>
                      <w:sz w:val="21"/>
                      <w:szCs w:val="21"/>
                      <w:highlight w:val="none"/>
                      <w:lang w:val="en-US" w:eastAsia="zh-CN"/>
                    </w:rPr>
                  </w:pPr>
                </w:p>
              </w:tc>
              <w:tc>
                <w:tcPr>
                  <w:tcW w:w="1505" w:type="dxa"/>
                  <w:vMerge w:val="continue"/>
                  <w:tcBorders>
                    <w:tl2br w:val="nil"/>
                    <w:tr2bl w:val="nil"/>
                  </w:tcBorders>
                  <w:vAlign w:val="center"/>
                </w:tcPr>
                <w:p w14:paraId="4FCCBE77">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p>
              </w:tc>
            </w:tr>
            <w:tr w14:paraId="4471C3D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782" w:type="dxa"/>
                  <w:vMerge w:val="continue"/>
                  <w:tcBorders>
                    <w:tl2br w:val="nil"/>
                    <w:tr2bl w:val="nil"/>
                  </w:tcBorders>
                  <w:vAlign w:val="center"/>
                </w:tcPr>
                <w:p w14:paraId="77E063A4">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p>
              </w:tc>
              <w:tc>
                <w:tcPr>
                  <w:tcW w:w="1113" w:type="dxa"/>
                  <w:tcBorders>
                    <w:tl2br w:val="nil"/>
                    <w:tr2bl w:val="nil"/>
                  </w:tcBorders>
                  <w:vAlign w:val="center"/>
                </w:tcPr>
                <w:p w14:paraId="107D75A0">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position w:val="0"/>
                      <w:sz w:val="21"/>
                      <w:szCs w:val="21"/>
                      <w:highlight w:val="none"/>
                      <w:lang w:val="en-US" w:eastAsia="zh-CN"/>
                    </w:rPr>
                  </w:pPr>
                  <w:r>
                    <w:rPr>
                      <w:rFonts w:hint="default" w:ascii="Times New Roman" w:hAnsi="Times New Roman" w:eastAsia="宋体" w:cs="Times New Roman"/>
                      <w:color w:val="auto"/>
                      <w:spacing w:val="0"/>
                      <w:position w:val="0"/>
                      <w:sz w:val="21"/>
                      <w:szCs w:val="21"/>
                      <w:highlight w:val="none"/>
                      <w:lang w:val="en-US" w:eastAsia="zh-CN"/>
                    </w:rPr>
                    <w:t>南郜村</w:t>
                  </w:r>
                </w:p>
              </w:tc>
              <w:tc>
                <w:tcPr>
                  <w:tcW w:w="1087" w:type="dxa"/>
                  <w:tcBorders>
                    <w:tl2br w:val="nil"/>
                    <w:tr2bl w:val="nil"/>
                  </w:tcBorders>
                  <w:vAlign w:val="center"/>
                </w:tcPr>
                <w:p w14:paraId="2C3F71E5">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S</w:t>
                  </w:r>
                </w:p>
              </w:tc>
              <w:tc>
                <w:tcPr>
                  <w:tcW w:w="813" w:type="dxa"/>
                  <w:tcBorders>
                    <w:tl2br w:val="nil"/>
                    <w:tr2bl w:val="nil"/>
                  </w:tcBorders>
                  <w:vAlign w:val="center"/>
                </w:tcPr>
                <w:p w14:paraId="2E040D5E">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0.42</w:t>
                  </w:r>
                </w:p>
              </w:tc>
              <w:tc>
                <w:tcPr>
                  <w:tcW w:w="1025" w:type="dxa"/>
                  <w:tcBorders>
                    <w:tl2br w:val="nil"/>
                    <w:tr2bl w:val="nil"/>
                  </w:tcBorders>
                  <w:vAlign w:val="center"/>
                </w:tcPr>
                <w:p w14:paraId="2E9CF7EB">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SE</w:t>
                  </w:r>
                </w:p>
              </w:tc>
              <w:tc>
                <w:tcPr>
                  <w:tcW w:w="862" w:type="dxa"/>
                  <w:tcBorders>
                    <w:tl2br w:val="nil"/>
                    <w:tr2bl w:val="nil"/>
                  </w:tcBorders>
                  <w:vAlign w:val="center"/>
                </w:tcPr>
                <w:p w14:paraId="75792952">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0.97</w:t>
                  </w:r>
                </w:p>
              </w:tc>
              <w:tc>
                <w:tcPr>
                  <w:tcW w:w="750" w:type="dxa"/>
                  <w:vMerge w:val="continue"/>
                  <w:tcBorders>
                    <w:tl2br w:val="nil"/>
                    <w:tr2bl w:val="nil"/>
                  </w:tcBorders>
                  <w:vAlign w:val="center"/>
                </w:tcPr>
                <w:p w14:paraId="5241274C">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eastAsia" w:ascii="Times New Roman" w:hAnsi="Times New Roman" w:cs="Times New Roman"/>
                      <w:color w:val="auto"/>
                      <w:spacing w:val="0"/>
                      <w:position w:val="0"/>
                      <w:sz w:val="21"/>
                      <w:szCs w:val="21"/>
                      <w:highlight w:val="none"/>
                      <w:lang w:val="en-US" w:eastAsia="zh-CN"/>
                    </w:rPr>
                  </w:pPr>
                </w:p>
              </w:tc>
              <w:tc>
                <w:tcPr>
                  <w:tcW w:w="1505" w:type="dxa"/>
                  <w:vMerge w:val="continue"/>
                  <w:tcBorders>
                    <w:tl2br w:val="nil"/>
                    <w:tr2bl w:val="nil"/>
                  </w:tcBorders>
                  <w:vAlign w:val="center"/>
                </w:tcPr>
                <w:p w14:paraId="25567E77">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p>
              </w:tc>
            </w:tr>
            <w:tr w14:paraId="59A27DF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782" w:type="dxa"/>
                  <w:vMerge w:val="continue"/>
                  <w:tcBorders>
                    <w:tl2br w:val="nil"/>
                    <w:tr2bl w:val="nil"/>
                  </w:tcBorders>
                  <w:vAlign w:val="center"/>
                </w:tcPr>
                <w:p w14:paraId="1591C4B0">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p>
              </w:tc>
              <w:tc>
                <w:tcPr>
                  <w:tcW w:w="1113" w:type="dxa"/>
                  <w:tcBorders>
                    <w:tl2br w:val="nil"/>
                    <w:tr2bl w:val="nil"/>
                  </w:tcBorders>
                  <w:vAlign w:val="center"/>
                </w:tcPr>
                <w:p w14:paraId="70A3FF49">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position w:val="0"/>
                      <w:sz w:val="21"/>
                      <w:szCs w:val="21"/>
                      <w:highlight w:val="none"/>
                      <w:lang w:val="en-US" w:eastAsia="zh-CN"/>
                    </w:rPr>
                  </w:pPr>
                  <w:r>
                    <w:rPr>
                      <w:rFonts w:hint="default" w:ascii="Times New Roman" w:hAnsi="Times New Roman" w:eastAsia="宋体" w:cs="Times New Roman"/>
                      <w:color w:val="auto"/>
                      <w:spacing w:val="0"/>
                      <w:position w:val="0"/>
                      <w:sz w:val="21"/>
                      <w:szCs w:val="21"/>
                      <w:highlight w:val="none"/>
                      <w:lang w:val="en-US" w:eastAsia="zh-CN"/>
                    </w:rPr>
                    <w:t>慈林春城</w:t>
                  </w:r>
                </w:p>
              </w:tc>
              <w:tc>
                <w:tcPr>
                  <w:tcW w:w="1087" w:type="dxa"/>
                  <w:tcBorders>
                    <w:tl2br w:val="nil"/>
                    <w:tr2bl w:val="nil"/>
                  </w:tcBorders>
                  <w:vAlign w:val="center"/>
                </w:tcPr>
                <w:p w14:paraId="6B65518F">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N</w:t>
                  </w:r>
                </w:p>
              </w:tc>
              <w:tc>
                <w:tcPr>
                  <w:tcW w:w="813" w:type="dxa"/>
                  <w:tcBorders>
                    <w:tl2br w:val="nil"/>
                    <w:tr2bl w:val="nil"/>
                  </w:tcBorders>
                  <w:vAlign w:val="center"/>
                </w:tcPr>
                <w:p w14:paraId="66A2147A">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eastAsia"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0.3</w:t>
                  </w:r>
                </w:p>
              </w:tc>
              <w:tc>
                <w:tcPr>
                  <w:tcW w:w="1025" w:type="dxa"/>
                  <w:tcBorders>
                    <w:tl2br w:val="nil"/>
                    <w:tr2bl w:val="nil"/>
                  </w:tcBorders>
                  <w:vAlign w:val="center"/>
                </w:tcPr>
                <w:p w14:paraId="7930636E">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NW</w:t>
                  </w:r>
                </w:p>
              </w:tc>
              <w:tc>
                <w:tcPr>
                  <w:tcW w:w="862" w:type="dxa"/>
                  <w:tcBorders>
                    <w:tl2br w:val="nil"/>
                    <w:tr2bl w:val="nil"/>
                  </w:tcBorders>
                  <w:vAlign w:val="center"/>
                </w:tcPr>
                <w:p w14:paraId="15D5793F">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0.95</w:t>
                  </w:r>
                </w:p>
              </w:tc>
              <w:tc>
                <w:tcPr>
                  <w:tcW w:w="750" w:type="dxa"/>
                  <w:vMerge w:val="continue"/>
                  <w:tcBorders>
                    <w:tl2br w:val="nil"/>
                    <w:tr2bl w:val="nil"/>
                  </w:tcBorders>
                  <w:vAlign w:val="center"/>
                </w:tcPr>
                <w:p w14:paraId="10892008">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eastAsia" w:ascii="Times New Roman" w:hAnsi="Times New Roman" w:cs="Times New Roman"/>
                      <w:color w:val="auto"/>
                      <w:spacing w:val="0"/>
                      <w:position w:val="0"/>
                      <w:sz w:val="21"/>
                      <w:szCs w:val="21"/>
                      <w:highlight w:val="none"/>
                      <w:lang w:val="en-US" w:eastAsia="zh-CN"/>
                    </w:rPr>
                  </w:pPr>
                </w:p>
              </w:tc>
              <w:tc>
                <w:tcPr>
                  <w:tcW w:w="1505" w:type="dxa"/>
                  <w:vMerge w:val="continue"/>
                  <w:tcBorders>
                    <w:tl2br w:val="nil"/>
                    <w:tr2bl w:val="nil"/>
                  </w:tcBorders>
                  <w:vAlign w:val="center"/>
                </w:tcPr>
                <w:p w14:paraId="67131E72">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p>
              </w:tc>
            </w:tr>
            <w:tr w14:paraId="29B32E8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782" w:type="dxa"/>
                  <w:vMerge w:val="continue"/>
                  <w:tcBorders>
                    <w:tl2br w:val="nil"/>
                    <w:tr2bl w:val="nil"/>
                  </w:tcBorders>
                  <w:vAlign w:val="center"/>
                </w:tcPr>
                <w:p w14:paraId="582C2F35">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p>
              </w:tc>
              <w:tc>
                <w:tcPr>
                  <w:tcW w:w="1113" w:type="dxa"/>
                  <w:tcBorders>
                    <w:tl2br w:val="nil"/>
                    <w:tr2bl w:val="nil"/>
                  </w:tcBorders>
                  <w:vAlign w:val="center"/>
                </w:tcPr>
                <w:p w14:paraId="75005604">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position w:val="0"/>
                      <w:sz w:val="21"/>
                      <w:szCs w:val="21"/>
                      <w:highlight w:val="none"/>
                      <w:lang w:val="en-US" w:eastAsia="zh-CN"/>
                    </w:rPr>
                  </w:pPr>
                  <w:r>
                    <w:rPr>
                      <w:rFonts w:hint="default" w:ascii="Times New Roman" w:hAnsi="Times New Roman" w:eastAsia="宋体" w:cs="Times New Roman"/>
                      <w:color w:val="auto"/>
                      <w:spacing w:val="0"/>
                      <w:position w:val="0"/>
                      <w:sz w:val="21"/>
                      <w:szCs w:val="21"/>
                      <w:highlight w:val="none"/>
                      <w:lang w:val="en-US" w:eastAsia="zh-CN"/>
                    </w:rPr>
                    <w:t>崇南沟村</w:t>
                  </w:r>
                </w:p>
              </w:tc>
              <w:tc>
                <w:tcPr>
                  <w:tcW w:w="1087" w:type="dxa"/>
                  <w:tcBorders>
                    <w:tl2br w:val="nil"/>
                    <w:tr2bl w:val="nil"/>
                  </w:tcBorders>
                  <w:vAlign w:val="center"/>
                </w:tcPr>
                <w:p w14:paraId="42455BC6">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W</w:t>
                  </w:r>
                </w:p>
              </w:tc>
              <w:tc>
                <w:tcPr>
                  <w:tcW w:w="813" w:type="dxa"/>
                  <w:tcBorders>
                    <w:tl2br w:val="nil"/>
                    <w:tr2bl w:val="nil"/>
                  </w:tcBorders>
                  <w:vAlign w:val="center"/>
                </w:tcPr>
                <w:p w14:paraId="149DF726">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0.47</w:t>
                  </w:r>
                </w:p>
              </w:tc>
              <w:tc>
                <w:tcPr>
                  <w:tcW w:w="1025" w:type="dxa"/>
                  <w:tcBorders>
                    <w:tl2br w:val="nil"/>
                    <w:tr2bl w:val="nil"/>
                  </w:tcBorders>
                  <w:vAlign w:val="center"/>
                </w:tcPr>
                <w:p w14:paraId="44DC8E09">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W</w:t>
                  </w:r>
                </w:p>
              </w:tc>
              <w:tc>
                <w:tcPr>
                  <w:tcW w:w="862" w:type="dxa"/>
                  <w:tcBorders>
                    <w:tl2br w:val="nil"/>
                    <w:tr2bl w:val="nil"/>
                  </w:tcBorders>
                  <w:vAlign w:val="center"/>
                </w:tcPr>
                <w:p w14:paraId="01F402D2">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1.18</w:t>
                  </w:r>
                </w:p>
              </w:tc>
              <w:tc>
                <w:tcPr>
                  <w:tcW w:w="750" w:type="dxa"/>
                  <w:vMerge w:val="continue"/>
                  <w:tcBorders>
                    <w:tl2br w:val="nil"/>
                    <w:tr2bl w:val="nil"/>
                  </w:tcBorders>
                  <w:vAlign w:val="center"/>
                </w:tcPr>
                <w:p w14:paraId="796D0C0A">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eastAsia" w:ascii="Times New Roman" w:hAnsi="Times New Roman" w:cs="Times New Roman"/>
                      <w:color w:val="auto"/>
                      <w:spacing w:val="0"/>
                      <w:position w:val="0"/>
                      <w:sz w:val="21"/>
                      <w:szCs w:val="21"/>
                      <w:highlight w:val="none"/>
                      <w:lang w:val="en-US" w:eastAsia="zh-CN"/>
                    </w:rPr>
                  </w:pPr>
                </w:p>
              </w:tc>
              <w:tc>
                <w:tcPr>
                  <w:tcW w:w="1505" w:type="dxa"/>
                  <w:vMerge w:val="continue"/>
                  <w:tcBorders>
                    <w:tl2br w:val="nil"/>
                    <w:tr2bl w:val="nil"/>
                  </w:tcBorders>
                  <w:vAlign w:val="center"/>
                </w:tcPr>
                <w:p w14:paraId="4BD07487">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p>
              </w:tc>
            </w:tr>
            <w:tr w14:paraId="3429C5F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782" w:type="dxa"/>
                  <w:tcBorders>
                    <w:tl2br w:val="nil"/>
                    <w:tr2bl w:val="nil"/>
                  </w:tcBorders>
                  <w:vAlign w:val="center"/>
                </w:tcPr>
                <w:p w14:paraId="552BF0C9">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声环境</w:t>
                  </w:r>
                </w:p>
              </w:tc>
              <w:tc>
                <w:tcPr>
                  <w:tcW w:w="1113" w:type="dxa"/>
                  <w:tcBorders>
                    <w:tl2br w:val="nil"/>
                    <w:tr2bl w:val="nil"/>
                  </w:tcBorders>
                  <w:vAlign w:val="center"/>
                </w:tcPr>
                <w:p w14:paraId="0CDDBF61">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position w:val="0"/>
                      <w:sz w:val="21"/>
                      <w:szCs w:val="21"/>
                      <w:highlight w:val="none"/>
                      <w:lang w:val="en-US" w:eastAsia="zh-CN"/>
                    </w:rPr>
                  </w:pPr>
                  <w:r>
                    <w:rPr>
                      <w:rFonts w:hint="default" w:ascii="Times New Roman" w:hAnsi="Times New Roman" w:eastAsia="宋体" w:cs="Times New Roman"/>
                      <w:color w:val="auto"/>
                      <w:spacing w:val="0"/>
                      <w:position w:val="0"/>
                      <w:sz w:val="21"/>
                      <w:szCs w:val="21"/>
                      <w:highlight w:val="none"/>
                      <w:lang w:val="en-US" w:eastAsia="zh-CN"/>
                    </w:rPr>
                    <w:t>崇瓦张村</w:t>
                  </w:r>
                </w:p>
              </w:tc>
              <w:tc>
                <w:tcPr>
                  <w:tcW w:w="1087" w:type="dxa"/>
                  <w:tcBorders>
                    <w:tl2br w:val="nil"/>
                    <w:tr2bl w:val="nil"/>
                  </w:tcBorders>
                  <w:vAlign w:val="center"/>
                </w:tcPr>
                <w:p w14:paraId="4AEBA865">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eastAsia"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NW</w:t>
                  </w:r>
                </w:p>
              </w:tc>
              <w:tc>
                <w:tcPr>
                  <w:tcW w:w="813" w:type="dxa"/>
                  <w:tcBorders>
                    <w:tl2br w:val="nil"/>
                    <w:tr2bl w:val="nil"/>
                  </w:tcBorders>
                  <w:vAlign w:val="center"/>
                </w:tcPr>
                <w:p w14:paraId="45A9546C">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eastAsia"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0.001</w:t>
                  </w:r>
                </w:p>
              </w:tc>
              <w:tc>
                <w:tcPr>
                  <w:tcW w:w="1025" w:type="dxa"/>
                  <w:tcBorders>
                    <w:tl2br w:val="nil"/>
                    <w:tr2bl w:val="nil"/>
                  </w:tcBorders>
                  <w:shd w:val="clear" w:color="auto" w:fill="auto"/>
                  <w:vAlign w:val="center"/>
                </w:tcPr>
                <w:p w14:paraId="3DF9B871">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kern w:val="2"/>
                      <w:position w:val="0"/>
                      <w:sz w:val="21"/>
                      <w:szCs w:val="21"/>
                      <w:highlight w:val="none"/>
                      <w:lang w:val="en-US" w:eastAsia="zh-CN" w:bidi="ar-SA"/>
                    </w:rPr>
                  </w:pPr>
                  <w:r>
                    <w:rPr>
                      <w:rFonts w:hint="default" w:ascii="Times New Roman" w:hAnsi="Times New Roman" w:cs="Times New Roman"/>
                      <w:color w:val="auto"/>
                      <w:spacing w:val="0"/>
                      <w:position w:val="0"/>
                      <w:sz w:val="21"/>
                      <w:szCs w:val="21"/>
                      <w:highlight w:val="none"/>
                      <w:lang w:val="en-US" w:eastAsia="zh-CN"/>
                    </w:rPr>
                    <w:t>NW</w:t>
                  </w:r>
                </w:p>
              </w:tc>
              <w:tc>
                <w:tcPr>
                  <w:tcW w:w="862" w:type="dxa"/>
                  <w:tcBorders>
                    <w:tl2br w:val="nil"/>
                    <w:tr2bl w:val="nil"/>
                  </w:tcBorders>
                  <w:shd w:val="clear" w:color="auto" w:fill="auto"/>
                  <w:vAlign w:val="center"/>
                </w:tcPr>
                <w:p w14:paraId="1B28371D">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eastAsia" w:ascii="Times New Roman" w:hAnsi="Times New Roman" w:eastAsia="宋体" w:cs="Times New Roman"/>
                      <w:color w:val="auto"/>
                      <w:spacing w:val="0"/>
                      <w:kern w:val="2"/>
                      <w:position w:val="0"/>
                      <w:sz w:val="21"/>
                      <w:szCs w:val="21"/>
                      <w:highlight w:val="none"/>
                      <w:lang w:val="en-US" w:eastAsia="zh-CN" w:bidi="ar-SA"/>
                    </w:rPr>
                  </w:pPr>
                  <w:r>
                    <w:rPr>
                      <w:rFonts w:hint="eastAsia" w:cs="Times New Roman"/>
                      <w:color w:val="auto"/>
                      <w:spacing w:val="0"/>
                      <w:position w:val="0"/>
                      <w:sz w:val="21"/>
                      <w:szCs w:val="21"/>
                      <w:highlight w:val="none"/>
                      <w:lang w:val="en-US" w:eastAsia="zh-CN"/>
                    </w:rPr>
                    <w:t>0.74</w:t>
                  </w:r>
                </w:p>
              </w:tc>
              <w:tc>
                <w:tcPr>
                  <w:tcW w:w="750" w:type="dxa"/>
                  <w:tcBorders>
                    <w:tl2br w:val="nil"/>
                    <w:tr2bl w:val="nil"/>
                  </w:tcBorders>
                  <w:vAlign w:val="center"/>
                </w:tcPr>
                <w:p w14:paraId="4D4C3C7C">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eastAsia"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居民</w:t>
                  </w:r>
                </w:p>
              </w:tc>
              <w:tc>
                <w:tcPr>
                  <w:tcW w:w="1505" w:type="dxa"/>
                  <w:tcBorders>
                    <w:tl2br w:val="nil"/>
                    <w:tr2bl w:val="nil"/>
                  </w:tcBorders>
                  <w:shd w:val="clear" w:color="auto" w:fill="auto"/>
                  <w:vAlign w:val="center"/>
                </w:tcPr>
                <w:p w14:paraId="724F31D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pacing w:val="0"/>
                      <w:kern w:val="2"/>
                      <w:position w:val="0"/>
                      <w:sz w:val="21"/>
                      <w:szCs w:val="21"/>
                      <w:highlight w:val="none"/>
                      <w:lang w:val="en-US" w:eastAsia="zh-CN" w:bidi="ar-SA"/>
                    </w:rPr>
                  </w:pPr>
                  <w:r>
                    <w:rPr>
                      <w:rFonts w:hint="eastAsia"/>
                      <w:color w:val="auto"/>
                      <w:szCs w:val="21"/>
                    </w:rPr>
                    <w:t>《</w:t>
                  </w:r>
                  <w:r>
                    <w:rPr>
                      <w:color w:val="auto"/>
                      <w:szCs w:val="21"/>
                    </w:rPr>
                    <w:t>声环境质量标准》（GB3096-2008）</w:t>
                  </w:r>
                  <w:r>
                    <w:rPr>
                      <w:rFonts w:hint="eastAsia"/>
                      <w:color w:val="auto"/>
                      <w:szCs w:val="21"/>
                      <w:lang w:val="en-US" w:eastAsia="zh-CN"/>
                    </w:rPr>
                    <w:t>1</w:t>
                  </w:r>
                  <w:r>
                    <w:rPr>
                      <w:color w:val="auto"/>
                      <w:szCs w:val="21"/>
                    </w:rPr>
                    <w:t>类标准</w:t>
                  </w:r>
                </w:p>
              </w:tc>
            </w:tr>
            <w:tr w14:paraId="7719CED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782" w:type="dxa"/>
                  <w:tcBorders>
                    <w:tl2br w:val="nil"/>
                    <w:tr2bl w:val="nil"/>
                  </w:tcBorders>
                  <w:vAlign w:val="center"/>
                </w:tcPr>
                <w:p w14:paraId="6F06764B">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eastAsia" w:ascii="Times New Roman" w:hAnsi="Times New Roman" w:cs="Times New Roman"/>
                      <w:color w:val="auto"/>
                      <w:spacing w:val="0"/>
                      <w:position w:val="0"/>
                      <w:sz w:val="21"/>
                      <w:szCs w:val="21"/>
                      <w:highlight w:val="none"/>
                      <w:lang w:val="en-US" w:eastAsia="zh-CN"/>
                    </w:rPr>
                    <w:t>地表水</w:t>
                  </w:r>
                </w:p>
              </w:tc>
              <w:tc>
                <w:tcPr>
                  <w:tcW w:w="1113" w:type="dxa"/>
                  <w:tcBorders>
                    <w:tl2br w:val="nil"/>
                    <w:tr2bl w:val="nil"/>
                  </w:tcBorders>
                  <w:vAlign w:val="center"/>
                </w:tcPr>
                <w:p w14:paraId="4F49B74C">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小丹河</w:t>
                  </w:r>
                </w:p>
              </w:tc>
              <w:tc>
                <w:tcPr>
                  <w:tcW w:w="1087" w:type="dxa"/>
                  <w:tcBorders>
                    <w:tl2br w:val="nil"/>
                    <w:tr2bl w:val="nil"/>
                  </w:tcBorders>
                  <w:vAlign w:val="center"/>
                </w:tcPr>
                <w:p w14:paraId="1E906F8D">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S</w:t>
                  </w:r>
                </w:p>
              </w:tc>
              <w:tc>
                <w:tcPr>
                  <w:tcW w:w="813" w:type="dxa"/>
                  <w:tcBorders>
                    <w:tl2br w:val="nil"/>
                    <w:tr2bl w:val="nil"/>
                  </w:tcBorders>
                  <w:vAlign w:val="center"/>
                </w:tcPr>
                <w:p w14:paraId="6778034A">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0.76</w:t>
                  </w:r>
                </w:p>
              </w:tc>
              <w:tc>
                <w:tcPr>
                  <w:tcW w:w="1025" w:type="dxa"/>
                  <w:tcBorders>
                    <w:tl2br w:val="nil"/>
                    <w:tr2bl w:val="nil"/>
                  </w:tcBorders>
                  <w:vAlign w:val="center"/>
                </w:tcPr>
                <w:p w14:paraId="1091054C">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S</w:t>
                  </w:r>
                </w:p>
              </w:tc>
              <w:tc>
                <w:tcPr>
                  <w:tcW w:w="862" w:type="dxa"/>
                  <w:tcBorders>
                    <w:tl2br w:val="nil"/>
                    <w:tr2bl w:val="nil"/>
                  </w:tcBorders>
                  <w:vAlign w:val="center"/>
                </w:tcPr>
                <w:p w14:paraId="57E87786">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1.07</w:t>
                  </w:r>
                </w:p>
              </w:tc>
              <w:tc>
                <w:tcPr>
                  <w:tcW w:w="750" w:type="dxa"/>
                  <w:tcBorders>
                    <w:tl2br w:val="nil"/>
                    <w:tr2bl w:val="nil"/>
                  </w:tcBorders>
                  <w:vAlign w:val="center"/>
                </w:tcPr>
                <w:p w14:paraId="0B24CCB5">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eastAsia" w:ascii="Times New Roman" w:hAnsi="Times New Roman" w:cs="Times New Roman"/>
                      <w:color w:val="auto"/>
                      <w:spacing w:val="0"/>
                      <w:position w:val="0"/>
                      <w:sz w:val="21"/>
                      <w:szCs w:val="21"/>
                      <w:highlight w:val="none"/>
                      <w:lang w:val="en-US" w:eastAsia="zh-CN"/>
                    </w:rPr>
                  </w:pPr>
                  <w:r>
                    <w:rPr>
                      <w:rFonts w:hint="eastAsia" w:ascii="Times New Roman" w:hAnsi="Times New Roman" w:cs="Times New Roman"/>
                      <w:color w:val="auto"/>
                      <w:spacing w:val="0"/>
                      <w:position w:val="0"/>
                      <w:sz w:val="21"/>
                      <w:szCs w:val="21"/>
                      <w:highlight w:val="none"/>
                      <w:lang w:val="en-US" w:eastAsia="zh-CN"/>
                    </w:rPr>
                    <w:t>水质</w:t>
                  </w:r>
                </w:p>
              </w:tc>
              <w:tc>
                <w:tcPr>
                  <w:tcW w:w="1505" w:type="dxa"/>
                  <w:tcBorders>
                    <w:tl2br w:val="nil"/>
                    <w:tr2bl w:val="nil"/>
                  </w:tcBorders>
                  <w:vAlign w:val="center"/>
                </w:tcPr>
                <w:p w14:paraId="52860DA5">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default" w:ascii="Times New Roman" w:hAnsi="Times New Roman" w:cs="Times New Roman"/>
                      <w:color w:val="auto"/>
                      <w:spacing w:val="0"/>
                      <w:position w:val="0"/>
                      <w:sz w:val="21"/>
                      <w:szCs w:val="21"/>
                      <w:highlight w:val="none"/>
                      <w:lang w:val="en-US" w:eastAsia="zh-CN"/>
                    </w:rPr>
                    <w:t>《地表水环境质量标准》（GB3838-2002）中Ⅳ类标准</w:t>
                  </w:r>
                </w:p>
              </w:tc>
            </w:tr>
            <w:tr w14:paraId="1E5FA4C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782" w:type="dxa"/>
                  <w:tcBorders>
                    <w:tl2br w:val="nil"/>
                    <w:tr2bl w:val="nil"/>
                  </w:tcBorders>
                  <w:vAlign w:val="center"/>
                </w:tcPr>
                <w:p w14:paraId="6830E8BB">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地下水</w:t>
                  </w:r>
                </w:p>
              </w:tc>
              <w:tc>
                <w:tcPr>
                  <w:tcW w:w="5650" w:type="dxa"/>
                  <w:gridSpan w:val="6"/>
                  <w:tcBorders>
                    <w:tl2br w:val="nil"/>
                    <w:tr2bl w:val="nil"/>
                  </w:tcBorders>
                  <w:vAlign w:val="center"/>
                </w:tcPr>
                <w:p w14:paraId="070A8E24">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eastAsia" w:ascii="Times New Roman" w:hAnsi="Times New Roman" w:cs="Times New Roman"/>
                      <w:color w:val="auto"/>
                      <w:spacing w:val="0"/>
                      <w:position w:val="0"/>
                      <w:sz w:val="21"/>
                      <w:szCs w:val="21"/>
                      <w:highlight w:val="none"/>
                      <w:lang w:val="en-US" w:eastAsia="zh-CN"/>
                    </w:rPr>
                  </w:pPr>
                  <w:r>
                    <w:rPr>
                      <w:rFonts w:hint="eastAsia" w:ascii="Times New Roman" w:hAnsi="Times New Roman" w:cs="Times New Roman"/>
                      <w:color w:val="auto"/>
                      <w:spacing w:val="0"/>
                      <w:position w:val="0"/>
                      <w:sz w:val="21"/>
                      <w:szCs w:val="21"/>
                      <w:highlight w:val="none"/>
                      <w:lang w:val="en-US" w:eastAsia="zh-CN"/>
                    </w:rPr>
                    <w:t>500m范围内涉及</w:t>
                  </w:r>
                  <w:r>
                    <w:rPr>
                      <w:rFonts w:hint="eastAsia" w:cs="Times New Roman"/>
                      <w:color w:val="auto"/>
                      <w:spacing w:val="0"/>
                      <w:position w:val="0"/>
                      <w:sz w:val="21"/>
                      <w:szCs w:val="21"/>
                      <w:highlight w:val="none"/>
                      <w:lang w:val="en-US" w:eastAsia="zh-CN"/>
                    </w:rPr>
                    <w:t>农村</w:t>
                  </w:r>
                  <w:r>
                    <w:rPr>
                      <w:rFonts w:hint="eastAsia" w:ascii="Times New Roman" w:hAnsi="Times New Roman" w:cs="Times New Roman"/>
                      <w:color w:val="auto"/>
                      <w:spacing w:val="0"/>
                      <w:position w:val="0"/>
                      <w:sz w:val="21"/>
                      <w:szCs w:val="21"/>
                      <w:highlight w:val="none"/>
                      <w:lang w:val="en-US" w:eastAsia="zh-CN"/>
                    </w:rPr>
                    <w:t>分散式水源井</w:t>
                  </w:r>
                </w:p>
              </w:tc>
              <w:tc>
                <w:tcPr>
                  <w:tcW w:w="1505" w:type="dxa"/>
                  <w:tcBorders>
                    <w:tl2br w:val="nil"/>
                    <w:tr2bl w:val="nil"/>
                  </w:tcBorders>
                  <w:vAlign w:val="center"/>
                </w:tcPr>
                <w:p w14:paraId="59E7F94B">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default" w:ascii="Times New Roman" w:hAnsi="Times New Roman" w:cs="Times New Roman"/>
                      <w:color w:val="auto"/>
                      <w:spacing w:val="0"/>
                      <w:position w:val="0"/>
                      <w:sz w:val="21"/>
                      <w:szCs w:val="21"/>
                      <w:highlight w:val="none"/>
                      <w:lang w:val="en-US" w:eastAsia="zh-CN"/>
                    </w:rPr>
                    <w:t>《地下水质量标准》（GB/T14848-2017）中Ⅲ类标准</w:t>
                  </w:r>
                </w:p>
              </w:tc>
            </w:tr>
          </w:tbl>
          <w:p w14:paraId="7D8430A5">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Times New Roman" w:hAnsi="Times New Roman" w:eastAsia="宋体" w:cs="Times New Roman"/>
                <w:color w:val="auto"/>
                <w:spacing w:val="0"/>
                <w:kern w:val="0"/>
                <w:position w:val="0"/>
                <w:szCs w:val="21"/>
                <w:highlight w:val="none"/>
                <w:lang w:eastAsia="zh-CN"/>
              </w:rPr>
            </w:pPr>
          </w:p>
        </w:tc>
      </w:tr>
      <w:tr w14:paraId="773E11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0" w:type="dxa"/>
            <w:tcMar>
              <w:left w:w="28" w:type="dxa"/>
              <w:right w:w="28" w:type="dxa"/>
            </w:tcMar>
            <w:vAlign w:val="center"/>
          </w:tcPr>
          <w:p w14:paraId="182ED0EB">
            <w:pPr>
              <w:adjustRightInd w:val="0"/>
              <w:snapToGrid w:val="0"/>
              <w:jc w:val="center"/>
              <w:rPr>
                <w:rFonts w:hint="default" w:ascii="Times New Roman" w:hAnsi="Times New Roman" w:cs="Times New Roman"/>
                <w:color w:val="auto"/>
                <w:spacing w:val="0"/>
                <w:kern w:val="0"/>
                <w:position w:val="0"/>
                <w:szCs w:val="21"/>
                <w:highlight w:val="none"/>
              </w:rPr>
            </w:pPr>
            <w:r>
              <w:rPr>
                <w:rFonts w:hint="default" w:ascii="Times New Roman" w:hAnsi="Times New Roman" w:cs="Times New Roman"/>
                <w:color w:val="auto"/>
                <w:spacing w:val="0"/>
                <w:kern w:val="0"/>
                <w:position w:val="0"/>
                <w:szCs w:val="21"/>
                <w:highlight w:val="none"/>
              </w:rPr>
              <w:t>污染</w:t>
            </w:r>
          </w:p>
          <w:p w14:paraId="4E50E444">
            <w:pPr>
              <w:adjustRightInd w:val="0"/>
              <w:snapToGrid w:val="0"/>
              <w:jc w:val="center"/>
              <w:rPr>
                <w:rFonts w:hint="default" w:ascii="Times New Roman" w:hAnsi="Times New Roman" w:cs="Times New Roman"/>
                <w:color w:val="auto"/>
                <w:spacing w:val="0"/>
                <w:kern w:val="0"/>
                <w:position w:val="0"/>
                <w:szCs w:val="21"/>
                <w:highlight w:val="none"/>
              </w:rPr>
            </w:pPr>
            <w:r>
              <w:rPr>
                <w:rFonts w:hint="default" w:ascii="Times New Roman" w:hAnsi="Times New Roman" w:cs="Times New Roman"/>
                <w:color w:val="auto"/>
                <w:spacing w:val="0"/>
                <w:kern w:val="0"/>
                <w:position w:val="0"/>
                <w:szCs w:val="21"/>
                <w:highlight w:val="none"/>
              </w:rPr>
              <w:t>物排</w:t>
            </w:r>
          </w:p>
          <w:p w14:paraId="42570596">
            <w:pPr>
              <w:adjustRightInd w:val="0"/>
              <w:snapToGrid w:val="0"/>
              <w:jc w:val="center"/>
              <w:rPr>
                <w:rFonts w:hint="default" w:ascii="Times New Roman" w:hAnsi="Times New Roman" w:cs="Times New Roman"/>
                <w:color w:val="auto"/>
                <w:spacing w:val="0"/>
                <w:kern w:val="0"/>
                <w:position w:val="0"/>
                <w:szCs w:val="21"/>
                <w:highlight w:val="none"/>
              </w:rPr>
            </w:pPr>
            <w:r>
              <w:rPr>
                <w:rFonts w:hint="default" w:ascii="Times New Roman" w:hAnsi="Times New Roman" w:cs="Times New Roman"/>
                <w:color w:val="auto"/>
                <w:spacing w:val="0"/>
                <w:kern w:val="0"/>
                <w:position w:val="0"/>
                <w:szCs w:val="21"/>
                <w:highlight w:val="none"/>
              </w:rPr>
              <w:t>放控</w:t>
            </w:r>
          </w:p>
          <w:p w14:paraId="54C765D1">
            <w:pPr>
              <w:adjustRightInd w:val="0"/>
              <w:snapToGrid w:val="0"/>
              <w:jc w:val="center"/>
              <w:rPr>
                <w:rFonts w:hint="default" w:ascii="Times New Roman" w:hAnsi="Times New Roman" w:cs="Times New Roman"/>
                <w:color w:val="auto"/>
                <w:spacing w:val="0"/>
                <w:kern w:val="0"/>
                <w:position w:val="0"/>
                <w:szCs w:val="21"/>
                <w:highlight w:val="none"/>
              </w:rPr>
            </w:pPr>
            <w:r>
              <w:rPr>
                <w:rFonts w:hint="default" w:ascii="Times New Roman" w:hAnsi="Times New Roman" w:cs="Times New Roman"/>
                <w:color w:val="auto"/>
                <w:spacing w:val="0"/>
                <w:kern w:val="0"/>
                <w:position w:val="0"/>
                <w:szCs w:val="21"/>
                <w:highlight w:val="none"/>
              </w:rPr>
              <w:t>制标</w:t>
            </w:r>
          </w:p>
          <w:p w14:paraId="03ED85A0">
            <w:pPr>
              <w:adjustRightInd w:val="0"/>
              <w:snapToGrid w:val="0"/>
              <w:jc w:val="center"/>
              <w:rPr>
                <w:rFonts w:hint="default" w:ascii="Times New Roman" w:hAnsi="Times New Roman" w:cs="Times New Roman"/>
                <w:color w:val="auto"/>
                <w:spacing w:val="0"/>
                <w:kern w:val="0"/>
                <w:position w:val="0"/>
                <w:szCs w:val="21"/>
                <w:highlight w:val="none"/>
              </w:rPr>
            </w:pPr>
            <w:r>
              <w:rPr>
                <w:rFonts w:hint="default" w:ascii="Times New Roman" w:hAnsi="Times New Roman" w:cs="Times New Roman"/>
                <w:color w:val="auto"/>
                <w:spacing w:val="0"/>
                <w:kern w:val="0"/>
                <w:position w:val="0"/>
                <w:szCs w:val="21"/>
                <w:highlight w:val="none"/>
              </w:rPr>
              <w:t>准</w:t>
            </w:r>
          </w:p>
        </w:tc>
        <w:tc>
          <w:tcPr>
            <w:tcW w:w="8190" w:type="dxa"/>
            <w:vAlign w:val="center"/>
          </w:tcPr>
          <w:p w14:paraId="7C151FAA">
            <w:pPr>
              <w:keepNext w:val="0"/>
              <w:keepLines w:val="0"/>
              <w:pageBreakBefore w:val="0"/>
              <w:widowControl w:val="0"/>
              <w:kinsoku/>
              <w:wordWrap/>
              <w:overflowPunct/>
              <w:topLinePunct w:val="0"/>
              <w:autoSpaceDE w:val="0"/>
              <w:autoSpaceDN w:val="0"/>
              <w:bidi w:val="0"/>
              <w:adjustRightInd w:val="0"/>
              <w:snapToGrid w:val="0"/>
              <w:spacing w:line="480" w:lineRule="exact"/>
              <w:ind w:firstLine="482" w:firstLineChars="200"/>
              <w:jc w:val="both"/>
              <w:textAlignment w:val="auto"/>
              <w:rPr>
                <w:rFonts w:hint="default" w:ascii="Times New Roman" w:hAnsi="Times New Roman" w:eastAsia="宋体" w:cs="Times New Roman"/>
                <w:b/>
                <w:bCs/>
                <w:color w:val="auto"/>
                <w:spacing w:val="0"/>
                <w:kern w:val="0"/>
                <w:position w:val="0"/>
                <w:sz w:val="24"/>
                <w:szCs w:val="24"/>
                <w:highlight w:val="none"/>
                <w:lang w:val="en-US" w:eastAsia="zh-CN"/>
              </w:rPr>
            </w:pPr>
            <w:r>
              <w:rPr>
                <w:rFonts w:hint="eastAsia" w:cs="Times New Roman"/>
                <w:b/>
                <w:bCs/>
                <w:color w:val="auto"/>
                <w:spacing w:val="0"/>
                <w:kern w:val="0"/>
                <w:position w:val="0"/>
                <w:sz w:val="24"/>
                <w:szCs w:val="24"/>
                <w:highlight w:val="none"/>
                <w:lang w:val="en-US" w:eastAsia="zh-CN"/>
              </w:rPr>
              <w:t>3.10</w:t>
            </w:r>
            <w:r>
              <w:rPr>
                <w:rFonts w:hint="eastAsia" w:ascii="Times New Roman" w:hAnsi="Times New Roman" w:eastAsia="宋体" w:cs="Times New Roman"/>
                <w:b/>
                <w:bCs/>
                <w:color w:val="auto"/>
                <w:spacing w:val="0"/>
                <w:kern w:val="0"/>
                <w:position w:val="0"/>
                <w:sz w:val="24"/>
                <w:szCs w:val="24"/>
                <w:highlight w:val="none"/>
                <w:lang w:val="en-US" w:eastAsia="zh-CN"/>
              </w:rPr>
              <w:t xml:space="preserve"> </w:t>
            </w:r>
            <w:r>
              <w:rPr>
                <w:rFonts w:hint="default" w:ascii="Times New Roman" w:hAnsi="Times New Roman" w:eastAsia="宋体" w:cs="Times New Roman"/>
                <w:b/>
                <w:bCs/>
                <w:color w:val="auto"/>
                <w:spacing w:val="0"/>
                <w:kern w:val="0"/>
                <w:position w:val="0"/>
                <w:sz w:val="24"/>
                <w:szCs w:val="24"/>
                <w:highlight w:val="none"/>
                <w:lang w:val="en-US" w:eastAsia="zh-CN"/>
              </w:rPr>
              <w:t>废气</w:t>
            </w:r>
          </w:p>
          <w:p w14:paraId="25C50215">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color w:val="auto"/>
                <w:spacing w:val="0"/>
                <w:position w:val="0"/>
                <w:sz w:val="24"/>
                <w:highlight w:val="none"/>
              </w:rPr>
            </w:pPr>
            <w:r>
              <w:rPr>
                <w:rFonts w:hint="default" w:ascii="Times New Roman" w:hAnsi="Times New Roman" w:eastAsia="宋体" w:cs="Times New Roman"/>
                <w:color w:val="auto"/>
                <w:spacing w:val="0"/>
                <w:position w:val="0"/>
                <w:sz w:val="24"/>
                <w:highlight w:val="none"/>
              </w:rPr>
              <w:t>本项目</w:t>
            </w:r>
            <w:r>
              <w:rPr>
                <w:rFonts w:hint="default" w:ascii="Times New Roman" w:hAnsi="Times New Roman" w:eastAsia="宋体" w:cs="Times New Roman"/>
                <w:color w:val="auto"/>
                <w:spacing w:val="0"/>
                <w:position w:val="0"/>
                <w:sz w:val="24"/>
                <w:highlight w:val="none"/>
                <w:lang w:val="en-US" w:eastAsia="zh-CN"/>
              </w:rPr>
              <w:t>无组织</w:t>
            </w:r>
            <w:r>
              <w:rPr>
                <w:rFonts w:hint="eastAsia" w:ascii="Times New Roman" w:hAnsi="Times New Roman" w:eastAsia="宋体" w:cs="Times New Roman"/>
                <w:color w:val="auto"/>
                <w:spacing w:val="0"/>
                <w:position w:val="0"/>
                <w:sz w:val="24"/>
                <w:highlight w:val="none"/>
                <w:lang w:val="en-US" w:eastAsia="zh-CN"/>
              </w:rPr>
              <w:t>颗粒物</w:t>
            </w:r>
            <w:r>
              <w:rPr>
                <w:rFonts w:hint="default" w:ascii="Times New Roman" w:hAnsi="Times New Roman" w:eastAsia="宋体" w:cs="Times New Roman"/>
                <w:color w:val="auto"/>
                <w:spacing w:val="0"/>
                <w:position w:val="0"/>
                <w:sz w:val="24"/>
                <w:highlight w:val="none"/>
              </w:rPr>
              <w:t>排放浓度</w:t>
            </w:r>
            <w:r>
              <w:rPr>
                <w:rFonts w:hint="default" w:ascii="Times New Roman" w:hAnsi="Times New Roman" w:eastAsia="宋体" w:cs="Times New Roman"/>
                <w:color w:val="auto"/>
                <w:spacing w:val="0"/>
                <w:position w:val="0"/>
                <w:sz w:val="24"/>
                <w:highlight w:val="none"/>
                <w:lang w:val="en-US" w:eastAsia="zh-CN"/>
              </w:rPr>
              <w:t>执行《煤炭洗选行业污染物排放标准》（DB14/2270-2021）表2中标准限值</w:t>
            </w:r>
            <w:r>
              <w:rPr>
                <w:rFonts w:hint="eastAsia" w:ascii="Times New Roman" w:hAnsi="Times New Roman" w:eastAsia="宋体" w:cs="Times New Roman"/>
                <w:color w:val="auto"/>
                <w:spacing w:val="0"/>
                <w:position w:val="0"/>
                <w:sz w:val="24"/>
                <w:highlight w:val="none"/>
                <w:lang w:val="en-US" w:eastAsia="zh-CN"/>
              </w:rPr>
              <w:t>。</w:t>
            </w:r>
          </w:p>
          <w:p w14:paraId="530756EB">
            <w:pPr>
              <w:spacing w:line="480" w:lineRule="exact"/>
              <w:ind w:right="-40"/>
              <w:jc w:val="center"/>
              <w:rPr>
                <w:rFonts w:hint="default" w:ascii="Times New Roman" w:hAnsi="Times New Roman" w:eastAsia="黑体" w:cs="Times New Roman"/>
                <w:bCs/>
                <w:color w:val="auto"/>
                <w:spacing w:val="0"/>
                <w:position w:val="0"/>
                <w:sz w:val="21"/>
                <w:szCs w:val="21"/>
                <w:highlight w:val="none"/>
                <w:lang w:val="en-US" w:eastAsia="zh-CN"/>
              </w:rPr>
            </w:pPr>
            <w:r>
              <w:rPr>
                <w:rFonts w:hint="default" w:ascii="Times New Roman" w:hAnsi="Times New Roman" w:eastAsia="黑体" w:cs="Times New Roman"/>
                <w:bCs/>
                <w:color w:val="auto"/>
                <w:spacing w:val="0"/>
                <w:position w:val="0"/>
                <w:sz w:val="21"/>
                <w:szCs w:val="21"/>
                <w:highlight w:val="none"/>
                <w:lang w:val="en-US" w:eastAsia="zh-CN"/>
              </w:rPr>
              <w:t>表3</w:t>
            </w:r>
            <w:r>
              <w:rPr>
                <w:rFonts w:hint="eastAsia" w:ascii="Times New Roman" w:hAnsi="Times New Roman" w:eastAsia="黑体" w:cs="Times New Roman"/>
                <w:bCs/>
                <w:color w:val="auto"/>
                <w:spacing w:val="0"/>
                <w:position w:val="0"/>
                <w:sz w:val="21"/>
                <w:szCs w:val="21"/>
                <w:highlight w:val="none"/>
                <w:lang w:val="en-US" w:eastAsia="zh-CN"/>
              </w:rPr>
              <w:t>.10</w:t>
            </w:r>
            <w:r>
              <w:rPr>
                <w:rFonts w:hint="eastAsia" w:eastAsia="黑体" w:cs="Times New Roman"/>
                <w:bCs/>
                <w:color w:val="auto"/>
                <w:spacing w:val="0"/>
                <w:position w:val="0"/>
                <w:sz w:val="21"/>
                <w:szCs w:val="21"/>
                <w:highlight w:val="none"/>
                <w:lang w:val="en-US" w:eastAsia="zh-CN"/>
              </w:rPr>
              <w:t>-1</w:t>
            </w:r>
            <w:r>
              <w:rPr>
                <w:rFonts w:hint="default" w:ascii="Times New Roman" w:hAnsi="Times New Roman" w:eastAsia="黑体" w:cs="Times New Roman"/>
                <w:bCs/>
                <w:color w:val="auto"/>
                <w:spacing w:val="0"/>
                <w:position w:val="0"/>
                <w:sz w:val="21"/>
                <w:szCs w:val="21"/>
                <w:highlight w:val="none"/>
                <w:lang w:val="en-US" w:eastAsia="zh-CN"/>
              </w:rPr>
              <w:t xml:space="preserve"> 《煤炭洗选行业污染物排放标准》（DB14/2270-2021）</w:t>
            </w:r>
          </w:p>
          <w:tbl>
            <w:tblPr>
              <w:tblStyle w:val="26"/>
              <w:tblW w:w="79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Layout w:type="fixed"/>
              <w:tblCellMar>
                <w:top w:w="0" w:type="dxa"/>
                <w:left w:w="108" w:type="dxa"/>
                <w:bottom w:w="0" w:type="dxa"/>
                <w:right w:w="108" w:type="dxa"/>
              </w:tblCellMar>
            </w:tblPr>
            <w:tblGrid>
              <w:gridCol w:w="2063"/>
              <w:gridCol w:w="2434"/>
              <w:gridCol w:w="3440"/>
            </w:tblGrid>
            <w:tr w14:paraId="2595FC71">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cantSplit/>
                <w:trHeight w:val="340" w:hRule="atLeast"/>
                <w:jc w:val="center"/>
              </w:trPr>
              <w:tc>
                <w:tcPr>
                  <w:tcW w:w="2063" w:type="dxa"/>
                  <w:tcBorders>
                    <w:tl2br w:val="nil"/>
                    <w:tr2bl w:val="nil"/>
                  </w:tcBorders>
                  <w:vAlign w:val="center"/>
                </w:tcPr>
                <w:p w14:paraId="6B367964">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kern w:val="2"/>
                      <w:position w:val="0"/>
                      <w:sz w:val="21"/>
                      <w:szCs w:val="21"/>
                      <w:highlight w:val="none"/>
                      <w:lang w:val="en-US" w:eastAsia="zh-CN" w:bidi="ar-SA"/>
                    </w:rPr>
                  </w:pPr>
                  <w:r>
                    <w:rPr>
                      <w:rFonts w:hint="default" w:ascii="Times New Roman" w:hAnsi="Times New Roman" w:cs="Times New Roman"/>
                      <w:color w:val="auto"/>
                      <w:spacing w:val="0"/>
                      <w:position w:val="0"/>
                      <w:sz w:val="21"/>
                      <w:szCs w:val="21"/>
                      <w:highlight w:val="none"/>
                    </w:rPr>
                    <w:t>污染物</w:t>
                  </w:r>
                </w:p>
              </w:tc>
              <w:tc>
                <w:tcPr>
                  <w:tcW w:w="2434" w:type="dxa"/>
                  <w:tcBorders>
                    <w:tl2br w:val="nil"/>
                    <w:tr2bl w:val="nil"/>
                  </w:tcBorders>
                  <w:vAlign w:val="center"/>
                </w:tcPr>
                <w:p w14:paraId="7F4CD19E">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kern w:val="2"/>
                      <w:position w:val="0"/>
                      <w:sz w:val="21"/>
                      <w:szCs w:val="21"/>
                      <w:highlight w:val="none"/>
                      <w:lang w:val="en-US" w:eastAsia="zh-CN" w:bidi="ar-SA"/>
                    </w:rPr>
                  </w:pPr>
                  <w:r>
                    <w:rPr>
                      <w:rFonts w:hint="eastAsia" w:cs="Times New Roman"/>
                      <w:color w:val="auto"/>
                      <w:spacing w:val="0"/>
                      <w:position w:val="0"/>
                      <w:sz w:val="21"/>
                      <w:szCs w:val="21"/>
                      <w:highlight w:val="none"/>
                      <w:lang w:val="en-US" w:eastAsia="zh-CN"/>
                    </w:rPr>
                    <w:t>监控点</w:t>
                  </w:r>
                </w:p>
              </w:tc>
              <w:tc>
                <w:tcPr>
                  <w:tcW w:w="3440" w:type="dxa"/>
                  <w:tcBorders>
                    <w:tl2br w:val="nil"/>
                    <w:tr2bl w:val="nil"/>
                  </w:tcBorders>
                  <w:vAlign w:val="center"/>
                </w:tcPr>
                <w:p w14:paraId="4CE56CDA">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eastAsia" w:cs="Times New Roman"/>
                      <w:color w:val="auto"/>
                      <w:spacing w:val="0"/>
                      <w:kern w:val="2"/>
                      <w:position w:val="0"/>
                      <w:sz w:val="21"/>
                      <w:szCs w:val="21"/>
                      <w:highlight w:val="none"/>
                      <w:lang w:val="en-US" w:eastAsia="zh-CN" w:bidi="ar-SA"/>
                    </w:rPr>
                  </w:pPr>
                  <w:r>
                    <w:rPr>
                      <w:rFonts w:hint="eastAsia" w:cs="Times New Roman"/>
                      <w:color w:val="auto"/>
                      <w:spacing w:val="0"/>
                      <w:kern w:val="2"/>
                      <w:position w:val="0"/>
                      <w:sz w:val="21"/>
                      <w:szCs w:val="21"/>
                      <w:highlight w:val="none"/>
                      <w:lang w:val="en-US" w:eastAsia="zh-CN" w:bidi="ar-SA"/>
                    </w:rPr>
                    <w:t>装卸场所、贮存场所</w:t>
                  </w:r>
                </w:p>
                <w:p w14:paraId="1E36B6F5">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eastAsia" w:ascii="Times New Roman" w:hAnsi="Times New Roman" w:cs="Times New Roman"/>
                      <w:color w:val="auto"/>
                      <w:spacing w:val="0"/>
                      <w:position w:val="0"/>
                      <w:sz w:val="21"/>
                      <w:szCs w:val="21"/>
                      <w:highlight w:val="none"/>
                      <w:lang w:val="en-US" w:eastAsia="zh-CN"/>
                    </w:rPr>
                  </w:pPr>
                  <w:r>
                    <w:rPr>
                      <w:rFonts w:hint="eastAsia" w:cs="Times New Roman"/>
                      <w:color w:val="auto"/>
                      <w:spacing w:val="0"/>
                      <w:kern w:val="2"/>
                      <w:position w:val="0"/>
                      <w:sz w:val="21"/>
                      <w:szCs w:val="21"/>
                      <w:highlight w:val="none"/>
                      <w:lang w:val="en-US" w:eastAsia="zh-CN" w:bidi="ar-SA"/>
                    </w:rPr>
                    <w:t>（监控点与参考点浓度差值）</w:t>
                  </w:r>
                </w:p>
              </w:tc>
            </w:tr>
            <w:tr w14:paraId="0AEA2055">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340" w:hRule="atLeast"/>
                <w:jc w:val="center"/>
              </w:trPr>
              <w:tc>
                <w:tcPr>
                  <w:tcW w:w="2063" w:type="dxa"/>
                  <w:tcBorders>
                    <w:tl2br w:val="nil"/>
                    <w:tr2bl w:val="nil"/>
                  </w:tcBorders>
                  <w:vAlign w:val="center"/>
                </w:tcPr>
                <w:p w14:paraId="1D17EABD">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eastAsia" w:ascii="Times New Roman" w:hAnsi="Times New Roman" w:eastAsia="宋体" w:cs="Times New Roman"/>
                      <w:color w:val="auto"/>
                      <w:spacing w:val="0"/>
                      <w:kern w:val="2"/>
                      <w:position w:val="0"/>
                      <w:sz w:val="21"/>
                      <w:szCs w:val="21"/>
                      <w:highlight w:val="none"/>
                      <w:lang w:val="en-US" w:eastAsia="zh-CN" w:bidi="ar-SA"/>
                    </w:rPr>
                  </w:pPr>
                  <w:r>
                    <w:rPr>
                      <w:rFonts w:hint="default" w:ascii="Times New Roman" w:hAnsi="Times New Roman" w:cs="Times New Roman"/>
                      <w:color w:val="auto"/>
                      <w:spacing w:val="0"/>
                      <w:position w:val="0"/>
                      <w:sz w:val="21"/>
                      <w:szCs w:val="21"/>
                      <w:highlight w:val="none"/>
                    </w:rPr>
                    <w:t>颗粒物</w:t>
                  </w:r>
                  <w:r>
                    <w:rPr>
                      <w:rFonts w:hint="eastAsia" w:cs="Times New Roman"/>
                      <w:color w:val="auto"/>
                      <w:spacing w:val="0"/>
                      <w:position w:val="0"/>
                      <w:sz w:val="21"/>
                      <w:szCs w:val="21"/>
                      <w:highlight w:val="none"/>
                      <w:lang w:eastAsia="zh-CN"/>
                    </w:rPr>
                    <w:t>（</w:t>
                  </w:r>
                  <w:r>
                    <w:rPr>
                      <w:rFonts w:hint="eastAsia" w:cs="Times New Roman"/>
                      <w:color w:val="auto"/>
                      <w:spacing w:val="0"/>
                      <w:position w:val="0"/>
                      <w:sz w:val="21"/>
                      <w:szCs w:val="21"/>
                      <w:highlight w:val="none"/>
                      <w:lang w:val="en-US" w:eastAsia="zh-CN"/>
                    </w:rPr>
                    <w:t>mg/m³</w:t>
                  </w:r>
                  <w:r>
                    <w:rPr>
                      <w:rFonts w:hint="eastAsia" w:cs="Times New Roman"/>
                      <w:color w:val="auto"/>
                      <w:spacing w:val="0"/>
                      <w:position w:val="0"/>
                      <w:sz w:val="21"/>
                      <w:szCs w:val="21"/>
                      <w:highlight w:val="none"/>
                      <w:lang w:eastAsia="zh-CN"/>
                    </w:rPr>
                    <w:t>）</w:t>
                  </w:r>
                </w:p>
              </w:tc>
              <w:tc>
                <w:tcPr>
                  <w:tcW w:w="2434" w:type="dxa"/>
                  <w:tcBorders>
                    <w:tl2br w:val="nil"/>
                    <w:tr2bl w:val="nil"/>
                  </w:tcBorders>
                  <w:vAlign w:val="center"/>
                </w:tcPr>
                <w:p w14:paraId="0098E299">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eastAsia" w:cs="Times New Roman"/>
                      <w:color w:val="auto"/>
                      <w:spacing w:val="0"/>
                      <w:kern w:val="2"/>
                      <w:position w:val="0"/>
                      <w:sz w:val="21"/>
                      <w:szCs w:val="21"/>
                      <w:highlight w:val="none"/>
                      <w:lang w:val="en-US" w:eastAsia="zh-CN" w:bidi="ar-SA"/>
                    </w:rPr>
                    <w:t>周界外浓度任意点</w:t>
                  </w:r>
                </w:p>
              </w:tc>
              <w:tc>
                <w:tcPr>
                  <w:tcW w:w="3440" w:type="dxa"/>
                  <w:tcBorders>
                    <w:tl2br w:val="nil"/>
                    <w:tr2bl w:val="nil"/>
                  </w:tcBorders>
                  <w:vAlign w:val="center"/>
                </w:tcPr>
                <w:p w14:paraId="33724DA8">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eastAsia"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1.0</w:t>
                  </w:r>
                </w:p>
              </w:tc>
            </w:tr>
          </w:tbl>
          <w:p w14:paraId="79F04313">
            <w:pPr>
              <w:keepNext w:val="0"/>
              <w:keepLines w:val="0"/>
              <w:pageBreakBefore w:val="0"/>
              <w:widowControl w:val="0"/>
              <w:kinsoku/>
              <w:wordWrap/>
              <w:overflowPunct/>
              <w:topLinePunct w:val="0"/>
              <w:autoSpaceDE w:val="0"/>
              <w:autoSpaceDN w:val="0"/>
              <w:bidi w:val="0"/>
              <w:adjustRightInd w:val="0"/>
              <w:snapToGrid w:val="0"/>
              <w:spacing w:line="480" w:lineRule="exact"/>
              <w:ind w:firstLine="482" w:firstLineChars="200"/>
              <w:jc w:val="both"/>
              <w:textAlignment w:val="auto"/>
              <w:rPr>
                <w:rFonts w:hint="default" w:ascii="Times New Roman" w:hAnsi="Times New Roman" w:eastAsia="宋体" w:cs="Times New Roman"/>
                <w:b/>
                <w:bCs/>
                <w:color w:val="auto"/>
                <w:spacing w:val="0"/>
                <w:kern w:val="0"/>
                <w:position w:val="0"/>
                <w:sz w:val="24"/>
                <w:szCs w:val="24"/>
                <w:highlight w:val="none"/>
                <w:lang w:val="en-US" w:eastAsia="zh-CN"/>
              </w:rPr>
            </w:pPr>
            <w:r>
              <w:rPr>
                <w:rFonts w:hint="eastAsia" w:ascii="Times New Roman" w:hAnsi="Times New Roman" w:eastAsia="宋体" w:cs="Times New Roman"/>
                <w:b/>
                <w:bCs/>
                <w:color w:val="auto"/>
                <w:spacing w:val="0"/>
                <w:kern w:val="0"/>
                <w:position w:val="0"/>
                <w:sz w:val="24"/>
                <w:szCs w:val="24"/>
                <w:highlight w:val="none"/>
                <w:lang w:val="en-US" w:eastAsia="zh-CN"/>
              </w:rPr>
              <w:t>3.1</w:t>
            </w:r>
            <w:r>
              <w:rPr>
                <w:rFonts w:hint="eastAsia" w:cs="Times New Roman"/>
                <w:b/>
                <w:bCs/>
                <w:color w:val="auto"/>
                <w:spacing w:val="0"/>
                <w:kern w:val="0"/>
                <w:position w:val="0"/>
                <w:sz w:val="24"/>
                <w:szCs w:val="24"/>
                <w:highlight w:val="none"/>
                <w:lang w:val="en-US" w:eastAsia="zh-CN"/>
              </w:rPr>
              <w:t>1</w:t>
            </w:r>
            <w:r>
              <w:rPr>
                <w:rFonts w:hint="eastAsia" w:ascii="Times New Roman" w:hAnsi="Times New Roman" w:eastAsia="宋体" w:cs="Times New Roman"/>
                <w:b/>
                <w:bCs/>
                <w:color w:val="auto"/>
                <w:spacing w:val="0"/>
                <w:kern w:val="0"/>
                <w:position w:val="0"/>
                <w:sz w:val="24"/>
                <w:szCs w:val="24"/>
                <w:highlight w:val="none"/>
                <w:lang w:val="en-US" w:eastAsia="zh-CN"/>
              </w:rPr>
              <w:t xml:space="preserve"> </w:t>
            </w:r>
            <w:r>
              <w:rPr>
                <w:rFonts w:hint="default" w:ascii="Times New Roman" w:hAnsi="Times New Roman" w:eastAsia="宋体" w:cs="Times New Roman"/>
                <w:b/>
                <w:bCs/>
                <w:color w:val="auto"/>
                <w:spacing w:val="0"/>
                <w:kern w:val="0"/>
                <w:position w:val="0"/>
                <w:sz w:val="24"/>
                <w:szCs w:val="24"/>
                <w:highlight w:val="none"/>
                <w:lang w:val="en-US" w:eastAsia="zh-CN"/>
              </w:rPr>
              <w:t>噪声</w:t>
            </w:r>
          </w:p>
          <w:p w14:paraId="13996285">
            <w:pPr>
              <w:keepNext w:val="0"/>
              <w:keepLines w:val="0"/>
              <w:pageBreakBefore w:val="0"/>
              <w:widowControl w:val="0"/>
              <w:kinsoku/>
              <w:wordWrap/>
              <w:overflowPunct/>
              <w:topLinePunct w:val="0"/>
              <w:autoSpaceDE/>
              <w:autoSpaceDN/>
              <w:bidi w:val="0"/>
              <w:adjustRightInd w:val="0"/>
              <w:snapToGrid w:val="0"/>
              <w:spacing w:line="460" w:lineRule="exact"/>
              <w:ind w:firstLine="48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施工期噪声执行《建筑施工噪声排放标准》（GB12523-20</w:t>
            </w:r>
            <w:r>
              <w:rPr>
                <w:rFonts w:hint="eastAsia" w:cs="Times New Roman"/>
                <w:color w:val="auto"/>
                <w:sz w:val="24"/>
                <w:highlight w:val="none"/>
                <w:lang w:val="en-US" w:eastAsia="zh-CN"/>
              </w:rPr>
              <w:t>25</w:t>
            </w:r>
            <w:r>
              <w:rPr>
                <w:rFonts w:hint="default" w:ascii="Times New Roman" w:hAnsi="Times New Roman" w:eastAsia="宋体" w:cs="Times New Roman"/>
                <w:color w:val="auto"/>
                <w:sz w:val="24"/>
                <w:highlight w:val="none"/>
                <w:lang w:val="en-US" w:eastAsia="zh-CN"/>
              </w:rPr>
              <w:t>），具体为：</w:t>
            </w:r>
          </w:p>
          <w:p w14:paraId="6B334C8C">
            <w:pPr>
              <w:spacing w:line="480" w:lineRule="exact"/>
              <w:ind w:right="-40"/>
              <w:jc w:val="center"/>
              <w:rPr>
                <w:rFonts w:hint="default" w:ascii="Times New Roman" w:hAnsi="Times New Roman" w:eastAsia="黑体" w:cs="Times New Roman"/>
                <w:bCs/>
                <w:color w:val="auto"/>
                <w:spacing w:val="0"/>
                <w:position w:val="0"/>
                <w:sz w:val="21"/>
                <w:szCs w:val="21"/>
                <w:highlight w:val="none"/>
                <w:lang w:val="en-US" w:eastAsia="zh-CN"/>
              </w:rPr>
            </w:pPr>
            <w:r>
              <w:rPr>
                <w:rFonts w:hint="default" w:ascii="Times New Roman" w:hAnsi="Times New Roman" w:eastAsia="黑体" w:cs="Times New Roman"/>
                <w:bCs/>
                <w:color w:val="auto"/>
                <w:spacing w:val="0"/>
                <w:position w:val="0"/>
                <w:sz w:val="21"/>
                <w:szCs w:val="21"/>
                <w:highlight w:val="none"/>
                <w:lang w:val="en-US" w:eastAsia="zh-CN"/>
              </w:rPr>
              <w:t>表</w:t>
            </w:r>
            <w:r>
              <w:rPr>
                <w:rFonts w:hint="eastAsia" w:eastAsia="黑体" w:cs="Times New Roman"/>
                <w:bCs/>
                <w:color w:val="auto"/>
                <w:spacing w:val="0"/>
                <w:position w:val="0"/>
                <w:sz w:val="21"/>
                <w:szCs w:val="21"/>
                <w:highlight w:val="none"/>
                <w:lang w:val="en-US" w:eastAsia="zh-CN"/>
              </w:rPr>
              <w:t>3.11-1</w:t>
            </w:r>
            <w:r>
              <w:rPr>
                <w:rFonts w:hint="default" w:ascii="Times New Roman" w:hAnsi="Times New Roman" w:eastAsia="黑体" w:cs="Times New Roman"/>
                <w:bCs/>
                <w:color w:val="auto"/>
                <w:spacing w:val="0"/>
                <w:position w:val="0"/>
                <w:sz w:val="21"/>
                <w:szCs w:val="21"/>
                <w:highlight w:val="none"/>
                <w:lang w:val="en-US" w:eastAsia="zh-CN"/>
              </w:rPr>
              <w:t xml:space="preserve">  《建筑施工噪声排放标准》（GB12523-20</w:t>
            </w:r>
            <w:r>
              <w:rPr>
                <w:rFonts w:hint="eastAsia" w:eastAsia="黑体" w:cs="Times New Roman"/>
                <w:bCs/>
                <w:color w:val="auto"/>
                <w:spacing w:val="0"/>
                <w:position w:val="0"/>
                <w:sz w:val="21"/>
                <w:szCs w:val="21"/>
                <w:highlight w:val="none"/>
                <w:lang w:val="en-US" w:eastAsia="zh-CN"/>
              </w:rPr>
              <w:t>25</w:t>
            </w:r>
            <w:r>
              <w:rPr>
                <w:rFonts w:hint="default" w:ascii="Times New Roman" w:hAnsi="Times New Roman" w:eastAsia="黑体" w:cs="Times New Roman"/>
                <w:bCs/>
                <w:color w:val="auto"/>
                <w:spacing w:val="0"/>
                <w:position w:val="0"/>
                <w:sz w:val="21"/>
                <w:szCs w:val="21"/>
                <w:highlight w:val="none"/>
                <w:lang w:val="en-US" w:eastAsia="zh-CN"/>
              </w:rPr>
              <w:t>）</w:t>
            </w:r>
          </w:p>
          <w:tbl>
            <w:tblPr>
              <w:tblStyle w:val="26"/>
              <w:tblW w:w="493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81"/>
              <w:gridCol w:w="3879"/>
            </w:tblGrid>
            <w:tr w14:paraId="11E93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532" w:type="pct"/>
                  <w:tcBorders>
                    <w:tl2br w:val="nil"/>
                    <w:tr2bl w:val="nil"/>
                  </w:tcBorders>
                  <w:noWrap w:val="0"/>
                  <w:vAlign w:val="center"/>
                </w:tcPr>
                <w:p w14:paraId="0791BB2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昼间</w:t>
                  </w:r>
                </w:p>
              </w:tc>
              <w:tc>
                <w:tcPr>
                  <w:tcW w:w="2467" w:type="pct"/>
                  <w:tcBorders>
                    <w:tl2br w:val="nil"/>
                    <w:tr2bl w:val="nil"/>
                  </w:tcBorders>
                  <w:noWrap w:val="0"/>
                  <w:vAlign w:val="center"/>
                </w:tcPr>
                <w:p w14:paraId="10928E0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夜间</w:t>
                  </w:r>
                </w:p>
              </w:tc>
            </w:tr>
            <w:tr w14:paraId="31277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532" w:type="pct"/>
                  <w:tcBorders>
                    <w:tl2br w:val="nil"/>
                    <w:tr2bl w:val="nil"/>
                  </w:tcBorders>
                  <w:noWrap w:val="0"/>
                  <w:vAlign w:val="center"/>
                </w:tcPr>
                <w:p w14:paraId="395D535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70dB(A)</w:t>
                  </w:r>
                </w:p>
              </w:tc>
              <w:tc>
                <w:tcPr>
                  <w:tcW w:w="2467" w:type="pct"/>
                  <w:tcBorders>
                    <w:tl2br w:val="nil"/>
                    <w:tr2bl w:val="nil"/>
                  </w:tcBorders>
                  <w:noWrap w:val="0"/>
                  <w:vAlign w:val="center"/>
                </w:tcPr>
                <w:p w14:paraId="4F94DE1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55dB(A)</w:t>
                  </w:r>
                </w:p>
              </w:tc>
            </w:tr>
          </w:tbl>
          <w:p w14:paraId="6E39DF96">
            <w:pPr>
              <w:keepNext w:val="0"/>
              <w:keepLines w:val="0"/>
              <w:pageBreakBefore w:val="0"/>
              <w:widowControl w:val="0"/>
              <w:kinsoku/>
              <w:wordWrap/>
              <w:overflowPunct/>
              <w:topLinePunct w:val="0"/>
              <w:autoSpaceDE/>
              <w:autoSpaceDN/>
              <w:bidi w:val="0"/>
              <w:adjustRightInd w:val="0"/>
              <w:snapToGrid w:val="0"/>
              <w:spacing w:line="460" w:lineRule="exact"/>
              <w:ind w:firstLine="48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本项目运营期执行《工业企业厂界环境噪声排放标准》</w:t>
            </w:r>
            <w:r>
              <w:rPr>
                <w:rFonts w:hint="eastAsia" w:ascii="Times New Roman" w:hAnsi="Times New Roman" w:eastAsia="宋体"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GB12348-2008</w:t>
            </w:r>
            <w:r>
              <w:rPr>
                <w:rFonts w:hint="eastAsia" w:ascii="Times New Roman" w:hAnsi="Times New Roman" w:eastAsia="宋体"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中</w:t>
            </w:r>
            <w:r>
              <w:rPr>
                <w:rFonts w:hint="eastAsia" w:cs="Times New Roman"/>
                <w:color w:val="auto"/>
                <w:sz w:val="24"/>
                <w:highlight w:val="none"/>
                <w:lang w:val="en-US" w:eastAsia="zh-CN"/>
              </w:rPr>
              <w:t>2</w:t>
            </w:r>
            <w:r>
              <w:rPr>
                <w:rFonts w:hint="default" w:ascii="Times New Roman" w:hAnsi="Times New Roman" w:eastAsia="宋体" w:cs="Times New Roman"/>
                <w:color w:val="auto"/>
                <w:sz w:val="24"/>
                <w:highlight w:val="none"/>
                <w:lang w:val="en-US" w:eastAsia="zh-CN"/>
              </w:rPr>
              <w:t>类标准，具体为：</w:t>
            </w:r>
          </w:p>
          <w:p w14:paraId="189F855D">
            <w:pPr>
              <w:spacing w:line="480" w:lineRule="exact"/>
              <w:ind w:right="-40"/>
              <w:jc w:val="center"/>
              <w:rPr>
                <w:rFonts w:hint="default" w:ascii="Times New Roman" w:hAnsi="Times New Roman" w:eastAsia="黑体" w:cs="Times New Roman"/>
                <w:bCs/>
                <w:color w:val="auto"/>
                <w:spacing w:val="0"/>
                <w:position w:val="0"/>
                <w:sz w:val="21"/>
                <w:szCs w:val="21"/>
                <w:highlight w:val="none"/>
                <w:lang w:val="en-US" w:eastAsia="zh-CN"/>
              </w:rPr>
            </w:pPr>
            <w:r>
              <w:rPr>
                <w:rFonts w:hint="default" w:ascii="Times New Roman" w:hAnsi="Times New Roman" w:eastAsia="黑体" w:cs="Times New Roman"/>
                <w:bCs/>
                <w:color w:val="auto"/>
                <w:spacing w:val="0"/>
                <w:position w:val="0"/>
                <w:sz w:val="21"/>
                <w:szCs w:val="21"/>
                <w:highlight w:val="none"/>
                <w:lang w:val="en-US" w:eastAsia="zh-CN"/>
              </w:rPr>
              <w:t>表</w:t>
            </w:r>
            <w:r>
              <w:rPr>
                <w:rFonts w:hint="eastAsia" w:eastAsia="黑体" w:cs="Times New Roman"/>
                <w:bCs/>
                <w:color w:val="auto"/>
                <w:spacing w:val="0"/>
                <w:position w:val="0"/>
                <w:sz w:val="21"/>
                <w:szCs w:val="21"/>
                <w:highlight w:val="none"/>
                <w:lang w:val="en-US" w:eastAsia="zh-CN"/>
              </w:rPr>
              <w:t>3.11-2</w:t>
            </w:r>
            <w:r>
              <w:rPr>
                <w:rFonts w:hint="default" w:ascii="Times New Roman" w:hAnsi="Times New Roman" w:eastAsia="黑体" w:cs="Times New Roman"/>
                <w:bCs/>
                <w:color w:val="auto"/>
                <w:spacing w:val="0"/>
                <w:position w:val="0"/>
                <w:sz w:val="21"/>
                <w:szCs w:val="21"/>
                <w:highlight w:val="none"/>
                <w:lang w:val="en-US" w:eastAsia="zh-CN"/>
              </w:rPr>
              <w:t xml:space="preserve">  </w:t>
            </w:r>
            <w:r>
              <w:rPr>
                <w:rFonts w:hint="eastAsia" w:eastAsia="黑体" w:cs="Times New Roman"/>
                <w:bCs/>
                <w:color w:val="auto"/>
                <w:spacing w:val="0"/>
                <w:position w:val="0"/>
                <w:sz w:val="21"/>
                <w:szCs w:val="21"/>
                <w:highlight w:val="none"/>
                <w:lang w:val="en-US" w:eastAsia="zh-CN"/>
              </w:rPr>
              <w:t xml:space="preserve"> </w:t>
            </w:r>
            <w:r>
              <w:rPr>
                <w:rFonts w:hint="default" w:ascii="Times New Roman" w:hAnsi="Times New Roman" w:eastAsia="黑体" w:cs="Times New Roman"/>
                <w:bCs/>
                <w:color w:val="auto"/>
                <w:spacing w:val="0"/>
                <w:position w:val="0"/>
                <w:sz w:val="21"/>
                <w:szCs w:val="21"/>
                <w:highlight w:val="none"/>
                <w:lang w:val="en-US" w:eastAsia="zh-CN"/>
              </w:rPr>
              <w:t>《</w:t>
            </w:r>
            <w:r>
              <w:rPr>
                <w:rFonts w:hint="default" w:ascii="Times New Roman" w:hAnsi="Times New Roman" w:eastAsia="黑体" w:cs="Times New Roman"/>
                <w:bCs/>
                <w:color w:val="auto"/>
                <w:spacing w:val="0"/>
                <w:position w:val="0"/>
                <w:sz w:val="21"/>
                <w:szCs w:val="21"/>
                <w:highlight w:val="none"/>
                <w:lang w:val="en-US" w:eastAsia="zh-CN"/>
              </w:rPr>
              <w:fldChar w:fldCharType="begin"/>
            </w:r>
            <w:r>
              <w:rPr>
                <w:rFonts w:hint="default" w:ascii="Times New Roman" w:hAnsi="Times New Roman" w:eastAsia="黑体" w:cs="Times New Roman"/>
                <w:bCs/>
                <w:color w:val="auto"/>
                <w:spacing w:val="0"/>
                <w:position w:val="0"/>
                <w:sz w:val="21"/>
                <w:szCs w:val="21"/>
                <w:highlight w:val="none"/>
                <w:lang w:val="en-US" w:eastAsia="zh-CN"/>
              </w:rPr>
              <w:instrText xml:space="preserve"> HYPERLINK "http://www.mep.gov.cn/info/bgw/bgg/200809/W020081017399508921576.pdf" \t "_self" </w:instrText>
            </w:r>
            <w:r>
              <w:rPr>
                <w:rFonts w:hint="default" w:ascii="Times New Roman" w:hAnsi="Times New Roman" w:eastAsia="黑体" w:cs="Times New Roman"/>
                <w:bCs/>
                <w:color w:val="auto"/>
                <w:spacing w:val="0"/>
                <w:position w:val="0"/>
                <w:sz w:val="21"/>
                <w:szCs w:val="21"/>
                <w:highlight w:val="none"/>
                <w:lang w:val="en-US" w:eastAsia="zh-CN"/>
              </w:rPr>
              <w:fldChar w:fldCharType="separate"/>
            </w:r>
            <w:r>
              <w:rPr>
                <w:rFonts w:hint="default" w:ascii="Times New Roman" w:hAnsi="Times New Roman" w:eastAsia="黑体" w:cs="Times New Roman"/>
                <w:bCs/>
                <w:color w:val="auto"/>
                <w:spacing w:val="0"/>
                <w:position w:val="0"/>
                <w:sz w:val="21"/>
                <w:szCs w:val="21"/>
                <w:highlight w:val="none"/>
                <w:lang w:val="en-US" w:eastAsia="zh-CN"/>
              </w:rPr>
              <w:t>工业企业厂界环境噪声</w:t>
            </w:r>
            <w:r>
              <w:rPr>
                <w:rFonts w:hint="default" w:ascii="Times New Roman" w:hAnsi="Times New Roman" w:eastAsia="黑体" w:cs="Times New Roman"/>
                <w:bCs/>
                <w:color w:val="auto"/>
                <w:spacing w:val="0"/>
                <w:position w:val="0"/>
                <w:sz w:val="21"/>
                <w:szCs w:val="21"/>
                <w:highlight w:val="none"/>
                <w:lang w:val="en-US" w:eastAsia="zh-CN"/>
              </w:rPr>
              <w:fldChar w:fldCharType="end"/>
            </w:r>
            <w:r>
              <w:rPr>
                <w:rFonts w:hint="default" w:ascii="Times New Roman" w:hAnsi="Times New Roman" w:eastAsia="黑体" w:cs="Times New Roman"/>
                <w:bCs/>
                <w:color w:val="auto"/>
                <w:spacing w:val="0"/>
                <w:position w:val="0"/>
                <w:sz w:val="21"/>
                <w:szCs w:val="21"/>
                <w:highlight w:val="none"/>
                <w:lang w:val="en-US" w:eastAsia="zh-CN"/>
              </w:rPr>
              <w:t>排放标准》（GB12348-2008）</w:t>
            </w:r>
          </w:p>
          <w:tbl>
            <w:tblPr>
              <w:tblStyle w:val="26"/>
              <w:tblW w:w="79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46"/>
              <w:gridCol w:w="2646"/>
              <w:gridCol w:w="2646"/>
            </w:tblGrid>
            <w:tr w14:paraId="091AD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46" w:type="dxa"/>
                  <w:tcBorders>
                    <w:tl2br w:val="nil"/>
                    <w:tr2bl w:val="nil"/>
                  </w:tcBorders>
                  <w:vAlign w:val="center"/>
                </w:tcPr>
                <w:p w14:paraId="69E477A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bCs/>
                      <w:color w:val="auto"/>
                      <w:spacing w:val="0"/>
                      <w:position w:val="0"/>
                      <w:szCs w:val="21"/>
                      <w:highlight w:val="none"/>
                    </w:rPr>
                  </w:pPr>
                  <w:r>
                    <w:rPr>
                      <w:rFonts w:hint="default" w:ascii="Times New Roman" w:hAnsi="Times New Roman" w:eastAsia="宋体" w:cs="Times New Roman"/>
                      <w:bCs/>
                      <w:color w:val="auto"/>
                      <w:spacing w:val="0"/>
                      <w:position w:val="0"/>
                      <w:szCs w:val="21"/>
                      <w:highlight w:val="none"/>
                    </w:rPr>
                    <w:t>类别</w:t>
                  </w:r>
                </w:p>
              </w:tc>
              <w:tc>
                <w:tcPr>
                  <w:tcW w:w="2646" w:type="dxa"/>
                  <w:tcBorders>
                    <w:tl2br w:val="nil"/>
                    <w:tr2bl w:val="nil"/>
                  </w:tcBorders>
                  <w:vAlign w:val="center"/>
                </w:tcPr>
                <w:p w14:paraId="0844177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bCs/>
                      <w:color w:val="auto"/>
                      <w:spacing w:val="0"/>
                      <w:position w:val="0"/>
                      <w:szCs w:val="21"/>
                      <w:highlight w:val="none"/>
                    </w:rPr>
                  </w:pPr>
                  <w:r>
                    <w:rPr>
                      <w:rFonts w:hint="default" w:ascii="Times New Roman" w:hAnsi="Times New Roman" w:eastAsia="宋体" w:cs="Times New Roman"/>
                      <w:bCs/>
                      <w:color w:val="auto"/>
                      <w:spacing w:val="0"/>
                      <w:position w:val="0"/>
                      <w:szCs w:val="21"/>
                      <w:highlight w:val="none"/>
                    </w:rPr>
                    <w:t>昼间（dB</w:t>
                  </w:r>
                  <w:r>
                    <w:rPr>
                      <w:rFonts w:hint="eastAsia" w:ascii="Times New Roman" w:hAnsi="Times New Roman" w:eastAsia="宋体" w:cs="Times New Roman"/>
                      <w:bCs/>
                      <w:color w:val="auto"/>
                      <w:spacing w:val="0"/>
                      <w:position w:val="0"/>
                      <w:szCs w:val="21"/>
                      <w:highlight w:val="none"/>
                      <w:lang w:val="en-US" w:eastAsia="zh-CN"/>
                    </w:rPr>
                    <w:t>(</w:t>
                  </w:r>
                  <w:r>
                    <w:rPr>
                      <w:rFonts w:hint="default" w:ascii="Times New Roman" w:hAnsi="Times New Roman" w:eastAsia="宋体" w:cs="Times New Roman"/>
                      <w:bCs/>
                      <w:color w:val="auto"/>
                      <w:spacing w:val="0"/>
                      <w:position w:val="0"/>
                      <w:szCs w:val="21"/>
                      <w:highlight w:val="none"/>
                    </w:rPr>
                    <w:t>A</w:t>
                  </w:r>
                  <w:r>
                    <w:rPr>
                      <w:rFonts w:hint="eastAsia" w:ascii="Times New Roman" w:hAnsi="Times New Roman" w:eastAsia="宋体" w:cs="Times New Roman"/>
                      <w:bCs/>
                      <w:color w:val="auto"/>
                      <w:spacing w:val="0"/>
                      <w:position w:val="0"/>
                      <w:szCs w:val="21"/>
                      <w:highlight w:val="none"/>
                      <w:lang w:val="en-US" w:eastAsia="zh-CN"/>
                    </w:rPr>
                    <w:t>)</w:t>
                  </w:r>
                  <w:r>
                    <w:rPr>
                      <w:rFonts w:hint="default" w:ascii="Times New Roman" w:hAnsi="Times New Roman" w:eastAsia="宋体" w:cs="Times New Roman"/>
                      <w:bCs/>
                      <w:color w:val="auto"/>
                      <w:spacing w:val="0"/>
                      <w:position w:val="0"/>
                      <w:szCs w:val="21"/>
                      <w:highlight w:val="none"/>
                    </w:rPr>
                    <w:t>）</w:t>
                  </w:r>
                </w:p>
              </w:tc>
              <w:tc>
                <w:tcPr>
                  <w:tcW w:w="2646" w:type="dxa"/>
                  <w:tcBorders>
                    <w:tl2br w:val="nil"/>
                    <w:tr2bl w:val="nil"/>
                  </w:tcBorders>
                  <w:vAlign w:val="center"/>
                </w:tcPr>
                <w:p w14:paraId="38CEB29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bCs/>
                      <w:color w:val="auto"/>
                      <w:spacing w:val="0"/>
                      <w:position w:val="0"/>
                      <w:szCs w:val="21"/>
                      <w:highlight w:val="none"/>
                    </w:rPr>
                  </w:pPr>
                  <w:r>
                    <w:rPr>
                      <w:rFonts w:hint="default" w:ascii="Times New Roman" w:hAnsi="Times New Roman" w:eastAsia="宋体" w:cs="Times New Roman"/>
                      <w:bCs/>
                      <w:color w:val="auto"/>
                      <w:spacing w:val="0"/>
                      <w:position w:val="0"/>
                      <w:szCs w:val="21"/>
                      <w:highlight w:val="none"/>
                    </w:rPr>
                    <w:t>夜间（dB</w:t>
                  </w:r>
                  <w:r>
                    <w:rPr>
                      <w:rFonts w:hint="eastAsia" w:ascii="Times New Roman" w:hAnsi="Times New Roman" w:eastAsia="宋体" w:cs="Times New Roman"/>
                      <w:bCs/>
                      <w:color w:val="auto"/>
                      <w:spacing w:val="0"/>
                      <w:position w:val="0"/>
                      <w:szCs w:val="21"/>
                      <w:highlight w:val="none"/>
                      <w:lang w:val="en-US" w:eastAsia="zh-CN"/>
                    </w:rPr>
                    <w:t>(</w:t>
                  </w:r>
                  <w:r>
                    <w:rPr>
                      <w:rFonts w:hint="default" w:ascii="Times New Roman" w:hAnsi="Times New Roman" w:eastAsia="宋体" w:cs="Times New Roman"/>
                      <w:bCs/>
                      <w:color w:val="auto"/>
                      <w:spacing w:val="0"/>
                      <w:position w:val="0"/>
                      <w:szCs w:val="21"/>
                      <w:highlight w:val="none"/>
                    </w:rPr>
                    <w:t>A</w:t>
                  </w:r>
                  <w:r>
                    <w:rPr>
                      <w:rFonts w:hint="eastAsia" w:ascii="Times New Roman" w:hAnsi="Times New Roman" w:eastAsia="宋体" w:cs="Times New Roman"/>
                      <w:bCs/>
                      <w:color w:val="auto"/>
                      <w:spacing w:val="0"/>
                      <w:position w:val="0"/>
                      <w:szCs w:val="21"/>
                      <w:highlight w:val="none"/>
                      <w:lang w:val="en-US" w:eastAsia="zh-CN"/>
                    </w:rPr>
                    <w:t>)</w:t>
                  </w:r>
                  <w:r>
                    <w:rPr>
                      <w:rFonts w:hint="default" w:ascii="Times New Roman" w:hAnsi="Times New Roman" w:eastAsia="宋体" w:cs="Times New Roman"/>
                      <w:bCs/>
                      <w:color w:val="auto"/>
                      <w:spacing w:val="0"/>
                      <w:position w:val="0"/>
                      <w:szCs w:val="21"/>
                      <w:highlight w:val="none"/>
                    </w:rPr>
                    <w:t>）</w:t>
                  </w:r>
                </w:p>
              </w:tc>
            </w:tr>
            <w:tr w14:paraId="35AFB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46" w:type="dxa"/>
                  <w:tcBorders>
                    <w:tl2br w:val="nil"/>
                    <w:tr2bl w:val="nil"/>
                  </w:tcBorders>
                  <w:vAlign w:val="center"/>
                </w:tcPr>
                <w:p w14:paraId="7186D19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bCs/>
                      <w:color w:val="auto"/>
                      <w:spacing w:val="0"/>
                      <w:position w:val="0"/>
                      <w:szCs w:val="21"/>
                      <w:highlight w:val="none"/>
                      <w:lang w:val="en-US" w:eastAsia="zh-CN"/>
                    </w:rPr>
                  </w:pPr>
                  <w:r>
                    <w:rPr>
                      <w:rFonts w:hint="eastAsia" w:cs="Times New Roman"/>
                      <w:bCs/>
                      <w:color w:val="auto"/>
                      <w:spacing w:val="0"/>
                      <w:position w:val="0"/>
                      <w:szCs w:val="21"/>
                      <w:highlight w:val="none"/>
                      <w:lang w:val="en-US" w:eastAsia="zh-CN"/>
                    </w:rPr>
                    <w:t>2</w:t>
                  </w:r>
                </w:p>
              </w:tc>
              <w:tc>
                <w:tcPr>
                  <w:tcW w:w="2646" w:type="dxa"/>
                  <w:tcBorders>
                    <w:tl2br w:val="nil"/>
                    <w:tr2bl w:val="nil"/>
                  </w:tcBorders>
                  <w:vAlign w:val="center"/>
                </w:tcPr>
                <w:p w14:paraId="5CCC667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bCs/>
                      <w:color w:val="auto"/>
                      <w:spacing w:val="0"/>
                      <w:position w:val="0"/>
                      <w:szCs w:val="21"/>
                      <w:highlight w:val="none"/>
                      <w:lang w:val="en-US" w:eastAsia="zh-CN"/>
                    </w:rPr>
                  </w:pPr>
                  <w:r>
                    <w:rPr>
                      <w:rFonts w:hint="eastAsia" w:cs="Times New Roman"/>
                      <w:bCs/>
                      <w:color w:val="auto"/>
                      <w:spacing w:val="0"/>
                      <w:position w:val="0"/>
                      <w:szCs w:val="21"/>
                      <w:highlight w:val="none"/>
                      <w:lang w:val="en-US" w:eastAsia="zh-CN"/>
                    </w:rPr>
                    <w:t>60</w:t>
                  </w:r>
                </w:p>
              </w:tc>
              <w:tc>
                <w:tcPr>
                  <w:tcW w:w="2646" w:type="dxa"/>
                  <w:tcBorders>
                    <w:tl2br w:val="nil"/>
                    <w:tr2bl w:val="nil"/>
                  </w:tcBorders>
                  <w:vAlign w:val="center"/>
                </w:tcPr>
                <w:p w14:paraId="1D50283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bCs/>
                      <w:color w:val="auto"/>
                      <w:spacing w:val="0"/>
                      <w:position w:val="0"/>
                      <w:szCs w:val="21"/>
                      <w:highlight w:val="none"/>
                      <w:lang w:val="en-US" w:eastAsia="zh-CN"/>
                    </w:rPr>
                  </w:pPr>
                  <w:r>
                    <w:rPr>
                      <w:rFonts w:hint="eastAsia" w:cs="Times New Roman"/>
                      <w:bCs/>
                      <w:color w:val="auto"/>
                      <w:spacing w:val="0"/>
                      <w:position w:val="0"/>
                      <w:szCs w:val="21"/>
                      <w:highlight w:val="none"/>
                      <w:lang w:val="en-US" w:eastAsia="zh-CN"/>
                    </w:rPr>
                    <w:t>50</w:t>
                  </w:r>
                </w:p>
              </w:tc>
            </w:tr>
          </w:tbl>
          <w:p w14:paraId="0FD417D0">
            <w:pPr>
              <w:keepNext w:val="0"/>
              <w:keepLines w:val="0"/>
              <w:pageBreakBefore w:val="0"/>
              <w:widowControl w:val="0"/>
              <w:kinsoku/>
              <w:wordWrap/>
              <w:overflowPunct/>
              <w:topLinePunct w:val="0"/>
              <w:autoSpaceDE w:val="0"/>
              <w:autoSpaceDN w:val="0"/>
              <w:bidi w:val="0"/>
              <w:adjustRightInd w:val="0"/>
              <w:snapToGrid w:val="0"/>
              <w:spacing w:line="480" w:lineRule="exact"/>
              <w:ind w:firstLine="482" w:firstLineChars="200"/>
              <w:jc w:val="both"/>
              <w:textAlignment w:val="auto"/>
              <w:rPr>
                <w:rFonts w:hint="default" w:ascii="Times New Roman" w:hAnsi="Times New Roman" w:eastAsia="宋体" w:cs="Times New Roman"/>
                <w:b/>
                <w:bCs/>
                <w:color w:val="auto"/>
                <w:spacing w:val="0"/>
                <w:kern w:val="0"/>
                <w:position w:val="0"/>
                <w:sz w:val="24"/>
                <w:szCs w:val="24"/>
                <w:highlight w:val="none"/>
                <w:lang w:val="en-US" w:eastAsia="zh-CN"/>
              </w:rPr>
            </w:pPr>
            <w:r>
              <w:rPr>
                <w:rFonts w:hint="eastAsia" w:ascii="Times New Roman" w:hAnsi="Times New Roman" w:eastAsia="宋体" w:cs="Times New Roman"/>
                <w:b/>
                <w:bCs/>
                <w:color w:val="auto"/>
                <w:spacing w:val="0"/>
                <w:kern w:val="0"/>
                <w:position w:val="0"/>
                <w:sz w:val="24"/>
                <w:szCs w:val="24"/>
                <w:highlight w:val="none"/>
                <w:lang w:val="en-US" w:eastAsia="zh-CN"/>
              </w:rPr>
              <w:t>3.1</w:t>
            </w:r>
            <w:r>
              <w:rPr>
                <w:rFonts w:hint="eastAsia" w:cs="Times New Roman"/>
                <w:b/>
                <w:bCs/>
                <w:color w:val="auto"/>
                <w:spacing w:val="0"/>
                <w:kern w:val="0"/>
                <w:position w:val="0"/>
                <w:sz w:val="24"/>
                <w:szCs w:val="24"/>
                <w:highlight w:val="none"/>
                <w:lang w:val="en-US" w:eastAsia="zh-CN"/>
              </w:rPr>
              <w:t>2</w:t>
            </w:r>
            <w:r>
              <w:rPr>
                <w:rFonts w:hint="eastAsia" w:ascii="Times New Roman" w:hAnsi="Times New Roman" w:eastAsia="宋体" w:cs="Times New Roman"/>
                <w:b/>
                <w:bCs/>
                <w:color w:val="auto"/>
                <w:spacing w:val="0"/>
                <w:kern w:val="0"/>
                <w:position w:val="0"/>
                <w:sz w:val="24"/>
                <w:szCs w:val="24"/>
                <w:highlight w:val="none"/>
                <w:lang w:val="en-US" w:eastAsia="zh-CN"/>
              </w:rPr>
              <w:t xml:space="preserve"> </w:t>
            </w:r>
            <w:r>
              <w:rPr>
                <w:rFonts w:hint="default" w:ascii="Times New Roman" w:hAnsi="Times New Roman" w:eastAsia="宋体" w:cs="Times New Roman"/>
                <w:b/>
                <w:bCs/>
                <w:color w:val="auto"/>
                <w:spacing w:val="0"/>
                <w:kern w:val="0"/>
                <w:position w:val="0"/>
                <w:sz w:val="24"/>
                <w:szCs w:val="24"/>
                <w:highlight w:val="none"/>
                <w:lang w:val="en-US" w:eastAsia="zh-CN"/>
              </w:rPr>
              <w:t>固体废物</w:t>
            </w:r>
          </w:p>
          <w:p w14:paraId="1653A945">
            <w:pPr>
              <w:keepNext w:val="0"/>
              <w:keepLines w:val="0"/>
              <w:pageBreakBefore w:val="0"/>
              <w:widowControl w:val="0"/>
              <w:kinsoku/>
              <w:wordWrap/>
              <w:overflowPunct/>
              <w:topLinePunct w:val="0"/>
              <w:autoSpaceDE w:val="0"/>
              <w:autoSpaceDN w:val="0"/>
              <w:bidi w:val="0"/>
              <w:adjustRightInd w:val="0"/>
              <w:snapToGrid/>
              <w:spacing w:line="480" w:lineRule="exact"/>
              <w:ind w:firstLine="480" w:firstLineChars="200"/>
              <w:jc w:val="both"/>
              <w:textAlignment w:val="auto"/>
              <w:rPr>
                <w:rFonts w:hint="default" w:ascii="Times New Roman" w:hAnsi="Times New Roman" w:eastAsia="宋体" w:cs="Times New Roman"/>
                <w:color w:val="auto"/>
                <w:spacing w:val="0"/>
                <w:position w:val="0"/>
                <w:sz w:val="24"/>
                <w:highlight w:val="none"/>
                <w:lang w:val="en-US" w:eastAsia="zh-CN"/>
              </w:rPr>
            </w:pPr>
            <w:r>
              <w:rPr>
                <w:rFonts w:hint="default" w:ascii="Times New Roman" w:hAnsi="Times New Roman" w:eastAsia="宋体" w:cs="Times New Roman"/>
                <w:color w:val="auto"/>
                <w:spacing w:val="0"/>
                <w:position w:val="0"/>
                <w:sz w:val="24"/>
                <w:highlight w:val="none"/>
                <w:lang w:val="en-US" w:eastAsia="zh-CN"/>
              </w:rPr>
              <w:t>一般固体废物执行《一般工业固体废物贮存和填埋污染控制标准》（GB18599-2020）中的有关规定；采用库房、包装工具(罐、桶、包装袋等)贮存一般工业固体废物的，其贮存过程应满足防渗漏、防雨淋、防扬尘等环境保护要求。</w:t>
            </w:r>
          </w:p>
          <w:p w14:paraId="58E40D8E">
            <w:pPr>
              <w:keepNext w:val="0"/>
              <w:keepLines w:val="0"/>
              <w:pageBreakBefore w:val="0"/>
              <w:widowControl w:val="0"/>
              <w:kinsoku/>
              <w:wordWrap/>
              <w:overflowPunct/>
              <w:topLinePunct w:val="0"/>
              <w:autoSpaceDE w:val="0"/>
              <w:autoSpaceDN w:val="0"/>
              <w:bidi w:val="0"/>
              <w:adjustRightInd w:val="0"/>
              <w:snapToGrid/>
              <w:spacing w:line="480" w:lineRule="exact"/>
              <w:ind w:firstLine="480" w:firstLineChars="200"/>
              <w:jc w:val="both"/>
              <w:textAlignment w:val="auto"/>
              <w:rPr>
                <w:rFonts w:hint="default" w:ascii="Times New Roman" w:hAnsi="Times New Roman" w:eastAsia="宋体" w:cs="Times New Roman"/>
                <w:color w:val="auto"/>
                <w:spacing w:val="0"/>
                <w:position w:val="0"/>
                <w:sz w:val="24"/>
                <w:highlight w:val="none"/>
              </w:rPr>
            </w:pPr>
            <w:r>
              <w:rPr>
                <w:rFonts w:hint="default" w:ascii="Times New Roman" w:hAnsi="Times New Roman" w:eastAsia="宋体" w:cs="Times New Roman"/>
                <w:color w:val="auto"/>
                <w:spacing w:val="0"/>
                <w:position w:val="0"/>
                <w:sz w:val="24"/>
                <w:highlight w:val="none"/>
                <w:lang w:val="en-US" w:eastAsia="zh-CN"/>
              </w:rPr>
              <w:t>危险废物执行《危险废物贮存污染控制标准》（GB18597-2023）</w:t>
            </w:r>
            <w:r>
              <w:rPr>
                <w:rFonts w:hint="default" w:ascii="Times New Roman" w:hAnsi="Times New Roman" w:eastAsia="宋体" w:cs="Times New Roman"/>
                <w:color w:val="auto"/>
                <w:spacing w:val="0"/>
                <w:position w:val="0"/>
                <w:sz w:val="24"/>
                <w:highlight w:val="none"/>
              </w:rPr>
              <w:t>。</w:t>
            </w:r>
          </w:p>
          <w:p w14:paraId="4E6C5D44">
            <w:pPr>
              <w:keepNext w:val="0"/>
              <w:keepLines w:val="0"/>
              <w:pageBreakBefore w:val="0"/>
              <w:widowControl w:val="0"/>
              <w:kinsoku/>
              <w:wordWrap/>
              <w:overflowPunct/>
              <w:topLinePunct w:val="0"/>
              <w:autoSpaceDE w:val="0"/>
              <w:autoSpaceDN w:val="0"/>
              <w:bidi w:val="0"/>
              <w:adjustRightInd w:val="0"/>
              <w:snapToGrid/>
              <w:spacing w:line="480" w:lineRule="exact"/>
              <w:ind w:firstLine="480" w:firstLineChars="200"/>
              <w:jc w:val="both"/>
              <w:textAlignment w:val="auto"/>
              <w:rPr>
                <w:rFonts w:hint="default" w:ascii="Times New Roman" w:hAnsi="Times New Roman" w:eastAsia="宋体" w:cs="Times New Roman"/>
                <w:color w:val="auto"/>
                <w:spacing w:val="0"/>
                <w:position w:val="0"/>
                <w:sz w:val="24"/>
                <w:highlight w:val="none"/>
              </w:rPr>
            </w:pPr>
          </w:p>
          <w:p w14:paraId="672D9500">
            <w:pPr>
              <w:keepNext w:val="0"/>
              <w:keepLines w:val="0"/>
              <w:pageBreakBefore w:val="0"/>
              <w:widowControl w:val="0"/>
              <w:kinsoku/>
              <w:wordWrap/>
              <w:overflowPunct/>
              <w:topLinePunct w:val="0"/>
              <w:autoSpaceDE w:val="0"/>
              <w:autoSpaceDN w:val="0"/>
              <w:bidi w:val="0"/>
              <w:adjustRightInd w:val="0"/>
              <w:snapToGrid/>
              <w:spacing w:line="480" w:lineRule="exact"/>
              <w:ind w:firstLine="480" w:firstLineChars="200"/>
              <w:jc w:val="both"/>
              <w:textAlignment w:val="auto"/>
              <w:rPr>
                <w:rFonts w:hint="default" w:ascii="Times New Roman" w:hAnsi="Times New Roman" w:eastAsia="宋体" w:cs="Times New Roman"/>
                <w:color w:val="auto"/>
                <w:spacing w:val="0"/>
                <w:position w:val="0"/>
                <w:sz w:val="24"/>
                <w:highlight w:val="none"/>
                <w:lang w:eastAsia="zh-CN"/>
              </w:rPr>
            </w:pPr>
          </w:p>
          <w:p w14:paraId="548CEDDF">
            <w:pPr>
              <w:keepNext w:val="0"/>
              <w:keepLines w:val="0"/>
              <w:pageBreakBefore w:val="0"/>
              <w:widowControl w:val="0"/>
              <w:kinsoku/>
              <w:wordWrap/>
              <w:overflowPunct/>
              <w:topLinePunct w:val="0"/>
              <w:autoSpaceDE w:val="0"/>
              <w:autoSpaceDN w:val="0"/>
              <w:bidi w:val="0"/>
              <w:adjustRightInd w:val="0"/>
              <w:snapToGrid/>
              <w:spacing w:line="480" w:lineRule="exact"/>
              <w:ind w:firstLine="480" w:firstLineChars="200"/>
              <w:jc w:val="both"/>
              <w:textAlignment w:val="auto"/>
              <w:rPr>
                <w:rFonts w:hint="default" w:ascii="Times New Roman" w:hAnsi="Times New Roman" w:eastAsia="宋体" w:cs="Times New Roman"/>
                <w:color w:val="auto"/>
                <w:spacing w:val="0"/>
                <w:position w:val="0"/>
                <w:sz w:val="24"/>
                <w:highlight w:val="none"/>
                <w:lang w:eastAsia="zh-CN"/>
              </w:rPr>
            </w:pPr>
          </w:p>
        </w:tc>
      </w:tr>
      <w:tr w14:paraId="34ADD4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17" w:hRule="atLeast"/>
          <w:jc w:val="center"/>
        </w:trPr>
        <w:tc>
          <w:tcPr>
            <w:tcW w:w="800" w:type="dxa"/>
            <w:vAlign w:val="center"/>
          </w:tcPr>
          <w:p w14:paraId="1CF1BF34">
            <w:pPr>
              <w:adjustRightInd w:val="0"/>
              <w:snapToGrid w:val="0"/>
              <w:jc w:val="center"/>
              <w:rPr>
                <w:rFonts w:hint="default" w:ascii="Times New Roman" w:hAnsi="Times New Roman" w:cs="Times New Roman"/>
                <w:color w:val="auto"/>
                <w:spacing w:val="0"/>
                <w:kern w:val="0"/>
                <w:position w:val="0"/>
                <w:szCs w:val="21"/>
                <w:highlight w:val="none"/>
              </w:rPr>
            </w:pPr>
            <w:r>
              <w:rPr>
                <w:rFonts w:hint="default" w:ascii="Times New Roman" w:hAnsi="Times New Roman" w:cs="Times New Roman"/>
                <w:color w:val="auto"/>
                <w:spacing w:val="0"/>
                <w:kern w:val="0"/>
                <w:position w:val="0"/>
                <w:szCs w:val="21"/>
                <w:highlight w:val="none"/>
              </w:rPr>
              <w:t>总量</w:t>
            </w:r>
          </w:p>
          <w:p w14:paraId="1257AE7C">
            <w:pPr>
              <w:adjustRightInd w:val="0"/>
              <w:snapToGrid w:val="0"/>
              <w:jc w:val="center"/>
              <w:rPr>
                <w:rFonts w:hint="default" w:ascii="Times New Roman" w:hAnsi="Times New Roman" w:cs="Times New Roman"/>
                <w:color w:val="auto"/>
                <w:spacing w:val="0"/>
                <w:kern w:val="0"/>
                <w:position w:val="0"/>
                <w:szCs w:val="21"/>
                <w:highlight w:val="none"/>
              </w:rPr>
            </w:pPr>
            <w:r>
              <w:rPr>
                <w:rFonts w:hint="default" w:ascii="Times New Roman" w:hAnsi="Times New Roman" w:cs="Times New Roman"/>
                <w:color w:val="auto"/>
                <w:spacing w:val="0"/>
                <w:kern w:val="0"/>
                <w:position w:val="0"/>
                <w:szCs w:val="21"/>
                <w:highlight w:val="none"/>
              </w:rPr>
              <w:t>控制</w:t>
            </w:r>
          </w:p>
          <w:p w14:paraId="44DF0343">
            <w:pPr>
              <w:adjustRightInd w:val="0"/>
              <w:snapToGrid w:val="0"/>
              <w:jc w:val="center"/>
              <w:rPr>
                <w:rFonts w:hint="default" w:ascii="Times New Roman" w:hAnsi="Times New Roman" w:cs="Times New Roman"/>
                <w:color w:val="auto"/>
                <w:spacing w:val="0"/>
                <w:kern w:val="0"/>
                <w:position w:val="0"/>
                <w:szCs w:val="21"/>
                <w:highlight w:val="none"/>
              </w:rPr>
            </w:pPr>
            <w:r>
              <w:rPr>
                <w:rFonts w:hint="default" w:ascii="Times New Roman" w:hAnsi="Times New Roman" w:cs="Times New Roman"/>
                <w:color w:val="auto"/>
                <w:spacing w:val="0"/>
                <w:kern w:val="0"/>
                <w:position w:val="0"/>
                <w:szCs w:val="21"/>
                <w:highlight w:val="none"/>
              </w:rPr>
              <w:t>指标</w:t>
            </w:r>
          </w:p>
        </w:tc>
        <w:tc>
          <w:tcPr>
            <w:tcW w:w="8190" w:type="dxa"/>
            <w:vAlign w:val="center"/>
          </w:tcPr>
          <w:p w14:paraId="471A1745">
            <w:pPr>
              <w:keepNext w:val="0"/>
              <w:keepLines w:val="0"/>
              <w:pageBreakBefore w:val="0"/>
              <w:widowControl w:val="0"/>
              <w:kinsoku/>
              <w:wordWrap/>
              <w:overflowPunct/>
              <w:topLinePunct w:val="0"/>
              <w:autoSpaceDE w:val="0"/>
              <w:autoSpaceDN w:val="0"/>
              <w:bidi w:val="0"/>
              <w:adjustRightInd w:val="0"/>
              <w:snapToGrid/>
              <w:spacing w:line="480" w:lineRule="exact"/>
              <w:ind w:firstLine="480" w:firstLineChars="200"/>
              <w:jc w:val="both"/>
              <w:textAlignment w:val="auto"/>
              <w:rPr>
                <w:rFonts w:hint="default" w:ascii="Times New Roman" w:hAnsi="Times New Roman" w:eastAsia="宋体" w:cs="Times New Roman"/>
                <w:color w:val="auto"/>
                <w:spacing w:val="0"/>
                <w:position w:val="0"/>
                <w:sz w:val="24"/>
                <w:highlight w:val="none"/>
              </w:rPr>
            </w:pPr>
          </w:p>
          <w:p w14:paraId="1E23FA22">
            <w:pPr>
              <w:keepNext w:val="0"/>
              <w:keepLines w:val="0"/>
              <w:pageBreakBefore w:val="0"/>
              <w:widowControl w:val="0"/>
              <w:kinsoku/>
              <w:wordWrap/>
              <w:overflowPunct/>
              <w:topLinePunct w:val="0"/>
              <w:autoSpaceDE w:val="0"/>
              <w:autoSpaceDN w:val="0"/>
              <w:bidi w:val="0"/>
              <w:adjustRightInd w:val="0"/>
              <w:snapToGrid/>
              <w:spacing w:line="480" w:lineRule="exact"/>
              <w:ind w:firstLine="480" w:firstLineChars="200"/>
              <w:jc w:val="both"/>
              <w:textAlignment w:val="auto"/>
              <w:rPr>
                <w:rFonts w:hint="default" w:ascii="Times New Roman" w:hAnsi="Times New Roman" w:eastAsia="宋体" w:cs="Times New Roman"/>
                <w:color w:val="auto"/>
                <w:spacing w:val="0"/>
                <w:position w:val="0"/>
                <w:sz w:val="24"/>
                <w:highlight w:val="none"/>
              </w:rPr>
            </w:pPr>
          </w:p>
          <w:p w14:paraId="528E0CF5">
            <w:pPr>
              <w:keepNext w:val="0"/>
              <w:keepLines w:val="0"/>
              <w:pageBreakBefore w:val="0"/>
              <w:widowControl w:val="0"/>
              <w:kinsoku/>
              <w:wordWrap/>
              <w:overflowPunct/>
              <w:topLinePunct w:val="0"/>
              <w:autoSpaceDE w:val="0"/>
              <w:autoSpaceDN w:val="0"/>
              <w:bidi w:val="0"/>
              <w:adjustRightInd w:val="0"/>
              <w:snapToGrid/>
              <w:spacing w:line="480" w:lineRule="exact"/>
              <w:ind w:firstLine="480" w:firstLineChars="200"/>
              <w:jc w:val="both"/>
              <w:textAlignment w:val="auto"/>
              <w:rPr>
                <w:rFonts w:hint="eastAsia" w:ascii="Times New Roman" w:hAnsi="Times New Roman" w:eastAsia="宋体" w:cs="Times New Roman"/>
                <w:color w:val="auto"/>
                <w:spacing w:val="0"/>
                <w:position w:val="0"/>
                <w:sz w:val="24"/>
                <w:highlight w:val="none"/>
                <w:lang w:val="en-US" w:eastAsia="zh-CN"/>
              </w:rPr>
            </w:pPr>
            <w:r>
              <w:rPr>
                <w:rFonts w:hint="default" w:ascii="Times New Roman" w:hAnsi="Times New Roman" w:eastAsia="宋体" w:cs="Times New Roman"/>
                <w:color w:val="auto"/>
                <w:spacing w:val="0"/>
                <w:position w:val="0"/>
                <w:sz w:val="24"/>
                <w:highlight w:val="none"/>
              </w:rPr>
              <w:t>根据山西省</w:t>
            </w:r>
            <w:r>
              <w:rPr>
                <w:rFonts w:hint="default" w:ascii="Times New Roman" w:hAnsi="Times New Roman" w:eastAsia="宋体" w:cs="Times New Roman"/>
                <w:color w:val="auto"/>
                <w:spacing w:val="0"/>
                <w:position w:val="0"/>
                <w:sz w:val="24"/>
                <w:highlight w:val="none"/>
                <w:lang w:val="en-US" w:eastAsia="zh-CN"/>
              </w:rPr>
              <w:t>生态环境厅关于印发</w:t>
            </w:r>
            <w:r>
              <w:rPr>
                <w:rFonts w:hint="default" w:ascii="Times New Roman" w:hAnsi="Times New Roman" w:eastAsia="宋体" w:cs="Times New Roman"/>
                <w:color w:val="auto"/>
                <w:spacing w:val="0"/>
                <w:position w:val="0"/>
                <w:sz w:val="24"/>
                <w:highlight w:val="none"/>
              </w:rPr>
              <w:t>《建设项目主要污染物排放总量指标核定办法》</w:t>
            </w:r>
            <w:r>
              <w:rPr>
                <w:rFonts w:hint="eastAsia" w:cs="Times New Roman"/>
                <w:color w:val="auto"/>
                <w:spacing w:val="0"/>
                <w:position w:val="0"/>
                <w:sz w:val="24"/>
                <w:highlight w:val="none"/>
                <w:lang w:val="en-US" w:eastAsia="zh-CN"/>
              </w:rPr>
              <w:t>的通知</w:t>
            </w:r>
            <w:r>
              <w:rPr>
                <w:rFonts w:hint="default" w:ascii="Times New Roman" w:hAnsi="Times New Roman" w:eastAsia="宋体" w:cs="Times New Roman"/>
                <w:color w:val="auto"/>
                <w:spacing w:val="0"/>
                <w:position w:val="0"/>
                <w:sz w:val="24"/>
                <w:highlight w:val="none"/>
              </w:rPr>
              <w:t>（晋环规〔</w:t>
            </w:r>
            <w:r>
              <w:rPr>
                <w:rFonts w:hint="eastAsia" w:cs="Times New Roman"/>
                <w:color w:val="auto"/>
                <w:spacing w:val="0"/>
                <w:position w:val="0"/>
                <w:sz w:val="24"/>
                <w:highlight w:val="none"/>
                <w:lang w:val="en-US" w:eastAsia="zh-CN"/>
              </w:rPr>
              <w:t>2023</w:t>
            </w:r>
            <w:r>
              <w:rPr>
                <w:rFonts w:hint="default" w:ascii="Times New Roman" w:hAnsi="Times New Roman" w:eastAsia="宋体" w:cs="Times New Roman"/>
                <w:color w:val="auto"/>
                <w:spacing w:val="0"/>
                <w:position w:val="0"/>
                <w:sz w:val="24"/>
                <w:highlight w:val="none"/>
              </w:rPr>
              <w:t>〕1号），</w:t>
            </w:r>
            <w:r>
              <w:rPr>
                <w:rFonts w:hint="eastAsia" w:cs="Times New Roman"/>
                <w:color w:val="auto"/>
                <w:spacing w:val="0"/>
                <w:position w:val="0"/>
                <w:sz w:val="24"/>
                <w:highlight w:val="none"/>
                <w:lang w:eastAsia="zh-CN"/>
              </w:rPr>
              <w:t>“</w:t>
            </w:r>
            <w:r>
              <w:rPr>
                <w:rFonts w:hint="default" w:ascii="Times New Roman" w:hAnsi="Times New Roman" w:eastAsia="宋体" w:cs="Times New Roman"/>
                <w:color w:val="auto"/>
                <w:spacing w:val="0"/>
                <w:position w:val="0"/>
                <w:sz w:val="24"/>
                <w:highlight w:val="none"/>
                <w:lang w:eastAsia="zh-CN"/>
              </w:rPr>
              <w:t>本办法适用范围为纳入固定污染源排污许可分类管理名录行业范围的建设项目新增主要污染物排放总量指标的审核与管理</w:t>
            </w:r>
            <w:r>
              <w:rPr>
                <w:rFonts w:hint="eastAsia" w:cs="Times New Roman"/>
                <w:color w:val="auto"/>
                <w:spacing w:val="0"/>
                <w:position w:val="0"/>
                <w:sz w:val="24"/>
                <w:highlight w:val="none"/>
                <w:lang w:eastAsia="zh-CN"/>
              </w:rPr>
              <w:t>”</w:t>
            </w:r>
            <w:r>
              <w:rPr>
                <w:rFonts w:hint="default" w:ascii="Times New Roman" w:hAnsi="Times New Roman" w:eastAsia="宋体" w:cs="Times New Roman"/>
                <w:color w:val="auto"/>
                <w:spacing w:val="0"/>
                <w:position w:val="0"/>
                <w:sz w:val="24"/>
                <w:highlight w:val="none"/>
              </w:rPr>
              <w:t>。</w:t>
            </w:r>
          </w:p>
          <w:p w14:paraId="615170F1">
            <w:pPr>
              <w:keepNext w:val="0"/>
              <w:keepLines w:val="0"/>
              <w:pageBreakBefore w:val="0"/>
              <w:widowControl w:val="0"/>
              <w:kinsoku/>
              <w:wordWrap/>
              <w:overflowPunct/>
              <w:topLinePunct w:val="0"/>
              <w:autoSpaceDE w:val="0"/>
              <w:autoSpaceDN w:val="0"/>
              <w:bidi w:val="0"/>
              <w:adjustRightInd w:val="0"/>
              <w:snapToGrid/>
              <w:spacing w:line="480" w:lineRule="exact"/>
              <w:ind w:firstLine="480" w:firstLineChars="200"/>
              <w:jc w:val="both"/>
              <w:textAlignment w:val="auto"/>
              <w:rPr>
                <w:rFonts w:hint="eastAsia" w:ascii="Times New Roman" w:hAnsi="Times New Roman" w:eastAsia="宋体" w:cs="Times New Roman"/>
                <w:bCs/>
                <w:color w:val="auto"/>
                <w:sz w:val="24"/>
                <w:szCs w:val="24"/>
                <w:highlight w:val="none"/>
                <w:lang w:val="en-US" w:eastAsia="zh-CN"/>
              </w:rPr>
            </w:pPr>
            <w:r>
              <w:rPr>
                <w:rFonts w:hint="eastAsia" w:cs="Times New Roman"/>
                <w:bCs/>
                <w:color w:val="auto"/>
                <w:sz w:val="24"/>
                <w:szCs w:val="24"/>
                <w:highlight w:val="none"/>
                <w:lang w:val="en-US" w:eastAsia="zh-CN"/>
              </w:rPr>
              <w:t>本项目属于其他仓储业，</w:t>
            </w:r>
            <w:r>
              <w:rPr>
                <w:rFonts w:hint="eastAsia" w:eastAsia="宋体" w:cs="Times New Roman"/>
                <w:bCs/>
                <w:color w:val="auto"/>
                <w:sz w:val="24"/>
                <w:szCs w:val="24"/>
                <w:highlight w:val="none"/>
                <w:lang w:val="en-US" w:eastAsia="zh-CN"/>
              </w:rPr>
              <w:t>不在固定污染源排污许可分类管理名录内，本项目筒仓仓顶及仓底冲洗废水经收集后全部回用于洗煤厂</w:t>
            </w:r>
            <w:r>
              <w:rPr>
                <w:rFonts w:hint="eastAsia" w:cs="Times New Roman"/>
                <w:bCs/>
                <w:color w:val="auto"/>
                <w:sz w:val="24"/>
                <w:szCs w:val="24"/>
                <w:highlight w:val="none"/>
                <w:lang w:val="en-US" w:eastAsia="zh-CN"/>
              </w:rPr>
              <w:t>用于</w:t>
            </w:r>
            <w:r>
              <w:rPr>
                <w:rFonts w:hint="eastAsia" w:eastAsia="宋体" w:cs="Times New Roman"/>
                <w:bCs/>
                <w:color w:val="auto"/>
                <w:sz w:val="24"/>
                <w:szCs w:val="24"/>
                <w:highlight w:val="none"/>
                <w:lang w:val="en-US" w:eastAsia="zh-CN"/>
              </w:rPr>
              <w:t>洗煤用水，本项目未新增有组织废气排放口</w:t>
            </w:r>
            <w:r>
              <w:rPr>
                <w:rFonts w:hint="eastAsia" w:cs="Times New Roman"/>
                <w:bCs/>
                <w:color w:val="auto"/>
                <w:sz w:val="24"/>
                <w:szCs w:val="24"/>
                <w:highlight w:val="none"/>
                <w:lang w:val="en-US" w:eastAsia="zh-CN"/>
              </w:rPr>
              <w:t>。因此</w:t>
            </w:r>
            <w:r>
              <w:rPr>
                <w:rFonts w:hint="eastAsia" w:ascii="Times New Roman" w:hAnsi="Times New Roman" w:eastAsia="宋体" w:cs="Times New Roman"/>
                <w:bCs/>
                <w:color w:val="auto"/>
                <w:sz w:val="24"/>
                <w:szCs w:val="24"/>
                <w:highlight w:val="none"/>
                <w:lang w:val="en-US" w:eastAsia="zh-CN"/>
              </w:rPr>
              <w:t>，本项目不需要申请总量。</w:t>
            </w:r>
          </w:p>
          <w:p w14:paraId="6C10EB83">
            <w:pPr>
              <w:keepNext w:val="0"/>
              <w:keepLines w:val="0"/>
              <w:pageBreakBefore w:val="0"/>
              <w:widowControl w:val="0"/>
              <w:kinsoku/>
              <w:wordWrap/>
              <w:overflowPunct/>
              <w:topLinePunct w:val="0"/>
              <w:autoSpaceDE w:val="0"/>
              <w:autoSpaceDN w:val="0"/>
              <w:bidi w:val="0"/>
              <w:adjustRightInd w:val="0"/>
              <w:snapToGrid/>
              <w:spacing w:line="480" w:lineRule="exact"/>
              <w:jc w:val="both"/>
              <w:textAlignment w:val="auto"/>
              <w:rPr>
                <w:rFonts w:hint="default" w:ascii="Times New Roman" w:hAnsi="Times New Roman" w:eastAsia="宋体" w:cs="Times New Roman"/>
                <w:color w:val="auto"/>
                <w:spacing w:val="0"/>
                <w:position w:val="0"/>
                <w:sz w:val="24"/>
                <w:highlight w:val="none"/>
                <w:lang w:val="en-US" w:eastAsia="zh-CN"/>
              </w:rPr>
            </w:pPr>
          </w:p>
          <w:p w14:paraId="41E3C4B0">
            <w:pPr>
              <w:keepNext w:val="0"/>
              <w:keepLines w:val="0"/>
              <w:pageBreakBefore w:val="0"/>
              <w:widowControl w:val="0"/>
              <w:kinsoku/>
              <w:wordWrap/>
              <w:overflowPunct/>
              <w:topLinePunct w:val="0"/>
              <w:autoSpaceDE w:val="0"/>
              <w:autoSpaceDN w:val="0"/>
              <w:bidi w:val="0"/>
              <w:adjustRightInd w:val="0"/>
              <w:snapToGrid/>
              <w:spacing w:line="480" w:lineRule="exact"/>
              <w:jc w:val="both"/>
              <w:textAlignment w:val="auto"/>
              <w:rPr>
                <w:rFonts w:hint="default" w:ascii="Times New Roman" w:hAnsi="Times New Roman" w:eastAsia="宋体" w:cs="Times New Roman"/>
                <w:color w:val="auto"/>
                <w:spacing w:val="0"/>
                <w:position w:val="0"/>
                <w:sz w:val="24"/>
                <w:highlight w:val="none"/>
                <w:lang w:val="en-US" w:eastAsia="zh-CN"/>
              </w:rPr>
            </w:pPr>
          </w:p>
          <w:p w14:paraId="4B74399E">
            <w:pPr>
              <w:keepNext w:val="0"/>
              <w:keepLines w:val="0"/>
              <w:pageBreakBefore w:val="0"/>
              <w:widowControl w:val="0"/>
              <w:kinsoku/>
              <w:wordWrap/>
              <w:overflowPunct/>
              <w:topLinePunct w:val="0"/>
              <w:autoSpaceDE w:val="0"/>
              <w:autoSpaceDN w:val="0"/>
              <w:bidi w:val="0"/>
              <w:adjustRightInd w:val="0"/>
              <w:snapToGrid/>
              <w:spacing w:line="480" w:lineRule="exact"/>
              <w:jc w:val="both"/>
              <w:textAlignment w:val="auto"/>
              <w:rPr>
                <w:rFonts w:hint="default" w:ascii="Times New Roman" w:hAnsi="Times New Roman" w:eastAsia="宋体" w:cs="Times New Roman"/>
                <w:color w:val="auto"/>
                <w:spacing w:val="0"/>
                <w:position w:val="0"/>
                <w:sz w:val="24"/>
                <w:highlight w:val="none"/>
                <w:lang w:val="en-US" w:eastAsia="zh-CN"/>
              </w:rPr>
            </w:pPr>
          </w:p>
          <w:p w14:paraId="698F1101">
            <w:pPr>
              <w:keepNext w:val="0"/>
              <w:keepLines w:val="0"/>
              <w:pageBreakBefore w:val="0"/>
              <w:widowControl w:val="0"/>
              <w:kinsoku/>
              <w:wordWrap/>
              <w:overflowPunct/>
              <w:topLinePunct w:val="0"/>
              <w:autoSpaceDE w:val="0"/>
              <w:autoSpaceDN w:val="0"/>
              <w:bidi w:val="0"/>
              <w:adjustRightInd w:val="0"/>
              <w:snapToGrid/>
              <w:spacing w:line="480" w:lineRule="exact"/>
              <w:jc w:val="both"/>
              <w:textAlignment w:val="auto"/>
              <w:rPr>
                <w:rFonts w:hint="default" w:ascii="Times New Roman" w:hAnsi="Times New Roman" w:eastAsia="宋体" w:cs="Times New Roman"/>
                <w:color w:val="auto"/>
                <w:spacing w:val="0"/>
                <w:position w:val="0"/>
                <w:sz w:val="24"/>
                <w:highlight w:val="none"/>
                <w:lang w:val="en-US" w:eastAsia="zh-CN"/>
              </w:rPr>
            </w:pPr>
          </w:p>
          <w:p w14:paraId="61F5292F">
            <w:pPr>
              <w:keepNext w:val="0"/>
              <w:keepLines w:val="0"/>
              <w:pageBreakBefore w:val="0"/>
              <w:widowControl w:val="0"/>
              <w:kinsoku/>
              <w:wordWrap/>
              <w:overflowPunct/>
              <w:topLinePunct w:val="0"/>
              <w:autoSpaceDE w:val="0"/>
              <w:autoSpaceDN w:val="0"/>
              <w:bidi w:val="0"/>
              <w:adjustRightInd w:val="0"/>
              <w:snapToGrid/>
              <w:spacing w:line="480" w:lineRule="exact"/>
              <w:jc w:val="both"/>
              <w:textAlignment w:val="auto"/>
              <w:rPr>
                <w:rFonts w:hint="default" w:ascii="Times New Roman" w:hAnsi="Times New Roman" w:eastAsia="宋体" w:cs="Times New Roman"/>
                <w:color w:val="auto"/>
                <w:spacing w:val="0"/>
                <w:position w:val="0"/>
                <w:sz w:val="24"/>
                <w:highlight w:val="none"/>
                <w:lang w:val="en-US" w:eastAsia="zh-CN"/>
              </w:rPr>
            </w:pPr>
          </w:p>
          <w:p w14:paraId="64106F61">
            <w:pPr>
              <w:keepNext w:val="0"/>
              <w:keepLines w:val="0"/>
              <w:pageBreakBefore w:val="0"/>
              <w:widowControl w:val="0"/>
              <w:kinsoku/>
              <w:wordWrap/>
              <w:overflowPunct/>
              <w:topLinePunct w:val="0"/>
              <w:autoSpaceDE w:val="0"/>
              <w:autoSpaceDN w:val="0"/>
              <w:bidi w:val="0"/>
              <w:adjustRightInd w:val="0"/>
              <w:snapToGrid/>
              <w:spacing w:line="480" w:lineRule="exact"/>
              <w:jc w:val="both"/>
              <w:textAlignment w:val="auto"/>
              <w:rPr>
                <w:rFonts w:hint="default" w:ascii="Times New Roman" w:hAnsi="Times New Roman" w:eastAsia="宋体" w:cs="Times New Roman"/>
                <w:color w:val="auto"/>
                <w:spacing w:val="0"/>
                <w:position w:val="0"/>
                <w:sz w:val="24"/>
                <w:highlight w:val="none"/>
                <w:lang w:val="en-US" w:eastAsia="zh-CN"/>
              </w:rPr>
            </w:pPr>
          </w:p>
        </w:tc>
      </w:tr>
    </w:tbl>
    <w:p w14:paraId="07E9BB2D">
      <w:pPr>
        <w:pStyle w:val="19"/>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eastAsia="黑体" w:cs="Times New Roman"/>
          <w:snapToGrid w:val="0"/>
          <w:color w:val="auto"/>
          <w:sz w:val="36"/>
          <w:szCs w:val="36"/>
          <w:highlight w:val="none"/>
        </w:rPr>
        <w:br w:type="page"/>
      </w:r>
      <w:bookmarkStart w:id="6" w:name="_Toc7234"/>
      <w:r>
        <w:rPr>
          <w:rFonts w:hint="default" w:ascii="Times New Roman" w:hAnsi="Times New Roman" w:eastAsia="黑体" w:cs="Times New Roman"/>
          <w:snapToGrid w:val="0"/>
          <w:color w:val="auto"/>
          <w:sz w:val="30"/>
          <w:szCs w:val="30"/>
          <w:highlight w:val="none"/>
        </w:rPr>
        <w:t>四、主要环境影响和保护措施</w:t>
      </w:r>
      <w:bookmarkEnd w:id="6"/>
    </w:p>
    <w:tbl>
      <w:tblPr>
        <w:tblStyle w:val="26"/>
        <w:tblW w:w="890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46"/>
        <w:gridCol w:w="8162"/>
      </w:tblGrid>
      <w:tr w14:paraId="342BCB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46" w:type="dxa"/>
            <w:tcMar>
              <w:left w:w="28" w:type="dxa"/>
              <w:right w:w="28" w:type="dxa"/>
            </w:tcMar>
            <w:vAlign w:val="center"/>
          </w:tcPr>
          <w:p w14:paraId="2F4D9458">
            <w:pPr>
              <w:pStyle w:val="19"/>
              <w:adjustRightInd w:val="0"/>
              <w:snapToGrid w:val="0"/>
              <w:spacing w:before="0" w:beforeAutospacing="0" w:after="0" w:afterAutospacing="0"/>
              <w:jc w:val="center"/>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施工</w:t>
            </w:r>
          </w:p>
          <w:p w14:paraId="330A982A">
            <w:pPr>
              <w:pStyle w:val="19"/>
              <w:adjustRightInd w:val="0"/>
              <w:snapToGrid w:val="0"/>
              <w:spacing w:before="0" w:beforeAutospacing="0" w:after="0" w:afterAutospacing="0"/>
              <w:jc w:val="center"/>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期环</w:t>
            </w:r>
          </w:p>
          <w:p w14:paraId="7395A439">
            <w:pPr>
              <w:pStyle w:val="19"/>
              <w:adjustRightInd w:val="0"/>
              <w:snapToGrid w:val="0"/>
              <w:spacing w:before="0" w:beforeAutospacing="0" w:after="0" w:afterAutospacing="0"/>
              <w:jc w:val="center"/>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境保</w:t>
            </w:r>
          </w:p>
          <w:p w14:paraId="60258559">
            <w:pPr>
              <w:pStyle w:val="19"/>
              <w:adjustRightInd w:val="0"/>
              <w:snapToGrid w:val="0"/>
              <w:spacing w:before="0" w:beforeAutospacing="0" w:after="0" w:afterAutospacing="0"/>
              <w:jc w:val="center"/>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护措</w:t>
            </w:r>
          </w:p>
          <w:p w14:paraId="39BF21F2">
            <w:pPr>
              <w:pStyle w:val="19"/>
              <w:adjustRightInd w:val="0"/>
              <w:snapToGrid w:val="0"/>
              <w:spacing w:before="0" w:beforeAutospacing="0" w:after="0" w:afterAutospacing="0"/>
              <w:jc w:val="center"/>
              <w:rPr>
                <w:rFonts w:hint="default" w:ascii="Times New Roman" w:hAnsi="Times New Roman" w:cs="Times New Roman"/>
                <w:bCs/>
                <w:color w:val="auto"/>
                <w:kern w:val="2"/>
                <w:sz w:val="21"/>
                <w:szCs w:val="21"/>
                <w:highlight w:val="none"/>
              </w:rPr>
            </w:pPr>
            <w:r>
              <w:rPr>
                <w:rFonts w:hint="default" w:ascii="Times New Roman" w:hAnsi="Times New Roman" w:cs="Times New Roman"/>
                <w:color w:val="auto"/>
                <w:kern w:val="2"/>
                <w:sz w:val="21"/>
                <w:szCs w:val="21"/>
                <w:highlight w:val="none"/>
              </w:rPr>
              <w:t>施</w:t>
            </w:r>
          </w:p>
        </w:tc>
        <w:tc>
          <w:tcPr>
            <w:tcW w:w="8162" w:type="dxa"/>
            <w:vAlign w:val="center"/>
          </w:tcPr>
          <w:p w14:paraId="174A1202">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2" w:firstLineChars="200"/>
              <w:textAlignment w:val="auto"/>
              <w:rPr>
                <w:rFonts w:hint="default" w:ascii="Times New Roman" w:hAnsi="Times New Roman" w:eastAsia="宋体" w:cs="Times New Roman"/>
                <w:b/>
                <w:color w:val="auto"/>
                <w:spacing w:val="0"/>
                <w:sz w:val="24"/>
                <w:szCs w:val="24"/>
                <w:highlight w:val="none"/>
              </w:rPr>
            </w:pPr>
            <w:r>
              <w:rPr>
                <w:rFonts w:hint="eastAsia" w:ascii="Times New Roman" w:hAnsi="Times New Roman" w:eastAsia="宋体" w:cs="Times New Roman"/>
                <w:b/>
                <w:color w:val="auto"/>
                <w:spacing w:val="0"/>
                <w:sz w:val="24"/>
                <w:szCs w:val="24"/>
                <w:highlight w:val="none"/>
                <w:lang w:val="en-US" w:eastAsia="zh-CN"/>
              </w:rPr>
              <w:t xml:space="preserve">4.1 </w:t>
            </w:r>
            <w:r>
              <w:rPr>
                <w:rFonts w:hint="default" w:ascii="Times New Roman" w:hAnsi="Times New Roman" w:eastAsia="宋体" w:cs="Times New Roman"/>
                <w:b/>
                <w:color w:val="auto"/>
                <w:spacing w:val="0"/>
                <w:sz w:val="24"/>
                <w:szCs w:val="24"/>
                <w:highlight w:val="none"/>
              </w:rPr>
              <w:t>施工期大气环境污染防治措施</w:t>
            </w:r>
          </w:p>
          <w:p w14:paraId="616528BD">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szCs w:val="20"/>
                <w:highlight w:val="none"/>
              </w:rPr>
            </w:pPr>
            <w:r>
              <w:rPr>
                <w:rFonts w:hint="default" w:ascii="Times New Roman" w:hAnsi="Times New Roman" w:eastAsia="宋体" w:cs="Times New Roman"/>
                <w:color w:val="auto"/>
                <w:sz w:val="24"/>
                <w:szCs w:val="20"/>
                <w:highlight w:val="none"/>
                <w:lang w:val="en-US" w:eastAsia="zh-CN"/>
              </w:rPr>
              <w:t>本项目</w:t>
            </w:r>
            <w:r>
              <w:rPr>
                <w:rFonts w:hint="default" w:ascii="Times New Roman" w:hAnsi="Times New Roman" w:eastAsia="宋体" w:cs="Times New Roman"/>
                <w:color w:val="auto"/>
                <w:sz w:val="24"/>
                <w:szCs w:val="20"/>
                <w:highlight w:val="none"/>
              </w:rPr>
              <w:t>施工期主要大气环境影响为扬尘对周围大气环境的影响，扬尘主要为施工扬尘和道路运输扬尘。</w:t>
            </w:r>
          </w:p>
          <w:p w14:paraId="47A0DFC4">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b w:val="0"/>
                <w:bCs w:val="0"/>
                <w:color w:val="auto"/>
                <w:sz w:val="24"/>
                <w:szCs w:val="20"/>
                <w:highlight w:val="none"/>
              </w:rPr>
            </w:pPr>
            <w:r>
              <w:rPr>
                <w:rFonts w:hint="default" w:ascii="Times New Roman" w:hAnsi="Times New Roman" w:eastAsia="宋体" w:cs="Times New Roman"/>
                <w:b w:val="0"/>
                <w:bCs w:val="0"/>
                <w:color w:val="auto"/>
                <w:sz w:val="24"/>
                <w:szCs w:val="20"/>
                <w:highlight w:val="none"/>
                <w:lang w:val="en-US" w:eastAsia="zh-CN"/>
              </w:rPr>
              <w:t>1</w:t>
            </w:r>
            <w:r>
              <w:rPr>
                <w:rFonts w:hint="eastAsia" w:ascii="Times New Roman" w:hAnsi="Times New Roman" w:eastAsia="宋体" w:cs="Times New Roman"/>
                <w:b w:val="0"/>
                <w:bCs w:val="0"/>
                <w:color w:val="auto"/>
                <w:sz w:val="24"/>
                <w:szCs w:val="20"/>
                <w:highlight w:val="none"/>
                <w:lang w:val="en-US" w:eastAsia="zh-CN"/>
              </w:rPr>
              <w:t>.</w:t>
            </w:r>
            <w:r>
              <w:rPr>
                <w:rFonts w:hint="default" w:ascii="Times New Roman" w:hAnsi="Times New Roman" w:eastAsia="宋体" w:cs="Times New Roman"/>
                <w:b w:val="0"/>
                <w:bCs w:val="0"/>
                <w:color w:val="auto"/>
                <w:sz w:val="24"/>
                <w:szCs w:val="20"/>
                <w:highlight w:val="none"/>
              </w:rPr>
              <w:t>产生环节</w:t>
            </w:r>
          </w:p>
          <w:p w14:paraId="0CF78D48">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szCs w:val="20"/>
                <w:highlight w:val="none"/>
              </w:rPr>
            </w:pPr>
            <w:r>
              <w:rPr>
                <w:rFonts w:hint="default" w:ascii="Times New Roman" w:hAnsi="Times New Roman" w:eastAsia="宋体" w:cs="Times New Roman"/>
                <w:color w:val="auto"/>
                <w:sz w:val="24"/>
                <w:szCs w:val="20"/>
                <w:highlight w:val="none"/>
              </w:rPr>
              <w:t>施工扬尘主要来自于施工现场</w:t>
            </w:r>
            <w:r>
              <w:rPr>
                <w:rFonts w:hint="eastAsia" w:cs="Times New Roman"/>
                <w:color w:val="auto"/>
                <w:sz w:val="24"/>
                <w:szCs w:val="20"/>
                <w:highlight w:val="none"/>
                <w:lang w:val="en-US" w:eastAsia="zh-CN"/>
              </w:rPr>
              <w:t>拆除工程（包括拆除原煤仓东侧仓下皮带走廊、拆除末煤仓下皮带走廊、拆除原煤仓雨水收集池及附属配电点等）、</w:t>
            </w:r>
            <w:r>
              <w:rPr>
                <w:rFonts w:hint="default" w:ascii="Times New Roman" w:hAnsi="Times New Roman" w:eastAsia="宋体" w:cs="Times New Roman"/>
                <w:color w:val="auto"/>
                <w:sz w:val="24"/>
                <w:szCs w:val="20"/>
                <w:highlight w:val="none"/>
                <w:lang w:val="en-US" w:eastAsia="zh-CN"/>
              </w:rPr>
              <w:t>土地平整清理、土方开挖粉尘</w:t>
            </w:r>
            <w:r>
              <w:rPr>
                <w:rFonts w:hint="eastAsia" w:cs="Times New Roman"/>
                <w:color w:val="auto"/>
                <w:sz w:val="24"/>
                <w:szCs w:val="20"/>
                <w:highlight w:val="none"/>
                <w:lang w:val="en-US" w:eastAsia="zh-CN"/>
              </w:rPr>
              <w:t>、</w:t>
            </w:r>
            <w:r>
              <w:rPr>
                <w:rFonts w:hint="default" w:ascii="Times New Roman" w:hAnsi="Times New Roman" w:eastAsia="宋体" w:cs="Times New Roman"/>
                <w:color w:val="auto"/>
                <w:sz w:val="24"/>
                <w:szCs w:val="20"/>
                <w:highlight w:val="none"/>
                <w:lang w:val="en-US" w:eastAsia="zh-CN"/>
              </w:rPr>
              <w:t>物料</w:t>
            </w:r>
            <w:r>
              <w:rPr>
                <w:rFonts w:hint="default" w:ascii="Times New Roman" w:hAnsi="Times New Roman" w:eastAsia="宋体" w:cs="Times New Roman"/>
                <w:color w:val="auto"/>
                <w:sz w:val="24"/>
                <w:szCs w:val="20"/>
                <w:highlight w:val="none"/>
              </w:rPr>
              <w:t>装卸</w:t>
            </w:r>
            <w:r>
              <w:rPr>
                <w:rFonts w:hint="default" w:ascii="Times New Roman" w:hAnsi="Times New Roman" w:eastAsia="宋体" w:cs="Times New Roman"/>
                <w:color w:val="auto"/>
                <w:sz w:val="24"/>
                <w:szCs w:val="20"/>
                <w:highlight w:val="none"/>
                <w:lang w:eastAsia="zh-CN"/>
              </w:rPr>
              <w:t>、</w:t>
            </w:r>
            <w:r>
              <w:rPr>
                <w:rFonts w:hint="default" w:ascii="Times New Roman" w:hAnsi="Times New Roman" w:eastAsia="宋体" w:cs="Times New Roman"/>
                <w:color w:val="auto"/>
                <w:sz w:val="24"/>
                <w:szCs w:val="20"/>
                <w:highlight w:val="none"/>
              </w:rPr>
              <w:t>堆放等过程；道路运输扬尘来自于施工机械和车辆的往来过程。扬尘排放方式为间歇不定量排放，其影响范围为施工现场附近和运输道路沿途。</w:t>
            </w:r>
          </w:p>
          <w:p w14:paraId="173CF9B2">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outlineLvl w:val="0"/>
              <w:rPr>
                <w:rFonts w:hint="default" w:ascii="Times New Roman" w:hAnsi="Times New Roman" w:eastAsia="宋体" w:cs="Times New Roman"/>
                <w:b w:val="0"/>
                <w:bCs w:val="0"/>
                <w:color w:val="auto"/>
                <w:sz w:val="24"/>
                <w:highlight w:val="none"/>
                <w:lang w:val="en-US" w:eastAsia="zh-CN"/>
              </w:rPr>
            </w:pPr>
            <w:bookmarkStart w:id="7" w:name="_Toc11505"/>
            <w:r>
              <w:rPr>
                <w:rFonts w:hint="default" w:ascii="Times New Roman" w:hAnsi="Times New Roman" w:eastAsia="宋体" w:cs="Times New Roman"/>
                <w:b w:val="0"/>
                <w:bCs w:val="0"/>
                <w:color w:val="auto"/>
                <w:sz w:val="24"/>
                <w:highlight w:val="none"/>
                <w:lang w:val="en-US" w:eastAsia="zh-CN"/>
              </w:rPr>
              <w:t>2</w:t>
            </w:r>
            <w:r>
              <w:rPr>
                <w:rFonts w:hint="eastAsia" w:ascii="Times New Roman" w:hAnsi="Times New Roman" w:eastAsia="宋体" w:cs="Times New Roman"/>
                <w:b w:val="0"/>
                <w:bCs w:val="0"/>
                <w:color w:val="auto"/>
                <w:sz w:val="24"/>
                <w:highlight w:val="none"/>
                <w:lang w:val="en-US" w:eastAsia="zh-CN"/>
              </w:rPr>
              <w:t>.</w:t>
            </w:r>
            <w:r>
              <w:rPr>
                <w:rFonts w:hint="default" w:ascii="Times New Roman" w:hAnsi="Times New Roman" w:eastAsia="宋体" w:cs="Times New Roman"/>
                <w:b w:val="0"/>
                <w:bCs w:val="0"/>
                <w:color w:val="auto"/>
                <w:sz w:val="24"/>
                <w:highlight w:val="none"/>
                <w:lang w:val="en-US" w:eastAsia="zh-CN"/>
              </w:rPr>
              <w:t>污染防治措施</w:t>
            </w:r>
            <w:bookmarkEnd w:id="7"/>
          </w:p>
          <w:p w14:paraId="325EAD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cs="Times New Roman"/>
                <w:color w:val="auto"/>
                <w:sz w:val="24"/>
                <w:highlight w:val="none"/>
                <w:lang w:val="en-US" w:eastAsia="zh-CN"/>
              </w:rPr>
            </w:pPr>
            <w:r>
              <w:rPr>
                <w:rFonts w:hint="eastAsia"/>
                <w:color w:val="auto"/>
                <w:sz w:val="24"/>
                <w:szCs w:val="32"/>
                <w:highlight w:val="none"/>
                <w:lang w:val="en-US" w:eastAsia="zh-CN"/>
              </w:rPr>
              <w:t>根据长治市人民政府关于印发长治市落实《空气质量持续改善行动计划》实施方案的通知（长政发〔2024〕4号），</w:t>
            </w:r>
            <w:r>
              <w:rPr>
                <w:rFonts w:hint="eastAsia" w:cs="Times New Roman"/>
                <w:color w:val="auto"/>
                <w:sz w:val="24"/>
                <w:highlight w:val="none"/>
                <w:lang w:val="en-US" w:eastAsia="zh-CN"/>
              </w:rPr>
              <w:t>针对施工扬尘，应采取以下措施：</w:t>
            </w:r>
          </w:p>
          <w:p w14:paraId="084CDC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（1）项目施工场地应严格做到6个100%，主要为施工工地周边100%围挡；物料堆放100%苫盖；出入车辆100%冲洗；施工现场地面100%硬化；土方开挖100%湿法作业；渣土车辆100%密闭运输。</w:t>
            </w:r>
          </w:p>
          <w:p w14:paraId="272D69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（2）建筑材料的防尘管理措施。施工过程中使用水泥、石灰、砂石、涂料、铺装材料等易产生扬尘的建筑材料，应以不透水的隔尘布完全覆盖或放置在顶部且四周均密封、遮蔽的设施内。</w:t>
            </w:r>
          </w:p>
          <w:p w14:paraId="658513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firstLine="480" w:firstLineChars="200"/>
              <w:textAlignment w:val="auto"/>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（3）施工期间，对于工地内裸露地面，应采取覆盖防尘布或防尘网；定期喷水抑尘，扬尘严重时应加大洒水频率。</w:t>
            </w:r>
          </w:p>
          <w:p w14:paraId="61092D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（4）合理设置施工标志牌。施工期间，施工单位应根据《建设工程施工现场管理规定》设置现场平面布置图、工程概况牌、文明施工牌、管理或责任人人员名单及环保监督电话告示牌等。</w:t>
            </w:r>
          </w:p>
          <w:p w14:paraId="1419B0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（5）施工期间需使用混凝土时，应使用预拌商品混凝土，不得现场搅拌混凝土、拌石灰土等。</w:t>
            </w:r>
          </w:p>
          <w:p w14:paraId="1F7873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（6）工程施工区域非道路移动机械应符合国家阶段性排放标准，禁止超标工程机械进入施工现场开展作业。</w:t>
            </w:r>
          </w:p>
          <w:p w14:paraId="56F879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（7）道路施工，严格划定作业区。管线施工过</w:t>
            </w:r>
            <w:r>
              <w:rPr>
                <w:rFonts w:hint="eastAsia" w:cs="Times New Roman"/>
                <w:color w:val="auto"/>
                <w:sz w:val="24"/>
                <w:highlight w:val="none"/>
                <w:lang w:val="en-US" w:eastAsia="zh-CN"/>
              </w:rPr>
              <w:t>程中</w:t>
            </w:r>
            <w:r>
              <w:rPr>
                <w:rFonts w:hint="eastAsia" w:ascii="Times New Roman" w:hAnsi="Times New Roman" w:cs="Times New Roman"/>
                <w:color w:val="auto"/>
                <w:sz w:val="24"/>
                <w:highlight w:val="none"/>
                <w:lang w:val="en-US" w:eastAsia="zh-CN"/>
              </w:rPr>
              <w:t>未能及时回用的土方应及时覆盖防尘布、定期喷水抑尘。</w:t>
            </w:r>
          </w:p>
          <w:p w14:paraId="4E136538">
            <w:pPr>
              <w:keepNext w:val="0"/>
              <w:keepLines w:val="0"/>
              <w:pageBreakBefore w:val="0"/>
              <w:widowControl w:val="0"/>
              <w:kinsoku/>
              <w:wordWrap/>
              <w:overflowPunct/>
              <w:topLinePunct w:val="0"/>
              <w:autoSpaceDE/>
              <w:autoSpaceDN/>
              <w:bidi w:val="0"/>
              <w:adjustRightInd/>
              <w:snapToGrid/>
              <w:spacing w:beforeAutospacing="0" w:afterAutospacing="0" w:line="480" w:lineRule="exact"/>
              <w:ind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kern w:val="0"/>
                <w:sz w:val="24"/>
                <w:szCs w:val="24"/>
              </w:rPr>
              <w:t>采取上述措施后，能最大限</w:t>
            </w:r>
            <w:r>
              <w:rPr>
                <w:rFonts w:hint="eastAsia" w:cs="Times New Roman"/>
                <w:color w:val="auto"/>
                <w:kern w:val="0"/>
                <w:sz w:val="24"/>
                <w:szCs w:val="24"/>
                <w:lang w:eastAsia="zh-CN"/>
              </w:rPr>
              <w:t>度地</w:t>
            </w:r>
            <w:r>
              <w:rPr>
                <w:rFonts w:hint="default" w:ascii="Times New Roman" w:hAnsi="Times New Roman" w:eastAsia="宋体" w:cs="Times New Roman"/>
                <w:color w:val="auto"/>
                <w:kern w:val="0"/>
                <w:sz w:val="24"/>
                <w:szCs w:val="24"/>
              </w:rPr>
              <w:t>减少施工扬尘对周边环境空气产生</w:t>
            </w:r>
            <w:r>
              <w:rPr>
                <w:rFonts w:hint="eastAsia" w:cs="Times New Roman"/>
                <w:color w:val="auto"/>
                <w:kern w:val="0"/>
                <w:sz w:val="24"/>
                <w:szCs w:val="24"/>
                <w:lang w:val="en-US" w:eastAsia="zh-CN"/>
              </w:rPr>
              <w:t>的</w:t>
            </w:r>
            <w:r>
              <w:rPr>
                <w:rFonts w:hint="default" w:ascii="Times New Roman" w:hAnsi="Times New Roman" w:eastAsia="宋体" w:cs="Times New Roman"/>
                <w:color w:val="auto"/>
                <w:kern w:val="0"/>
                <w:sz w:val="24"/>
                <w:szCs w:val="24"/>
              </w:rPr>
              <w:t>影响。随着施工过程的结束，这些影响也将随之消失。</w:t>
            </w:r>
          </w:p>
          <w:p w14:paraId="7BCE7AD9">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2" w:firstLineChars="200"/>
              <w:textAlignment w:val="auto"/>
              <w:rPr>
                <w:rFonts w:hint="default" w:ascii="Times New Roman" w:hAnsi="Times New Roman" w:eastAsia="宋体" w:cs="Times New Roman"/>
                <w:b/>
                <w:color w:val="auto"/>
                <w:spacing w:val="0"/>
                <w:sz w:val="24"/>
                <w:szCs w:val="24"/>
                <w:highlight w:val="none"/>
              </w:rPr>
            </w:pPr>
            <w:r>
              <w:rPr>
                <w:rFonts w:hint="eastAsia" w:ascii="Times New Roman" w:hAnsi="Times New Roman" w:eastAsia="宋体" w:cs="Times New Roman"/>
                <w:b/>
                <w:color w:val="auto"/>
                <w:spacing w:val="0"/>
                <w:sz w:val="24"/>
                <w:szCs w:val="24"/>
                <w:highlight w:val="none"/>
                <w:lang w:val="en-US" w:eastAsia="zh-CN"/>
              </w:rPr>
              <w:t xml:space="preserve">4.2 </w:t>
            </w:r>
            <w:r>
              <w:rPr>
                <w:rFonts w:hint="default" w:ascii="Times New Roman" w:hAnsi="Times New Roman" w:eastAsia="宋体" w:cs="Times New Roman"/>
                <w:b/>
                <w:color w:val="auto"/>
                <w:spacing w:val="0"/>
                <w:sz w:val="24"/>
                <w:szCs w:val="24"/>
                <w:highlight w:val="none"/>
              </w:rPr>
              <w:t>施工期水环境污染防治措施</w:t>
            </w:r>
          </w:p>
          <w:p w14:paraId="403753F4">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sz w:val="24"/>
                <w:highlight w:val="none"/>
              </w:rPr>
              <w:t>本项目施工期废水主要为</w:t>
            </w:r>
            <w:r>
              <w:rPr>
                <w:rFonts w:hint="default" w:ascii="Times New Roman" w:hAnsi="Times New Roman" w:eastAsia="宋体" w:cs="Times New Roman"/>
                <w:color w:val="auto"/>
                <w:sz w:val="24"/>
                <w:highlight w:val="none"/>
                <w:lang w:val="en-US" w:eastAsia="zh-CN"/>
              </w:rPr>
              <w:t>施工废水和</w:t>
            </w:r>
            <w:r>
              <w:rPr>
                <w:rFonts w:hint="default" w:ascii="Times New Roman" w:hAnsi="Times New Roman" w:eastAsia="宋体" w:cs="Times New Roman"/>
                <w:color w:val="auto"/>
                <w:sz w:val="24"/>
                <w:highlight w:val="none"/>
              </w:rPr>
              <w:t>施工人员的生活污水。</w:t>
            </w:r>
          </w:p>
          <w:p w14:paraId="32809EA7">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eastAsia="宋体" w:cs="Times New Roman"/>
                <w:b w:val="0"/>
                <w:bCs w:val="0"/>
                <w:color w:val="auto"/>
                <w:kern w:val="0"/>
                <w:sz w:val="24"/>
                <w:highlight w:val="none"/>
              </w:rPr>
            </w:pPr>
            <w:r>
              <w:rPr>
                <w:rFonts w:hint="default" w:ascii="Times New Roman" w:hAnsi="Times New Roman" w:eastAsia="宋体" w:cs="Times New Roman"/>
                <w:b w:val="0"/>
                <w:bCs w:val="0"/>
                <w:color w:val="auto"/>
                <w:kern w:val="0"/>
                <w:sz w:val="24"/>
                <w:highlight w:val="none"/>
                <w:lang w:val="en-US" w:eastAsia="zh-CN"/>
              </w:rPr>
              <w:t>1</w:t>
            </w:r>
            <w:r>
              <w:rPr>
                <w:rFonts w:hint="eastAsia" w:ascii="Times New Roman" w:hAnsi="Times New Roman" w:eastAsia="宋体" w:cs="Times New Roman"/>
                <w:b w:val="0"/>
                <w:bCs w:val="0"/>
                <w:color w:val="auto"/>
                <w:kern w:val="0"/>
                <w:sz w:val="24"/>
                <w:highlight w:val="none"/>
                <w:lang w:val="en-US" w:eastAsia="zh-CN"/>
              </w:rPr>
              <w:t>.</w:t>
            </w:r>
            <w:r>
              <w:rPr>
                <w:rFonts w:hint="default" w:ascii="Times New Roman" w:hAnsi="Times New Roman" w:eastAsia="宋体" w:cs="Times New Roman"/>
                <w:b w:val="0"/>
                <w:bCs w:val="0"/>
                <w:color w:val="auto"/>
                <w:kern w:val="0"/>
                <w:sz w:val="24"/>
                <w:highlight w:val="none"/>
              </w:rPr>
              <w:t>施工废水</w:t>
            </w:r>
          </w:p>
          <w:p w14:paraId="71B4BBBB">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eastAsia="宋体" w:cs="Times New Roman"/>
                <w:b w:val="0"/>
                <w:bCs w:val="0"/>
                <w:color w:val="auto"/>
                <w:kern w:val="0"/>
                <w:sz w:val="24"/>
                <w:highlight w:val="none"/>
              </w:rPr>
            </w:pPr>
            <w:r>
              <w:rPr>
                <w:rFonts w:hint="default" w:ascii="Times New Roman" w:hAnsi="Times New Roman" w:eastAsia="宋体" w:cs="Times New Roman"/>
                <w:b w:val="0"/>
                <w:bCs w:val="0"/>
                <w:color w:val="auto"/>
                <w:kern w:val="0"/>
                <w:sz w:val="24"/>
                <w:highlight w:val="none"/>
                <w:lang w:val="en-US" w:eastAsia="zh-CN"/>
              </w:rPr>
              <w:t>施工废水主要为</w:t>
            </w:r>
            <w:r>
              <w:rPr>
                <w:rFonts w:hint="eastAsia" w:ascii="Times New Roman" w:hAnsi="Times New Roman" w:eastAsia="宋体" w:cs="Times New Roman"/>
                <w:b w:val="0"/>
                <w:bCs w:val="0"/>
                <w:color w:val="auto"/>
                <w:kern w:val="0"/>
                <w:sz w:val="24"/>
                <w:highlight w:val="none"/>
                <w:lang w:val="en-US" w:eastAsia="zh-CN"/>
              </w:rPr>
              <w:t>路面</w:t>
            </w:r>
            <w:r>
              <w:rPr>
                <w:rFonts w:hint="default" w:ascii="Times New Roman" w:hAnsi="Times New Roman" w:eastAsia="宋体" w:cs="Times New Roman"/>
                <w:b w:val="0"/>
                <w:bCs w:val="0"/>
                <w:color w:val="auto"/>
                <w:kern w:val="0"/>
                <w:sz w:val="24"/>
                <w:highlight w:val="none"/>
                <w:lang w:eastAsia="zh-CN"/>
              </w:rPr>
              <w:t>、</w:t>
            </w:r>
            <w:r>
              <w:rPr>
                <w:rFonts w:hint="default" w:ascii="Times New Roman" w:hAnsi="Times New Roman" w:eastAsia="宋体" w:cs="Times New Roman"/>
                <w:b w:val="0"/>
                <w:bCs w:val="0"/>
                <w:color w:val="auto"/>
                <w:kern w:val="0"/>
                <w:sz w:val="24"/>
                <w:highlight w:val="none"/>
                <w:lang w:val="en-US" w:eastAsia="zh-CN"/>
              </w:rPr>
              <w:t>运输车辆的</w:t>
            </w:r>
            <w:r>
              <w:rPr>
                <w:rFonts w:hint="default" w:ascii="Times New Roman" w:hAnsi="Times New Roman" w:eastAsia="宋体" w:cs="Times New Roman"/>
                <w:b w:val="0"/>
                <w:bCs w:val="0"/>
                <w:color w:val="auto"/>
                <w:kern w:val="0"/>
                <w:sz w:val="24"/>
                <w:highlight w:val="none"/>
              </w:rPr>
              <w:t>冲洗水</w:t>
            </w:r>
            <w:r>
              <w:rPr>
                <w:rFonts w:hint="default" w:ascii="Times New Roman" w:hAnsi="Times New Roman" w:eastAsia="宋体" w:cs="Times New Roman"/>
                <w:b w:val="0"/>
                <w:bCs w:val="0"/>
                <w:color w:val="auto"/>
                <w:kern w:val="0"/>
                <w:sz w:val="24"/>
                <w:highlight w:val="none"/>
                <w:lang w:eastAsia="zh-CN"/>
              </w:rPr>
              <w:t>，</w:t>
            </w:r>
            <w:r>
              <w:rPr>
                <w:rFonts w:hint="default" w:ascii="Times New Roman" w:hAnsi="Times New Roman" w:eastAsia="宋体" w:cs="Times New Roman"/>
                <w:b w:val="0"/>
                <w:bCs w:val="0"/>
                <w:color w:val="auto"/>
                <w:kern w:val="0"/>
                <w:sz w:val="24"/>
                <w:highlight w:val="none"/>
                <w:lang w:val="en-US" w:eastAsia="zh-CN"/>
              </w:rPr>
              <w:t>水中</w:t>
            </w:r>
            <w:r>
              <w:rPr>
                <w:rFonts w:hint="default" w:ascii="Times New Roman" w:hAnsi="Times New Roman" w:eastAsia="宋体" w:cs="Times New Roman"/>
                <w:b w:val="0"/>
                <w:bCs w:val="0"/>
                <w:color w:val="auto"/>
                <w:kern w:val="0"/>
                <w:sz w:val="24"/>
                <w:highlight w:val="none"/>
              </w:rPr>
              <w:t>只含有少量泥沙，不含其它杂质，排放量较</w:t>
            </w:r>
            <w:r>
              <w:rPr>
                <w:rFonts w:hint="eastAsia" w:cs="Times New Roman"/>
                <w:b w:val="0"/>
                <w:bCs w:val="0"/>
                <w:color w:val="auto"/>
                <w:kern w:val="0"/>
                <w:sz w:val="24"/>
                <w:highlight w:val="none"/>
                <w:lang w:eastAsia="zh-CN"/>
              </w:rPr>
              <w:t>少</w:t>
            </w:r>
            <w:r>
              <w:rPr>
                <w:rFonts w:hint="eastAsia" w:ascii="Times New Roman" w:hAnsi="Times New Roman" w:eastAsia="宋体" w:cs="Times New Roman"/>
                <w:b w:val="0"/>
                <w:bCs w:val="0"/>
                <w:color w:val="auto"/>
                <w:kern w:val="0"/>
                <w:sz w:val="24"/>
                <w:highlight w:val="none"/>
                <w:lang w:eastAsia="zh-CN"/>
              </w:rPr>
              <w:t>。</w:t>
            </w:r>
            <w:r>
              <w:rPr>
                <w:rFonts w:hint="default" w:ascii="Times New Roman" w:hAnsi="Times New Roman" w:eastAsia="宋体" w:cs="Times New Roman"/>
                <w:b w:val="0"/>
                <w:bCs w:val="0"/>
                <w:color w:val="auto"/>
                <w:kern w:val="0"/>
                <w:sz w:val="24"/>
                <w:highlight w:val="none"/>
              </w:rPr>
              <w:t>对进出车辆进行</w:t>
            </w:r>
            <w:r>
              <w:rPr>
                <w:rFonts w:hint="eastAsia" w:ascii="Times New Roman" w:hAnsi="Times New Roman" w:eastAsia="宋体" w:cs="Times New Roman"/>
                <w:b w:val="0"/>
                <w:bCs w:val="0"/>
                <w:color w:val="auto"/>
                <w:kern w:val="0"/>
                <w:sz w:val="24"/>
                <w:highlight w:val="none"/>
                <w:lang w:val="en-US" w:eastAsia="zh-CN"/>
              </w:rPr>
              <w:t>冲洗</w:t>
            </w:r>
            <w:r>
              <w:rPr>
                <w:rFonts w:hint="default" w:ascii="Times New Roman" w:hAnsi="Times New Roman" w:eastAsia="宋体" w:cs="Times New Roman"/>
                <w:b w:val="0"/>
                <w:bCs w:val="0"/>
                <w:color w:val="auto"/>
                <w:kern w:val="0"/>
                <w:sz w:val="24"/>
                <w:highlight w:val="none"/>
              </w:rPr>
              <w:t>，防止车辆带污上路，避免产生二次扬尘。</w:t>
            </w:r>
          </w:p>
          <w:p w14:paraId="0CA820F7">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eastAsia="宋体" w:cs="Times New Roman"/>
                <w:b w:val="0"/>
                <w:bCs w:val="0"/>
                <w:color w:val="auto"/>
                <w:kern w:val="0"/>
                <w:sz w:val="24"/>
                <w:highlight w:val="none"/>
              </w:rPr>
            </w:pPr>
            <w:r>
              <w:rPr>
                <w:rFonts w:hint="default" w:ascii="Times New Roman" w:hAnsi="Times New Roman" w:eastAsia="宋体" w:cs="Times New Roman"/>
                <w:b w:val="0"/>
                <w:bCs w:val="0"/>
                <w:color w:val="auto"/>
                <w:kern w:val="0"/>
                <w:sz w:val="24"/>
                <w:highlight w:val="none"/>
                <w:lang w:val="en-US" w:eastAsia="zh-CN"/>
              </w:rPr>
              <w:t>2</w:t>
            </w:r>
            <w:r>
              <w:rPr>
                <w:rFonts w:hint="eastAsia" w:ascii="Times New Roman" w:hAnsi="Times New Roman" w:eastAsia="宋体" w:cs="Times New Roman"/>
                <w:b w:val="0"/>
                <w:bCs w:val="0"/>
                <w:color w:val="auto"/>
                <w:kern w:val="0"/>
                <w:sz w:val="24"/>
                <w:highlight w:val="none"/>
                <w:lang w:val="en-US" w:eastAsia="zh-CN"/>
              </w:rPr>
              <w:t>.</w:t>
            </w:r>
            <w:r>
              <w:rPr>
                <w:rFonts w:hint="default" w:ascii="Times New Roman" w:hAnsi="Times New Roman" w:eastAsia="宋体" w:cs="Times New Roman"/>
                <w:b w:val="0"/>
                <w:bCs w:val="0"/>
                <w:color w:val="auto"/>
                <w:kern w:val="0"/>
                <w:sz w:val="24"/>
                <w:highlight w:val="none"/>
              </w:rPr>
              <w:t>施工人员的生活污水</w:t>
            </w:r>
          </w:p>
          <w:p w14:paraId="48AF2F0F">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宋体" w:cs="Times New Roman"/>
                <w:color w:val="auto"/>
                <w:kern w:val="0"/>
                <w:sz w:val="24"/>
                <w:highlight w:val="none"/>
                <w:lang w:eastAsia="zh-CN"/>
              </w:rPr>
            </w:pPr>
            <w:r>
              <w:rPr>
                <w:rFonts w:hint="default" w:ascii="Times New Roman" w:hAnsi="Times New Roman" w:eastAsia="宋体" w:cs="Times New Roman"/>
                <w:color w:val="auto"/>
                <w:kern w:val="0"/>
                <w:sz w:val="24"/>
                <w:highlight w:val="none"/>
              </w:rPr>
              <w:t>本项目不建设临时施工营地</w:t>
            </w:r>
            <w:r>
              <w:rPr>
                <w:rFonts w:hint="eastAsia" w:ascii="Times New Roman" w:hAnsi="Times New Roman" w:eastAsia="宋体"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rPr>
              <w:t>施工人员利用</w:t>
            </w:r>
            <w:r>
              <w:rPr>
                <w:rFonts w:hint="eastAsia" w:ascii="Times New Roman" w:hAnsi="Times New Roman" w:eastAsia="宋体" w:cs="Times New Roman"/>
                <w:color w:val="auto"/>
                <w:kern w:val="0"/>
                <w:sz w:val="24"/>
                <w:highlight w:val="none"/>
                <w:lang w:val="en-US" w:eastAsia="zh-CN"/>
              </w:rPr>
              <w:t>场地现有</w:t>
            </w:r>
            <w:r>
              <w:rPr>
                <w:rFonts w:hint="default" w:ascii="Times New Roman" w:hAnsi="Times New Roman" w:eastAsia="宋体" w:cs="Times New Roman"/>
                <w:color w:val="auto"/>
                <w:kern w:val="0"/>
                <w:sz w:val="24"/>
                <w:highlight w:val="none"/>
              </w:rPr>
              <w:t>办公卫生设施</w:t>
            </w:r>
            <w:r>
              <w:rPr>
                <w:rFonts w:hint="eastAsia" w:ascii="Times New Roman" w:hAnsi="Times New Roman" w:eastAsia="宋体"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rPr>
              <w:t>施工人员生活污水</w:t>
            </w:r>
            <w:r>
              <w:rPr>
                <w:rFonts w:hint="eastAsia" w:ascii="Times New Roman" w:hAnsi="Times New Roman" w:cs="Times New Roman"/>
                <w:b w:val="0"/>
                <w:bCs w:val="0"/>
                <w:color w:val="auto"/>
                <w:sz w:val="24"/>
                <w:highlight w:val="none"/>
                <w:lang w:eastAsia="zh-CN"/>
              </w:rPr>
              <w:t>进入</w:t>
            </w:r>
            <w:r>
              <w:rPr>
                <w:rFonts w:hint="eastAsia" w:ascii="Times New Roman" w:hAnsi="Times New Roman" w:cs="Times New Roman"/>
                <w:b w:val="0"/>
                <w:bCs w:val="0"/>
                <w:color w:val="auto"/>
                <w:sz w:val="24"/>
                <w:highlight w:val="none"/>
                <w:lang w:val="en-US" w:eastAsia="zh-CN"/>
              </w:rPr>
              <w:t>工业场内生活污水处理站进行处理</w:t>
            </w:r>
            <w:r>
              <w:rPr>
                <w:rFonts w:hint="eastAsia" w:ascii="Times New Roman" w:hAnsi="Times New Roman" w:cs="Times New Roman"/>
                <w:b w:val="0"/>
                <w:bCs w:val="0"/>
                <w:color w:val="auto"/>
                <w:sz w:val="24"/>
                <w:szCs w:val="22"/>
                <w:highlight w:val="none"/>
                <w:lang w:eastAsia="zh-CN"/>
              </w:rPr>
              <w:t>。</w:t>
            </w:r>
          </w:p>
          <w:p w14:paraId="20F4B404">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pacing w:val="-4"/>
                <w:sz w:val="24"/>
                <w:highlight w:val="none"/>
              </w:rPr>
            </w:pPr>
            <w:r>
              <w:rPr>
                <w:rFonts w:hint="default" w:ascii="Times New Roman" w:hAnsi="Times New Roman" w:eastAsia="宋体" w:cs="Times New Roman"/>
                <w:color w:val="auto"/>
                <w:kern w:val="0"/>
                <w:sz w:val="24"/>
                <w:highlight w:val="none"/>
              </w:rPr>
              <w:t>综上所述，本项目施工期对水环境的影响很小</w:t>
            </w:r>
            <w:r>
              <w:rPr>
                <w:rFonts w:hint="default" w:ascii="Times New Roman" w:hAnsi="Times New Roman" w:eastAsia="宋体" w:cs="Times New Roman"/>
                <w:color w:val="auto"/>
                <w:spacing w:val="-4"/>
                <w:sz w:val="24"/>
                <w:highlight w:val="none"/>
              </w:rPr>
              <w:t>。</w:t>
            </w:r>
          </w:p>
          <w:p w14:paraId="78403AA0">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2" w:firstLineChars="200"/>
              <w:textAlignment w:val="auto"/>
              <w:rPr>
                <w:rFonts w:hint="default" w:ascii="Times New Roman" w:hAnsi="Times New Roman" w:eastAsia="宋体" w:cs="Times New Roman"/>
                <w:b/>
                <w:color w:val="auto"/>
                <w:spacing w:val="0"/>
                <w:sz w:val="24"/>
                <w:szCs w:val="24"/>
                <w:highlight w:val="none"/>
                <w:lang w:val="en-US" w:eastAsia="zh-CN"/>
              </w:rPr>
            </w:pPr>
            <w:r>
              <w:rPr>
                <w:rFonts w:hint="eastAsia" w:ascii="Times New Roman" w:hAnsi="Times New Roman" w:eastAsia="宋体" w:cs="Times New Roman"/>
                <w:b/>
                <w:color w:val="auto"/>
                <w:spacing w:val="0"/>
                <w:sz w:val="24"/>
                <w:szCs w:val="24"/>
                <w:highlight w:val="none"/>
                <w:lang w:val="en-US" w:eastAsia="zh-CN"/>
              </w:rPr>
              <w:t xml:space="preserve">4.3 </w:t>
            </w:r>
            <w:r>
              <w:rPr>
                <w:rFonts w:hint="default" w:ascii="Times New Roman" w:hAnsi="Times New Roman" w:eastAsia="宋体" w:cs="Times New Roman"/>
                <w:b/>
                <w:color w:val="auto"/>
                <w:spacing w:val="0"/>
                <w:sz w:val="24"/>
                <w:szCs w:val="24"/>
                <w:highlight w:val="none"/>
                <w:lang w:val="en-US" w:eastAsia="zh-CN"/>
              </w:rPr>
              <w:t>施工期固体废物环境污染防治措施</w:t>
            </w:r>
          </w:p>
          <w:p w14:paraId="38EF0054">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在施工过程中</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产生的固体废物主要是施工产生的建筑垃圾以及施工人员的生活垃圾。</w:t>
            </w:r>
          </w:p>
          <w:p w14:paraId="43AAAAC5">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eastAsia="宋体" w:cs="Times New Roman"/>
                <w:b w:val="0"/>
                <w:bCs w:val="0"/>
                <w:color w:val="auto"/>
                <w:sz w:val="24"/>
                <w:highlight w:val="none"/>
              </w:rPr>
            </w:pPr>
            <w:r>
              <w:rPr>
                <w:rFonts w:hint="default" w:ascii="Times New Roman" w:hAnsi="Times New Roman" w:eastAsia="宋体" w:cs="Times New Roman"/>
                <w:b w:val="0"/>
                <w:bCs w:val="0"/>
                <w:color w:val="auto"/>
                <w:sz w:val="24"/>
                <w:highlight w:val="none"/>
                <w:lang w:val="en-US" w:eastAsia="zh-CN"/>
              </w:rPr>
              <w:t>1</w:t>
            </w:r>
            <w:r>
              <w:rPr>
                <w:rFonts w:hint="eastAsia" w:ascii="Times New Roman" w:hAnsi="Times New Roman" w:eastAsia="宋体" w:cs="Times New Roman"/>
                <w:b w:val="0"/>
                <w:bCs w:val="0"/>
                <w:color w:val="auto"/>
                <w:sz w:val="24"/>
                <w:highlight w:val="none"/>
                <w:lang w:val="en-US" w:eastAsia="zh-CN"/>
              </w:rPr>
              <w:t>.</w:t>
            </w:r>
            <w:r>
              <w:rPr>
                <w:rFonts w:hint="default" w:ascii="Times New Roman" w:hAnsi="Times New Roman" w:eastAsia="宋体" w:cs="Times New Roman"/>
                <w:b w:val="0"/>
                <w:bCs w:val="0"/>
                <w:color w:val="auto"/>
                <w:sz w:val="24"/>
                <w:highlight w:val="none"/>
              </w:rPr>
              <w:t>建筑垃圾</w:t>
            </w:r>
          </w:p>
          <w:p w14:paraId="478BBBFE">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eastAsia="宋体" w:cs="Times New Roman"/>
                <w:b w:val="0"/>
                <w:bCs w:val="0"/>
                <w:color w:val="auto"/>
                <w:sz w:val="24"/>
                <w:highlight w:val="none"/>
              </w:rPr>
            </w:pPr>
            <w:r>
              <w:rPr>
                <w:rFonts w:hint="default" w:ascii="Times New Roman" w:hAnsi="Times New Roman" w:eastAsia="宋体" w:cs="Times New Roman"/>
                <w:b w:val="0"/>
                <w:bCs w:val="0"/>
                <w:color w:val="auto"/>
                <w:sz w:val="24"/>
                <w:highlight w:val="none"/>
              </w:rPr>
              <w:t>本项目施工期间会产生一定量的建筑垃圾</w:t>
            </w:r>
            <w:r>
              <w:rPr>
                <w:rFonts w:hint="default" w:ascii="Times New Roman" w:hAnsi="Times New Roman" w:eastAsia="宋体" w:cs="Times New Roman"/>
                <w:b w:val="0"/>
                <w:bCs w:val="0"/>
                <w:color w:val="auto"/>
                <w:sz w:val="24"/>
                <w:highlight w:val="none"/>
                <w:lang w:eastAsia="zh-CN"/>
              </w:rPr>
              <w:t>，</w:t>
            </w:r>
            <w:r>
              <w:rPr>
                <w:rFonts w:hint="default" w:ascii="Times New Roman" w:hAnsi="Times New Roman" w:eastAsia="宋体" w:cs="Times New Roman"/>
                <w:b w:val="0"/>
                <w:bCs w:val="0"/>
                <w:color w:val="auto"/>
                <w:sz w:val="24"/>
                <w:highlight w:val="none"/>
              </w:rPr>
              <w:t>能回收利用的要回收利用</w:t>
            </w:r>
            <w:r>
              <w:rPr>
                <w:rFonts w:hint="default" w:ascii="Times New Roman" w:hAnsi="Times New Roman" w:eastAsia="宋体" w:cs="Times New Roman"/>
                <w:b w:val="0"/>
                <w:bCs w:val="0"/>
                <w:color w:val="auto"/>
                <w:sz w:val="24"/>
                <w:highlight w:val="none"/>
                <w:lang w:eastAsia="zh-CN"/>
              </w:rPr>
              <w:t>，</w:t>
            </w:r>
            <w:r>
              <w:rPr>
                <w:rFonts w:hint="default" w:ascii="Times New Roman" w:hAnsi="Times New Roman" w:eastAsia="宋体" w:cs="Times New Roman"/>
                <w:b w:val="0"/>
                <w:bCs w:val="0"/>
                <w:color w:val="auto"/>
                <w:sz w:val="24"/>
                <w:highlight w:val="none"/>
              </w:rPr>
              <w:t>不能回收利用的要及时运至环卫部门指定的地点</w:t>
            </w:r>
            <w:r>
              <w:rPr>
                <w:rFonts w:hint="default" w:ascii="Times New Roman" w:hAnsi="Times New Roman" w:eastAsia="宋体" w:cs="Times New Roman"/>
                <w:b w:val="0"/>
                <w:bCs w:val="0"/>
                <w:color w:val="auto"/>
                <w:sz w:val="24"/>
                <w:highlight w:val="none"/>
                <w:lang w:eastAsia="zh-CN"/>
              </w:rPr>
              <w:t>，</w:t>
            </w:r>
            <w:r>
              <w:rPr>
                <w:rFonts w:hint="default" w:ascii="Times New Roman" w:hAnsi="Times New Roman" w:eastAsia="宋体" w:cs="Times New Roman"/>
                <w:b w:val="0"/>
                <w:bCs w:val="0"/>
                <w:color w:val="auto"/>
                <w:sz w:val="24"/>
                <w:highlight w:val="none"/>
              </w:rPr>
              <w:t>必须定时、及时处理</w:t>
            </w:r>
            <w:r>
              <w:rPr>
                <w:rFonts w:hint="default" w:ascii="Times New Roman" w:hAnsi="Times New Roman" w:eastAsia="宋体" w:cs="Times New Roman"/>
                <w:b w:val="0"/>
                <w:bCs w:val="0"/>
                <w:color w:val="auto"/>
                <w:sz w:val="24"/>
                <w:highlight w:val="none"/>
                <w:lang w:eastAsia="zh-CN"/>
              </w:rPr>
              <w:t>，</w:t>
            </w:r>
            <w:r>
              <w:rPr>
                <w:rFonts w:hint="default" w:ascii="Times New Roman" w:hAnsi="Times New Roman" w:eastAsia="宋体" w:cs="Times New Roman"/>
                <w:b w:val="0"/>
                <w:bCs w:val="0"/>
                <w:color w:val="auto"/>
                <w:sz w:val="24"/>
                <w:highlight w:val="none"/>
              </w:rPr>
              <w:t>保持环境卫生</w:t>
            </w:r>
            <w:r>
              <w:rPr>
                <w:rFonts w:hint="default" w:ascii="Times New Roman" w:hAnsi="Times New Roman" w:eastAsia="宋体" w:cs="Times New Roman"/>
                <w:b w:val="0"/>
                <w:bCs w:val="0"/>
                <w:color w:val="auto"/>
                <w:sz w:val="24"/>
                <w:highlight w:val="none"/>
                <w:lang w:eastAsia="zh-CN"/>
              </w:rPr>
              <w:t>，</w:t>
            </w:r>
            <w:r>
              <w:rPr>
                <w:rFonts w:hint="default" w:ascii="Times New Roman" w:hAnsi="Times New Roman" w:eastAsia="宋体" w:cs="Times New Roman"/>
                <w:b w:val="0"/>
                <w:bCs w:val="0"/>
                <w:color w:val="auto"/>
                <w:sz w:val="24"/>
                <w:highlight w:val="none"/>
              </w:rPr>
              <w:t>运输车辆应加盖篷布防止扬尘。</w:t>
            </w:r>
          </w:p>
          <w:p w14:paraId="38F15401">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eastAsia="宋体" w:cs="Times New Roman"/>
                <w:b w:val="0"/>
                <w:bCs w:val="0"/>
                <w:color w:val="auto"/>
                <w:sz w:val="24"/>
                <w:highlight w:val="none"/>
              </w:rPr>
            </w:pPr>
            <w:r>
              <w:rPr>
                <w:rFonts w:hint="default" w:ascii="Times New Roman" w:hAnsi="Times New Roman" w:eastAsia="宋体" w:cs="Times New Roman"/>
                <w:b w:val="0"/>
                <w:bCs w:val="0"/>
                <w:color w:val="auto"/>
                <w:sz w:val="24"/>
                <w:highlight w:val="none"/>
                <w:lang w:val="en-US" w:eastAsia="zh-CN"/>
              </w:rPr>
              <w:t>2</w:t>
            </w:r>
            <w:r>
              <w:rPr>
                <w:rFonts w:hint="eastAsia" w:ascii="Times New Roman" w:hAnsi="Times New Roman" w:eastAsia="宋体" w:cs="Times New Roman"/>
                <w:b w:val="0"/>
                <w:bCs w:val="0"/>
                <w:color w:val="auto"/>
                <w:sz w:val="24"/>
                <w:highlight w:val="none"/>
                <w:lang w:val="en-US" w:eastAsia="zh-CN"/>
              </w:rPr>
              <w:t>.</w:t>
            </w:r>
            <w:r>
              <w:rPr>
                <w:rFonts w:hint="default" w:ascii="Times New Roman" w:hAnsi="Times New Roman" w:eastAsia="宋体" w:cs="Times New Roman"/>
                <w:b w:val="0"/>
                <w:bCs w:val="0"/>
                <w:color w:val="auto"/>
                <w:sz w:val="24"/>
                <w:highlight w:val="none"/>
              </w:rPr>
              <w:t>施工人员的生活垃圾</w:t>
            </w:r>
          </w:p>
          <w:p w14:paraId="101FA789">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施工期施工人员产生的</w:t>
            </w:r>
            <w:r>
              <w:rPr>
                <w:rFonts w:hint="default" w:ascii="Times New Roman" w:hAnsi="Times New Roman" w:eastAsia="宋体" w:cs="Times New Roman"/>
                <w:color w:val="auto"/>
                <w:sz w:val="24"/>
                <w:highlight w:val="none"/>
                <w:lang w:val="en-US" w:eastAsia="zh-CN"/>
              </w:rPr>
              <w:t>生活垃圾产生量按0.5kg/人•d计，以</w:t>
            </w:r>
            <w:r>
              <w:rPr>
                <w:rFonts w:hint="eastAsia" w:ascii="Times New Roman" w:hAnsi="Times New Roman" w:eastAsia="宋体" w:cs="Times New Roman"/>
                <w:color w:val="auto"/>
                <w:sz w:val="24"/>
                <w:highlight w:val="none"/>
                <w:lang w:val="en-US" w:eastAsia="zh-CN"/>
              </w:rPr>
              <w:t>20</w:t>
            </w:r>
            <w:r>
              <w:rPr>
                <w:rFonts w:hint="default" w:ascii="Times New Roman" w:hAnsi="Times New Roman" w:eastAsia="宋体" w:cs="Times New Roman"/>
                <w:color w:val="auto"/>
                <w:sz w:val="24"/>
                <w:highlight w:val="none"/>
                <w:lang w:val="en-US" w:eastAsia="zh-CN"/>
              </w:rPr>
              <w:t>人次/天计算，</w:t>
            </w:r>
            <w:r>
              <w:rPr>
                <w:rFonts w:hint="eastAsia" w:ascii="Times New Roman" w:hAnsi="Times New Roman" w:eastAsia="宋体" w:cs="Times New Roman"/>
                <w:color w:val="auto"/>
                <w:sz w:val="24"/>
                <w:highlight w:val="none"/>
                <w:lang w:val="en-US" w:eastAsia="zh-CN"/>
              </w:rPr>
              <w:t>生活垃圾产生量为10</w:t>
            </w:r>
            <w:r>
              <w:rPr>
                <w:rFonts w:hint="default" w:ascii="Times New Roman" w:hAnsi="Times New Roman" w:eastAsia="宋体" w:cs="Times New Roman"/>
                <w:color w:val="auto"/>
                <w:sz w:val="24"/>
                <w:highlight w:val="none"/>
                <w:lang w:val="en-US" w:eastAsia="zh-CN"/>
              </w:rPr>
              <w:t>kg/d，设置垃圾桶收集后</w:t>
            </w:r>
            <w:r>
              <w:rPr>
                <w:rFonts w:hint="default" w:ascii="Times New Roman" w:hAnsi="Times New Roman" w:eastAsia="宋体" w:cs="Times New Roman"/>
                <w:color w:val="auto"/>
                <w:sz w:val="24"/>
                <w:highlight w:val="none"/>
              </w:rPr>
              <w:t>委托环卫部门处置。</w:t>
            </w:r>
          </w:p>
          <w:p w14:paraId="55839599">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采取上述措施后</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本项目施工期产生的固体废物不会对周围环境产生明显影响。</w:t>
            </w:r>
          </w:p>
          <w:p w14:paraId="0B41C540">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2" w:firstLineChars="200"/>
              <w:textAlignment w:val="auto"/>
              <w:rPr>
                <w:rFonts w:hint="default" w:ascii="Times New Roman" w:hAnsi="Times New Roman" w:eastAsia="宋体" w:cs="Times New Roman"/>
                <w:b/>
                <w:color w:val="auto"/>
                <w:spacing w:val="0"/>
                <w:sz w:val="24"/>
                <w:szCs w:val="24"/>
                <w:highlight w:val="none"/>
                <w:lang w:val="en-US" w:eastAsia="zh-CN"/>
              </w:rPr>
            </w:pPr>
            <w:r>
              <w:rPr>
                <w:rFonts w:hint="eastAsia" w:ascii="Times New Roman" w:hAnsi="Times New Roman" w:eastAsia="宋体" w:cs="Times New Roman"/>
                <w:b/>
                <w:color w:val="auto"/>
                <w:spacing w:val="0"/>
                <w:sz w:val="24"/>
                <w:szCs w:val="24"/>
                <w:highlight w:val="none"/>
                <w:lang w:val="en-US" w:eastAsia="zh-CN"/>
              </w:rPr>
              <w:t xml:space="preserve">4.4 </w:t>
            </w:r>
            <w:r>
              <w:rPr>
                <w:rFonts w:hint="default" w:ascii="Times New Roman" w:hAnsi="Times New Roman" w:eastAsia="宋体" w:cs="Times New Roman"/>
                <w:b/>
                <w:color w:val="auto"/>
                <w:spacing w:val="0"/>
                <w:sz w:val="24"/>
                <w:szCs w:val="24"/>
                <w:highlight w:val="none"/>
                <w:lang w:val="en-US" w:eastAsia="zh-CN"/>
              </w:rPr>
              <w:t>施工期声环境污染防治措施</w:t>
            </w:r>
          </w:p>
          <w:p w14:paraId="1140256A">
            <w:pPr>
              <w:keepNext w:val="0"/>
              <w:keepLines w:val="0"/>
              <w:pageBreakBefore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施工期主要噪声源为</w:t>
            </w:r>
            <w:r>
              <w:rPr>
                <w:rFonts w:hint="default" w:ascii="Times New Roman" w:hAnsi="Times New Roman" w:cs="Times New Roman"/>
                <w:bCs/>
                <w:color w:val="auto"/>
                <w:sz w:val="24"/>
                <w:highlight w:val="none"/>
                <w:lang w:val="en-US" w:eastAsia="zh-CN"/>
              </w:rPr>
              <w:t>施工场地噪声</w:t>
            </w:r>
            <w:r>
              <w:rPr>
                <w:rFonts w:hint="eastAsia" w:ascii="Times New Roman" w:hAnsi="Times New Roman" w:cs="Times New Roman"/>
                <w:bCs/>
                <w:color w:val="auto"/>
                <w:sz w:val="24"/>
                <w:highlight w:val="none"/>
                <w:lang w:val="en-US" w:eastAsia="zh-CN"/>
              </w:rPr>
              <w:t>以及建筑物料运输造成的交通噪声</w:t>
            </w:r>
            <w:r>
              <w:rPr>
                <w:rFonts w:hint="default" w:ascii="Times New Roman" w:hAnsi="Times New Roman" w:cs="Times New Roman"/>
                <w:bCs/>
                <w:color w:val="auto"/>
                <w:sz w:val="24"/>
                <w:highlight w:val="none"/>
              </w:rPr>
              <w:t>。</w:t>
            </w:r>
          </w:p>
          <w:p w14:paraId="76A9F99C">
            <w:pPr>
              <w:keepNext w:val="0"/>
              <w:keepLines w:val="0"/>
              <w:pageBreakBefore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b w:val="0"/>
                <w:bCs w:val="0"/>
                <w:color w:val="auto"/>
                <w:spacing w:val="0"/>
                <w:sz w:val="24"/>
                <w:szCs w:val="20"/>
                <w:highlight w:val="none"/>
              </w:rPr>
            </w:pPr>
            <w:r>
              <w:rPr>
                <w:rFonts w:hint="default" w:ascii="Times New Roman" w:hAnsi="Times New Roman" w:eastAsia="宋体" w:cs="Times New Roman"/>
                <w:b w:val="0"/>
                <w:bCs w:val="0"/>
                <w:color w:val="auto"/>
                <w:spacing w:val="0"/>
                <w:sz w:val="24"/>
                <w:szCs w:val="20"/>
                <w:highlight w:val="none"/>
              </w:rPr>
              <w:t>为了避免施工噪声对周围环境造成影响，建设单位拟采取以下措施：</w:t>
            </w:r>
          </w:p>
          <w:p w14:paraId="5A5AB3BB">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z w:val="24"/>
                <w:szCs w:val="20"/>
                <w:highlight w:val="none"/>
              </w:rPr>
            </w:pPr>
            <w:r>
              <w:rPr>
                <w:rFonts w:hint="default" w:ascii="Times New Roman" w:hAnsi="Times New Roman" w:eastAsia="宋体" w:cs="Times New Roman"/>
                <w:color w:val="auto"/>
                <w:sz w:val="24"/>
                <w:szCs w:val="20"/>
                <w:highlight w:val="none"/>
                <w:lang w:val="en-US" w:eastAsia="zh-CN"/>
              </w:rPr>
              <w:t>（1）施工单位应使用符合国家标准的低噪声机械设备，并在施工中应有专人对其进行保养维护，施工单位应对现场使用设备的人员进行培训，严格按操作规范使用各类机械；保持设备处于良好的运转状态，闲置设备及时关闭，定时检修。</w:t>
            </w:r>
          </w:p>
          <w:p w14:paraId="06B7AFC2">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z w:val="24"/>
                <w:szCs w:val="20"/>
                <w:highlight w:val="none"/>
              </w:rPr>
            </w:pPr>
            <w:r>
              <w:rPr>
                <w:rFonts w:hint="default" w:ascii="Times New Roman" w:hAnsi="Times New Roman" w:eastAsia="宋体" w:cs="Times New Roman"/>
                <w:color w:val="auto"/>
                <w:sz w:val="24"/>
                <w:szCs w:val="20"/>
                <w:highlight w:val="none"/>
                <w:lang w:val="en-US" w:eastAsia="zh-CN"/>
              </w:rPr>
              <w:t>（2）在施工的结构阶段和装修阶段，对建筑物的外部采用围挡，设置高噪声设备施工带减轻施工噪声对外环境的影响。</w:t>
            </w:r>
          </w:p>
          <w:p w14:paraId="3A3AFA38">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z w:val="24"/>
                <w:szCs w:val="20"/>
                <w:highlight w:val="none"/>
                <w:lang w:val="en-US" w:eastAsia="zh-CN"/>
              </w:rPr>
            </w:pPr>
            <w:r>
              <w:rPr>
                <w:rFonts w:hint="default" w:ascii="Times New Roman" w:hAnsi="Times New Roman" w:eastAsia="宋体" w:cs="Times New Roman"/>
                <w:color w:val="auto"/>
                <w:sz w:val="24"/>
                <w:szCs w:val="20"/>
                <w:highlight w:val="none"/>
                <w:lang w:val="en-US" w:eastAsia="zh-CN"/>
              </w:rPr>
              <w:t>（</w:t>
            </w:r>
            <w:r>
              <w:rPr>
                <w:rFonts w:hint="eastAsia" w:ascii="Times New Roman" w:hAnsi="Times New Roman" w:eastAsia="宋体" w:cs="Times New Roman"/>
                <w:color w:val="auto"/>
                <w:sz w:val="24"/>
                <w:szCs w:val="20"/>
                <w:highlight w:val="none"/>
                <w:lang w:val="en-US" w:eastAsia="zh-CN"/>
              </w:rPr>
              <w:t>3</w:t>
            </w:r>
            <w:r>
              <w:rPr>
                <w:rFonts w:hint="default" w:ascii="Times New Roman" w:hAnsi="Times New Roman" w:eastAsia="宋体" w:cs="Times New Roman"/>
                <w:color w:val="auto"/>
                <w:sz w:val="24"/>
                <w:szCs w:val="20"/>
                <w:highlight w:val="none"/>
                <w:lang w:val="en-US" w:eastAsia="zh-CN"/>
              </w:rPr>
              <w:t>）加强管理，文明施工，施工所需材料均为外购成品，严禁在施工营地和施工沿线进行材料加工，减轻对沿线敏感点居民造成的影响。</w:t>
            </w:r>
          </w:p>
          <w:p w14:paraId="11B7DD0C">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z w:val="24"/>
                <w:szCs w:val="20"/>
                <w:highlight w:val="none"/>
                <w:lang w:val="en-US" w:eastAsia="zh-CN"/>
              </w:rPr>
            </w:pPr>
            <w:r>
              <w:rPr>
                <w:rFonts w:hint="default" w:ascii="Times New Roman" w:hAnsi="Times New Roman" w:eastAsia="宋体" w:cs="Times New Roman"/>
                <w:color w:val="auto"/>
                <w:sz w:val="24"/>
                <w:szCs w:val="20"/>
                <w:highlight w:val="none"/>
                <w:lang w:val="en-US" w:eastAsia="zh-CN"/>
              </w:rPr>
              <w:t>（</w:t>
            </w:r>
            <w:r>
              <w:rPr>
                <w:rFonts w:hint="eastAsia" w:ascii="Times New Roman" w:hAnsi="Times New Roman" w:eastAsia="宋体" w:cs="Times New Roman"/>
                <w:color w:val="auto"/>
                <w:sz w:val="24"/>
                <w:szCs w:val="20"/>
                <w:highlight w:val="none"/>
                <w:lang w:val="en-US" w:eastAsia="zh-CN"/>
              </w:rPr>
              <w:t>4</w:t>
            </w:r>
            <w:r>
              <w:rPr>
                <w:rFonts w:hint="default" w:ascii="Times New Roman" w:hAnsi="Times New Roman" w:eastAsia="宋体" w:cs="Times New Roman"/>
                <w:color w:val="auto"/>
                <w:sz w:val="24"/>
                <w:szCs w:val="20"/>
                <w:highlight w:val="none"/>
                <w:lang w:val="en-US" w:eastAsia="zh-CN"/>
              </w:rPr>
              <w:t>）施工活动均在昼间进行，严禁在夜间进行，不在同一时间集中使用大量的动力机械设备，期间若使用噪声值大的设备则分散使用，保证周边居民的正常休息。</w:t>
            </w:r>
          </w:p>
          <w:p w14:paraId="1747B4AD">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z w:val="24"/>
                <w:szCs w:val="20"/>
                <w:highlight w:val="none"/>
              </w:rPr>
            </w:pPr>
            <w:r>
              <w:rPr>
                <w:rFonts w:hint="default" w:ascii="Times New Roman" w:hAnsi="Times New Roman" w:eastAsia="宋体" w:cs="Times New Roman"/>
                <w:color w:val="auto"/>
                <w:sz w:val="24"/>
                <w:szCs w:val="20"/>
                <w:highlight w:val="none"/>
                <w:lang w:val="en-US" w:eastAsia="zh-CN"/>
              </w:rPr>
              <w:t>（</w:t>
            </w:r>
            <w:r>
              <w:rPr>
                <w:rFonts w:hint="eastAsia" w:ascii="Times New Roman" w:hAnsi="Times New Roman" w:eastAsia="宋体" w:cs="Times New Roman"/>
                <w:color w:val="auto"/>
                <w:sz w:val="24"/>
                <w:szCs w:val="20"/>
                <w:highlight w:val="none"/>
                <w:lang w:val="en-US" w:eastAsia="zh-CN"/>
              </w:rPr>
              <w:t>5</w:t>
            </w:r>
            <w:r>
              <w:rPr>
                <w:rFonts w:hint="default" w:ascii="Times New Roman" w:hAnsi="Times New Roman" w:eastAsia="宋体" w:cs="Times New Roman"/>
                <w:color w:val="auto"/>
                <w:sz w:val="24"/>
                <w:szCs w:val="20"/>
                <w:highlight w:val="none"/>
                <w:lang w:val="en-US" w:eastAsia="zh-CN"/>
              </w:rPr>
              <w:t>）对于运输建筑材料、土石方等物料的车辆，不在敏感时段运输，加强管理，车辆减速、不鸣笛，场地内运输车辆不长时间行驶</w:t>
            </w:r>
            <w:r>
              <w:rPr>
                <w:rFonts w:hint="default" w:ascii="Times New Roman" w:hAnsi="Times New Roman" w:eastAsia="宋体" w:cs="Times New Roman"/>
                <w:color w:val="auto"/>
                <w:sz w:val="24"/>
                <w:szCs w:val="20"/>
                <w:highlight w:val="none"/>
              </w:rPr>
              <w:t>。</w:t>
            </w:r>
          </w:p>
          <w:p w14:paraId="75D26A0B">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z w:val="24"/>
                <w:szCs w:val="20"/>
                <w:highlight w:val="none"/>
              </w:rPr>
            </w:pPr>
            <w:r>
              <w:rPr>
                <w:rFonts w:hint="default" w:ascii="Times New Roman" w:hAnsi="Times New Roman" w:eastAsia="宋体" w:cs="Times New Roman"/>
                <w:color w:val="auto"/>
                <w:sz w:val="24"/>
                <w:szCs w:val="20"/>
                <w:highlight w:val="none"/>
              </w:rPr>
              <w:t>在采取相应的噪声控制措施，安排合理的施工计划后，施工噪声时间对周围环境产生的影响较小。</w:t>
            </w:r>
          </w:p>
          <w:p w14:paraId="32A83FAF">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z w:val="24"/>
                <w:szCs w:val="20"/>
                <w:highlight w:val="none"/>
              </w:rPr>
            </w:pPr>
          </w:p>
          <w:p w14:paraId="0E1AAC9F">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z w:val="24"/>
                <w:szCs w:val="20"/>
                <w:highlight w:val="none"/>
              </w:rPr>
            </w:pPr>
          </w:p>
          <w:p w14:paraId="33778E74">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z w:val="24"/>
                <w:szCs w:val="20"/>
                <w:highlight w:val="none"/>
              </w:rPr>
            </w:pPr>
          </w:p>
          <w:p w14:paraId="2122D616">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z w:val="24"/>
                <w:szCs w:val="20"/>
                <w:highlight w:val="none"/>
              </w:rPr>
            </w:pPr>
          </w:p>
          <w:p w14:paraId="48C749E9">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z w:val="24"/>
                <w:szCs w:val="20"/>
                <w:highlight w:val="none"/>
              </w:rPr>
            </w:pPr>
          </w:p>
          <w:p w14:paraId="485ACF58">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z w:val="24"/>
                <w:szCs w:val="20"/>
                <w:highlight w:val="none"/>
              </w:rPr>
            </w:pPr>
          </w:p>
          <w:p w14:paraId="021EFA4F">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z w:val="24"/>
                <w:szCs w:val="20"/>
                <w:highlight w:val="none"/>
              </w:rPr>
            </w:pPr>
          </w:p>
          <w:p w14:paraId="332664C0">
            <w:pPr>
              <w:keepNext w:val="0"/>
              <w:keepLines w:val="0"/>
              <w:pageBreakBefore w:val="0"/>
              <w:widowControl/>
              <w:kinsoku/>
              <w:wordWrap/>
              <w:overflowPunct/>
              <w:topLinePunct w:val="0"/>
              <w:autoSpaceDE/>
              <w:autoSpaceDN/>
              <w:bidi w:val="0"/>
              <w:adjustRightInd w:val="0"/>
              <w:snapToGrid w:val="0"/>
              <w:spacing w:line="480" w:lineRule="exact"/>
              <w:ind w:firstLine="440" w:firstLineChars="200"/>
              <w:jc w:val="both"/>
              <w:textAlignment w:val="auto"/>
              <w:rPr>
                <w:rFonts w:hint="eastAsia" w:ascii="Times New Roman" w:hAnsi="Times New Roman" w:eastAsia="宋体" w:cs="Times New Roman"/>
                <w:bCs/>
                <w:color w:val="auto"/>
                <w:spacing w:val="-10"/>
                <w:sz w:val="24"/>
                <w:szCs w:val="24"/>
                <w:highlight w:val="none"/>
                <w:lang w:eastAsia="zh-CN"/>
              </w:rPr>
            </w:pPr>
          </w:p>
        </w:tc>
      </w:tr>
    </w:tbl>
    <w:p w14:paraId="3A67D310">
      <w:pPr>
        <w:rPr>
          <w:color w:val="auto"/>
          <w:highlight w:val="none"/>
        </w:rPr>
        <w:sectPr>
          <w:pgSz w:w="11907" w:h="16840"/>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27"/>
        <w:tblW w:w="147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3"/>
        <w:gridCol w:w="14077"/>
      </w:tblGrid>
      <w:tr w14:paraId="31944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1" w:hRule="atLeast"/>
          <w:jc w:val="center"/>
        </w:trPr>
        <w:tc>
          <w:tcPr>
            <w:tcW w:w="663" w:type="dxa"/>
            <w:vAlign w:val="center"/>
          </w:tcPr>
          <w:p w14:paraId="4D46542A">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eastAsia="宋体" w:cs="Times New Roman"/>
                <w:bCs/>
                <w:color w:val="auto"/>
                <w:szCs w:val="21"/>
                <w:highlight w:val="none"/>
                <w:lang w:val="en-US" w:eastAsia="zh-CN"/>
              </w:rPr>
              <w:t>运营</w:t>
            </w:r>
          </w:p>
          <w:p w14:paraId="4EEE0E03">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eastAsia="宋体" w:cs="Times New Roman"/>
                <w:bCs/>
                <w:color w:val="auto"/>
                <w:szCs w:val="21"/>
                <w:highlight w:val="none"/>
                <w:lang w:val="en-US" w:eastAsia="zh-CN"/>
              </w:rPr>
              <w:t>期环</w:t>
            </w:r>
          </w:p>
          <w:p w14:paraId="77EAB446">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eastAsia="宋体" w:cs="Times New Roman"/>
                <w:bCs/>
                <w:color w:val="auto"/>
                <w:szCs w:val="21"/>
                <w:highlight w:val="none"/>
                <w:lang w:val="en-US" w:eastAsia="zh-CN"/>
              </w:rPr>
              <w:t>境影</w:t>
            </w:r>
          </w:p>
          <w:p w14:paraId="7104C5EF">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eastAsia="宋体" w:cs="Times New Roman"/>
                <w:bCs/>
                <w:color w:val="auto"/>
                <w:szCs w:val="21"/>
                <w:highlight w:val="none"/>
                <w:lang w:val="en-US" w:eastAsia="zh-CN"/>
              </w:rPr>
              <w:t>响和</w:t>
            </w:r>
          </w:p>
          <w:p w14:paraId="5D475C7E">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eastAsia="宋体" w:cs="Times New Roman"/>
                <w:bCs/>
                <w:color w:val="auto"/>
                <w:szCs w:val="21"/>
                <w:highlight w:val="none"/>
                <w:lang w:val="en-US" w:eastAsia="zh-CN"/>
              </w:rPr>
              <w:t>保护</w:t>
            </w:r>
          </w:p>
          <w:p w14:paraId="71B4AD31">
            <w:pPr>
              <w:adjustRightInd w:val="0"/>
              <w:snapToGrid w:val="0"/>
              <w:jc w:val="center"/>
              <w:rPr>
                <w:rFonts w:hint="eastAsia" w:ascii="Times New Roman" w:hAnsi="Times New Roman" w:eastAsia="宋体" w:cs="Times New Roman"/>
                <w:b/>
                <w:bCs w:val="0"/>
                <w:color w:val="auto"/>
                <w:spacing w:val="-10"/>
                <w:sz w:val="24"/>
                <w:szCs w:val="24"/>
                <w:highlight w:val="none"/>
                <w:vertAlign w:val="baseline"/>
                <w:lang w:val="en-US" w:eastAsia="zh-CN"/>
              </w:rPr>
            </w:pPr>
            <w:r>
              <w:rPr>
                <w:rFonts w:hint="default" w:ascii="Times New Roman" w:hAnsi="Times New Roman" w:eastAsia="宋体" w:cs="Times New Roman"/>
                <w:bCs/>
                <w:color w:val="auto"/>
                <w:szCs w:val="21"/>
                <w:highlight w:val="none"/>
                <w:lang w:val="en-US" w:eastAsia="zh-CN"/>
              </w:rPr>
              <w:t>措施</w:t>
            </w:r>
          </w:p>
        </w:tc>
        <w:tc>
          <w:tcPr>
            <w:tcW w:w="14077" w:type="dxa"/>
          </w:tcPr>
          <w:p w14:paraId="2C4A5C64">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2" w:firstLineChars="200"/>
              <w:textAlignment w:val="auto"/>
              <w:rPr>
                <w:rFonts w:hint="default" w:ascii="Times New Roman" w:hAnsi="Times New Roman" w:eastAsia="宋体" w:cs="Times New Roman"/>
                <w:b/>
                <w:color w:val="auto"/>
                <w:spacing w:val="0"/>
                <w:sz w:val="24"/>
                <w:szCs w:val="24"/>
                <w:highlight w:val="none"/>
                <w:lang w:val="en-US" w:eastAsia="zh-CN"/>
              </w:rPr>
            </w:pPr>
            <w:r>
              <w:rPr>
                <w:rFonts w:hint="eastAsia" w:ascii="Times New Roman" w:hAnsi="Times New Roman" w:eastAsia="宋体" w:cs="Times New Roman"/>
                <w:b/>
                <w:color w:val="auto"/>
                <w:spacing w:val="0"/>
                <w:sz w:val="24"/>
                <w:szCs w:val="24"/>
                <w:highlight w:val="none"/>
                <w:lang w:val="en-US" w:eastAsia="zh-CN"/>
              </w:rPr>
              <w:t>4.5 废气</w:t>
            </w:r>
          </w:p>
          <w:p w14:paraId="04DF7404">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eastAsia="宋体" w:cs="Times New Roman"/>
                <w:bCs/>
                <w:color w:val="auto"/>
                <w:sz w:val="24"/>
                <w:szCs w:val="24"/>
                <w:highlight w:val="none"/>
                <w:lang w:val="en-US" w:eastAsia="zh-CN"/>
              </w:rPr>
            </w:pPr>
            <w:r>
              <w:rPr>
                <w:rFonts w:hint="eastAsia" w:ascii="Times New Roman" w:hAnsi="Times New Roman" w:eastAsia="宋体" w:cs="Times New Roman"/>
                <w:bCs/>
                <w:color w:val="auto"/>
                <w:sz w:val="24"/>
                <w:szCs w:val="24"/>
                <w:highlight w:val="none"/>
                <w:lang w:val="en-US" w:eastAsia="zh-CN"/>
              </w:rPr>
              <w:t>本项目大气污染源产生排放情况见表4</w:t>
            </w:r>
            <w:r>
              <w:rPr>
                <w:rFonts w:hint="eastAsia" w:cs="Times New Roman"/>
                <w:bCs/>
                <w:color w:val="auto"/>
                <w:sz w:val="24"/>
                <w:szCs w:val="24"/>
                <w:highlight w:val="none"/>
                <w:lang w:val="en-US" w:eastAsia="zh-CN"/>
              </w:rPr>
              <w:t>.5</w:t>
            </w:r>
            <w:r>
              <w:rPr>
                <w:rFonts w:hint="eastAsia" w:ascii="Times New Roman" w:hAnsi="Times New Roman" w:eastAsia="宋体" w:cs="Times New Roman"/>
                <w:bCs/>
                <w:color w:val="auto"/>
                <w:sz w:val="24"/>
                <w:szCs w:val="24"/>
                <w:highlight w:val="none"/>
                <w:lang w:val="en-US" w:eastAsia="zh-CN"/>
              </w:rPr>
              <w:t>-1。</w:t>
            </w:r>
          </w:p>
          <w:p w14:paraId="4E044AB7">
            <w:pPr>
              <w:keepNext w:val="0"/>
              <w:keepLines w:val="0"/>
              <w:pageBreakBefore w:val="0"/>
              <w:widowControl w:val="0"/>
              <w:kinsoku/>
              <w:wordWrap/>
              <w:overflowPunct/>
              <w:topLinePunct w:val="0"/>
              <w:autoSpaceDE/>
              <w:autoSpaceDN/>
              <w:bidi w:val="0"/>
              <w:adjustRightInd w:val="0"/>
              <w:snapToGrid w:val="0"/>
              <w:spacing w:line="480" w:lineRule="exact"/>
              <w:ind w:left="0" w:leftChars="0" w:right="0" w:rightChars="0"/>
              <w:jc w:val="center"/>
              <w:textAlignment w:val="auto"/>
              <w:outlineLvl w:val="9"/>
              <w:rPr>
                <w:rFonts w:hint="default" w:ascii="Times New Roman" w:hAnsi="Times New Roman" w:eastAsia="黑体" w:cs="Times New Roman"/>
                <w:b w:val="0"/>
                <w:bCs/>
                <w:color w:val="auto"/>
                <w:sz w:val="21"/>
                <w:szCs w:val="16"/>
                <w:highlight w:val="none"/>
                <w:lang w:val="en-US" w:eastAsia="zh-CN"/>
              </w:rPr>
            </w:pPr>
            <w:r>
              <w:rPr>
                <w:rFonts w:hint="default" w:ascii="Times New Roman" w:hAnsi="Times New Roman" w:eastAsia="黑体" w:cs="Times New Roman"/>
                <w:b w:val="0"/>
                <w:bCs/>
                <w:color w:val="auto"/>
                <w:sz w:val="21"/>
                <w:szCs w:val="16"/>
                <w:highlight w:val="none"/>
                <w:lang w:val="en-US" w:eastAsia="zh-CN"/>
              </w:rPr>
              <w:t>表</w:t>
            </w:r>
            <w:r>
              <w:rPr>
                <w:rFonts w:hint="eastAsia" w:ascii="Times New Roman" w:hAnsi="Times New Roman" w:eastAsia="黑体" w:cs="Times New Roman"/>
                <w:b w:val="0"/>
                <w:bCs/>
                <w:color w:val="auto"/>
                <w:sz w:val="21"/>
                <w:szCs w:val="16"/>
                <w:highlight w:val="none"/>
                <w:lang w:val="en-US" w:eastAsia="zh-CN"/>
              </w:rPr>
              <w:t>4</w:t>
            </w:r>
            <w:r>
              <w:rPr>
                <w:rFonts w:hint="eastAsia" w:eastAsia="黑体" w:cs="Times New Roman"/>
                <w:b w:val="0"/>
                <w:bCs/>
                <w:color w:val="auto"/>
                <w:sz w:val="21"/>
                <w:szCs w:val="16"/>
                <w:highlight w:val="none"/>
                <w:lang w:val="en-US" w:eastAsia="zh-CN"/>
              </w:rPr>
              <w:t>.5</w:t>
            </w:r>
            <w:r>
              <w:rPr>
                <w:rFonts w:hint="eastAsia" w:ascii="Times New Roman" w:hAnsi="Times New Roman" w:eastAsia="黑体" w:cs="Times New Roman"/>
                <w:b w:val="0"/>
                <w:bCs/>
                <w:color w:val="auto"/>
                <w:sz w:val="21"/>
                <w:szCs w:val="16"/>
                <w:highlight w:val="none"/>
                <w:lang w:val="en-US" w:eastAsia="zh-CN"/>
              </w:rPr>
              <w:t>-1</w:t>
            </w:r>
            <w:r>
              <w:rPr>
                <w:rFonts w:hint="default" w:ascii="Times New Roman" w:hAnsi="Times New Roman" w:eastAsia="黑体" w:cs="Times New Roman"/>
                <w:b w:val="0"/>
                <w:bCs/>
                <w:color w:val="auto"/>
                <w:sz w:val="21"/>
                <w:szCs w:val="16"/>
                <w:highlight w:val="none"/>
                <w:lang w:val="en-US" w:eastAsia="zh-CN"/>
              </w:rPr>
              <w:t xml:space="preserve">  </w:t>
            </w:r>
            <w:r>
              <w:rPr>
                <w:rFonts w:hint="eastAsia" w:ascii="Times New Roman" w:hAnsi="Times New Roman" w:eastAsia="黑体" w:cs="Times New Roman"/>
                <w:b w:val="0"/>
                <w:bCs/>
                <w:color w:val="auto"/>
                <w:sz w:val="21"/>
                <w:szCs w:val="16"/>
                <w:highlight w:val="none"/>
                <w:lang w:val="en-US" w:eastAsia="zh-CN"/>
              </w:rPr>
              <w:t>大气</w:t>
            </w:r>
            <w:r>
              <w:rPr>
                <w:rFonts w:hint="default" w:ascii="Times New Roman" w:hAnsi="Times New Roman" w:eastAsia="黑体" w:cs="Times New Roman"/>
                <w:b w:val="0"/>
                <w:bCs/>
                <w:color w:val="auto"/>
                <w:sz w:val="21"/>
                <w:szCs w:val="16"/>
                <w:highlight w:val="none"/>
                <w:lang w:val="en-US" w:eastAsia="zh-CN"/>
              </w:rPr>
              <w:t>污染源产生排放情况表</w:t>
            </w:r>
          </w:p>
          <w:tbl>
            <w:tblPr>
              <w:tblStyle w:val="26"/>
              <w:tblW w:w="138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07"/>
              <w:gridCol w:w="970"/>
              <w:gridCol w:w="849"/>
              <w:gridCol w:w="975"/>
              <w:gridCol w:w="816"/>
              <w:gridCol w:w="836"/>
              <w:gridCol w:w="816"/>
              <w:gridCol w:w="4165"/>
              <w:gridCol w:w="850"/>
              <w:gridCol w:w="869"/>
              <w:gridCol w:w="961"/>
              <w:gridCol w:w="801"/>
              <w:gridCol w:w="631"/>
            </w:tblGrid>
            <w:tr w14:paraId="5F426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307" w:type="dxa"/>
                  <w:vMerge w:val="restart"/>
                  <w:tcBorders>
                    <w:tl2br w:val="nil"/>
                    <w:tr2bl w:val="nil"/>
                  </w:tcBorders>
                  <w:vAlign w:val="center"/>
                </w:tcPr>
                <w:p w14:paraId="1537C1C6">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序号</w:t>
                  </w:r>
                </w:p>
              </w:tc>
              <w:tc>
                <w:tcPr>
                  <w:tcW w:w="970" w:type="dxa"/>
                  <w:vMerge w:val="restart"/>
                  <w:tcBorders>
                    <w:tl2br w:val="nil"/>
                    <w:tr2bl w:val="nil"/>
                  </w:tcBorders>
                  <w:vAlign w:val="center"/>
                </w:tcPr>
                <w:p w14:paraId="3F7DD086">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产排污</w:t>
                  </w:r>
                </w:p>
                <w:p w14:paraId="011272E9">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环节</w:t>
                  </w:r>
                </w:p>
              </w:tc>
              <w:tc>
                <w:tcPr>
                  <w:tcW w:w="849" w:type="dxa"/>
                  <w:vMerge w:val="restart"/>
                  <w:tcBorders>
                    <w:tl2br w:val="nil"/>
                    <w:tr2bl w:val="nil"/>
                  </w:tcBorders>
                  <w:vAlign w:val="center"/>
                </w:tcPr>
                <w:p w14:paraId="1B4222DF">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污染物种类</w:t>
                  </w:r>
                </w:p>
              </w:tc>
              <w:tc>
                <w:tcPr>
                  <w:tcW w:w="975" w:type="dxa"/>
                  <w:vMerge w:val="restart"/>
                  <w:tcBorders>
                    <w:tl2br w:val="nil"/>
                    <w:tr2bl w:val="nil"/>
                  </w:tcBorders>
                  <w:vAlign w:val="center"/>
                </w:tcPr>
                <w:p w14:paraId="1711D0B4">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污染物产生浓度mg/m</w:t>
                  </w:r>
                  <w:r>
                    <w:rPr>
                      <w:rFonts w:ascii="Times New Roman" w:hAnsi="Times New Roman" w:eastAsia="宋体" w:cs="Times New Roman"/>
                      <w:color w:val="auto"/>
                      <w:kern w:val="2"/>
                      <w:sz w:val="21"/>
                      <w:szCs w:val="21"/>
                      <w:highlight w:val="none"/>
                      <w:vertAlign w:val="superscript"/>
                      <w:lang w:val="en-US" w:eastAsia="zh-CN" w:bidi="ar-SA"/>
                    </w:rPr>
                    <w:t>3</w:t>
                  </w:r>
                </w:p>
              </w:tc>
              <w:tc>
                <w:tcPr>
                  <w:tcW w:w="816" w:type="dxa"/>
                  <w:vMerge w:val="restart"/>
                  <w:tcBorders>
                    <w:tl2br w:val="nil"/>
                    <w:tr2bl w:val="nil"/>
                  </w:tcBorders>
                  <w:shd w:val="clear" w:color="auto" w:fill="auto"/>
                  <w:vAlign w:val="center"/>
                </w:tcPr>
                <w:p w14:paraId="615051F4">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污染物产生</w:t>
                  </w:r>
                  <w:r>
                    <w:rPr>
                      <w:rFonts w:hint="eastAsia" w:ascii="Times New Roman" w:hAnsi="Times New Roman" w:eastAsia="宋体" w:cs="Times New Roman"/>
                      <w:color w:val="auto"/>
                      <w:kern w:val="2"/>
                      <w:sz w:val="21"/>
                      <w:szCs w:val="21"/>
                      <w:highlight w:val="none"/>
                      <w:lang w:val="en-US" w:eastAsia="zh-CN" w:bidi="ar-SA"/>
                    </w:rPr>
                    <w:t>速率kg/h</w:t>
                  </w:r>
                </w:p>
              </w:tc>
              <w:tc>
                <w:tcPr>
                  <w:tcW w:w="836" w:type="dxa"/>
                  <w:vMerge w:val="restart"/>
                  <w:tcBorders>
                    <w:tl2br w:val="nil"/>
                    <w:tr2bl w:val="nil"/>
                  </w:tcBorders>
                  <w:vAlign w:val="center"/>
                </w:tcPr>
                <w:p w14:paraId="6F9630B2">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污染物产生</w:t>
                  </w:r>
                  <w:r>
                    <w:rPr>
                      <w:rFonts w:hint="eastAsia" w:ascii="Times New Roman" w:hAnsi="Times New Roman" w:eastAsia="宋体" w:cs="Times New Roman"/>
                      <w:color w:val="auto"/>
                      <w:kern w:val="2"/>
                      <w:sz w:val="21"/>
                      <w:szCs w:val="21"/>
                      <w:highlight w:val="none"/>
                      <w:lang w:val="en-US" w:eastAsia="zh-CN" w:bidi="ar-SA"/>
                    </w:rPr>
                    <w:t>量t/a</w:t>
                  </w:r>
                </w:p>
              </w:tc>
              <w:tc>
                <w:tcPr>
                  <w:tcW w:w="816" w:type="dxa"/>
                  <w:vMerge w:val="restart"/>
                  <w:tcBorders>
                    <w:tl2br w:val="nil"/>
                    <w:tr2bl w:val="nil"/>
                  </w:tcBorders>
                  <w:vAlign w:val="center"/>
                </w:tcPr>
                <w:p w14:paraId="168EE43F">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排放</w:t>
                  </w:r>
                </w:p>
                <w:p w14:paraId="18E631CD">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方式</w:t>
                  </w:r>
                </w:p>
              </w:tc>
              <w:tc>
                <w:tcPr>
                  <w:tcW w:w="5884" w:type="dxa"/>
                  <w:gridSpan w:val="3"/>
                  <w:tcBorders>
                    <w:tl2br w:val="nil"/>
                    <w:tr2bl w:val="nil"/>
                  </w:tcBorders>
                  <w:vAlign w:val="center"/>
                </w:tcPr>
                <w:p w14:paraId="58887129">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治理设施</w:t>
                  </w:r>
                </w:p>
              </w:tc>
              <w:tc>
                <w:tcPr>
                  <w:tcW w:w="961" w:type="dxa"/>
                  <w:vMerge w:val="restart"/>
                  <w:tcBorders>
                    <w:tl2br w:val="nil"/>
                    <w:tr2bl w:val="nil"/>
                  </w:tcBorders>
                  <w:vAlign w:val="center"/>
                </w:tcPr>
                <w:p w14:paraId="16804914">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污染物排放浓度mg/m</w:t>
                  </w:r>
                  <w:r>
                    <w:rPr>
                      <w:rFonts w:ascii="Times New Roman" w:hAnsi="Times New Roman" w:eastAsia="宋体" w:cs="Times New Roman"/>
                      <w:color w:val="auto"/>
                      <w:kern w:val="2"/>
                      <w:sz w:val="21"/>
                      <w:szCs w:val="21"/>
                      <w:highlight w:val="none"/>
                      <w:vertAlign w:val="superscript"/>
                      <w:lang w:val="en-US" w:eastAsia="zh-CN" w:bidi="ar-SA"/>
                    </w:rPr>
                    <w:t>3</w:t>
                  </w:r>
                </w:p>
              </w:tc>
              <w:tc>
                <w:tcPr>
                  <w:tcW w:w="801" w:type="dxa"/>
                  <w:vMerge w:val="restart"/>
                  <w:tcBorders>
                    <w:tl2br w:val="nil"/>
                    <w:tr2bl w:val="nil"/>
                  </w:tcBorders>
                  <w:vAlign w:val="center"/>
                </w:tcPr>
                <w:p w14:paraId="6BD1F67B">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污染物</w:t>
                  </w:r>
                  <w:r>
                    <w:rPr>
                      <w:rFonts w:hint="eastAsia" w:ascii="Times New Roman" w:hAnsi="Times New Roman" w:eastAsia="宋体" w:cs="Times New Roman"/>
                      <w:color w:val="auto"/>
                      <w:kern w:val="2"/>
                      <w:sz w:val="21"/>
                      <w:szCs w:val="21"/>
                      <w:highlight w:val="none"/>
                      <w:lang w:val="en-US" w:eastAsia="zh-CN" w:bidi="ar-SA"/>
                    </w:rPr>
                    <w:t>排放速率kg/h</w:t>
                  </w:r>
                </w:p>
              </w:tc>
              <w:tc>
                <w:tcPr>
                  <w:tcW w:w="631" w:type="dxa"/>
                  <w:vMerge w:val="restart"/>
                  <w:tcBorders>
                    <w:tl2br w:val="nil"/>
                    <w:tr2bl w:val="nil"/>
                  </w:tcBorders>
                  <w:vAlign w:val="center"/>
                </w:tcPr>
                <w:p w14:paraId="2C6E28B3">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排放</w:t>
                  </w:r>
                  <w:r>
                    <w:rPr>
                      <w:rFonts w:hint="eastAsia" w:cs="Times New Roman"/>
                      <w:color w:val="auto"/>
                      <w:kern w:val="2"/>
                      <w:sz w:val="21"/>
                      <w:szCs w:val="21"/>
                      <w:highlight w:val="none"/>
                      <w:lang w:val="en-US" w:eastAsia="zh-CN" w:bidi="ar-SA"/>
                    </w:rPr>
                    <w:t>量t/a</w:t>
                  </w:r>
                </w:p>
              </w:tc>
            </w:tr>
            <w:tr w14:paraId="15102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307" w:type="dxa"/>
                  <w:vMerge w:val="continue"/>
                  <w:tcBorders>
                    <w:tl2br w:val="nil"/>
                    <w:tr2bl w:val="nil"/>
                  </w:tcBorders>
                  <w:vAlign w:val="center"/>
                </w:tcPr>
                <w:p w14:paraId="52F27171">
                  <w:pPr>
                    <w:keepNext w:val="0"/>
                    <w:keepLines w:val="0"/>
                    <w:pageBreakBefore w:val="0"/>
                    <w:widowControl w:val="0"/>
                    <w:kinsoku/>
                    <w:overflowPunct/>
                    <w:topLinePunct w:val="0"/>
                    <w:autoSpaceDE/>
                    <w:autoSpaceDN/>
                    <w:bidi w:val="0"/>
                    <w:adjustRightInd w:val="0"/>
                    <w:snapToGrid w:val="0"/>
                    <w:spacing w:line="320" w:lineRule="exact"/>
                    <w:jc w:val="center"/>
                    <w:textAlignment w:val="auto"/>
                    <w:rPr>
                      <w:color w:val="auto"/>
                    </w:rPr>
                  </w:pPr>
                </w:p>
              </w:tc>
              <w:tc>
                <w:tcPr>
                  <w:tcW w:w="970" w:type="dxa"/>
                  <w:vMerge w:val="continue"/>
                  <w:tcBorders>
                    <w:tl2br w:val="nil"/>
                    <w:tr2bl w:val="nil"/>
                  </w:tcBorders>
                  <w:vAlign w:val="center"/>
                </w:tcPr>
                <w:p w14:paraId="4B8E46FC">
                  <w:pPr>
                    <w:keepNext w:val="0"/>
                    <w:keepLines w:val="0"/>
                    <w:pageBreakBefore w:val="0"/>
                    <w:widowControl w:val="0"/>
                    <w:kinsoku/>
                    <w:overflowPunct/>
                    <w:topLinePunct w:val="0"/>
                    <w:autoSpaceDE/>
                    <w:autoSpaceDN/>
                    <w:bidi w:val="0"/>
                    <w:adjustRightInd w:val="0"/>
                    <w:snapToGrid w:val="0"/>
                    <w:spacing w:line="320" w:lineRule="exact"/>
                    <w:jc w:val="center"/>
                    <w:textAlignment w:val="auto"/>
                    <w:rPr>
                      <w:color w:val="auto"/>
                    </w:rPr>
                  </w:pPr>
                </w:p>
              </w:tc>
              <w:tc>
                <w:tcPr>
                  <w:tcW w:w="849" w:type="dxa"/>
                  <w:vMerge w:val="continue"/>
                  <w:tcBorders>
                    <w:tl2br w:val="nil"/>
                    <w:tr2bl w:val="nil"/>
                  </w:tcBorders>
                  <w:vAlign w:val="center"/>
                </w:tcPr>
                <w:p w14:paraId="76FC2533">
                  <w:pPr>
                    <w:keepNext w:val="0"/>
                    <w:keepLines w:val="0"/>
                    <w:pageBreakBefore w:val="0"/>
                    <w:widowControl w:val="0"/>
                    <w:kinsoku/>
                    <w:overflowPunct/>
                    <w:topLinePunct w:val="0"/>
                    <w:autoSpaceDE/>
                    <w:autoSpaceDN/>
                    <w:bidi w:val="0"/>
                    <w:adjustRightInd w:val="0"/>
                    <w:snapToGrid w:val="0"/>
                    <w:spacing w:line="320" w:lineRule="exact"/>
                    <w:jc w:val="center"/>
                    <w:textAlignment w:val="auto"/>
                    <w:rPr>
                      <w:color w:val="auto"/>
                    </w:rPr>
                  </w:pPr>
                </w:p>
              </w:tc>
              <w:tc>
                <w:tcPr>
                  <w:tcW w:w="975" w:type="dxa"/>
                  <w:vMerge w:val="continue"/>
                  <w:tcBorders>
                    <w:tl2br w:val="nil"/>
                    <w:tr2bl w:val="nil"/>
                  </w:tcBorders>
                  <w:vAlign w:val="center"/>
                </w:tcPr>
                <w:p w14:paraId="085A89DB">
                  <w:pPr>
                    <w:keepNext w:val="0"/>
                    <w:keepLines w:val="0"/>
                    <w:pageBreakBefore w:val="0"/>
                    <w:widowControl w:val="0"/>
                    <w:kinsoku/>
                    <w:overflowPunct/>
                    <w:topLinePunct w:val="0"/>
                    <w:autoSpaceDE/>
                    <w:autoSpaceDN/>
                    <w:bidi w:val="0"/>
                    <w:adjustRightInd w:val="0"/>
                    <w:snapToGrid w:val="0"/>
                    <w:spacing w:line="320" w:lineRule="exact"/>
                    <w:jc w:val="center"/>
                    <w:textAlignment w:val="auto"/>
                    <w:rPr>
                      <w:color w:val="auto"/>
                    </w:rPr>
                  </w:pPr>
                </w:p>
              </w:tc>
              <w:tc>
                <w:tcPr>
                  <w:tcW w:w="816" w:type="dxa"/>
                  <w:vMerge w:val="continue"/>
                  <w:tcBorders>
                    <w:tl2br w:val="nil"/>
                    <w:tr2bl w:val="nil"/>
                  </w:tcBorders>
                  <w:shd w:val="clear" w:color="auto" w:fill="auto"/>
                  <w:vAlign w:val="center"/>
                </w:tcPr>
                <w:p w14:paraId="2BA19C9D">
                  <w:pPr>
                    <w:keepNext w:val="0"/>
                    <w:keepLines w:val="0"/>
                    <w:pageBreakBefore w:val="0"/>
                    <w:widowControl w:val="0"/>
                    <w:kinsoku/>
                    <w:overflowPunct/>
                    <w:topLinePunct w:val="0"/>
                    <w:autoSpaceDE/>
                    <w:autoSpaceDN/>
                    <w:bidi w:val="0"/>
                    <w:adjustRightInd w:val="0"/>
                    <w:snapToGrid w:val="0"/>
                    <w:spacing w:line="320" w:lineRule="exact"/>
                    <w:jc w:val="center"/>
                    <w:textAlignment w:val="auto"/>
                    <w:rPr>
                      <w:rFonts w:ascii="Times New Roman" w:hAnsi="Times New Roman" w:eastAsia="宋体" w:cs="Times New Roman"/>
                      <w:color w:val="auto"/>
                      <w:kern w:val="2"/>
                      <w:sz w:val="21"/>
                      <w:szCs w:val="24"/>
                      <w:lang w:val="en-US" w:eastAsia="zh-CN" w:bidi="ar-SA"/>
                    </w:rPr>
                  </w:pPr>
                </w:p>
              </w:tc>
              <w:tc>
                <w:tcPr>
                  <w:tcW w:w="836" w:type="dxa"/>
                  <w:vMerge w:val="continue"/>
                  <w:tcBorders>
                    <w:tl2br w:val="nil"/>
                    <w:tr2bl w:val="nil"/>
                  </w:tcBorders>
                  <w:vAlign w:val="center"/>
                </w:tcPr>
                <w:p w14:paraId="44B6A962">
                  <w:pPr>
                    <w:keepNext w:val="0"/>
                    <w:keepLines w:val="0"/>
                    <w:pageBreakBefore w:val="0"/>
                    <w:widowControl w:val="0"/>
                    <w:kinsoku/>
                    <w:overflowPunct/>
                    <w:topLinePunct w:val="0"/>
                    <w:autoSpaceDE/>
                    <w:autoSpaceDN/>
                    <w:bidi w:val="0"/>
                    <w:adjustRightInd w:val="0"/>
                    <w:snapToGrid w:val="0"/>
                    <w:spacing w:line="320" w:lineRule="exact"/>
                    <w:jc w:val="center"/>
                    <w:textAlignment w:val="auto"/>
                    <w:rPr>
                      <w:color w:val="auto"/>
                    </w:rPr>
                  </w:pPr>
                </w:p>
              </w:tc>
              <w:tc>
                <w:tcPr>
                  <w:tcW w:w="816" w:type="dxa"/>
                  <w:vMerge w:val="continue"/>
                  <w:tcBorders>
                    <w:tl2br w:val="nil"/>
                    <w:tr2bl w:val="nil"/>
                  </w:tcBorders>
                  <w:vAlign w:val="center"/>
                </w:tcPr>
                <w:p w14:paraId="084F22E7">
                  <w:pPr>
                    <w:keepNext w:val="0"/>
                    <w:keepLines w:val="0"/>
                    <w:pageBreakBefore w:val="0"/>
                    <w:widowControl w:val="0"/>
                    <w:kinsoku/>
                    <w:overflowPunct/>
                    <w:topLinePunct w:val="0"/>
                    <w:autoSpaceDE/>
                    <w:autoSpaceDN/>
                    <w:bidi w:val="0"/>
                    <w:adjustRightInd w:val="0"/>
                    <w:snapToGrid w:val="0"/>
                    <w:spacing w:line="320" w:lineRule="exact"/>
                    <w:jc w:val="center"/>
                    <w:textAlignment w:val="auto"/>
                    <w:rPr>
                      <w:color w:val="auto"/>
                    </w:rPr>
                  </w:pPr>
                </w:p>
              </w:tc>
              <w:tc>
                <w:tcPr>
                  <w:tcW w:w="4165" w:type="dxa"/>
                  <w:tcBorders>
                    <w:tl2br w:val="nil"/>
                    <w:tr2bl w:val="nil"/>
                  </w:tcBorders>
                  <w:vAlign w:val="center"/>
                </w:tcPr>
                <w:p w14:paraId="4B7EAA6D">
                  <w:pPr>
                    <w:keepNext w:val="0"/>
                    <w:keepLines w:val="0"/>
                    <w:pageBreakBefore w:val="0"/>
                    <w:widowControl w:val="0"/>
                    <w:kinsoku/>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治理方法</w:t>
                  </w:r>
                </w:p>
              </w:tc>
              <w:tc>
                <w:tcPr>
                  <w:tcW w:w="850" w:type="dxa"/>
                  <w:tcBorders>
                    <w:tl2br w:val="nil"/>
                    <w:tr2bl w:val="nil"/>
                  </w:tcBorders>
                  <w:vAlign w:val="center"/>
                </w:tcPr>
                <w:p w14:paraId="4459BF58">
                  <w:pPr>
                    <w:keepNext w:val="0"/>
                    <w:keepLines w:val="0"/>
                    <w:pageBreakBefore w:val="0"/>
                    <w:widowControl w:val="0"/>
                    <w:kinsoku/>
                    <w:overflowPunct/>
                    <w:topLinePunct w:val="0"/>
                    <w:autoSpaceDE/>
                    <w:autoSpaceDN/>
                    <w:bidi w:val="0"/>
                    <w:adjustRightInd w:val="0"/>
                    <w:snapToGrid w:val="0"/>
                    <w:spacing w:line="320" w:lineRule="exact"/>
                    <w:jc w:val="center"/>
                    <w:textAlignment w:val="auto"/>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工艺</w:t>
                  </w:r>
                </w:p>
                <w:p w14:paraId="52FB0768">
                  <w:pPr>
                    <w:keepNext w:val="0"/>
                    <w:keepLines w:val="0"/>
                    <w:pageBreakBefore w:val="0"/>
                    <w:widowControl w:val="0"/>
                    <w:kinsoku/>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去除率</w:t>
                  </w:r>
                </w:p>
              </w:tc>
              <w:tc>
                <w:tcPr>
                  <w:tcW w:w="869" w:type="dxa"/>
                  <w:tcBorders>
                    <w:tl2br w:val="nil"/>
                    <w:tr2bl w:val="nil"/>
                  </w:tcBorders>
                  <w:vAlign w:val="center"/>
                </w:tcPr>
                <w:p w14:paraId="12115F5A">
                  <w:pPr>
                    <w:keepNext w:val="0"/>
                    <w:keepLines w:val="0"/>
                    <w:pageBreakBefore w:val="0"/>
                    <w:widowControl w:val="0"/>
                    <w:kinsoku/>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是否为可行技术</w:t>
                  </w:r>
                </w:p>
              </w:tc>
              <w:tc>
                <w:tcPr>
                  <w:tcW w:w="961" w:type="dxa"/>
                  <w:vMerge w:val="continue"/>
                  <w:tcBorders>
                    <w:tl2br w:val="nil"/>
                    <w:tr2bl w:val="nil"/>
                  </w:tcBorders>
                  <w:vAlign w:val="center"/>
                </w:tcPr>
                <w:p w14:paraId="0DB691BB">
                  <w:pPr>
                    <w:keepNext w:val="0"/>
                    <w:keepLines w:val="0"/>
                    <w:pageBreakBefore w:val="0"/>
                    <w:widowControl w:val="0"/>
                    <w:kinsoku/>
                    <w:overflowPunct/>
                    <w:topLinePunct w:val="0"/>
                    <w:autoSpaceDE/>
                    <w:autoSpaceDN/>
                    <w:bidi w:val="0"/>
                    <w:adjustRightInd w:val="0"/>
                    <w:snapToGrid w:val="0"/>
                    <w:spacing w:line="320" w:lineRule="exact"/>
                    <w:jc w:val="center"/>
                    <w:textAlignment w:val="auto"/>
                    <w:rPr>
                      <w:rFonts w:ascii="Times New Roman" w:hAnsi="Times New Roman" w:eastAsia="宋体" w:cs="Times New Roman"/>
                      <w:color w:val="auto"/>
                      <w:kern w:val="2"/>
                      <w:sz w:val="21"/>
                      <w:szCs w:val="21"/>
                      <w:highlight w:val="none"/>
                      <w:lang w:val="en-US" w:eastAsia="zh-CN" w:bidi="ar-SA"/>
                    </w:rPr>
                  </w:pPr>
                </w:p>
              </w:tc>
              <w:tc>
                <w:tcPr>
                  <w:tcW w:w="801" w:type="dxa"/>
                  <w:vMerge w:val="continue"/>
                  <w:tcBorders>
                    <w:tl2br w:val="nil"/>
                    <w:tr2bl w:val="nil"/>
                  </w:tcBorders>
                  <w:vAlign w:val="center"/>
                </w:tcPr>
                <w:p w14:paraId="46EA9DEA">
                  <w:pPr>
                    <w:keepNext w:val="0"/>
                    <w:keepLines w:val="0"/>
                    <w:pageBreakBefore w:val="0"/>
                    <w:widowControl w:val="0"/>
                    <w:kinsoku/>
                    <w:overflowPunct/>
                    <w:topLinePunct w:val="0"/>
                    <w:autoSpaceDE/>
                    <w:autoSpaceDN/>
                    <w:bidi w:val="0"/>
                    <w:adjustRightInd w:val="0"/>
                    <w:snapToGrid w:val="0"/>
                    <w:spacing w:line="320" w:lineRule="exact"/>
                    <w:jc w:val="center"/>
                    <w:textAlignment w:val="auto"/>
                    <w:rPr>
                      <w:rFonts w:ascii="Times New Roman" w:hAnsi="Times New Roman" w:eastAsia="宋体" w:cs="Times New Roman"/>
                      <w:color w:val="auto"/>
                      <w:kern w:val="2"/>
                      <w:sz w:val="21"/>
                      <w:szCs w:val="21"/>
                      <w:highlight w:val="none"/>
                      <w:lang w:val="en-US" w:eastAsia="zh-CN" w:bidi="ar-SA"/>
                    </w:rPr>
                  </w:pPr>
                </w:p>
              </w:tc>
              <w:tc>
                <w:tcPr>
                  <w:tcW w:w="631" w:type="dxa"/>
                  <w:vMerge w:val="continue"/>
                  <w:tcBorders>
                    <w:tl2br w:val="nil"/>
                    <w:tr2bl w:val="nil"/>
                  </w:tcBorders>
                  <w:vAlign w:val="center"/>
                </w:tcPr>
                <w:p w14:paraId="06F7414A">
                  <w:pPr>
                    <w:keepNext w:val="0"/>
                    <w:keepLines w:val="0"/>
                    <w:pageBreakBefore w:val="0"/>
                    <w:widowControl w:val="0"/>
                    <w:kinsoku/>
                    <w:overflowPunct/>
                    <w:topLinePunct w:val="0"/>
                    <w:autoSpaceDE/>
                    <w:autoSpaceDN/>
                    <w:bidi w:val="0"/>
                    <w:adjustRightInd w:val="0"/>
                    <w:snapToGrid w:val="0"/>
                    <w:spacing w:line="320" w:lineRule="exact"/>
                    <w:jc w:val="center"/>
                    <w:textAlignment w:val="auto"/>
                    <w:rPr>
                      <w:rFonts w:ascii="Times New Roman" w:hAnsi="Times New Roman" w:eastAsia="宋体" w:cs="Times New Roman"/>
                      <w:color w:val="auto"/>
                      <w:kern w:val="2"/>
                      <w:sz w:val="21"/>
                      <w:szCs w:val="21"/>
                      <w:highlight w:val="none"/>
                      <w:lang w:val="en-US" w:eastAsia="zh-CN" w:bidi="ar-SA"/>
                    </w:rPr>
                  </w:pPr>
                </w:p>
              </w:tc>
            </w:tr>
            <w:tr w14:paraId="26B75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07" w:type="dxa"/>
                  <w:tcBorders>
                    <w:tl2br w:val="nil"/>
                    <w:tr2bl w:val="nil"/>
                  </w:tcBorders>
                  <w:vAlign w:val="center"/>
                </w:tcPr>
                <w:p w14:paraId="4737925A">
                  <w:pPr>
                    <w:keepNext w:val="0"/>
                    <w:keepLines w:val="0"/>
                    <w:pageBreakBefore w:val="0"/>
                    <w:widowControl w:val="0"/>
                    <w:kinsoku/>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w:t>
                  </w:r>
                </w:p>
              </w:tc>
              <w:tc>
                <w:tcPr>
                  <w:tcW w:w="970" w:type="dxa"/>
                  <w:tcBorders>
                    <w:tl2br w:val="nil"/>
                    <w:tr2bl w:val="nil"/>
                  </w:tcBorders>
                  <w:shd w:val="clear" w:color="auto" w:fill="auto"/>
                  <w:vAlign w:val="center"/>
                </w:tcPr>
                <w:p w14:paraId="7E9B7828">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煤炭输送、转运粉尘</w:t>
                  </w:r>
                </w:p>
              </w:tc>
              <w:tc>
                <w:tcPr>
                  <w:tcW w:w="849" w:type="dxa"/>
                  <w:tcBorders>
                    <w:tl2br w:val="nil"/>
                    <w:tr2bl w:val="nil"/>
                  </w:tcBorders>
                  <w:shd w:val="clear" w:color="auto" w:fill="auto"/>
                  <w:vAlign w:val="center"/>
                </w:tcPr>
                <w:p w14:paraId="2425CB58">
                  <w:pPr>
                    <w:keepNext w:val="0"/>
                    <w:keepLines w:val="0"/>
                    <w:pageBreakBefore w:val="0"/>
                    <w:widowControl w:val="0"/>
                    <w:kinsoku/>
                    <w:overflowPunct/>
                    <w:topLinePunct w:val="0"/>
                    <w:autoSpaceDE/>
                    <w:autoSpaceDN/>
                    <w:bidi w:val="0"/>
                    <w:adjustRightInd w:val="0"/>
                    <w:snapToGrid w:val="0"/>
                    <w:spacing w:line="320" w:lineRule="exact"/>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颗粒物</w:t>
                  </w:r>
                </w:p>
              </w:tc>
              <w:tc>
                <w:tcPr>
                  <w:tcW w:w="975" w:type="dxa"/>
                  <w:tcBorders>
                    <w:tl2br w:val="nil"/>
                    <w:tr2bl w:val="nil"/>
                  </w:tcBorders>
                  <w:shd w:val="clear" w:color="auto" w:fill="auto"/>
                  <w:vAlign w:val="center"/>
                </w:tcPr>
                <w:p w14:paraId="206F35DA">
                  <w:pPr>
                    <w:keepNext w:val="0"/>
                    <w:keepLines w:val="0"/>
                    <w:pageBreakBefore w:val="0"/>
                    <w:widowControl w:val="0"/>
                    <w:kinsoku/>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w:t>
                  </w:r>
                </w:p>
              </w:tc>
              <w:tc>
                <w:tcPr>
                  <w:tcW w:w="816" w:type="dxa"/>
                  <w:tcBorders>
                    <w:tl2br w:val="nil"/>
                    <w:tr2bl w:val="nil"/>
                  </w:tcBorders>
                  <w:shd w:val="clear" w:color="auto" w:fill="auto"/>
                  <w:vAlign w:val="center"/>
                </w:tcPr>
                <w:p w14:paraId="523A5CD5">
                  <w:pPr>
                    <w:keepNext w:val="0"/>
                    <w:keepLines w:val="0"/>
                    <w:pageBreakBefore w:val="0"/>
                    <w:widowControl w:val="0"/>
                    <w:kinsoku/>
                    <w:overflowPunct/>
                    <w:topLinePunct w:val="0"/>
                    <w:autoSpaceDE/>
                    <w:autoSpaceDN/>
                    <w:bidi w:val="0"/>
                    <w:adjustRightInd w:val="0"/>
                    <w:snapToGrid w:val="0"/>
                    <w:spacing w:line="320" w:lineRule="exact"/>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w:t>
                  </w:r>
                </w:p>
              </w:tc>
              <w:tc>
                <w:tcPr>
                  <w:tcW w:w="836" w:type="dxa"/>
                  <w:tcBorders>
                    <w:tl2br w:val="nil"/>
                    <w:tr2bl w:val="nil"/>
                  </w:tcBorders>
                  <w:shd w:val="clear" w:color="auto" w:fill="auto"/>
                  <w:vAlign w:val="center"/>
                </w:tcPr>
                <w:p w14:paraId="07606B0A">
                  <w:pPr>
                    <w:keepNext w:val="0"/>
                    <w:keepLines w:val="0"/>
                    <w:pageBreakBefore w:val="0"/>
                    <w:widowControl w:val="0"/>
                    <w:kinsoku/>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w:t>
                  </w:r>
                </w:p>
              </w:tc>
              <w:tc>
                <w:tcPr>
                  <w:tcW w:w="816" w:type="dxa"/>
                  <w:tcBorders>
                    <w:tl2br w:val="nil"/>
                    <w:tr2bl w:val="nil"/>
                  </w:tcBorders>
                  <w:shd w:val="clear" w:color="auto" w:fill="auto"/>
                  <w:vAlign w:val="center"/>
                </w:tcPr>
                <w:p w14:paraId="5C85B7B2">
                  <w:pPr>
                    <w:keepNext w:val="0"/>
                    <w:keepLines w:val="0"/>
                    <w:pageBreakBefore w:val="0"/>
                    <w:widowControl w:val="0"/>
                    <w:kinsoku/>
                    <w:overflowPunct/>
                    <w:topLinePunct w:val="0"/>
                    <w:autoSpaceDE/>
                    <w:autoSpaceDN/>
                    <w:bidi w:val="0"/>
                    <w:adjustRightInd w:val="0"/>
                    <w:snapToGrid w:val="0"/>
                    <w:spacing w:line="320" w:lineRule="exact"/>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无组织</w:t>
                  </w:r>
                </w:p>
              </w:tc>
              <w:tc>
                <w:tcPr>
                  <w:tcW w:w="4165" w:type="dxa"/>
                  <w:tcBorders>
                    <w:tl2br w:val="nil"/>
                    <w:tr2bl w:val="nil"/>
                  </w:tcBorders>
                  <w:shd w:val="clear" w:color="auto" w:fill="auto"/>
                  <w:vAlign w:val="center"/>
                </w:tcPr>
                <w:p w14:paraId="065EDF18">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b w:val="0"/>
                      <w:color w:val="auto"/>
                      <w:sz w:val="21"/>
                      <w:szCs w:val="21"/>
                      <w:highlight w:val="none"/>
                      <w:lang w:val="en-US" w:eastAsia="zh-CN"/>
                    </w:rPr>
                    <w:t>采用全封闭皮带输送机进行输送，转载点设喷雾抑尘装置。</w:t>
                  </w:r>
                </w:p>
              </w:tc>
              <w:tc>
                <w:tcPr>
                  <w:tcW w:w="850" w:type="dxa"/>
                  <w:tcBorders>
                    <w:tl2br w:val="nil"/>
                    <w:tr2bl w:val="nil"/>
                  </w:tcBorders>
                  <w:shd w:val="clear" w:color="auto" w:fill="auto"/>
                  <w:vAlign w:val="center"/>
                </w:tcPr>
                <w:p w14:paraId="4996742E">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spacing w:val="0"/>
                      <w:highlight w:val="none"/>
                      <w:lang w:val="en-US" w:eastAsia="zh-CN"/>
                    </w:rPr>
                  </w:pPr>
                  <w:r>
                    <w:rPr>
                      <w:rFonts w:hint="eastAsia" w:ascii="Times New Roman" w:hAnsi="Times New Roman" w:cs="Times New Roman"/>
                      <w:color w:val="auto"/>
                      <w:spacing w:val="0"/>
                      <w:highlight w:val="none"/>
                      <w:lang w:val="en-US" w:eastAsia="zh-CN"/>
                    </w:rPr>
                    <w:t>99</w:t>
                  </w:r>
                  <w:r>
                    <w:rPr>
                      <w:rFonts w:hint="eastAsia" w:ascii="Times New Roman" w:hAnsi="Times New Roman" w:eastAsia="宋体" w:cs="Times New Roman"/>
                      <w:color w:val="auto"/>
                      <w:spacing w:val="0"/>
                      <w:highlight w:val="none"/>
                      <w:lang w:val="en-US" w:eastAsia="zh-CN"/>
                    </w:rPr>
                    <w:t>%</w:t>
                  </w:r>
                </w:p>
              </w:tc>
              <w:tc>
                <w:tcPr>
                  <w:tcW w:w="869" w:type="dxa"/>
                  <w:tcBorders>
                    <w:tl2br w:val="nil"/>
                    <w:tr2bl w:val="nil"/>
                  </w:tcBorders>
                  <w:shd w:val="clear" w:color="auto" w:fill="auto"/>
                  <w:vAlign w:val="center"/>
                </w:tcPr>
                <w:p w14:paraId="17B24CFE">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Times New Roman" w:hAnsi="Times New Roman" w:eastAsia="宋体" w:cs="Times New Roman"/>
                      <w:color w:val="auto"/>
                      <w:spacing w:val="0"/>
                      <w:highlight w:val="none"/>
                      <w:lang w:val="en-US" w:eastAsia="zh-CN"/>
                    </w:rPr>
                  </w:pPr>
                  <w:r>
                    <w:rPr>
                      <w:rFonts w:hint="eastAsia" w:ascii="Times New Roman" w:hAnsi="Times New Roman" w:eastAsia="宋体" w:cs="Times New Roman"/>
                      <w:color w:val="auto"/>
                      <w:spacing w:val="0"/>
                      <w:highlight w:val="none"/>
                      <w:lang w:val="en-US" w:eastAsia="zh-CN"/>
                    </w:rPr>
                    <w:t>是</w:t>
                  </w:r>
                </w:p>
              </w:tc>
              <w:tc>
                <w:tcPr>
                  <w:tcW w:w="961" w:type="dxa"/>
                  <w:tcBorders>
                    <w:tl2br w:val="nil"/>
                    <w:tr2bl w:val="nil"/>
                  </w:tcBorders>
                  <w:shd w:val="clear" w:color="auto" w:fill="auto"/>
                  <w:vAlign w:val="center"/>
                </w:tcPr>
                <w:p w14:paraId="4A2BE927">
                  <w:pPr>
                    <w:keepNext w:val="0"/>
                    <w:keepLines w:val="0"/>
                    <w:pageBreakBefore w:val="0"/>
                    <w:widowControl w:val="0"/>
                    <w:kinsoku/>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w:t>
                  </w:r>
                </w:p>
              </w:tc>
              <w:tc>
                <w:tcPr>
                  <w:tcW w:w="801" w:type="dxa"/>
                  <w:tcBorders>
                    <w:tl2br w:val="nil"/>
                    <w:tr2bl w:val="nil"/>
                  </w:tcBorders>
                  <w:shd w:val="clear" w:color="auto" w:fill="auto"/>
                  <w:vAlign w:val="center"/>
                </w:tcPr>
                <w:p w14:paraId="20AA0F0F">
                  <w:pPr>
                    <w:keepNext w:val="0"/>
                    <w:keepLines w:val="0"/>
                    <w:pageBreakBefore w:val="0"/>
                    <w:widowControl w:val="0"/>
                    <w:kinsoku/>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w:t>
                  </w:r>
                </w:p>
              </w:tc>
              <w:tc>
                <w:tcPr>
                  <w:tcW w:w="631" w:type="dxa"/>
                  <w:tcBorders>
                    <w:tl2br w:val="nil"/>
                    <w:tr2bl w:val="nil"/>
                  </w:tcBorders>
                  <w:shd w:val="clear" w:color="auto" w:fill="auto"/>
                  <w:vAlign w:val="center"/>
                </w:tcPr>
                <w:p w14:paraId="07D8703E">
                  <w:pPr>
                    <w:keepNext w:val="0"/>
                    <w:keepLines w:val="0"/>
                    <w:pageBreakBefore w:val="0"/>
                    <w:widowControl w:val="0"/>
                    <w:kinsoku/>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w:t>
                  </w:r>
                </w:p>
              </w:tc>
            </w:tr>
            <w:tr w14:paraId="6ACCB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0" w:type="auto"/>
                  <w:shd w:val="clear" w:color="auto" w:fill="auto"/>
                  <w:vAlign w:val="center"/>
                </w:tcPr>
                <w:p w14:paraId="338051B5">
                  <w:pPr>
                    <w:keepNext w:val="0"/>
                    <w:keepLines w:val="0"/>
                    <w:pageBreakBefore w:val="0"/>
                    <w:widowControl w:val="0"/>
                    <w:kinsoku/>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w:t>
                  </w:r>
                </w:p>
              </w:tc>
              <w:tc>
                <w:tcPr>
                  <w:tcW w:w="970" w:type="dxa"/>
                  <w:shd w:val="clear" w:color="auto" w:fill="auto"/>
                  <w:vAlign w:val="center"/>
                </w:tcPr>
                <w:p w14:paraId="66078FEF">
                  <w:pPr>
                    <w:pStyle w:val="87"/>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煤炭储存粉尘</w:t>
                  </w:r>
                </w:p>
              </w:tc>
              <w:tc>
                <w:tcPr>
                  <w:tcW w:w="849" w:type="dxa"/>
                  <w:shd w:val="clear" w:color="auto" w:fill="auto"/>
                  <w:vAlign w:val="center"/>
                </w:tcPr>
                <w:p w14:paraId="04043CFF">
                  <w:pPr>
                    <w:keepNext w:val="0"/>
                    <w:keepLines w:val="0"/>
                    <w:pageBreakBefore w:val="0"/>
                    <w:widowControl w:val="0"/>
                    <w:kinsoku/>
                    <w:overflowPunct/>
                    <w:topLinePunct w:val="0"/>
                    <w:autoSpaceDE/>
                    <w:autoSpaceDN/>
                    <w:bidi w:val="0"/>
                    <w:adjustRightInd w:val="0"/>
                    <w:snapToGrid w:val="0"/>
                    <w:spacing w:line="320" w:lineRule="exact"/>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颗粒物</w:t>
                  </w:r>
                </w:p>
              </w:tc>
              <w:tc>
                <w:tcPr>
                  <w:tcW w:w="975" w:type="dxa"/>
                  <w:shd w:val="clear" w:color="auto" w:fill="auto"/>
                  <w:vAlign w:val="center"/>
                </w:tcPr>
                <w:p w14:paraId="402CC51F">
                  <w:pPr>
                    <w:keepNext w:val="0"/>
                    <w:keepLines w:val="0"/>
                    <w:widowControl/>
                    <w:suppressLineNumbers w:val="0"/>
                    <w:jc w:val="center"/>
                    <w:textAlignment w:val="center"/>
                    <w:rPr>
                      <w:rFonts w:hint="eastAsia"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kern w:val="2"/>
                      <w:sz w:val="21"/>
                      <w:szCs w:val="21"/>
                      <w:highlight w:val="none"/>
                      <w:lang w:val="en-US" w:eastAsia="zh-CN" w:bidi="ar-SA"/>
                    </w:rPr>
                    <w:t>/</w:t>
                  </w:r>
                </w:p>
              </w:tc>
              <w:tc>
                <w:tcPr>
                  <w:tcW w:w="0" w:type="auto"/>
                  <w:shd w:val="clear" w:color="auto" w:fill="auto"/>
                  <w:vAlign w:val="center"/>
                </w:tcPr>
                <w:p w14:paraId="3242FA01">
                  <w:pPr>
                    <w:keepNext w:val="0"/>
                    <w:keepLines w:val="0"/>
                    <w:pageBreakBefore w:val="0"/>
                    <w:widowControl w:val="0"/>
                    <w:kinsoku/>
                    <w:overflowPunct/>
                    <w:topLinePunct w:val="0"/>
                    <w:autoSpaceDE/>
                    <w:autoSpaceDN/>
                    <w:bidi w:val="0"/>
                    <w:adjustRightInd w:val="0"/>
                    <w:snapToGrid w:val="0"/>
                    <w:spacing w:line="320" w:lineRule="exact"/>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eastAsia="仿宋" w:cs="Times New Roman"/>
                      <w:color w:val="auto"/>
                      <w:kern w:val="2"/>
                      <w:sz w:val="21"/>
                      <w:szCs w:val="21"/>
                      <w:highlight w:val="none"/>
                      <w:lang w:val="en-US" w:eastAsia="zh-CN" w:bidi="ar-SA"/>
                    </w:rPr>
                    <w:t>/</w:t>
                  </w:r>
                </w:p>
              </w:tc>
              <w:tc>
                <w:tcPr>
                  <w:tcW w:w="0" w:type="auto"/>
                  <w:shd w:val="clear" w:color="auto" w:fill="auto"/>
                  <w:vAlign w:val="center"/>
                </w:tcPr>
                <w:p w14:paraId="689E6966">
                  <w:pPr>
                    <w:keepNext w:val="0"/>
                    <w:keepLines w:val="0"/>
                    <w:pageBreakBefore w:val="0"/>
                    <w:widowControl w:val="0"/>
                    <w:kinsoku/>
                    <w:overflowPunct/>
                    <w:topLinePunct w:val="0"/>
                    <w:autoSpaceDE/>
                    <w:autoSpaceDN/>
                    <w:bidi w:val="0"/>
                    <w:adjustRightInd w:val="0"/>
                    <w:snapToGrid w:val="0"/>
                    <w:spacing w:line="320" w:lineRule="exact"/>
                    <w:jc w:val="center"/>
                    <w:textAlignment w:val="auto"/>
                    <w:rPr>
                      <w:rFonts w:hint="default" w:ascii="Times New Roman" w:hAnsi="Times New Roman" w:eastAsia="仿宋" w:cs="Times New Roman"/>
                      <w:color w:val="auto"/>
                      <w:kern w:val="2"/>
                      <w:sz w:val="21"/>
                      <w:szCs w:val="21"/>
                      <w:highlight w:val="none"/>
                      <w:lang w:val="en-US" w:eastAsia="zh-CN" w:bidi="ar-SA"/>
                    </w:rPr>
                  </w:pPr>
                  <w:r>
                    <w:rPr>
                      <w:rFonts w:hint="eastAsia" w:eastAsia="仿宋" w:cs="Times New Roman"/>
                      <w:color w:val="auto"/>
                      <w:kern w:val="2"/>
                      <w:sz w:val="21"/>
                      <w:szCs w:val="21"/>
                      <w:highlight w:val="none"/>
                      <w:lang w:val="en-US" w:eastAsia="zh-CN" w:bidi="ar-SA"/>
                    </w:rPr>
                    <w:t>/</w:t>
                  </w:r>
                </w:p>
              </w:tc>
              <w:tc>
                <w:tcPr>
                  <w:tcW w:w="816" w:type="dxa"/>
                  <w:shd w:val="clear" w:color="auto" w:fill="auto"/>
                  <w:vAlign w:val="center"/>
                </w:tcPr>
                <w:p w14:paraId="7D2AE9D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无</w:t>
                  </w:r>
                  <w:r>
                    <w:rPr>
                      <w:rFonts w:hint="eastAsia" w:ascii="Times New Roman" w:hAnsi="Times New Roman" w:eastAsia="宋体" w:cs="Times New Roman"/>
                      <w:color w:val="auto"/>
                      <w:kern w:val="2"/>
                      <w:sz w:val="21"/>
                      <w:szCs w:val="21"/>
                      <w:highlight w:val="none"/>
                      <w:lang w:val="en-US" w:eastAsia="zh-CN" w:bidi="ar-SA"/>
                    </w:rPr>
                    <w:t>组织</w:t>
                  </w:r>
                </w:p>
              </w:tc>
              <w:tc>
                <w:tcPr>
                  <w:tcW w:w="4165" w:type="dxa"/>
                  <w:shd w:val="clear" w:color="auto" w:fill="auto"/>
                  <w:vAlign w:val="center"/>
                </w:tcPr>
                <w:p w14:paraId="71AA1423">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pacing w:val="0"/>
                    </w:rPr>
                    <w:t>全封闭筒仓储存</w:t>
                  </w:r>
                  <w:r>
                    <w:rPr>
                      <w:rFonts w:hint="eastAsia" w:ascii="Times New Roman" w:hAnsi="Times New Roman" w:cs="Times New Roman"/>
                      <w:color w:val="auto"/>
                      <w:spacing w:val="0"/>
                      <w:lang w:eastAsia="zh-CN"/>
                    </w:rPr>
                    <w:t>，</w:t>
                  </w:r>
                  <w:r>
                    <w:rPr>
                      <w:rFonts w:hint="eastAsia" w:ascii="Times New Roman" w:hAnsi="Times New Roman" w:cs="Times New Roman"/>
                      <w:color w:val="auto"/>
                      <w:spacing w:val="0"/>
                      <w:lang w:val="en-US" w:eastAsia="zh-CN"/>
                    </w:rPr>
                    <w:t>并设有通风机排风及瓦斯检测探头装置</w:t>
                  </w:r>
                  <w:r>
                    <w:rPr>
                      <w:rFonts w:hint="eastAsia"/>
                      <w:color w:val="auto"/>
                      <w:lang w:eastAsia="zh-CN"/>
                    </w:rPr>
                    <w:t>。</w:t>
                  </w:r>
                </w:p>
              </w:tc>
              <w:tc>
                <w:tcPr>
                  <w:tcW w:w="850" w:type="dxa"/>
                  <w:shd w:val="clear" w:color="auto" w:fill="auto"/>
                  <w:vAlign w:val="center"/>
                </w:tcPr>
                <w:p w14:paraId="506C50BC">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99%</w:t>
                  </w:r>
                </w:p>
              </w:tc>
              <w:tc>
                <w:tcPr>
                  <w:tcW w:w="869" w:type="dxa"/>
                  <w:shd w:val="clear" w:color="auto" w:fill="auto"/>
                  <w:vAlign w:val="center"/>
                </w:tcPr>
                <w:p w14:paraId="6813EA8E">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Times New Roman" w:hAnsi="Times New Roman" w:cs="Times New Roman"/>
                      <w:color w:val="auto"/>
                      <w:sz w:val="21"/>
                      <w:szCs w:val="21"/>
                      <w:highlight w:val="none"/>
                      <w:lang w:val="en-US" w:eastAsia="zh-CN"/>
                    </w:rPr>
                  </w:pPr>
                  <w:r>
                    <w:rPr>
                      <w:rFonts w:hint="eastAsia" w:ascii="Times New Roman" w:hAnsi="Times New Roman" w:eastAsia="宋体" w:cs="Times New Roman"/>
                      <w:color w:val="auto"/>
                      <w:spacing w:val="0"/>
                      <w:highlight w:val="none"/>
                      <w:lang w:val="en-US" w:eastAsia="zh-CN"/>
                    </w:rPr>
                    <w:t>是</w:t>
                  </w:r>
                </w:p>
              </w:tc>
              <w:tc>
                <w:tcPr>
                  <w:tcW w:w="961" w:type="dxa"/>
                  <w:shd w:val="clear" w:color="auto" w:fill="auto"/>
                  <w:vAlign w:val="center"/>
                </w:tcPr>
                <w:p w14:paraId="4900872C">
                  <w:pPr>
                    <w:keepNext w:val="0"/>
                    <w:keepLines w:val="0"/>
                    <w:pageBreakBefore w:val="0"/>
                    <w:widowControl w:val="0"/>
                    <w:kinsoku/>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w:t>
                  </w:r>
                </w:p>
              </w:tc>
              <w:tc>
                <w:tcPr>
                  <w:tcW w:w="801" w:type="dxa"/>
                  <w:shd w:val="clear" w:color="auto" w:fill="auto"/>
                  <w:vAlign w:val="center"/>
                </w:tcPr>
                <w:p w14:paraId="55B91F85">
                  <w:pPr>
                    <w:keepNext w:val="0"/>
                    <w:keepLines w:val="0"/>
                    <w:pageBreakBefore w:val="0"/>
                    <w:widowControl w:val="0"/>
                    <w:kinsoku/>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w:t>
                  </w:r>
                </w:p>
              </w:tc>
              <w:tc>
                <w:tcPr>
                  <w:tcW w:w="631" w:type="dxa"/>
                  <w:shd w:val="clear" w:color="auto" w:fill="auto"/>
                  <w:vAlign w:val="center"/>
                </w:tcPr>
                <w:p w14:paraId="53848EC5">
                  <w:pPr>
                    <w:keepNext w:val="0"/>
                    <w:keepLines w:val="0"/>
                    <w:pageBreakBefore w:val="0"/>
                    <w:widowControl w:val="0"/>
                    <w:kinsoku/>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w:t>
                  </w:r>
                </w:p>
              </w:tc>
            </w:tr>
          </w:tbl>
          <w:p w14:paraId="10757C1E">
            <w:pPr>
              <w:keepNext w:val="0"/>
              <w:keepLines w:val="0"/>
              <w:pageBreakBefore w:val="0"/>
              <w:widowControl w:val="0"/>
              <w:kinsoku/>
              <w:wordWrap/>
              <w:overflowPunct/>
              <w:topLinePunct w:val="0"/>
              <w:autoSpaceDE/>
              <w:autoSpaceDN/>
              <w:bidi w:val="0"/>
              <w:adjustRightInd w:val="0"/>
              <w:snapToGrid w:val="0"/>
              <w:spacing w:line="480" w:lineRule="exact"/>
              <w:ind w:firstLine="0" w:firstLineChars="0"/>
              <w:jc w:val="center"/>
              <w:textAlignment w:val="auto"/>
              <w:rPr>
                <w:rFonts w:hint="eastAsia" w:ascii="Times New Roman" w:hAnsi="Times New Roman" w:eastAsia="黑体" w:cs="Times New Roman"/>
                <w:b w:val="0"/>
                <w:bCs w:val="0"/>
                <w:color w:val="auto"/>
                <w:kern w:val="2"/>
                <w:sz w:val="21"/>
                <w:szCs w:val="21"/>
                <w:highlight w:val="none"/>
                <w:lang w:val="en-US" w:eastAsia="zh-CN" w:bidi="ar-SA"/>
              </w:rPr>
            </w:pPr>
          </w:p>
          <w:p w14:paraId="37D425F8">
            <w:pPr>
              <w:keepNext w:val="0"/>
              <w:keepLines w:val="0"/>
              <w:pageBreakBefore w:val="0"/>
              <w:widowControl w:val="0"/>
              <w:kinsoku/>
              <w:wordWrap/>
              <w:overflowPunct/>
              <w:topLinePunct w:val="0"/>
              <w:autoSpaceDE/>
              <w:autoSpaceDN/>
              <w:bidi w:val="0"/>
              <w:adjustRightInd w:val="0"/>
              <w:snapToGrid w:val="0"/>
              <w:spacing w:line="480" w:lineRule="exact"/>
              <w:ind w:firstLine="0" w:firstLineChars="0"/>
              <w:jc w:val="center"/>
              <w:textAlignment w:val="auto"/>
              <w:rPr>
                <w:rFonts w:hint="eastAsia" w:ascii="Times New Roman" w:hAnsi="Times New Roman" w:eastAsia="黑体" w:cs="Times New Roman"/>
                <w:b w:val="0"/>
                <w:bCs w:val="0"/>
                <w:color w:val="auto"/>
                <w:kern w:val="2"/>
                <w:sz w:val="21"/>
                <w:szCs w:val="21"/>
                <w:highlight w:val="none"/>
                <w:lang w:val="en-US" w:eastAsia="zh-CN" w:bidi="ar-SA"/>
              </w:rPr>
            </w:pPr>
          </w:p>
          <w:p w14:paraId="110A1851">
            <w:pPr>
              <w:keepNext w:val="0"/>
              <w:keepLines w:val="0"/>
              <w:pageBreakBefore w:val="0"/>
              <w:widowControl w:val="0"/>
              <w:kinsoku/>
              <w:wordWrap/>
              <w:overflowPunct/>
              <w:topLinePunct w:val="0"/>
              <w:autoSpaceDE/>
              <w:autoSpaceDN/>
              <w:bidi w:val="0"/>
              <w:adjustRightInd w:val="0"/>
              <w:snapToGrid w:val="0"/>
              <w:spacing w:line="480" w:lineRule="exact"/>
              <w:ind w:firstLine="0" w:firstLineChars="0"/>
              <w:jc w:val="center"/>
              <w:textAlignment w:val="auto"/>
              <w:rPr>
                <w:rFonts w:hint="eastAsia" w:ascii="Times New Roman" w:hAnsi="Times New Roman" w:eastAsia="黑体" w:cs="Times New Roman"/>
                <w:b w:val="0"/>
                <w:bCs w:val="0"/>
                <w:color w:val="auto"/>
                <w:kern w:val="2"/>
                <w:sz w:val="21"/>
                <w:szCs w:val="21"/>
                <w:highlight w:val="none"/>
                <w:lang w:val="en-US" w:eastAsia="zh-CN" w:bidi="ar-SA"/>
              </w:rPr>
            </w:pPr>
          </w:p>
          <w:p w14:paraId="4E02ACD3">
            <w:pPr>
              <w:keepNext w:val="0"/>
              <w:keepLines w:val="0"/>
              <w:pageBreakBefore w:val="0"/>
              <w:widowControl w:val="0"/>
              <w:kinsoku/>
              <w:wordWrap/>
              <w:overflowPunct/>
              <w:topLinePunct w:val="0"/>
              <w:autoSpaceDE/>
              <w:autoSpaceDN/>
              <w:bidi w:val="0"/>
              <w:adjustRightInd w:val="0"/>
              <w:snapToGrid w:val="0"/>
              <w:spacing w:line="480" w:lineRule="exact"/>
              <w:ind w:firstLine="0" w:firstLineChars="0"/>
              <w:jc w:val="center"/>
              <w:textAlignment w:val="auto"/>
              <w:rPr>
                <w:rFonts w:hint="eastAsia" w:ascii="Times New Roman" w:hAnsi="Times New Roman" w:eastAsia="宋体" w:cs="Times New Roman"/>
                <w:b/>
                <w:bCs w:val="0"/>
                <w:color w:val="auto"/>
                <w:spacing w:val="-10"/>
                <w:sz w:val="24"/>
                <w:szCs w:val="24"/>
                <w:highlight w:val="none"/>
                <w:vertAlign w:val="baseline"/>
                <w:lang w:val="en-US" w:eastAsia="zh-CN"/>
              </w:rPr>
            </w:pPr>
          </w:p>
        </w:tc>
      </w:tr>
    </w:tbl>
    <w:p w14:paraId="736E84D3">
      <w:pPr>
        <w:rPr>
          <w:color w:val="auto"/>
          <w:highlight w:val="none"/>
        </w:rPr>
        <w:sectPr>
          <w:pgSz w:w="16840" w:h="11907" w:orient="landscape"/>
          <w:pgMar w:top="1531" w:right="1701" w:bottom="1531" w:left="2127"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26"/>
        <w:tblW w:w="890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46"/>
        <w:gridCol w:w="8162"/>
      </w:tblGrid>
      <w:tr w14:paraId="12DA18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90" w:hRule="atLeast"/>
          <w:jc w:val="center"/>
        </w:trPr>
        <w:tc>
          <w:tcPr>
            <w:tcW w:w="746" w:type="dxa"/>
            <w:tcMar>
              <w:left w:w="28" w:type="dxa"/>
              <w:right w:w="28" w:type="dxa"/>
            </w:tcMar>
            <w:vAlign w:val="center"/>
          </w:tcPr>
          <w:p w14:paraId="2A5650AE">
            <w:pPr>
              <w:adjustRightInd w:val="0"/>
              <w:snapToGrid w:val="0"/>
              <w:jc w:val="center"/>
              <w:rPr>
                <w:rFonts w:hint="default" w:ascii="Times New Roman" w:hAnsi="Times New Roman" w:eastAsia="宋体" w:cs="Times New Roman"/>
                <w:bCs/>
                <w:color w:val="auto"/>
                <w:szCs w:val="21"/>
                <w:highlight w:val="none"/>
              </w:rPr>
            </w:pPr>
            <w:r>
              <w:rPr>
                <w:rFonts w:hint="default" w:ascii="Times New Roman" w:hAnsi="Times New Roman" w:cs="Times New Roman"/>
                <w:bCs/>
                <w:color w:val="auto"/>
                <w:szCs w:val="21"/>
                <w:highlight w:val="none"/>
              </w:rPr>
              <w:t>运</w:t>
            </w:r>
            <w:r>
              <w:rPr>
                <w:rFonts w:hint="default" w:ascii="Times New Roman" w:hAnsi="Times New Roman" w:eastAsia="宋体" w:cs="Times New Roman"/>
                <w:bCs/>
                <w:color w:val="auto"/>
                <w:szCs w:val="21"/>
                <w:highlight w:val="none"/>
              </w:rPr>
              <w:t>营</w:t>
            </w:r>
          </w:p>
          <w:p w14:paraId="1DC313EC">
            <w:pPr>
              <w:adjustRightInd w:val="0"/>
              <w:snapToGrid w:val="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期环</w:t>
            </w:r>
          </w:p>
          <w:p w14:paraId="62205C4D">
            <w:pPr>
              <w:adjustRightInd w:val="0"/>
              <w:snapToGrid w:val="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境影</w:t>
            </w:r>
          </w:p>
          <w:p w14:paraId="0A576FC0">
            <w:pPr>
              <w:adjustRightInd w:val="0"/>
              <w:snapToGrid w:val="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响和</w:t>
            </w:r>
          </w:p>
          <w:p w14:paraId="7154CDAE">
            <w:pPr>
              <w:adjustRightInd w:val="0"/>
              <w:snapToGrid w:val="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保护</w:t>
            </w:r>
          </w:p>
          <w:p w14:paraId="2623A37D">
            <w:pPr>
              <w:adjustRightInd w:val="0"/>
              <w:snapToGrid w:val="0"/>
              <w:jc w:val="center"/>
              <w:rPr>
                <w:rFonts w:hint="default" w:ascii="Times New Roman" w:hAnsi="Times New Roman" w:cs="Times New Roman"/>
                <w:color w:val="auto"/>
                <w:kern w:val="2"/>
                <w:sz w:val="21"/>
                <w:szCs w:val="21"/>
                <w:highlight w:val="none"/>
              </w:rPr>
            </w:pPr>
            <w:r>
              <w:rPr>
                <w:rFonts w:hint="default" w:ascii="Times New Roman" w:hAnsi="Times New Roman" w:eastAsia="宋体" w:cs="Times New Roman"/>
                <w:bCs/>
                <w:color w:val="auto"/>
                <w:szCs w:val="21"/>
                <w:highlight w:val="none"/>
              </w:rPr>
              <w:t>措施</w:t>
            </w:r>
          </w:p>
        </w:tc>
        <w:tc>
          <w:tcPr>
            <w:tcW w:w="8162" w:type="dxa"/>
            <w:vAlign w:val="center"/>
          </w:tcPr>
          <w:p w14:paraId="36F5963E">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1</w:t>
            </w:r>
            <w:r>
              <w:rPr>
                <w:rFonts w:hint="eastAsia" w:ascii="Times New Roman" w:hAnsi="Times New Roman" w:eastAsia="宋体" w:cs="Times New Roman"/>
                <w:b w:val="0"/>
                <w:bCs w:val="0"/>
                <w:color w:val="auto"/>
                <w:sz w:val="24"/>
                <w:highlight w:val="none"/>
                <w:lang w:val="en-US" w:eastAsia="zh-CN"/>
              </w:rPr>
              <w:t>.</w:t>
            </w:r>
            <w:r>
              <w:rPr>
                <w:rFonts w:hint="default" w:ascii="Times New Roman" w:hAnsi="Times New Roman" w:eastAsia="宋体" w:cs="Times New Roman"/>
                <w:b w:val="0"/>
                <w:bCs w:val="0"/>
                <w:color w:val="auto"/>
                <w:sz w:val="24"/>
                <w:highlight w:val="none"/>
                <w:lang w:val="en-US" w:eastAsia="zh-CN"/>
              </w:rPr>
              <w:t>污染物源强计算及防治措施</w:t>
            </w:r>
          </w:p>
          <w:p w14:paraId="1E212F10">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cs="Times New Roman"/>
                <w:color w:val="auto"/>
                <w:sz w:val="24"/>
                <w:highlight w:val="none"/>
                <w:lang w:val="en-US" w:eastAsia="zh-CN"/>
              </w:rPr>
            </w:pPr>
            <w:r>
              <w:rPr>
                <w:rFonts w:hint="default" w:ascii="Times New Roman" w:hAnsi="Times New Roman" w:cs="Times New Roman"/>
                <w:color w:val="auto"/>
                <w:sz w:val="24"/>
                <w:highlight w:val="none"/>
              </w:rPr>
              <w:t>G1</w:t>
            </w:r>
            <w:r>
              <w:rPr>
                <w:rFonts w:hint="eastAsia" w:cs="Times New Roman"/>
                <w:color w:val="auto"/>
                <w:sz w:val="24"/>
                <w:highlight w:val="none"/>
                <w:lang w:eastAsia="zh-CN"/>
              </w:rPr>
              <w:t>：</w:t>
            </w:r>
            <w:r>
              <w:rPr>
                <w:rFonts w:hint="eastAsia" w:cs="Times New Roman"/>
                <w:color w:val="auto"/>
                <w:sz w:val="24"/>
                <w:highlight w:val="none"/>
                <w:lang w:val="en-US" w:eastAsia="zh-CN"/>
              </w:rPr>
              <w:t>煤炭输送、转运粉尘</w:t>
            </w:r>
          </w:p>
          <w:p w14:paraId="6A7A801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cs="Times New Roman"/>
                <w:bCs/>
                <w:color w:val="auto"/>
                <w:sz w:val="24"/>
                <w:szCs w:val="24"/>
                <w:highlight w:val="none"/>
                <w:lang w:val="en-US" w:eastAsia="zh-CN"/>
              </w:rPr>
            </w:pPr>
            <w:r>
              <w:rPr>
                <w:rFonts w:hint="eastAsia" w:ascii="Times New Roman" w:hAnsi="Times New Roman" w:cs="Times New Roman"/>
                <w:bCs/>
                <w:color w:val="auto"/>
                <w:sz w:val="24"/>
                <w:szCs w:val="24"/>
                <w:highlight w:val="none"/>
                <w:lang w:val="en-US" w:eastAsia="zh-CN"/>
              </w:rPr>
              <w:t>本项目原煤经主斜井提到地面后，直接由皮带运至原煤仓仓顶房，通过溜槽进入原煤仓进行储存，仓下通过给煤机将原煤给入仓下收集带式输送机进入筛分破碎车间</w:t>
            </w:r>
            <w:r>
              <w:rPr>
                <w:rFonts w:hint="eastAsia" w:cs="Times New Roman"/>
                <w:bCs/>
                <w:color w:val="auto"/>
                <w:sz w:val="24"/>
                <w:szCs w:val="24"/>
                <w:highlight w:val="none"/>
                <w:lang w:val="en-US" w:eastAsia="zh-CN"/>
              </w:rPr>
              <w:t>；配洗后的末煤通过现有末煤仓带式输送机将洗末煤产品运输至末煤仓上。通过改造后的机头溜槽给入本项目末煤仓，仓下由给煤机将产品给入仓下收集带式输送机，经各转载点及带式输送机栈桥转载装车外运。</w:t>
            </w:r>
          </w:p>
          <w:p w14:paraId="1E946EA9">
            <w:pPr>
              <w:keepNext w:val="0"/>
              <w:keepLines w:val="0"/>
              <w:pageBreakBefore w:val="0"/>
              <w:widowControl w:val="0"/>
              <w:kinsoku/>
              <w:wordWrap/>
              <w:overflowPunct/>
              <w:topLinePunct w:val="0"/>
              <w:bidi w:val="0"/>
              <w:spacing w:line="480" w:lineRule="exact"/>
              <w:ind w:firstLine="480" w:firstLineChars="200"/>
              <w:textAlignment w:val="auto"/>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评价要求，</w:t>
            </w:r>
            <w:r>
              <w:rPr>
                <w:rFonts w:hint="default" w:ascii="Times New Roman" w:hAnsi="Times New Roman" w:eastAsia="宋体" w:cs="Times New Roman"/>
                <w:color w:val="auto"/>
                <w:sz w:val="24"/>
                <w:highlight w:val="none"/>
                <w:lang w:val="en-US" w:eastAsia="zh-CN"/>
              </w:rPr>
              <w:t>新建输煤走廊全封闭，转载点和跌落点设置</w:t>
            </w:r>
            <w:r>
              <w:rPr>
                <w:rFonts w:hint="eastAsia" w:cs="Times New Roman"/>
                <w:color w:val="auto"/>
                <w:sz w:val="24"/>
                <w:highlight w:val="none"/>
                <w:lang w:val="en-US" w:eastAsia="zh-CN"/>
              </w:rPr>
              <w:t>喷雾</w:t>
            </w:r>
            <w:r>
              <w:rPr>
                <w:rFonts w:hint="default" w:ascii="Times New Roman" w:hAnsi="Times New Roman" w:eastAsia="宋体" w:cs="Times New Roman"/>
                <w:color w:val="auto"/>
                <w:sz w:val="24"/>
                <w:highlight w:val="none"/>
                <w:lang w:val="en-US" w:eastAsia="zh-CN"/>
              </w:rPr>
              <w:t>抑尘装置，原煤转载、输送过程中粉尘的排放量很少，采取以上措施后，无组织排放量</w:t>
            </w:r>
            <w:r>
              <w:rPr>
                <w:rFonts w:hint="eastAsia" w:cs="Times New Roman"/>
                <w:color w:val="auto"/>
                <w:sz w:val="24"/>
                <w:highlight w:val="none"/>
                <w:lang w:val="en-US" w:eastAsia="zh-CN"/>
              </w:rPr>
              <w:t>很少，对周边环境影响较小</w:t>
            </w:r>
            <w:r>
              <w:rPr>
                <w:rFonts w:hint="default" w:ascii="Times New Roman" w:hAnsi="Times New Roman" w:eastAsia="宋体" w:cs="Times New Roman"/>
                <w:color w:val="auto"/>
                <w:sz w:val="24"/>
                <w:highlight w:val="none"/>
                <w:lang w:val="en-US" w:eastAsia="zh-CN"/>
              </w:rPr>
              <w:t>。</w:t>
            </w:r>
          </w:p>
          <w:p w14:paraId="1DE3DABE">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G2：煤炭储存粉尘</w:t>
            </w:r>
          </w:p>
          <w:p w14:paraId="239621EC">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本项目设全封闭筒仓储存煤炭</w:t>
            </w:r>
            <w:r>
              <w:rPr>
                <w:rFonts w:hint="eastAsia" w:cs="Times New Roman"/>
                <w:color w:val="auto"/>
                <w:sz w:val="24"/>
                <w:highlight w:val="none"/>
                <w:lang w:val="en-US" w:eastAsia="zh-CN"/>
              </w:rPr>
              <w:t>，并设有通风机排风及瓦斯检测探头装置。原煤运输过程中通过喷雾抑尘具有一定的含水率</w:t>
            </w:r>
            <w:r>
              <w:rPr>
                <w:rFonts w:hint="eastAsia" w:ascii="Times New Roman" w:hAnsi="Times New Roman" w:eastAsia="宋体" w:cs="Times New Roman"/>
                <w:color w:val="auto"/>
                <w:sz w:val="24"/>
                <w:highlight w:val="none"/>
                <w:lang w:val="en-US" w:eastAsia="zh-CN"/>
              </w:rPr>
              <w:t>，</w:t>
            </w:r>
            <w:r>
              <w:rPr>
                <w:rFonts w:hint="eastAsia" w:cs="Times New Roman"/>
                <w:color w:val="auto"/>
                <w:sz w:val="24"/>
                <w:highlight w:val="none"/>
                <w:lang w:val="en-US" w:eastAsia="zh-CN"/>
              </w:rPr>
              <w:t>储存过程中</w:t>
            </w:r>
            <w:r>
              <w:rPr>
                <w:rFonts w:hint="eastAsia" w:ascii="Times New Roman" w:hAnsi="Times New Roman" w:eastAsia="宋体" w:cs="Times New Roman"/>
                <w:color w:val="auto"/>
                <w:sz w:val="24"/>
                <w:highlight w:val="none"/>
                <w:lang w:val="en-US" w:eastAsia="zh-CN"/>
              </w:rPr>
              <w:t>无组织排放量</w:t>
            </w:r>
            <w:r>
              <w:rPr>
                <w:rFonts w:hint="eastAsia" w:cs="Times New Roman"/>
                <w:color w:val="auto"/>
                <w:sz w:val="24"/>
                <w:highlight w:val="none"/>
                <w:lang w:val="en-US" w:eastAsia="zh-CN"/>
              </w:rPr>
              <w:t>很少</w:t>
            </w:r>
            <w:r>
              <w:rPr>
                <w:rFonts w:hint="eastAsia" w:ascii="Times New Roman" w:hAnsi="Times New Roman" w:eastAsia="宋体" w:cs="Times New Roman"/>
                <w:color w:val="auto"/>
                <w:sz w:val="24"/>
                <w:highlight w:val="none"/>
                <w:lang w:val="en-US" w:eastAsia="zh-CN"/>
              </w:rPr>
              <w:t>，</w:t>
            </w:r>
            <w:r>
              <w:rPr>
                <w:rFonts w:hint="eastAsia" w:cs="Times New Roman"/>
                <w:color w:val="auto"/>
                <w:sz w:val="24"/>
                <w:highlight w:val="none"/>
                <w:lang w:val="en-US" w:eastAsia="zh-CN"/>
              </w:rPr>
              <w:t>对周边环境影响较小</w:t>
            </w:r>
            <w:r>
              <w:rPr>
                <w:rFonts w:hint="eastAsia" w:ascii="Times New Roman" w:hAnsi="Times New Roman" w:eastAsia="宋体" w:cs="Times New Roman"/>
                <w:color w:val="auto"/>
                <w:sz w:val="24"/>
                <w:highlight w:val="none"/>
                <w:lang w:val="en-US" w:eastAsia="zh-CN"/>
              </w:rPr>
              <w:t>。</w:t>
            </w:r>
          </w:p>
          <w:p w14:paraId="06D93D90">
            <w:pPr>
              <w:pStyle w:val="22"/>
              <w:keepNext w:val="0"/>
              <w:keepLines w:val="0"/>
              <w:pageBreakBefore w:val="0"/>
              <w:widowControl/>
              <w:kinsoku/>
              <w:wordWrap/>
              <w:overflowPunct/>
              <w:topLinePunct w:val="0"/>
              <w:autoSpaceDE/>
              <w:autoSpaceDN/>
              <w:bidi w:val="0"/>
              <w:adjustRightInd w:val="0"/>
              <w:snapToGrid w:val="0"/>
              <w:spacing w:before="0" w:after="0" w:line="480" w:lineRule="exact"/>
              <w:ind w:left="0" w:leftChars="0" w:right="0" w:firstLine="480" w:firstLineChars="200"/>
              <w:textAlignment w:val="auto"/>
              <w:rPr>
                <w:rFonts w:hint="eastAsia" w:cs="Times New Roman"/>
                <w:color w:val="auto"/>
                <w:kern w:val="0"/>
                <w:sz w:val="24"/>
                <w:szCs w:val="24"/>
                <w:highlight w:val="none"/>
                <w:lang w:val="en-US" w:eastAsia="zh-CN" w:bidi="ar-SA"/>
              </w:rPr>
            </w:pPr>
            <w:r>
              <w:rPr>
                <w:rFonts w:hint="eastAsia" w:cs="Times New Roman"/>
                <w:color w:val="auto"/>
                <w:kern w:val="0"/>
                <w:sz w:val="24"/>
                <w:szCs w:val="24"/>
                <w:highlight w:val="none"/>
                <w:lang w:val="en-US" w:eastAsia="zh-CN" w:bidi="ar-SA"/>
              </w:rPr>
              <w:t>2、非正常工况</w:t>
            </w:r>
          </w:p>
          <w:p w14:paraId="384DE8D4">
            <w:pPr>
              <w:pStyle w:val="22"/>
              <w:keepNext w:val="0"/>
              <w:keepLines w:val="0"/>
              <w:pageBreakBefore w:val="0"/>
              <w:widowControl/>
              <w:kinsoku/>
              <w:wordWrap/>
              <w:overflowPunct/>
              <w:topLinePunct w:val="0"/>
              <w:autoSpaceDE/>
              <w:autoSpaceDN/>
              <w:bidi w:val="0"/>
              <w:adjustRightInd w:val="0"/>
              <w:snapToGrid w:val="0"/>
              <w:spacing w:before="0" w:after="0" w:line="480" w:lineRule="exact"/>
              <w:ind w:left="0" w:leftChars="0" w:right="0" w:firstLine="480" w:firstLineChars="200"/>
              <w:textAlignment w:val="auto"/>
              <w:rPr>
                <w:rFonts w:hint="default" w:ascii="Times New Roman" w:hAnsi="Times New Roman" w:cs="Times New Roman"/>
                <w:color w:val="auto"/>
                <w:kern w:val="0"/>
                <w:sz w:val="24"/>
                <w:szCs w:val="24"/>
                <w:highlight w:val="none"/>
                <w:lang w:val="en-US" w:eastAsia="zh-CN" w:bidi="ar-SA"/>
              </w:rPr>
            </w:pPr>
            <w:r>
              <w:rPr>
                <w:rFonts w:hint="eastAsia" w:cs="Times New Roman"/>
                <w:color w:val="auto"/>
                <w:kern w:val="0"/>
                <w:sz w:val="24"/>
                <w:szCs w:val="24"/>
                <w:highlight w:val="none"/>
                <w:lang w:val="en-US" w:eastAsia="zh-CN" w:bidi="ar-SA"/>
              </w:rPr>
              <w:t>本项目非正常工况为环保设施故障引发的污染物非正常排放，当环保设施故障时，应立即对环保设施进行维修，防止煤尘等大量产生。</w:t>
            </w:r>
          </w:p>
          <w:p w14:paraId="2489158A">
            <w:pPr>
              <w:pStyle w:val="22"/>
              <w:keepNext w:val="0"/>
              <w:keepLines w:val="0"/>
              <w:pageBreakBefore w:val="0"/>
              <w:widowControl/>
              <w:kinsoku/>
              <w:wordWrap/>
              <w:overflowPunct/>
              <w:topLinePunct w:val="0"/>
              <w:autoSpaceDE/>
              <w:autoSpaceDN/>
              <w:bidi w:val="0"/>
              <w:adjustRightInd w:val="0"/>
              <w:snapToGrid w:val="0"/>
              <w:spacing w:before="0" w:after="0" w:line="480" w:lineRule="exact"/>
              <w:ind w:left="0" w:leftChars="0" w:right="0" w:firstLine="480" w:firstLineChars="200"/>
              <w:textAlignment w:val="auto"/>
              <w:rPr>
                <w:rFonts w:hint="default" w:ascii="Times New Roman" w:hAnsi="Times New Roman" w:eastAsia="宋体" w:cs="Times New Roman"/>
                <w:color w:val="auto"/>
                <w:kern w:val="0"/>
                <w:sz w:val="24"/>
                <w:szCs w:val="24"/>
                <w:highlight w:val="none"/>
                <w:lang w:val="en-US" w:eastAsia="zh-CN" w:bidi="ar-SA"/>
              </w:rPr>
            </w:pPr>
            <w:r>
              <w:rPr>
                <w:rFonts w:hint="eastAsia" w:ascii="Times New Roman" w:hAnsi="Times New Roman" w:eastAsia="宋体" w:cs="Times New Roman"/>
                <w:color w:val="auto"/>
                <w:kern w:val="0"/>
                <w:sz w:val="24"/>
                <w:szCs w:val="24"/>
                <w:highlight w:val="none"/>
                <w:lang w:val="en-US" w:eastAsia="zh-CN" w:bidi="ar-SA"/>
              </w:rPr>
              <w:t>3</w:t>
            </w:r>
            <w:r>
              <w:rPr>
                <w:rFonts w:hint="default" w:ascii="Times New Roman" w:hAnsi="Times New Roman" w:eastAsia="宋体" w:cs="Times New Roman"/>
                <w:color w:val="auto"/>
                <w:kern w:val="0"/>
                <w:sz w:val="24"/>
                <w:szCs w:val="24"/>
                <w:highlight w:val="none"/>
                <w:lang w:val="en-US" w:eastAsia="zh-CN" w:bidi="ar-SA"/>
              </w:rPr>
              <w:t>、废气监测计划</w:t>
            </w:r>
          </w:p>
          <w:p w14:paraId="191A001C">
            <w:pPr>
              <w:pStyle w:val="22"/>
              <w:keepNext w:val="0"/>
              <w:keepLines w:val="0"/>
              <w:pageBreakBefore w:val="0"/>
              <w:widowControl/>
              <w:kinsoku/>
              <w:wordWrap/>
              <w:overflowPunct/>
              <w:topLinePunct w:val="0"/>
              <w:autoSpaceDE/>
              <w:autoSpaceDN/>
              <w:bidi w:val="0"/>
              <w:adjustRightInd w:val="0"/>
              <w:snapToGrid w:val="0"/>
              <w:spacing w:before="0" w:after="0" w:line="480" w:lineRule="exact"/>
              <w:ind w:left="0" w:leftChars="0" w:right="0" w:firstLine="480" w:firstLineChars="200"/>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根据《排污单位自行监测技术指南</w:t>
            </w:r>
            <w:r>
              <w:rPr>
                <w:rFonts w:hint="eastAsia" w:ascii="Times New Roman" w:hAnsi="Times New Roman" w:eastAsia="宋体" w:cs="Times New Roman"/>
                <w:color w:val="auto"/>
                <w:kern w:val="0"/>
                <w:sz w:val="24"/>
                <w:szCs w:val="24"/>
                <w:highlight w:val="none"/>
                <w:lang w:val="en-US" w:eastAsia="zh-CN" w:bidi="ar-SA"/>
              </w:rPr>
              <w:t xml:space="preserve"> </w:t>
            </w:r>
            <w:r>
              <w:rPr>
                <w:rFonts w:hint="default" w:ascii="Times New Roman" w:hAnsi="Times New Roman" w:eastAsia="宋体" w:cs="Times New Roman"/>
                <w:color w:val="auto"/>
                <w:kern w:val="0"/>
                <w:sz w:val="24"/>
                <w:szCs w:val="24"/>
                <w:highlight w:val="none"/>
                <w:lang w:val="en-US" w:eastAsia="zh-CN" w:bidi="ar-SA"/>
              </w:rPr>
              <w:t>总则》（HJ819-2017），制定了本项目的废气监测计划，具体见</w:t>
            </w:r>
            <w:r>
              <w:rPr>
                <w:rFonts w:hint="eastAsia" w:ascii="Times New Roman" w:hAnsi="Times New Roman" w:eastAsia="宋体" w:cs="Times New Roman"/>
                <w:color w:val="auto"/>
                <w:kern w:val="0"/>
                <w:sz w:val="24"/>
                <w:szCs w:val="24"/>
                <w:highlight w:val="none"/>
                <w:lang w:val="en-US" w:eastAsia="zh-CN" w:bidi="ar-SA"/>
              </w:rPr>
              <w:t>下</w:t>
            </w:r>
            <w:r>
              <w:rPr>
                <w:rFonts w:hint="default" w:ascii="Times New Roman" w:hAnsi="Times New Roman" w:eastAsia="宋体" w:cs="Times New Roman"/>
                <w:color w:val="auto"/>
                <w:kern w:val="0"/>
                <w:sz w:val="24"/>
                <w:szCs w:val="24"/>
                <w:highlight w:val="none"/>
                <w:lang w:val="en-US" w:eastAsia="zh-CN" w:bidi="ar-SA"/>
              </w:rPr>
              <w:t>表。</w:t>
            </w:r>
          </w:p>
          <w:p w14:paraId="752A1226">
            <w:pPr>
              <w:keepNext w:val="0"/>
              <w:keepLines w:val="0"/>
              <w:pageBreakBefore w:val="0"/>
              <w:widowControl w:val="0"/>
              <w:kinsoku/>
              <w:wordWrap/>
              <w:overflowPunct/>
              <w:topLinePunct w:val="0"/>
              <w:autoSpaceDE/>
              <w:autoSpaceDN/>
              <w:bidi w:val="0"/>
              <w:adjustRightInd w:val="0"/>
              <w:snapToGrid w:val="0"/>
              <w:spacing w:line="480" w:lineRule="exact"/>
              <w:ind w:left="0" w:leftChars="0" w:right="0" w:rightChars="0"/>
              <w:jc w:val="center"/>
              <w:textAlignment w:val="auto"/>
              <w:outlineLvl w:val="9"/>
              <w:rPr>
                <w:rFonts w:hint="default" w:ascii="Times New Roman" w:hAnsi="Times New Roman" w:eastAsia="黑体" w:cs="Times New Roman"/>
                <w:b w:val="0"/>
                <w:bCs/>
                <w:color w:val="auto"/>
                <w:sz w:val="21"/>
                <w:szCs w:val="16"/>
                <w:highlight w:val="none"/>
                <w:lang w:val="en-US" w:eastAsia="zh-CN"/>
              </w:rPr>
            </w:pPr>
            <w:r>
              <w:rPr>
                <w:rFonts w:hint="default" w:ascii="Times New Roman" w:hAnsi="Times New Roman" w:eastAsia="黑体" w:cs="Times New Roman"/>
                <w:b w:val="0"/>
                <w:bCs/>
                <w:color w:val="auto"/>
                <w:sz w:val="21"/>
                <w:szCs w:val="16"/>
                <w:highlight w:val="none"/>
                <w:lang w:val="en-US" w:eastAsia="zh-CN"/>
              </w:rPr>
              <w:t>表</w:t>
            </w:r>
            <w:r>
              <w:rPr>
                <w:rFonts w:hint="eastAsia" w:ascii="Times New Roman" w:hAnsi="Times New Roman" w:eastAsia="黑体" w:cs="Times New Roman"/>
                <w:b w:val="0"/>
                <w:bCs/>
                <w:color w:val="auto"/>
                <w:sz w:val="21"/>
                <w:szCs w:val="16"/>
                <w:highlight w:val="none"/>
                <w:lang w:val="en-US" w:eastAsia="zh-CN"/>
              </w:rPr>
              <w:t xml:space="preserve">4.5-2  </w:t>
            </w:r>
            <w:r>
              <w:rPr>
                <w:rFonts w:hint="default" w:ascii="Times New Roman" w:hAnsi="Times New Roman" w:eastAsia="黑体" w:cs="Times New Roman"/>
                <w:b w:val="0"/>
                <w:bCs/>
                <w:color w:val="auto"/>
                <w:sz w:val="21"/>
                <w:szCs w:val="16"/>
                <w:highlight w:val="none"/>
                <w:lang w:val="en-US" w:eastAsia="zh-CN"/>
              </w:rPr>
              <w:t>废气自行监测及记录信息表</w:t>
            </w:r>
          </w:p>
          <w:tbl>
            <w:tblPr>
              <w:tblStyle w:val="26"/>
              <w:tblW w:w="49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
              <w:gridCol w:w="2295"/>
              <w:gridCol w:w="1260"/>
              <w:gridCol w:w="1455"/>
              <w:gridCol w:w="2029"/>
            </w:tblGrid>
            <w:tr w14:paraId="54309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57" w:type="pct"/>
                  <w:noWrap w:val="0"/>
                  <w:vAlign w:val="center"/>
                </w:tcPr>
                <w:p w14:paraId="03BDDEF0">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val="en-US" w:eastAsia="zh-CN"/>
                    </w:rPr>
                    <w:t>类型</w:t>
                  </w:r>
                </w:p>
              </w:tc>
              <w:tc>
                <w:tcPr>
                  <w:tcW w:w="1448" w:type="pct"/>
                  <w:noWrap w:val="0"/>
                  <w:vAlign w:val="center"/>
                </w:tcPr>
                <w:p w14:paraId="5A707763">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监测</w:t>
                  </w:r>
                  <w:r>
                    <w:rPr>
                      <w:rFonts w:hint="default" w:ascii="Times New Roman" w:hAnsi="Times New Roman" w:cs="Times New Roman"/>
                      <w:color w:val="auto"/>
                      <w:sz w:val="21"/>
                      <w:szCs w:val="21"/>
                      <w:highlight w:val="none"/>
                    </w:rPr>
                    <w:t>点位</w:t>
                  </w:r>
                </w:p>
              </w:tc>
              <w:tc>
                <w:tcPr>
                  <w:tcW w:w="795" w:type="pct"/>
                  <w:noWrap w:val="0"/>
                  <w:vAlign w:val="center"/>
                </w:tcPr>
                <w:p w14:paraId="238492B9">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监测</w:t>
                  </w:r>
                  <w:r>
                    <w:rPr>
                      <w:rFonts w:hint="default" w:ascii="Times New Roman" w:hAnsi="Times New Roman" w:cs="Times New Roman"/>
                      <w:color w:val="auto"/>
                      <w:sz w:val="21"/>
                      <w:szCs w:val="21"/>
                      <w:highlight w:val="none"/>
                    </w:rPr>
                    <w:t>因子</w:t>
                  </w:r>
                </w:p>
              </w:tc>
              <w:tc>
                <w:tcPr>
                  <w:tcW w:w="918" w:type="pct"/>
                  <w:noWrap w:val="0"/>
                  <w:vAlign w:val="center"/>
                </w:tcPr>
                <w:p w14:paraId="70D2E646">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监测</w:t>
                  </w:r>
                  <w:r>
                    <w:rPr>
                      <w:rFonts w:hint="default" w:ascii="Times New Roman" w:hAnsi="Times New Roman" w:cs="Times New Roman"/>
                      <w:color w:val="auto"/>
                      <w:sz w:val="21"/>
                      <w:szCs w:val="21"/>
                      <w:highlight w:val="none"/>
                    </w:rPr>
                    <w:t>频次</w:t>
                  </w:r>
                </w:p>
              </w:tc>
              <w:tc>
                <w:tcPr>
                  <w:tcW w:w="1280" w:type="pct"/>
                  <w:noWrap w:val="0"/>
                  <w:vAlign w:val="center"/>
                </w:tcPr>
                <w:p w14:paraId="22ED20CF">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监测机构</w:t>
                  </w:r>
                </w:p>
              </w:tc>
            </w:tr>
            <w:tr w14:paraId="759A8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557" w:type="pct"/>
                  <w:noWrap w:val="0"/>
                  <w:vAlign w:val="center"/>
                </w:tcPr>
                <w:p w14:paraId="2694081E">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val="en-US" w:eastAsia="zh-CN"/>
                    </w:rPr>
                    <w:t>无组织</w:t>
                  </w:r>
                </w:p>
              </w:tc>
              <w:tc>
                <w:tcPr>
                  <w:tcW w:w="1448" w:type="pct"/>
                  <w:noWrap w:val="0"/>
                  <w:vAlign w:val="center"/>
                </w:tcPr>
                <w:p w14:paraId="35B5D713">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厂界上风向1个参照点，下风向4个监控点</w:t>
                  </w:r>
                </w:p>
              </w:tc>
              <w:tc>
                <w:tcPr>
                  <w:tcW w:w="795" w:type="pct"/>
                  <w:noWrap w:val="0"/>
                  <w:vAlign w:val="center"/>
                </w:tcPr>
                <w:p w14:paraId="6BDCF66A">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颗粒物</w:t>
                  </w:r>
                </w:p>
              </w:tc>
              <w:tc>
                <w:tcPr>
                  <w:tcW w:w="918" w:type="pct"/>
                  <w:noWrap w:val="0"/>
                  <w:vAlign w:val="center"/>
                </w:tcPr>
                <w:p w14:paraId="66E3EC99">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1次/季度</w:t>
                  </w:r>
                </w:p>
              </w:tc>
              <w:tc>
                <w:tcPr>
                  <w:tcW w:w="1280" w:type="pct"/>
                  <w:noWrap w:val="0"/>
                  <w:vAlign w:val="center"/>
                </w:tcPr>
                <w:p w14:paraId="3AD07116">
                  <w:pPr>
                    <w:pStyle w:val="84"/>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2"/>
                      <w:sz w:val="21"/>
                      <w:szCs w:val="21"/>
                      <w:lang w:val="zh-TW" w:eastAsia="zh-TW" w:bidi="zh-TW"/>
                    </w:rPr>
                  </w:pPr>
                  <w:r>
                    <w:rPr>
                      <w:rFonts w:hint="default" w:ascii="Times New Roman" w:hAnsi="Times New Roman" w:eastAsia="宋体" w:cs="Times New Roman"/>
                      <w:color w:val="auto"/>
                      <w:kern w:val="2"/>
                      <w:sz w:val="21"/>
                      <w:szCs w:val="21"/>
                      <w:lang w:val="zh-TW" w:eastAsia="zh-TW" w:bidi="zh-TW"/>
                    </w:rPr>
                    <w:t>委托有资质的监测机构</w:t>
                  </w:r>
                </w:p>
              </w:tc>
            </w:tr>
          </w:tbl>
          <w:p w14:paraId="58916D3E">
            <w:pPr>
              <w:pStyle w:val="88"/>
              <w:keepNext w:val="0"/>
              <w:keepLines w:val="0"/>
              <w:pageBreakBefore w:val="0"/>
              <w:widowControl w:val="0"/>
              <w:numPr>
                <w:ilvl w:val="0"/>
                <w:numId w:val="0"/>
              </w:numPr>
              <w:shd w:val="clear"/>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环境空气</w:t>
            </w:r>
            <w:r>
              <w:rPr>
                <w:rFonts w:hint="default" w:ascii="Times New Roman" w:hAnsi="Times New Roman" w:eastAsia="宋体" w:cs="Times New Roman"/>
                <w:color w:val="auto"/>
                <w:sz w:val="24"/>
                <w:szCs w:val="24"/>
                <w:highlight w:val="none"/>
                <w:lang w:val="en-US" w:eastAsia="zh-CN"/>
              </w:rPr>
              <w:t>影响分析</w:t>
            </w:r>
          </w:p>
          <w:p w14:paraId="07D0F690">
            <w:pPr>
              <w:keepNext w:val="0"/>
              <w:keepLines w:val="0"/>
              <w:pageBreakBefore w:val="0"/>
              <w:widowControl w:val="0"/>
              <w:kinsoku/>
              <w:wordWrap/>
              <w:overflowPunct/>
              <w:topLinePunct w:val="0"/>
              <w:bidi w:val="0"/>
              <w:snapToGrid/>
              <w:spacing w:line="480" w:lineRule="exact"/>
              <w:ind w:firstLine="480" w:firstLineChars="200"/>
              <w:textAlignment w:val="auto"/>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本项目主要污染物为</w:t>
            </w:r>
            <w:r>
              <w:rPr>
                <w:rFonts w:hint="default" w:ascii="Times New Roman" w:hAnsi="Times New Roman" w:cs="Times New Roman"/>
                <w:color w:val="auto"/>
                <w:sz w:val="24"/>
                <w:szCs w:val="24"/>
                <w:highlight w:val="none"/>
                <w:lang w:val="en-US" w:eastAsia="zh-CN"/>
              </w:rPr>
              <w:t>煤</w:t>
            </w:r>
            <w:r>
              <w:rPr>
                <w:rFonts w:hint="eastAsia" w:ascii="Times New Roman" w:hAnsi="Times New Roman" w:cs="Times New Roman"/>
                <w:color w:val="auto"/>
                <w:sz w:val="24"/>
                <w:szCs w:val="24"/>
                <w:highlight w:val="none"/>
                <w:lang w:val="en-US" w:eastAsia="zh-CN"/>
              </w:rPr>
              <w:t>炭输送、转运</w:t>
            </w:r>
            <w:r>
              <w:rPr>
                <w:rFonts w:hint="eastAsia" w:cs="Times New Roman"/>
                <w:color w:val="auto"/>
                <w:sz w:val="24"/>
                <w:szCs w:val="24"/>
                <w:highlight w:val="none"/>
                <w:lang w:val="en-US" w:eastAsia="zh-CN"/>
              </w:rPr>
              <w:t>、储存</w:t>
            </w:r>
            <w:r>
              <w:rPr>
                <w:rFonts w:hint="default" w:ascii="Times New Roman" w:hAnsi="Times New Roman" w:cs="Times New Roman"/>
                <w:color w:val="auto"/>
                <w:sz w:val="24"/>
                <w:szCs w:val="24"/>
                <w:highlight w:val="none"/>
                <w:lang w:val="en-US" w:eastAsia="zh-CN"/>
              </w:rPr>
              <w:t>过程中产生的含颗粒物废气</w:t>
            </w:r>
            <w:r>
              <w:rPr>
                <w:rFonts w:hint="eastAsia" w:ascii="Times New Roman" w:hAnsi="Times New Roman" w:cs="Times New Roman"/>
                <w:color w:val="auto"/>
                <w:sz w:val="24"/>
                <w:szCs w:val="24"/>
                <w:highlight w:val="none"/>
                <w:lang w:val="en-US" w:eastAsia="zh-CN"/>
              </w:rPr>
              <w:t>，</w:t>
            </w:r>
            <w:r>
              <w:rPr>
                <w:rFonts w:hint="eastAsia" w:cs="Times New Roman"/>
                <w:color w:val="auto"/>
                <w:sz w:val="24"/>
                <w:highlight w:val="none"/>
                <w:lang w:val="en-US" w:eastAsia="zh-CN"/>
              </w:rPr>
              <w:t>原煤通过全封闭走廊运输</w:t>
            </w:r>
            <w:r>
              <w:rPr>
                <w:rFonts w:hint="eastAsia" w:ascii="Times New Roman" w:hAnsi="Times New Roman" w:eastAsia="宋体" w:cs="Times New Roman"/>
                <w:color w:val="auto"/>
                <w:sz w:val="24"/>
                <w:highlight w:val="none"/>
                <w:lang w:val="en-US" w:eastAsia="zh-CN"/>
              </w:rPr>
              <w:t>，转载点和跌落点设置喷雾抑尘装置，</w:t>
            </w:r>
            <w:r>
              <w:rPr>
                <w:rFonts w:hint="default" w:ascii="Times New Roman" w:hAnsi="Times New Roman" w:cs="Times New Roman"/>
                <w:color w:val="auto"/>
                <w:sz w:val="24"/>
                <w:szCs w:val="24"/>
                <w:highlight w:val="none"/>
                <w:lang w:val="en-US" w:eastAsia="zh-CN"/>
              </w:rPr>
              <w:t>在采取上述措施后抑尘效率可达</w:t>
            </w:r>
            <w:r>
              <w:rPr>
                <w:rFonts w:hint="eastAsia" w:ascii="Times New Roman" w:hAnsi="Times New Roman" w:cs="Times New Roman"/>
                <w:color w:val="auto"/>
                <w:sz w:val="24"/>
                <w:szCs w:val="24"/>
                <w:highlight w:val="none"/>
                <w:lang w:val="en-US" w:eastAsia="zh-CN"/>
              </w:rPr>
              <w:t>9</w:t>
            </w:r>
            <w:r>
              <w:rPr>
                <w:rFonts w:hint="eastAsia" w:cs="Times New Roman"/>
                <w:color w:val="auto"/>
                <w:sz w:val="24"/>
                <w:szCs w:val="24"/>
                <w:highlight w:val="none"/>
                <w:lang w:val="en-US" w:eastAsia="zh-CN"/>
              </w:rPr>
              <w:t>9</w:t>
            </w:r>
            <w:r>
              <w:rPr>
                <w:rFonts w:hint="default" w:ascii="Times New Roman" w:hAnsi="Times New Roman" w:cs="Times New Roman"/>
                <w:color w:val="auto"/>
                <w:sz w:val="24"/>
                <w:szCs w:val="24"/>
                <w:highlight w:val="none"/>
                <w:lang w:val="en-US" w:eastAsia="zh-CN"/>
              </w:rPr>
              <w:t>%</w:t>
            </w:r>
            <w:r>
              <w:rPr>
                <w:rFonts w:hint="eastAsia"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不会对周围环境产生太大影响。因此项目在采取相应的环保措施后，</w:t>
            </w:r>
            <w:r>
              <w:rPr>
                <w:rFonts w:hint="eastAsia" w:cs="Times New Roman"/>
                <w:color w:val="auto"/>
                <w:sz w:val="24"/>
                <w:szCs w:val="24"/>
                <w:highlight w:val="none"/>
                <w:lang w:val="en-US" w:eastAsia="zh-CN"/>
              </w:rPr>
              <w:t>厂界污染物无组织排放浓度</w:t>
            </w:r>
            <w:r>
              <w:rPr>
                <w:rFonts w:hint="eastAsia" w:ascii="Times New Roman" w:hAnsi="Times New Roman" w:eastAsia="宋体" w:cs="Times New Roman"/>
                <w:color w:val="auto"/>
                <w:sz w:val="24"/>
                <w:highlight w:val="none"/>
                <w:lang w:val="en-US" w:eastAsia="zh-CN"/>
              </w:rPr>
              <w:t>可满足《煤炭洗选行业污染物排放标准》（DB14/2270-2021）表2中标准限值要求</w:t>
            </w:r>
            <w:r>
              <w:rPr>
                <w:rFonts w:hint="eastAsia" w:eastAsia="宋体" w:cs="Times New Roman"/>
                <w:color w:val="auto"/>
                <w:sz w:val="24"/>
                <w:highlight w:val="none"/>
                <w:lang w:val="en-US" w:eastAsia="zh-CN"/>
              </w:rPr>
              <w:t>，</w:t>
            </w:r>
            <w:r>
              <w:rPr>
                <w:rFonts w:hint="default" w:ascii="Times New Roman" w:hAnsi="Times New Roman" w:cs="Times New Roman"/>
                <w:color w:val="auto"/>
                <w:sz w:val="24"/>
                <w:szCs w:val="24"/>
                <w:highlight w:val="none"/>
                <w:lang w:val="en-US" w:eastAsia="zh-CN"/>
              </w:rPr>
              <w:t>对区域环境空气产生的影响较小。</w:t>
            </w:r>
          </w:p>
          <w:p w14:paraId="4E798DB6">
            <w:pPr>
              <w:keepNext w:val="0"/>
              <w:keepLines w:val="0"/>
              <w:pageBreakBefore w:val="0"/>
              <w:widowControl w:val="0"/>
              <w:kinsoku/>
              <w:wordWrap/>
              <w:overflowPunct/>
              <w:topLinePunct w:val="0"/>
              <w:autoSpaceDE/>
              <w:autoSpaceDN/>
              <w:bidi w:val="0"/>
              <w:adjustRightInd w:val="0"/>
              <w:snapToGrid w:val="0"/>
              <w:spacing w:line="480" w:lineRule="exact"/>
              <w:ind w:firstLine="482" w:firstLineChars="200"/>
              <w:textAlignment w:val="auto"/>
              <w:rPr>
                <w:rFonts w:hint="eastAsia" w:ascii="Times New Roman" w:hAnsi="Times New Roman" w:eastAsia="宋体" w:cs="Times New Roman"/>
                <w:b/>
                <w:color w:val="auto"/>
                <w:sz w:val="24"/>
                <w:szCs w:val="24"/>
                <w:highlight w:val="none"/>
                <w:lang w:eastAsia="zh-CN"/>
              </w:rPr>
            </w:pPr>
            <w:r>
              <w:rPr>
                <w:rFonts w:hint="eastAsia" w:ascii="Times New Roman" w:hAnsi="Times New Roman" w:eastAsia="宋体" w:cs="Times New Roman"/>
                <w:b/>
                <w:color w:val="auto"/>
                <w:sz w:val="24"/>
                <w:szCs w:val="24"/>
                <w:highlight w:val="none"/>
                <w:lang w:val="en-US" w:eastAsia="zh-CN"/>
              </w:rPr>
              <w:t>4.6 废水</w:t>
            </w:r>
          </w:p>
          <w:p w14:paraId="70958C0D">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bCs/>
                <w:color w:val="auto"/>
                <w:spacing w:val="0"/>
                <w:sz w:val="24"/>
                <w:szCs w:val="24"/>
                <w:highlight w:val="none"/>
                <w:lang w:val="en-US" w:eastAsia="zh-CN"/>
              </w:rPr>
              <w:t>本项目废水产生环节主要为</w:t>
            </w:r>
            <w:r>
              <w:rPr>
                <w:rFonts w:hint="eastAsia" w:cs="Times New Roman"/>
                <w:bCs/>
                <w:color w:val="auto"/>
                <w:spacing w:val="0"/>
                <w:sz w:val="24"/>
                <w:szCs w:val="24"/>
                <w:highlight w:val="none"/>
                <w:lang w:val="en-US" w:eastAsia="zh-CN"/>
              </w:rPr>
              <w:t>冲洗废水、初期雨水。</w:t>
            </w:r>
          </w:p>
          <w:p w14:paraId="0F0F1C98">
            <w:pPr>
              <w:keepNext w:val="0"/>
              <w:keepLines w:val="0"/>
              <w:pageBreakBefore w:val="0"/>
              <w:widowControl w:val="0"/>
              <w:kinsoku/>
              <w:wordWrap/>
              <w:overflowPunct/>
              <w:topLinePunct w:val="0"/>
              <w:bidi w:val="0"/>
              <w:adjustRightInd w:val="0"/>
              <w:snapToGrid w:val="0"/>
              <w:spacing w:line="480" w:lineRule="exact"/>
              <w:ind w:firstLine="480" w:firstLineChars="200"/>
              <w:jc w:val="both"/>
              <w:textAlignment w:val="auto"/>
              <w:rPr>
                <w:rFonts w:hint="eastAsia" w:cs="Times New Roman"/>
                <w:b w:val="0"/>
                <w:bCs w:val="0"/>
                <w:color w:val="auto"/>
                <w:spacing w:val="0"/>
                <w:sz w:val="24"/>
                <w:szCs w:val="20"/>
                <w:highlight w:val="none"/>
                <w:lang w:val="en-US" w:eastAsia="zh-CN"/>
              </w:rPr>
            </w:pPr>
            <w:r>
              <w:rPr>
                <w:rFonts w:hint="eastAsia" w:ascii="Times New Roman" w:hAnsi="Times New Roman" w:eastAsia="宋体" w:cs="Times New Roman"/>
                <w:color w:val="auto"/>
                <w:spacing w:val="0"/>
                <w:sz w:val="24"/>
                <w:szCs w:val="24"/>
                <w:highlight w:val="none"/>
                <w:lang w:val="en-US" w:eastAsia="zh-CN"/>
              </w:rPr>
              <w:t>①</w:t>
            </w:r>
            <w:r>
              <w:rPr>
                <w:rFonts w:hint="eastAsia" w:cs="Times New Roman"/>
                <w:b w:val="0"/>
                <w:bCs w:val="0"/>
                <w:color w:val="auto"/>
                <w:spacing w:val="0"/>
                <w:sz w:val="24"/>
                <w:szCs w:val="20"/>
                <w:highlight w:val="none"/>
                <w:lang w:val="en-US" w:eastAsia="zh-CN"/>
              </w:rPr>
              <w:t>冲洗废水：筒仓仓顶房及仓底设冲洗水排水系统，在其最低处设地漏，冲洗废水经地漏收集后汇集至筒仓底部集水坑内，通过排水沟收集冲洗废水，经潜污泵加压，排至现有废水收集管网，全部回用于洗煤厂用于洗煤用水。</w:t>
            </w:r>
          </w:p>
          <w:p w14:paraId="4326DDF1">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eastAsia="宋体"/>
                <w:color w:val="auto"/>
                <w:sz w:val="24"/>
                <w:szCs w:val="32"/>
                <w:highlight w:val="none"/>
                <w:lang w:val="en-US" w:eastAsia="zh-CN"/>
              </w:rPr>
            </w:pPr>
            <w:r>
              <w:rPr>
                <w:rFonts w:hint="eastAsia" w:eastAsia="宋体" w:cs="Times New Roman"/>
                <w:b w:val="0"/>
                <w:bCs w:val="0"/>
                <w:color w:val="auto"/>
                <w:spacing w:val="0"/>
                <w:sz w:val="24"/>
                <w:szCs w:val="20"/>
                <w:highlight w:val="none"/>
                <w:lang w:val="en-US" w:eastAsia="zh-CN"/>
              </w:rPr>
              <w:t>②</w:t>
            </w:r>
            <w:r>
              <w:rPr>
                <w:rFonts w:hint="eastAsia"/>
                <w:color w:val="auto"/>
                <w:sz w:val="24"/>
                <w:szCs w:val="32"/>
                <w:highlight w:val="none"/>
                <w:lang w:val="en-US" w:eastAsia="zh-CN"/>
              </w:rPr>
              <w:t>初期雨水</w:t>
            </w:r>
          </w:p>
          <w:p w14:paraId="299E6634">
            <w:pPr>
              <w:spacing w:line="480" w:lineRule="exact"/>
              <w:ind w:firstLine="480" w:firstLineChars="200"/>
              <w:rPr>
                <w:color w:val="auto"/>
                <w:sz w:val="24"/>
              </w:rPr>
            </w:pPr>
            <w:r>
              <w:rPr>
                <w:color w:val="auto"/>
                <w:sz w:val="24"/>
              </w:rPr>
              <w:t>本项目</w:t>
            </w:r>
            <w:r>
              <w:rPr>
                <w:rFonts w:hint="eastAsia"/>
                <w:color w:val="auto"/>
                <w:sz w:val="24"/>
                <w:lang w:val="en-US" w:eastAsia="zh-CN"/>
              </w:rPr>
              <w:t>新</w:t>
            </w:r>
            <w:r>
              <w:rPr>
                <w:rFonts w:hint="default"/>
                <w:color w:val="auto"/>
                <w:sz w:val="24"/>
              </w:rPr>
              <w:t>建原煤仓与现有雨水收集池存在平面位置冲突，</w:t>
            </w:r>
            <w:r>
              <w:rPr>
                <w:rFonts w:hint="eastAsia"/>
                <w:color w:val="auto"/>
                <w:sz w:val="24"/>
                <w:lang w:val="en-US" w:eastAsia="zh-CN"/>
              </w:rPr>
              <w:t>拟</w:t>
            </w:r>
            <w:r>
              <w:rPr>
                <w:rFonts w:hint="default"/>
                <w:color w:val="auto"/>
                <w:sz w:val="24"/>
              </w:rPr>
              <w:t>对</w:t>
            </w:r>
            <w:r>
              <w:rPr>
                <w:rFonts w:hint="eastAsia"/>
                <w:color w:val="auto"/>
                <w:sz w:val="24"/>
                <w:lang w:val="en-US" w:eastAsia="zh-CN"/>
              </w:rPr>
              <w:t>现有一座</w:t>
            </w:r>
            <w:r>
              <w:rPr>
                <w:rFonts w:hint="eastAsia"/>
                <w:color w:val="auto"/>
                <w:sz w:val="24"/>
                <w:highlight w:val="none"/>
                <w:lang w:val="en-US" w:eastAsia="zh-CN"/>
              </w:rPr>
              <w:t>225m</w:t>
            </w:r>
            <w:r>
              <w:rPr>
                <w:rFonts w:hint="eastAsia"/>
                <w:color w:val="auto"/>
                <w:sz w:val="24"/>
                <w:highlight w:val="none"/>
                <w:vertAlign w:val="superscript"/>
                <w:lang w:val="en-US" w:eastAsia="zh-CN"/>
              </w:rPr>
              <w:t>3</w:t>
            </w:r>
            <w:r>
              <w:rPr>
                <w:rFonts w:hint="eastAsia"/>
                <w:color w:val="auto"/>
                <w:sz w:val="24"/>
                <w:highlight w:val="none"/>
                <w:lang w:val="en-US" w:eastAsia="zh-CN"/>
              </w:rPr>
              <w:t>（9m×5m×5m）</w:t>
            </w:r>
            <w:r>
              <w:rPr>
                <w:rFonts w:hint="default"/>
                <w:color w:val="auto"/>
                <w:sz w:val="24"/>
              </w:rPr>
              <w:t>雨水收集池实施拆除，</w:t>
            </w:r>
            <w:r>
              <w:rPr>
                <w:rFonts w:hint="eastAsia"/>
                <w:color w:val="auto"/>
                <w:sz w:val="24"/>
                <w:lang w:val="en-US" w:eastAsia="zh-CN"/>
              </w:rPr>
              <w:t>现有雨水收集池主要收集选煤厂区域初期雨水。选煤厂西侧地势较低，且地面设有雨水收集管网，因此本次在原煤仓西侧新建一座相同大小雨水收集池，可保证初期雨水进入收集池内。</w:t>
            </w:r>
          </w:p>
          <w:p w14:paraId="1E17E713">
            <w:pPr>
              <w:spacing w:line="480" w:lineRule="exact"/>
              <w:ind w:firstLine="480" w:firstLineChars="200"/>
              <w:rPr>
                <w:color w:val="auto"/>
                <w:sz w:val="24"/>
              </w:rPr>
            </w:pPr>
            <w:r>
              <w:rPr>
                <w:color w:val="auto"/>
                <w:sz w:val="24"/>
              </w:rPr>
              <w:t>对于初期雨水量，本项目收集到长治市暴雨强度公式，评价按下列公式计算：</w:t>
            </w:r>
          </w:p>
          <w:p w14:paraId="3255FB54">
            <w:pPr>
              <w:spacing w:line="480" w:lineRule="exact"/>
              <w:ind w:firstLine="420" w:firstLineChars="200"/>
              <w:rPr>
                <w:color w:val="auto"/>
                <w:sz w:val="24"/>
              </w:rPr>
            </w:pPr>
            <w:r>
              <w:rPr>
                <w:color w:val="auto"/>
                <w:position w:val="-14"/>
              </w:rPr>
              <w:drawing>
                <wp:anchor distT="0" distB="0" distL="0" distR="0" simplePos="0" relativeHeight="251663360" behindDoc="1" locked="0" layoutInCell="1" allowOverlap="1">
                  <wp:simplePos x="0" y="0"/>
                  <wp:positionH relativeFrom="column">
                    <wp:posOffset>1266825</wp:posOffset>
                  </wp:positionH>
                  <wp:positionV relativeFrom="paragraph">
                    <wp:posOffset>71755</wp:posOffset>
                  </wp:positionV>
                  <wp:extent cx="1677670" cy="440055"/>
                  <wp:effectExtent l="0" t="0" r="17780" b="17145"/>
                  <wp:wrapTight wrapText="bothSides">
                    <wp:wrapPolygon>
                      <wp:start x="8830" y="0"/>
                      <wp:lineTo x="0" y="0"/>
                      <wp:lineTo x="0" y="14026"/>
                      <wp:lineTo x="6622" y="14961"/>
                      <wp:lineTo x="6622" y="20571"/>
                      <wp:lineTo x="6868" y="20571"/>
                      <wp:lineTo x="15207" y="20571"/>
                      <wp:lineTo x="15452" y="20571"/>
                      <wp:lineTo x="15452" y="14961"/>
                      <wp:lineTo x="21338" y="14961"/>
                      <wp:lineTo x="21338" y="9351"/>
                      <wp:lineTo x="20357" y="0"/>
                      <wp:lineTo x="8830" y="0"/>
                    </wp:wrapPolygon>
                  </wp:wrapTight>
                  <wp:docPr id="206" name="IM 206"/>
                  <wp:cNvGraphicFramePr/>
                  <a:graphic xmlns:a="http://schemas.openxmlformats.org/drawingml/2006/main">
                    <a:graphicData uri="http://schemas.openxmlformats.org/drawingml/2006/picture">
                      <pic:pic xmlns:pic="http://schemas.openxmlformats.org/drawingml/2006/picture">
                        <pic:nvPicPr>
                          <pic:cNvPr id="206" name="IM 206"/>
                          <pic:cNvPicPr/>
                        </pic:nvPicPr>
                        <pic:blipFill>
                          <a:blip r:embed="rId28"/>
                          <a:stretch>
                            <a:fillRect/>
                          </a:stretch>
                        </pic:blipFill>
                        <pic:spPr>
                          <a:xfrm>
                            <a:off x="0" y="0"/>
                            <a:ext cx="1678228" cy="440284"/>
                          </a:xfrm>
                          <a:prstGeom prst="rect">
                            <a:avLst/>
                          </a:prstGeom>
                        </pic:spPr>
                      </pic:pic>
                    </a:graphicData>
                  </a:graphic>
                </wp:anchor>
              </w:drawing>
            </w:r>
          </w:p>
          <w:p w14:paraId="79CC461D">
            <w:pPr>
              <w:spacing w:line="480" w:lineRule="exact"/>
              <w:ind w:firstLine="480" w:firstLineChars="200"/>
              <w:rPr>
                <w:color w:val="auto"/>
                <w:sz w:val="24"/>
              </w:rPr>
            </w:pPr>
          </w:p>
          <w:p w14:paraId="7B557B39">
            <w:pPr>
              <w:spacing w:line="480" w:lineRule="exact"/>
              <w:ind w:firstLine="480" w:firstLineChars="200"/>
              <w:rPr>
                <w:color w:val="auto"/>
                <w:sz w:val="24"/>
              </w:rPr>
            </w:pPr>
            <w:r>
              <w:rPr>
                <w:color w:val="auto"/>
                <w:sz w:val="24"/>
              </w:rPr>
              <w:t>其中：q——暴雨强度</w:t>
            </w:r>
            <w:r>
              <w:rPr>
                <w:rFonts w:hint="eastAsia"/>
                <w:color w:val="auto"/>
                <w:sz w:val="24"/>
                <w:lang w:eastAsia="zh-CN"/>
              </w:rPr>
              <w:t>（</w:t>
            </w:r>
            <w:r>
              <w:rPr>
                <w:color w:val="auto"/>
                <w:sz w:val="24"/>
              </w:rPr>
              <w:t>升/秒</w:t>
            </w:r>
            <w:r>
              <w:rPr>
                <w:rFonts w:hint="default" w:ascii="Times New Roman" w:hAnsi="Times New Roman" w:cs="Times New Roman"/>
                <w:color w:val="auto"/>
                <w:sz w:val="24"/>
                <w:lang w:val="en-US" w:eastAsia="zh-CN"/>
              </w:rPr>
              <w:t>·</w:t>
            </w:r>
            <w:r>
              <w:rPr>
                <w:color w:val="auto"/>
                <w:sz w:val="24"/>
              </w:rPr>
              <w:t>公顷</w:t>
            </w:r>
            <w:r>
              <w:rPr>
                <w:rFonts w:hint="eastAsia"/>
                <w:color w:val="auto"/>
                <w:sz w:val="24"/>
                <w:lang w:eastAsia="zh-CN"/>
              </w:rPr>
              <w:t>）</w:t>
            </w:r>
            <w:r>
              <w:rPr>
                <w:color w:val="auto"/>
                <w:sz w:val="24"/>
              </w:rPr>
              <w:t>；</w:t>
            </w:r>
          </w:p>
          <w:p w14:paraId="1B3B9E40">
            <w:pPr>
              <w:spacing w:line="480" w:lineRule="exact"/>
              <w:ind w:firstLine="1200" w:firstLineChars="500"/>
              <w:rPr>
                <w:color w:val="auto"/>
                <w:sz w:val="24"/>
              </w:rPr>
            </w:pPr>
            <w:r>
              <w:rPr>
                <w:rFonts w:hint="eastAsia"/>
                <w:i w:val="0"/>
                <w:iCs w:val="0"/>
                <w:color w:val="auto"/>
                <w:sz w:val="24"/>
                <w:lang w:val="en-US" w:eastAsia="zh-CN"/>
              </w:rPr>
              <w:t>T</w:t>
            </w:r>
            <w:r>
              <w:rPr>
                <w:color w:val="auto"/>
                <w:sz w:val="24"/>
              </w:rPr>
              <w:t>——暴雨重现期，取</w:t>
            </w:r>
            <w:r>
              <w:rPr>
                <w:rFonts w:hint="eastAsia"/>
                <w:color w:val="auto"/>
                <w:sz w:val="24"/>
                <w:lang w:val="en-US" w:eastAsia="zh-CN"/>
              </w:rPr>
              <w:t>2</w:t>
            </w:r>
            <w:r>
              <w:rPr>
                <w:color w:val="auto"/>
                <w:sz w:val="24"/>
              </w:rPr>
              <w:t>年；</w:t>
            </w:r>
          </w:p>
          <w:p w14:paraId="48D583A0">
            <w:pPr>
              <w:spacing w:line="480" w:lineRule="exact"/>
              <w:ind w:firstLine="1200" w:firstLineChars="500"/>
              <w:rPr>
                <w:color w:val="auto"/>
                <w:sz w:val="24"/>
              </w:rPr>
            </w:pPr>
            <w:r>
              <w:rPr>
                <w:color w:val="auto"/>
                <w:sz w:val="24"/>
              </w:rPr>
              <w:t>t——降雨历时，取15min；</w:t>
            </w:r>
          </w:p>
          <w:p w14:paraId="35FED3C6">
            <w:pPr>
              <w:spacing w:line="480" w:lineRule="exact"/>
              <w:ind w:firstLine="480" w:firstLineChars="200"/>
              <w:rPr>
                <w:rFonts w:hint="eastAsia" w:eastAsia="宋体"/>
                <w:color w:val="auto"/>
                <w:sz w:val="24"/>
                <w:highlight w:val="none"/>
                <w:lang w:eastAsia="zh-CN"/>
              </w:rPr>
            </w:pPr>
            <w:r>
              <w:rPr>
                <w:color w:val="auto"/>
                <w:sz w:val="24"/>
                <w:highlight w:val="none"/>
              </w:rPr>
              <w:t>计算结果q=</w:t>
            </w:r>
            <w:r>
              <w:rPr>
                <w:rFonts w:hint="eastAsia"/>
                <w:color w:val="auto"/>
                <w:sz w:val="24"/>
                <w:highlight w:val="none"/>
                <w:lang w:val="en-US" w:eastAsia="zh-CN"/>
              </w:rPr>
              <w:t>197.19</w:t>
            </w:r>
            <w:r>
              <w:rPr>
                <w:color w:val="auto"/>
                <w:sz w:val="24"/>
                <w:highlight w:val="none"/>
              </w:rPr>
              <w:t>升/秒</w:t>
            </w:r>
            <w:r>
              <w:rPr>
                <w:rFonts w:hint="default" w:ascii="Times New Roman" w:hAnsi="Times New Roman" w:cs="Times New Roman"/>
                <w:color w:val="auto"/>
                <w:sz w:val="24"/>
                <w:highlight w:val="none"/>
                <w:lang w:val="en-US" w:eastAsia="zh-CN"/>
              </w:rPr>
              <w:t>·</w:t>
            </w:r>
            <w:r>
              <w:rPr>
                <w:color w:val="auto"/>
                <w:sz w:val="24"/>
                <w:highlight w:val="none"/>
              </w:rPr>
              <w:t>公顷</w:t>
            </w:r>
            <w:r>
              <w:rPr>
                <w:rFonts w:hint="eastAsia"/>
                <w:color w:val="auto"/>
                <w:sz w:val="24"/>
                <w:highlight w:val="none"/>
                <w:lang w:eastAsia="zh-CN"/>
              </w:rPr>
              <w:t>。</w:t>
            </w:r>
          </w:p>
          <w:p w14:paraId="2BA34FBB">
            <w:pPr>
              <w:spacing w:line="480" w:lineRule="exact"/>
              <w:ind w:firstLine="1200" w:firstLineChars="500"/>
              <w:jc w:val="both"/>
              <w:rPr>
                <w:i w:val="0"/>
                <w:iCs w:val="0"/>
                <w:color w:val="auto"/>
                <w:sz w:val="24"/>
              </w:rPr>
            </w:pPr>
            <w:r>
              <w:rPr>
                <w:i w:val="0"/>
                <w:iCs w:val="0"/>
                <w:color w:val="auto"/>
                <w:sz w:val="24"/>
              </w:rPr>
              <w:t>Q=qFψT</w:t>
            </w:r>
          </w:p>
          <w:p w14:paraId="6B4C35CF">
            <w:pPr>
              <w:spacing w:line="480" w:lineRule="exact"/>
              <w:ind w:firstLine="480" w:firstLineChars="200"/>
              <w:rPr>
                <w:rFonts w:hint="eastAsia" w:eastAsia="宋体"/>
                <w:color w:val="auto"/>
                <w:sz w:val="24"/>
                <w:lang w:eastAsia="zh-CN"/>
              </w:rPr>
            </w:pPr>
            <w:r>
              <w:rPr>
                <w:color w:val="auto"/>
                <w:sz w:val="24"/>
              </w:rPr>
              <w:t>其中：Q——雨水排放量</w:t>
            </w:r>
            <w:r>
              <w:rPr>
                <w:rFonts w:hint="eastAsia"/>
                <w:color w:val="auto"/>
                <w:sz w:val="24"/>
                <w:lang w:eastAsia="zh-CN"/>
              </w:rPr>
              <w:t>；</w:t>
            </w:r>
          </w:p>
          <w:p w14:paraId="670B60C6">
            <w:pPr>
              <w:spacing w:line="480" w:lineRule="exact"/>
              <w:ind w:firstLine="1200" w:firstLineChars="500"/>
              <w:rPr>
                <w:rFonts w:hint="eastAsia" w:eastAsia="宋体"/>
                <w:color w:val="auto"/>
                <w:sz w:val="24"/>
                <w:highlight w:val="none"/>
                <w:lang w:eastAsia="zh-CN"/>
              </w:rPr>
            </w:pPr>
            <w:r>
              <w:rPr>
                <w:color w:val="auto"/>
                <w:sz w:val="24"/>
                <w:highlight w:val="none"/>
              </w:rPr>
              <w:t>F——汇水面积</w:t>
            </w:r>
            <w:r>
              <w:rPr>
                <w:rFonts w:hint="eastAsia"/>
                <w:color w:val="auto"/>
                <w:sz w:val="24"/>
                <w:highlight w:val="none"/>
                <w:lang w:eastAsia="zh-CN"/>
              </w:rPr>
              <w:t>（</w:t>
            </w:r>
            <w:r>
              <w:rPr>
                <w:color w:val="auto"/>
                <w:sz w:val="24"/>
                <w:highlight w:val="none"/>
              </w:rPr>
              <w:t>公顷</w:t>
            </w:r>
            <w:r>
              <w:rPr>
                <w:rFonts w:hint="eastAsia"/>
                <w:color w:val="auto"/>
                <w:sz w:val="24"/>
                <w:highlight w:val="none"/>
                <w:lang w:eastAsia="zh-CN"/>
              </w:rPr>
              <w:t>）</w:t>
            </w:r>
            <w:r>
              <w:rPr>
                <w:color w:val="auto"/>
                <w:sz w:val="24"/>
                <w:highlight w:val="none"/>
              </w:rPr>
              <w:t>，</w:t>
            </w:r>
            <w:r>
              <w:rPr>
                <w:rFonts w:hint="eastAsia"/>
                <w:color w:val="auto"/>
                <w:sz w:val="24"/>
                <w:highlight w:val="none"/>
                <w:lang w:eastAsia="zh-CN"/>
              </w:rPr>
              <w:t>（</w:t>
            </w:r>
            <w:r>
              <w:rPr>
                <w:rFonts w:hint="eastAsia"/>
                <w:color w:val="auto"/>
                <w:sz w:val="24"/>
                <w:highlight w:val="none"/>
                <w:vertAlign w:val="baseline"/>
                <w:lang w:val="en-US" w:eastAsia="zh-CN"/>
              </w:rPr>
              <w:t>选煤厂区域汇水面积约1.3公顷</w:t>
            </w:r>
            <w:r>
              <w:rPr>
                <w:rFonts w:hint="eastAsia"/>
                <w:color w:val="auto"/>
                <w:sz w:val="24"/>
                <w:highlight w:val="none"/>
                <w:lang w:eastAsia="zh-CN"/>
              </w:rPr>
              <w:t>）；</w:t>
            </w:r>
          </w:p>
          <w:p w14:paraId="51BCE492">
            <w:pPr>
              <w:spacing w:line="480" w:lineRule="exact"/>
              <w:ind w:firstLine="1200" w:firstLineChars="500"/>
              <w:rPr>
                <w:rFonts w:hint="eastAsia" w:eastAsia="宋体"/>
                <w:color w:val="auto"/>
                <w:sz w:val="24"/>
                <w:lang w:eastAsia="zh-CN"/>
              </w:rPr>
            </w:pPr>
            <w:r>
              <w:rPr>
                <w:color w:val="auto"/>
                <w:sz w:val="24"/>
              </w:rPr>
              <w:t>Ψ——为径流系数（0.4-0.9，水泥硬化地面取0.</w:t>
            </w:r>
            <w:r>
              <w:rPr>
                <w:rFonts w:hint="eastAsia"/>
                <w:color w:val="auto"/>
                <w:sz w:val="24"/>
                <w:lang w:val="en-US" w:eastAsia="zh-CN"/>
              </w:rPr>
              <w:t>9</w:t>
            </w:r>
            <w:r>
              <w:rPr>
                <w:color w:val="auto"/>
                <w:sz w:val="24"/>
              </w:rPr>
              <w:t>）</w:t>
            </w:r>
            <w:r>
              <w:rPr>
                <w:rFonts w:hint="eastAsia"/>
                <w:color w:val="auto"/>
                <w:sz w:val="24"/>
                <w:lang w:eastAsia="zh-CN"/>
              </w:rPr>
              <w:t>；</w:t>
            </w:r>
          </w:p>
          <w:p w14:paraId="23100E49">
            <w:pPr>
              <w:spacing w:line="480" w:lineRule="exact"/>
              <w:ind w:firstLine="1200" w:firstLineChars="500"/>
              <w:rPr>
                <w:color w:val="auto"/>
                <w:sz w:val="24"/>
              </w:rPr>
            </w:pPr>
            <w:r>
              <w:rPr>
                <w:color w:val="auto"/>
                <w:sz w:val="24"/>
              </w:rPr>
              <w:t>T——为收水时间，取15min。</w:t>
            </w:r>
          </w:p>
          <w:p w14:paraId="249A5138">
            <w:pPr>
              <w:spacing w:line="480" w:lineRule="exact"/>
              <w:ind w:firstLine="480" w:firstLineChars="200"/>
              <w:rPr>
                <w:rFonts w:hint="default" w:eastAsia="宋体"/>
                <w:color w:val="auto"/>
                <w:sz w:val="24"/>
                <w:lang w:val="en-US" w:eastAsia="zh-CN"/>
              </w:rPr>
            </w:pPr>
            <w:r>
              <w:rPr>
                <w:color w:val="auto"/>
                <w:sz w:val="24"/>
                <w:highlight w:val="none"/>
              </w:rPr>
              <w:t>经计算，暴雨状况下收集初期雨水量为</w:t>
            </w:r>
            <w:r>
              <w:rPr>
                <w:rFonts w:hint="eastAsia"/>
                <w:color w:val="auto"/>
                <w:sz w:val="24"/>
                <w:highlight w:val="none"/>
                <w:lang w:val="en-US" w:eastAsia="zh-CN"/>
              </w:rPr>
              <w:t>208</w:t>
            </w:r>
            <w:r>
              <w:rPr>
                <w:color w:val="auto"/>
                <w:sz w:val="24"/>
                <w:highlight w:val="none"/>
              </w:rPr>
              <w:t>m</w:t>
            </w:r>
            <w:r>
              <w:rPr>
                <w:color w:val="auto"/>
                <w:sz w:val="24"/>
                <w:highlight w:val="none"/>
                <w:vertAlign w:val="superscript"/>
              </w:rPr>
              <w:t>3</w:t>
            </w:r>
            <w:r>
              <w:rPr>
                <w:bCs/>
                <w:color w:val="auto"/>
                <w:spacing w:val="6"/>
                <w:sz w:val="24"/>
                <w:highlight w:val="none"/>
              </w:rPr>
              <w:t>。</w:t>
            </w:r>
            <w:r>
              <w:rPr>
                <w:rFonts w:hint="eastAsia"/>
                <w:color w:val="auto"/>
                <w:sz w:val="24"/>
                <w:lang w:val="en-US" w:eastAsia="zh-CN"/>
              </w:rPr>
              <w:t>因此，雨水收集池容积可满足要求，本次</w:t>
            </w:r>
            <w:r>
              <w:rPr>
                <w:color w:val="auto"/>
                <w:sz w:val="24"/>
              </w:rPr>
              <w:t>评价要求初期雨水</w:t>
            </w:r>
            <w:r>
              <w:rPr>
                <w:rFonts w:hint="eastAsia"/>
                <w:bCs/>
                <w:color w:val="auto"/>
                <w:sz w:val="24"/>
              </w:rPr>
              <w:t>池底部及内壁采取防渗措施</w:t>
            </w:r>
            <w:r>
              <w:rPr>
                <w:rFonts w:hint="eastAsia"/>
                <w:color w:val="auto"/>
                <w:sz w:val="24"/>
                <w:lang w:eastAsia="zh-CN"/>
              </w:rPr>
              <w:t>，</w:t>
            </w:r>
            <w:r>
              <w:rPr>
                <w:rFonts w:hint="eastAsia"/>
                <w:color w:val="auto"/>
                <w:sz w:val="24"/>
                <w:lang w:val="en-US" w:eastAsia="zh-CN"/>
              </w:rPr>
              <w:t>并在雨水排口处设切换闸阀，收集的初期雨水全部泵至洗煤厂用于洗煤用水，后期雨水排出厂外。</w:t>
            </w:r>
          </w:p>
          <w:p w14:paraId="12293C97">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eastAsia"/>
                <w:color w:val="auto"/>
                <w:kern w:val="0"/>
                <w:sz w:val="24"/>
              </w:rPr>
              <w:t>综上分析，</w:t>
            </w:r>
            <w:r>
              <w:rPr>
                <w:rFonts w:hint="eastAsia"/>
                <w:color w:val="auto"/>
                <w:sz w:val="24"/>
                <w:lang w:val="en-US" w:eastAsia="zh-CN" w:bidi="ar"/>
              </w:rPr>
              <w:t>本项目</w:t>
            </w:r>
            <w:r>
              <w:rPr>
                <w:rFonts w:hint="eastAsia" w:hAnsi="宋体"/>
                <w:color w:val="auto"/>
                <w:kern w:val="0"/>
                <w:sz w:val="24"/>
              </w:rPr>
              <w:t>无废水外排，不会对区域内的水环境造成影响</w:t>
            </w:r>
            <w:r>
              <w:rPr>
                <w:color w:val="auto"/>
                <w:sz w:val="24"/>
                <w:lang w:bidi="ar"/>
              </w:rPr>
              <w:t>。</w:t>
            </w:r>
          </w:p>
          <w:p w14:paraId="174B7FB7">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eastAsia" w:ascii="Times New Roman" w:hAnsi="Times New Roman" w:eastAsia="宋体" w:cs="Times New Roman"/>
                <w:color w:val="auto"/>
                <w:kern w:val="0"/>
                <w:sz w:val="24"/>
                <w:lang w:val="en-US" w:eastAsia="zh-CN"/>
              </w:rPr>
            </w:pPr>
            <w:r>
              <w:rPr>
                <w:rFonts w:hint="eastAsia" w:ascii="Times New Roman" w:hAnsi="Times New Roman" w:eastAsia="宋体" w:cs="Times New Roman"/>
                <w:color w:val="auto"/>
                <w:kern w:val="0"/>
                <w:sz w:val="24"/>
                <w:lang w:val="en-US" w:eastAsia="zh-CN"/>
              </w:rPr>
              <w:t>项目运营期废水产生及排放情况见下表。</w:t>
            </w:r>
          </w:p>
          <w:p w14:paraId="7BF46193">
            <w:pPr>
              <w:keepNext w:val="0"/>
              <w:keepLines w:val="0"/>
              <w:pageBreakBefore w:val="0"/>
              <w:widowControl w:val="0"/>
              <w:kinsoku/>
              <w:wordWrap/>
              <w:overflowPunct/>
              <w:topLinePunct w:val="0"/>
              <w:autoSpaceDE/>
              <w:autoSpaceDN/>
              <w:bidi w:val="0"/>
              <w:adjustRightInd w:val="0"/>
              <w:snapToGrid w:val="0"/>
              <w:spacing w:line="480" w:lineRule="exact"/>
              <w:ind w:left="0" w:leftChars="0" w:right="0" w:rightChars="0"/>
              <w:jc w:val="center"/>
              <w:textAlignment w:val="auto"/>
              <w:outlineLvl w:val="9"/>
              <w:rPr>
                <w:rFonts w:hint="default" w:ascii="Times New Roman" w:hAnsi="Times New Roman" w:eastAsia="黑体" w:cs="Times New Roman"/>
                <w:b w:val="0"/>
                <w:bCs/>
                <w:color w:val="auto"/>
                <w:sz w:val="21"/>
                <w:szCs w:val="16"/>
                <w:highlight w:val="none"/>
                <w:lang w:val="en-US" w:eastAsia="zh-CN"/>
              </w:rPr>
            </w:pPr>
            <w:r>
              <w:rPr>
                <w:rFonts w:hint="eastAsia" w:ascii="Times New Roman" w:hAnsi="Times New Roman" w:eastAsia="黑体" w:cs="Times New Roman"/>
                <w:b w:val="0"/>
                <w:bCs/>
                <w:color w:val="auto"/>
                <w:sz w:val="21"/>
                <w:szCs w:val="16"/>
                <w:highlight w:val="none"/>
                <w:lang w:val="en-US" w:eastAsia="zh-CN"/>
              </w:rPr>
              <w:t>表</w:t>
            </w:r>
            <w:r>
              <w:rPr>
                <w:rFonts w:hint="eastAsia" w:eastAsia="黑体" w:cs="Times New Roman"/>
                <w:b w:val="0"/>
                <w:bCs/>
                <w:color w:val="auto"/>
                <w:sz w:val="21"/>
                <w:szCs w:val="16"/>
                <w:highlight w:val="none"/>
                <w:lang w:val="en-US" w:eastAsia="zh-CN"/>
              </w:rPr>
              <w:t>4.6-1</w:t>
            </w:r>
            <w:r>
              <w:rPr>
                <w:rFonts w:hint="eastAsia" w:ascii="Times New Roman" w:hAnsi="Times New Roman" w:eastAsia="黑体" w:cs="Times New Roman"/>
                <w:b w:val="0"/>
                <w:bCs/>
                <w:color w:val="auto"/>
                <w:sz w:val="21"/>
                <w:szCs w:val="16"/>
                <w:highlight w:val="none"/>
                <w:lang w:val="en-US" w:eastAsia="zh-CN"/>
              </w:rPr>
              <w:t xml:space="preserve">    项目运营期废水产生及</w:t>
            </w:r>
            <w:r>
              <w:rPr>
                <w:rFonts w:hint="eastAsia" w:eastAsia="黑体" w:cs="Times New Roman"/>
                <w:b w:val="0"/>
                <w:bCs/>
                <w:color w:val="auto"/>
                <w:sz w:val="21"/>
                <w:szCs w:val="16"/>
                <w:highlight w:val="none"/>
                <w:lang w:val="en-US" w:eastAsia="zh-CN"/>
              </w:rPr>
              <w:t>治理措施</w:t>
            </w:r>
            <w:r>
              <w:rPr>
                <w:rFonts w:hint="eastAsia" w:ascii="Times New Roman" w:hAnsi="Times New Roman" w:eastAsia="黑体" w:cs="Times New Roman"/>
                <w:b w:val="0"/>
                <w:bCs/>
                <w:color w:val="auto"/>
                <w:sz w:val="21"/>
                <w:szCs w:val="16"/>
                <w:highlight w:val="none"/>
                <w:lang w:val="en-US" w:eastAsia="zh-CN"/>
              </w:rPr>
              <w:t>一览表</w:t>
            </w:r>
          </w:p>
          <w:tbl>
            <w:tblPr>
              <w:tblStyle w:val="27"/>
              <w:tblW w:w="79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426"/>
              <w:gridCol w:w="1528"/>
              <w:gridCol w:w="1814"/>
              <w:gridCol w:w="2303"/>
            </w:tblGrid>
            <w:tr w14:paraId="1DE3B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846" w:type="dxa"/>
                  <w:vAlign w:val="center"/>
                </w:tcPr>
                <w:p w14:paraId="0DFCA94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序号</w:t>
                  </w:r>
                </w:p>
              </w:tc>
              <w:tc>
                <w:tcPr>
                  <w:tcW w:w="1426" w:type="dxa"/>
                  <w:vAlign w:val="center"/>
                </w:tcPr>
                <w:p w14:paraId="6A960B2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产污环节</w:t>
                  </w:r>
                </w:p>
              </w:tc>
              <w:tc>
                <w:tcPr>
                  <w:tcW w:w="1528" w:type="dxa"/>
                  <w:vAlign w:val="center"/>
                </w:tcPr>
                <w:p w14:paraId="33D3109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污染物</w:t>
                  </w:r>
                </w:p>
              </w:tc>
              <w:tc>
                <w:tcPr>
                  <w:tcW w:w="1814" w:type="dxa"/>
                  <w:vAlign w:val="center"/>
                </w:tcPr>
                <w:p w14:paraId="3018293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产生量</w:t>
                  </w:r>
                </w:p>
              </w:tc>
              <w:tc>
                <w:tcPr>
                  <w:tcW w:w="2303" w:type="dxa"/>
                  <w:vAlign w:val="center"/>
                </w:tcPr>
                <w:p w14:paraId="0D21D56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治理措施</w:t>
                  </w:r>
                </w:p>
              </w:tc>
            </w:tr>
            <w:tr w14:paraId="07950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846" w:type="dxa"/>
                  <w:vAlign w:val="center"/>
                </w:tcPr>
                <w:p w14:paraId="18D4346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1</w:t>
                  </w:r>
                </w:p>
              </w:tc>
              <w:tc>
                <w:tcPr>
                  <w:tcW w:w="1426" w:type="dxa"/>
                  <w:vAlign w:val="center"/>
                </w:tcPr>
                <w:p w14:paraId="080DFB5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冲洗废水</w:t>
                  </w:r>
                </w:p>
              </w:tc>
              <w:tc>
                <w:tcPr>
                  <w:tcW w:w="1528" w:type="dxa"/>
                  <w:vAlign w:val="center"/>
                </w:tcPr>
                <w:p w14:paraId="5D0B6DF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SS</w:t>
                  </w:r>
                </w:p>
              </w:tc>
              <w:tc>
                <w:tcPr>
                  <w:tcW w:w="1814" w:type="dxa"/>
                  <w:vAlign w:val="center"/>
                </w:tcPr>
                <w:p w14:paraId="03C4BA5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kern w:val="2"/>
                      <w:sz w:val="21"/>
                      <w:szCs w:val="21"/>
                      <w:highlight w:val="none"/>
                      <w:vertAlign w:val="baseline"/>
                      <w:lang w:val="en-US" w:eastAsia="zh-CN" w:bidi="ar-SA"/>
                    </w:rPr>
                    <w:t>2.4</w:t>
                  </w:r>
                  <w:r>
                    <w:rPr>
                      <w:rFonts w:hint="eastAsia" w:ascii="Times New Roman" w:hAnsi="Times New Roman" w:eastAsia="宋体" w:cs="Times New Roman"/>
                      <w:color w:val="auto"/>
                      <w:kern w:val="2"/>
                      <w:sz w:val="21"/>
                      <w:szCs w:val="21"/>
                      <w:highlight w:val="none"/>
                      <w:vertAlign w:val="baseline"/>
                      <w:lang w:val="en-US" w:eastAsia="zh-CN" w:bidi="ar-SA"/>
                    </w:rPr>
                    <w:t>m</w:t>
                  </w:r>
                  <w:r>
                    <w:rPr>
                      <w:rFonts w:hint="eastAsia" w:ascii="Times New Roman" w:hAnsi="Times New Roman" w:eastAsia="宋体" w:cs="Times New Roman"/>
                      <w:color w:val="auto"/>
                      <w:kern w:val="2"/>
                      <w:sz w:val="21"/>
                      <w:szCs w:val="21"/>
                      <w:highlight w:val="none"/>
                      <w:vertAlign w:val="superscript"/>
                      <w:lang w:val="en-US" w:eastAsia="zh-CN" w:bidi="ar-SA"/>
                    </w:rPr>
                    <w:t>3</w:t>
                  </w:r>
                  <w:r>
                    <w:rPr>
                      <w:rFonts w:hint="eastAsia" w:ascii="Times New Roman" w:hAnsi="Times New Roman" w:eastAsia="宋体" w:cs="Times New Roman"/>
                      <w:color w:val="auto"/>
                      <w:kern w:val="2"/>
                      <w:sz w:val="21"/>
                      <w:szCs w:val="21"/>
                      <w:highlight w:val="none"/>
                      <w:vertAlign w:val="baseline"/>
                      <w:lang w:val="en-US" w:eastAsia="zh-CN" w:bidi="ar-SA"/>
                    </w:rPr>
                    <w:t>/d</w:t>
                  </w:r>
                </w:p>
              </w:tc>
              <w:tc>
                <w:tcPr>
                  <w:tcW w:w="2303" w:type="dxa"/>
                  <w:vAlign w:val="center"/>
                </w:tcPr>
                <w:p w14:paraId="50A77F7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全部回用于洗煤厂</w:t>
                  </w:r>
                  <w:r>
                    <w:rPr>
                      <w:rFonts w:hint="eastAsia" w:cs="Times New Roman"/>
                      <w:color w:val="auto"/>
                      <w:sz w:val="21"/>
                      <w:szCs w:val="21"/>
                      <w:highlight w:val="none"/>
                      <w:vertAlign w:val="baseline"/>
                      <w:lang w:val="en-US" w:eastAsia="zh-CN"/>
                    </w:rPr>
                    <w:t>用于</w:t>
                  </w:r>
                  <w:r>
                    <w:rPr>
                      <w:rFonts w:hint="default" w:ascii="Times New Roman" w:hAnsi="Times New Roman" w:eastAsia="宋体" w:cs="Times New Roman"/>
                      <w:color w:val="auto"/>
                      <w:sz w:val="21"/>
                      <w:szCs w:val="21"/>
                      <w:highlight w:val="none"/>
                      <w:vertAlign w:val="baseline"/>
                      <w:lang w:val="en-US" w:eastAsia="zh-CN"/>
                    </w:rPr>
                    <w:t>洗煤用水</w:t>
                  </w:r>
                </w:p>
              </w:tc>
            </w:tr>
            <w:tr w14:paraId="116E2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846" w:type="dxa"/>
                  <w:vAlign w:val="center"/>
                </w:tcPr>
                <w:p w14:paraId="271801D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2</w:t>
                  </w:r>
                </w:p>
              </w:tc>
              <w:tc>
                <w:tcPr>
                  <w:tcW w:w="1426" w:type="dxa"/>
                  <w:vAlign w:val="center"/>
                </w:tcPr>
                <w:p w14:paraId="04D5C69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初期雨水</w:t>
                  </w:r>
                </w:p>
              </w:tc>
              <w:tc>
                <w:tcPr>
                  <w:tcW w:w="1528" w:type="dxa"/>
                  <w:vAlign w:val="center"/>
                </w:tcPr>
                <w:p w14:paraId="0787AD9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SS</w:t>
                  </w:r>
                </w:p>
              </w:tc>
              <w:tc>
                <w:tcPr>
                  <w:tcW w:w="1814" w:type="dxa"/>
                  <w:vAlign w:val="center"/>
                </w:tcPr>
                <w:p w14:paraId="0874B5D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w:t>
                  </w:r>
                </w:p>
              </w:tc>
              <w:tc>
                <w:tcPr>
                  <w:tcW w:w="2303" w:type="dxa"/>
                  <w:vAlign w:val="center"/>
                </w:tcPr>
                <w:p w14:paraId="24FFD1D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全部回用于洗煤厂</w:t>
                  </w:r>
                  <w:r>
                    <w:rPr>
                      <w:rFonts w:hint="eastAsia" w:cs="Times New Roman"/>
                      <w:color w:val="auto"/>
                      <w:sz w:val="21"/>
                      <w:szCs w:val="21"/>
                      <w:highlight w:val="none"/>
                      <w:vertAlign w:val="baseline"/>
                      <w:lang w:val="en-US" w:eastAsia="zh-CN"/>
                    </w:rPr>
                    <w:t>用于</w:t>
                  </w:r>
                  <w:r>
                    <w:rPr>
                      <w:rFonts w:hint="eastAsia" w:ascii="Times New Roman" w:hAnsi="Times New Roman" w:eastAsia="宋体" w:cs="Times New Roman"/>
                      <w:color w:val="auto"/>
                      <w:sz w:val="21"/>
                      <w:szCs w:val="21"/>
                      <w:highlight w:val="none"/>
                      <w:vertAlign w:val="baseline"/>
                      <w:lang w:val="en-US" w:eastAsia="zh-CN"/>
                    </w:rPr>
                    <w:t>洗煤用水</w:t>
                  </w:r>
                </w:p>
              </w:tc>
            </w:tr>
          </w:tbl>
          <w:p w14:paraId="3ADB2574">
            <w:pPr>
              <w:keepNext w:val="0"/>
              <w:keepLines w:val="0"/>
              <w:pageBreakBefore w:val="0"/>
              <w:widowControl w:val="0"/>
              <w:kinsoku/>
              <w:wordWrap/>
              <w:overflowPunct/>
              <w:topLinePunct w:val="0"/>
              <w:bidi w:val="0"/>
              <w:adjustRightInd w:val="0"/>
              <w:snapToGrid w:val="0"/>
              <w:spacing w:line="480" w:lineRule="exact"/>
              <w:ind w:firstLine="480" w:firstLineChars="200"/>
              <w:jc w:val="both"/>
              <w:textAlignment w:val="auto"/>
              <w:rPr>
                <w:rFonts w:hint="default" w:cs="Times New Roman"/>
                <w:b w:val="0"/>
                <w:bCs w:val="0"/>
                <w:color w:val="auto"/>
                <w:spacing w:val="0"/>
                <w:sz w:val="24"/>
                <w:szCs w:val="20"/>
                <w:highlight w:val="none"/>
                <w:lang w:val="en-US" w:eastAsia="zh-CN"/>
              </w:rPr>
            </w:pPr>
          </w:p>
          <w:p w14:paraId="553AD3CA">
            <w:pPr>
              <w:keepNext w:val="0"/>
              <w:keepLines w:val="0"/>
              <w:pageBreakBefore w:val="0"/>
              <w:widowControl w:val="0"/>
              <w:kinsoku/>
              <w:wordWrap/>
              <w:overflowPunct/>
              <w:topLinePunct w:val="0"/>
              <w:bidi w:val="0"/>
              <w:adjustRightInd w:val="0"/>
              <w:snapToGrid w:val="0"/>
              <w:spacing w:line="480" w:lineRule="exact"/>
              <w:ind w:firstLine="480" w:firstLineChars="200"/>
              <w:jc w:val="both"/>
              <w:textAlignment w:val="auto"/>
              <w:rPr>
                <w:rFonts w:hint="default" w:cs="Times New Roman"/>
                <w:b w:val="0"/>
                <w:bCs w:val="0"/>
                <w:color w:val="auto"/>
                <w:spacing w:val="0"/>
                <w:sz w:val="24"/>
                <w:szCs w:val="20"/>
                <w:highlight w:val="none"/>
                <w:lang w:val="en-US" w:eastAsia="zh-CN"/>
              </w:rPr>
            </w:pPr>
          </w:p>
          <w:p w14:paraId="0F28696F">
            <w:pPr>
              <w:keepNext w:val="0"/>
              <w:keepLines w:val="0"/>
              <w:pageBreakBefore w:val="0"/>
              <w:widowControl w:val="0"/>
              <w:kinsoku/>
              <w:wordWrap/>
              <w:overflowPunct/>
              <w:topLinePunct w:val="0"/>
              <w:bidi w:val="0"/>
              <w:adjustRightInd w:val="0"/>
              <w:snapToGrid w:val="0"/>
              <w:spacing w:line="480" w:lineRule="exact"/>
              <w:ind w:firstLine="480" w:firstLineChars="200"/>
              <w:jc w:val="both"/>
              <w:textAlignment w:val="auto"/>
              <w:rPr>
                <w:rFonts w:hint="default" w:cs="Times New Roman"/>
                <w:b w:val="0"/>
                <w:bCs w:val="0"/>
                <w:color w:val="auto"/>
                <w:spacing w:val="0"/>
                <w:sz w:val="24"/>
                <w:szCs w:val="20"/>
                <w:highlight w:val="none"/>
                <w:lang w:val="en-US" w:eastAsia="zh-CN"/>
              </w:rPr>
            </w:pPr>
          </w:p>
          <w:p w14:paraId="08C9C2FD">
            <w:pPr>
              <w:keepNext w:val="0"/>
              <w:keepLines w:val="0"/>
              <w:pageBreakBefore w:val="0"/>
              <w:widowControl w:val="0"/>
              <w:kinsoku/>
              <w:wordWrap/>
              <w:overflowPunct/>
              <w:topLinePunct w:val="0"/>
              <w:bidi w:val="0"/>
              <w:adjustRightInd w:val="0"/>
              <w:snapToGrid w:val="0"/>
              <w:spacing w:line="480" w:lineRule="exact"/>
              <w:ind w:firstLine="480" w:firstLineChars="200"/>
              <w:jc w:val="both"/>
              <w:textAlignment w:val="auto"/>
              <w:rPr>
                <w:rFonts w:hint="default" w:cs="Times New Roman"/>
                <w:b w:val="0"/>
                <w:bCs w:val="0"/>
                <w:color w:val="auto"/>
                <w:spacing w:val="0"/>
                <w:sz w:val="24"/>
                <w:szCs w:val="20"/>
                <w:highlight w:val="none"/>
                <w:lang w:val="en-US" w:eastAsia="zh-CN"/>
              </w:rPr>
            </w:pPr>
          </w:p>
          <w:p w14:paraId="1F25DA97">
            <w:pPr>
              <w:keepNext w:val="0"/>
              <w:keepLines w:val="0"/>
              <w:pageBreakBefore w:val="0"/>
              <w:widowControl w:val="0"/>
              <w:kinsoku/>
              <w:wordWrap/>
              <w:overflowPunct/>
              <w:topLinePunct w:val="0"/>
              <w:bidi w:val="0"/>
              <w:adjustRightInd w:val="0"/>
              <w:snapToGrid w:val="0"/>
              <w:spacing w:line="480" w:lineRule="exact"/>
              <w:ind w:firstLine="480" w:firstLineChars="200"/>
              <w:jc w:val="both"/>
              <w:textAlignment w:val="auto"/>
              <w:rPr>
                <w:rFonts w:hint="default" w:cs="Times New Roman"/>
                <w:b w:val="0"/>
                <w:bCs w:val="0"/>
                <w:color w:val="auto"/>
                <w:spacing w:val="0"/>
                <w:sz w:val="24"/>
                <w:szCs w:val="20"/>
                <w:highlight w:val="none"/>
                <w:lang w:val="en-US" w:eastAsia="zh-CN"/>
              </w:rPr>
            </w:pPr>
          </w:p>
          <w:p w14:paraId="3EA8539B">
            <w:pPr>
              <w:keepNext w:val="0"/>
              <w:keepLines w:val="0"/>
              <w:pageBreakBefore w:val="0"/>
              <w:widowControl w:val="0"/>
              <w:kinsoku/>
              <w:wordWrap/>
              <w:overflowPunct/>
              <w:topLinePunct w:val="0"/>
              <w:bidi w:val="0"/>
              <w:adjustRightInd w:val="0"/>
              <w:snapToGrid w:val="0"/>
              <w:spacing w:line="480" w:lineRule="exact"/>
              <w:ind w:firstLine="480" w:firstLineChars="200"/>
              <w:jc w:val="both"/>
              <w:textAlignment w:val="auto"/>
              <w:rPr>
                <w:rFonts w:hint="default" w:cs="Times New Roman"/>
                <w:b w:val="0"/>
                <w:bCs w:val="0"/>
                <w:color w:val="auto"/>
                <w:spacing w:val="0"/>
                <w:sz w:val="24"/>
                <w:szCs w:val="20"/>
                <w:highlight w:val="none"/>
                <w:lang w:val="en-US" w:eastAsia="zh-CN"/>
              </w:rPr>
            </w:pPr>
          </w:p>
          <w:p w14:paraId="329E6682">
            <w:pPr>
              <w:keepNext w:val="0"/>
              <w:keepLines w:val="0"/>
              <w:pageBreakBefore w:val="0"/>
              <w:widowControl w:val="0"/>
              <w:kinsoku/>
              <w:wordWrap/>
              <w:overflowPunct/>
              <w:topLinePunct w:val="0"/>
              <w:bidi w:val="0"/>
              <w:adjustRightInd w:val="0"/>
              <w:snapToGrid w:val="0"/>
              <w:spacing w:line="480" w:lineRule="exact"/>
              <w:ind w:firstLine="480" w:firstLineChars="200"/>
              <w:jc w:val="both"/>
              <w:textAlignment w:val="auto"/>
              <w:rPr>
                <w:rFonts w:hint="default" w:cs="Times New Roman"/>
                <w:b w:val="0"/>
                <w:bCs w:val="0"/>
                <w:color w:val="auto"/>
                <w:spacing w:val="0"/>
                <w:sz w:val="24"/>
                <w:szCs w:val="20"/>
                <w:highlight w:val="none"/>
                <w:lang w:val="en-US" w:eastAsia="zh-CN"/>
              </w:rPr>
            </w:pPr>
          </w:p>
          <w:p w14:paraId="50DC3753">
            <w:pPr>
              <w:keepNext w:val="0"/>
              <w:keepLines w:val="0"/>
              <w:pageBreakBefore w:val="0"/>
              <w:widowControl w:val="0"/>
              <w:kinsoku/>
              <w:wordWrap/>
              <w:overflowPunct/>
              <w:topLinePunct w:val="0"/>
              <w:bidi w:val="0"/>
              <w:adjustRightInd w:val="0"/>
              <w:snapToGrid w:val="0"/>
              <w:spacing w:line="480" w:lineRule="exact"/>
              <w:ind w:firstLine="480" w:firstLineChars="200"/>
              <w:jc w:val="both"/>
              <w:textAlignment w:val="auto"/>
              <w:rPr>
                <w:rFonts w:hint="default" w:cs="Times New Roman"/>
                <w:b w:val="0"/>
                <w:bCs w:val="0"/>
                <w:color w:val="auto"/>
                <w:spacing w:val="0"/>
                <w:sz w:val="24"/>
                <w:szCs w:val="20"/>
                <w:highlight w:val="none"/>
                <w:lang w:val="en-US" w:eastAsia="zh-CN"/>
              </w:rPr>
            </w:pPr>
          </w:p>
          <w:p w14:paraId="3AF73D93">
            <w:pPr>
              <w:keepNext w:val="0"/>
              <w:keepLines w:val="0"/>
              <w:pageBreakBefore w:val="0"/>
              <w:widowControl w:val="0"/>
              <w:kinsoku/>
              <w:wordWrap/>
              <w:overflowPunct/>
              <w:topLinePunct w:val="0"/>
              <w:bidi w:val="0"/>
              <w:adjustRightInd w:val="0"/>
              <w:snapToGrid w:val="0"/>
              <w:spacing w:line="480" w:lineRule="exact"/>
              <w:ind w:firstLine="480" w:firstLineChars="200"/>
              <w:jc w:val="both"/>
              <w:textAlignment w:val="auto"/>
              <w:rPr>
                <w:rFonts w:hint="default" w:cs="Times New Roman"/>
                <w:b w:val="0"/>
                <w:bCs w:val="0"/>
                <w:color w:val="auto"/>
                <w:spacing w:val="0"/>
                <w:sz w:val="24"/>
                <w:szCs w:val="20"/>
                <w:highlight w:val="none"/>
                <w:lang w:val="en-US" w:eastAsia="zh-CN"/>
              </w:rPr>
            </w:pPr>
          </w:p>
          <w:p w14:paraId="26620C1C">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Times New Roman" w:hAnsi="Times New Roman" w:eastAsia="宋体" w:cs="Times New Roman"/>
                <w:color w:val="auto"/>
                <w:sz w:val="24"/>
                <w:szCs w:val="20"/>
                <w:highlight w:val="none"/>
                <w:lang w:val="en-US" w:eastAsia="zh-CN"/>
              </w:rPr>
            </w:pPr>
          </w:p>
          <w:p w14:paraId="79329514">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Times New Roman" w:hAnsi="Times New Roman" w:eastAsia="宋体" w:cs="Times New Roman"/>
                <w:color w:val="auto"/>
                <w:sz w:val="24"/>
                <w:szCs w:val="20"/>
                <w:highlight w:val="none"/>
                <w:lang w:val="en-US" w:eastAsia="zh-CN"/>
              </w:rPr>
            </w:pPr>
          </w:p>
          <w:p w14:paraId="566A801D">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Times New Roman" w:hAnsi="Times New Roman" w:eastAsia="宋体" w:cs="Times New Roman"/>
                <w:color w:val="auto"/>
                <w:sz w:val="24"/>
                <w:szCs w:val="20"/>
                <w:highlight w:val="none"/>
                <w:lang w:val="en-US" w:eastAsia="zh-CN"/>
              </w:rPr>
            </w:pPr>
          </w:p>
          <w:p w14:paraId="2E2E9228">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Times New Roman" w:hAnsi="Times New Roman" w:eastAsia="宋体" w:cs="Times New Roman"/>
                <w:color w:val="auto"/>
                <w:sz w:val="24"/>
                <w:szCs w:val="20"/>
                <w:highlight w:val="none"/>
                <w:lang w:val="en-US" w:eastAsia="zh-CN"/>
              </w:rPr>
            </w:pPr>
          </w:p>
          <w:p w14:paraId="075B34A2">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color w:val="auto"/>
                <w:sz w:val="24"/>
                <w:szCs w:val="20"/>
                <w:highlight w:val="none"/>
                <w:lang w:val="en-US" w:eastAsia="zh-CN"/>
              </w:rPr>
            </w:pPr>
          </w:p>
        </w:tc>
      </w:tr>
    </w:tbl>
    <w:p w14:paraId="7BCF1FCB">
      <w:pPr>
        <w:pStyle w:val="24"/>
        <w:rPr>
          <w:rFonts w:hint="default"/>
          <w:color w:val="auto"/>
          <w:highlight w:val="none"/>
        </w:rPr>
        <w:sectPr>
          <w:pgSz w:w="11907" w:h="16840"/>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27"/>
        <w:tblW w:w="147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
        <w:gridCol w:w="14045"/>
      </w:tblGrid>
      <w:tr w14:paraId="24C66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1" w:hRule="atLeast"/>
          <w:jc w:val="center"/>
        </w:trPr>
        <w:tc>
          <w:tcPr>
            <w:tcW w:w="714" w:type="dxa"/>
            <w:vAlign w:val="center"/>
          </w:tcPr>
          <w:p w14:paraId="1F7AF989">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eastAsia="宋体" w:cs="Times New Roman"/>
                <w:bCs/>
                <w:color w:val="auto"/>
                <w:szCs w:val="21"/>
                <w:highlight w:val="none"/>
                <w:lang w:val="en-US" w:eastAsia="zh-CN"/>
              </w:rPr>
              <w:t>运营</w:t>
            </w:r>
          </w:p>
          <w:p w14:paraId="42940D2C">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eastAsia="宋体" w:cs="Times New Roman"/>
                <w:bCs/>
                <w:color w:val="auto"/>
                <w:szCs w:val="21"/>
                <w:highlight w:val="none"/>
                <w:lang w:val="en-US" w:eastAsia="zh-CN"/>
              </w:rPr>
              <w:t>期环</w:t>
            </w:r>
          </w:p>
          <w:p w14:paraId="19F60C06">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eastAsia="宋体" w:cs="Times New Roman"/>
                <w:bCs/>
                <w:color w:val="auto"/>
                <w:szCs w:val="21"/>
                <w:highlight w:val="none"/>
                <w:lang w:val="en-US" w:eastAsia="zh-CN"/>
              </w:rPr>
              <w:t>境影</w:t>
            </w:r>
          </w:p>
          <w:p w14:paraId="06D90C71">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eastAsia="宋体" w:cs="Times New Roman"/>
                <w:bCs/>
                <w:color w:val="auto"/>
                <w:szCs w:val="21"/>
                <w:highlight w:val="none"/>
                <w:lang w:val="en-US" w:eastAsia="zh-CN"/>
              </w:rPr>
              <w:t>响和</w:t>
            </w:r>
          </w:p>
          <w:p w14:paraId="1EB16D83">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eastAsia="宋体" w:cs="Times New Roman"/>
                <w:bCs/>
                <w:color w:val="auto"/>
                <w:szCs w:val="21"/>
                <w:highlight w:val="none"/>
                <w:lang w:val="en-US" w:eastAsia="zh-CN"/>
              </w:rPr>
              <w:t>保护</w:t>
            </w:r>
          </w:p>
          <w:p w14:paraId="09F244AB">
            <w:pPr>
              <w:adjustRightInd w:val="0"/>
              <w:snapToGrid w:val="0"/>
              <w:jc w:val="center"/>
              <w:rPr>
                <w:rFonts w:hint="eastAsia" w:ascii="Times New Roman" w:hAnsi="Times New Roman" w:eastAsia="宋体" w:cs="Times New Roman"/>
                <w:b/>
                <w:bCs w:val="0"/>
                <w:color w:val="auto"/>
                <w:spacing w:val="-10"/>
                <w:sz w:val="24"/>
                <w:szCs w:val="24"/>
                <w:highlight w:val="none"/>
                <w:vertAlign w:val="baseline"/>
                <w:lang w:val="en-US" w:eastAsia="zh-CN"/>
              </w:rPr>
            </w:pPr>
            <w:r>
              <w:rPr>
                <w:rFonts w:hint="default" w:ascii="Times New Roman" w:hAnsi="Times New Roman" w:eastAsia="宋体" w:cs="Times New Roman"/>
                <w:bCs/>
                <w:color w:val="auto"/>
                <w:szCs w:val="21"/>
                <w:highlight w:val="none"/>
                <w:lang w:val="en-US" w:eastAsia="zh-CN"/>
              </w:rPr>
              <w:t>措施</w:t>
            </w:r>
          </w:p>
        </w:tc>
        <w:tc>
          <w:tcPr>
            <w:tcW w:w="14593" w:type="dxa"/>
          </w:tcPr>
          <w:p w14:paraId="248A9F18">
            <w:pPr>
              <w:keepNext w:val="0"/>
              <w:keepLines w:val="0"/>
              <w:pageBreakBefore w:val="0"/>
              <w:widowControl w:val="0"/>
              <w:kinsoku/>
              <w:wordWrap/>
              <w:overflowPunct/>
              <w:topLinePunct w:val="0"/>
              <w:bidi w:val="0"/>
              <w:adjustRightInd w:val="0"/>
              <w:snapToGrid w:val="0"/>
              <w:spacing w:line="480" w:lineRule="exact"/>
              <w:ind w:firstLine="482" w:firstLineChars="200"/>
              <w:textAlignment w:val="auto"/>
              <w:rPr>
                <w:rFonts w:hint="default" w:ascii="Times New Roman" w:hAnsi="Times New Roman" w:eastAsia="宋体" w:cs="Times New Roman"/>
                <w:b/>
                <w:color w:val="auto"/>
                <w:sz w:val="24"/>
                <w:szCs w:val="24"/>
                <w:highlight w:val="none"/>
                <w:lang w:val="en-US"/>
              </w:rPr>
            </w:pPr>
            <w:r>
              <w:rPr>
                <w:rFonts w:hint="eastAsia" w:ascii="Times New Roman" w:hAnsi="Times New Roman" w:eastAsia="宋体" w:cs="Times New Roman"/>
                <w:b/>
                <w:color w:val="auto"/>
                <w:sz w:val="24"/>
                <w:szCs w:val="24"/>
                <w:highlight w:val="none"/>
                <w:lang w:val="en-US" w:eastAsia="zh-CN"/>
              </w:rPr>
              <w:t>4.7 噪声</w:t>
            </w:r>
          </w:p>
          <w:p w14:paraId="2D7B071B">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val="en-US" w:eastAsia="zh-CN"/>
              </w:rPr>
              <w:t>1.</w:t>
            </w:r>
            <w:r>
              <w:rPr>
                <w:rFonts w:hint="default" w:ascii="Times New Roman" w:hAnsi="Times New Roman" w:eastAsia="宋体" w:cs="Times New Roman"/>
                <w:color w:val="auto"/>
                <w:sz w:val="24"/>
                <w:highlight w:val="none"/>
              </w:rPr>
              <w:t>噪声源分析</w:t>
            </w:r>
          </w:p>
          <w:p w14:paraId="610365FE">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rPr>
              <w:t>本</w:t>
            </w:r>
            <w:r>
              <w:rPr>
                <w:rFonts w:hint="eastAsia" w:ascii="Times New Roman" w:hAnsi="Times New Roman" w:eastAsia="宋体" w:cs="Times New Roman"/>
                <w:color w:val="auto"/>
                <w:sz w:val="24"/>
                <w:highlight w:val="none"/>
                <w:lang w:eastAsia="zh-CN"/>
              </w:rPr>
              <w:t>项目</w:t>
            </w:r>
            <w:r>
              <w:rPr>
                <w:rFonts w:hint="eastAsia" w:ascii="Times New Roman" w:hAnsi="Times New Roman" w:eastAsia="宋体" w:cs="Times New Roman"/>
                <w:color w:val="auto"/>
                <w:sz w:val="24"/>
                <w:highlight w:val="none"/>
                <w:lang w:val="en-US" w:eastAsia="zh-CN"/>
              </w:rPr>
              <w:t>噪声源强</w:t>
            </w:r>
            <w:r>
              <w:rPr>
                <w:rFonts w:hint="eastAsia" w:ascii="Times New Roman" w:hAnsi="Times New Roman" w:eastAsia="宋体" w:cs="Times New Roman"/>
                <w:color w:val="auto"/>
                <w:sz w:val="24"/>
                <w:highlight w:val="none"/>
                <w:lang w:eastAsia="zh-CN"/>
              </w:rPr>
              <w:t>见</w:t>
            </w:r>
            <w:r>
              <w:rPr>
                <w:rFonts w:hint="eastAsia" w:cs="Times New Roman"/>
                <w:color w:val="auto"/>
                <w:sz w:val="24"/>
                <w:highlight w:val="none"/>
                <w:lang w:val="en-US" w:eastAsia="zh-CN"/>
              </w:rPr>
              <w:t>下</w:t>
            </w:r>
            <w:r>
              <w:rPr>
                <w:rFonts w:hint="eastAsia" w:ascii="Times New Roman" w:hAnsi="Times New Roman" w:eastAsia="宋体" w:cs="Times New Roman"/>
                <w:color w:val="auto"/>
                <w:sz w:val="24"/>
                <w:highlight w:val="none"/>
                <w:lang w:val="en-US" w:eastAsia="zh-CN"/>
              </w:rPr>
              <w:t>表</w:t>
            </w:r>
            <w:r>
              <w:rPr>
                <w:rFonts w:hint="default" w:ascii="Times New Roman" w:hAnsi="Times New Roman" w:eastAsia="宋体" w:cs="Times New Roman"/>
                <w:color w:val="auto"/>
                <w:spacing w:val="4"/>
                <w:sz w:val="24"/>
                <w:highlight w:val="none"/>
                <w:lang w:val="en-US" w:eastAsia="zh-CN"/>
              </w:rPr>
              <w:t>。</w:t>
            </w:r>
          </w:p>
          <w:p w14:paraId="241C5F2F">
            <w:pPr>
              <w:keepNext w:val="0"/>
              <w:keepLines w:val="0"/>
              <w:pageBreakBefore w:val="0"/>
              <w:widowControl w:val="0"/>
              <w:kinsoku/>
              <w:wordWrap/>
              <w:overflowPunct/>
              <w:topLinePunct w:val="0"/>
              <w:autoSpaceDE/>
              <w:autoSpaceDN/>
              <w:bidi w:val="0"/>
              <w:adjustRightInd w:val="0"/>
              <w:snapToGrid w:val="0"/>
              <w:spacing w:line="480" w:lineRule="exact"/>
              <w:ind w:firstLine="0" w:firstLineChars="0"/>
              <w:jc w:val="center"/>
              <w:textAlignment w:val="auto"/>
              <w:rPr>
                <w:rFonts w:hint="default" w:ascii="Times New Roman" w:hAnsi="Times New Roman" w:eastAsia="黑体" w:cs="Times New Roman"/>
                <w:b w:val="0"/>
                <w:bCs w:val="0"/>
                <w:color w:val="auto"/>
                <w:spacing w:val="0"/>
                <w:kern w:val="2"/>
                <w:sz w:val="21"/>
                <w:szCs w:val="21"/>
                <w:highlight w:val="none"/>
                <w:lang w:val="en-US" w:eastAsia="zh-CN" w:bidi="ar-SA"/>
              </w:rPr>
            </w:pPr>
            <w:r>
              <w:rPr>
                <w:rFonts w:hint="default" w:ascii="Times New Roman" w:hAnsi="Times New Roman" w:eastAsia="黑体" w:cs="Times New Roman"/>
                <w:b w:val="0"/>
                <w:bCs w:val="0"/>
                <w:color w:val="auto"/>
                <w:spacing w:val="0"/>
                <w:kern w:val="2"/>
                <w:sz w:val="21"/>
                <w:szCs w:val="21"/>
                <w:highlight w:val="none"/>
                <w:lang w:val="en-US" w:eastAsia="zh-CN" w:bidi="ar-SA"/>
              </w:rPr>
              <w:t>表</w:t>
            </w:r>
            <w:r>
              <w:rPr>
                <w:rFonts w:hint="eastAsia" w:eastAsia="黑体" w:cs="Times New Roman"/>
                <w:b w:val="0"/>
                <w:bCs w:val="0"/>
                <w:color w:val="auto"/>
                <w:spacing w:val="0"/>
                <w:kern w:val="2"/>
                <w:sz w:val="21"/>
                <w:szCs w:val="21"/>
                <w:highlight w:val="none"/>
                <w:lang w:val="en-US" w:eastAsia="zh-CN" w:bidi="ar-SA"/>
              </w:rPr>
              <w:t xml:space="preserve">4.7-1  </w:t>
            </w:r>
            <w:r>
              <w:rPr>
                <w:rFonts w:hint="default" w:ascii="Times New Roman" w:hAnsi="Times New Roman" w:eastAsia="黑体" w:cs="Times New Roman"/>
                <w:b w:val="0"/>
                <w:bCs w:val="0"/>
                <w:color w:val="auto"/>
                <w:spacing w:val="0"/>
                <w:kern w:val="2"/>
                <w:sz w:val="21"/>
                <w:szCs w:val="21"/>
                <w:highlight w:val="none"/>
                <w:lang w:val="en-US" w:eastAsia="zh-CN" w:bidi="ar-SA"/>
              </w:rPr>
              <w:t xml:space="preserve"> 室内噪声源源强调查清单</w:t>
            </w:r>
          </w:p>
          <w:tbl>
            <w:tblPr>
              <w:tblStyle w:val="26"/>
              <w:tblW w:w="492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1000"/>
              <w:gridCol w:w="1446"/>
              <w:gridCol w:w="745"/>
              <w:gridCol w:w="832"/>
              <w:gridCol w:w="1102"/>
              <w:gridCol w:w="690"/>
              <w:gridCol w:w="690"/>
              <w:gridCol w:w="693"/>
              <w:gridCol w:w="982"/>
              <w:gridCol w:w="938"/>
              <w:gridCol w:w="805"/>
              <w:gridCol w:w="1102"/>
              <w:gridCol w:w="952"/>
              <w:gridCol w:w="1130"/>
            </w:tblGrid>
            <w:tr w14:paraId="3A8C4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0" w:type="pct"/>
                  <w:vMerge w:val="restart"/>
                  <w:vAlign w:val="center"/>
                </w:tcPr>
                <w:p w14:paraId="0CB0E4A4">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color w:val="auto"/>
                      <w:spacing w:val="0"/>
                      <w:sz w:val="21"/>
                      <w:szCs w:val="21"/>
                      <w:highlight w:val="none"/>
                    </w:rPr>
                  </w:pPr>
                  <w:r>
                    <w:rPr>
                      <w:rFonts w:hint="eastAsia" w:ascii="Times New Roman" w:hAnsi="Times New Roman" w:eastAsia="宋体" w:cs="Times New Roman"/>
                      <w:color w:val="auto"/>
                      <w:spacing w:val="0"/>
                      <w:sz w:val="21"/>
                      <w:szCs w:val="21"/>
                      <w:highlight w:val="none"/>
                    </w:rPr>
                    <w:t>序号</w:t>
                  </w:r>
                </w:p>
              </w:tc>
              <w:tc>
                <w:tcPr>
                  <w:tcW w:w="366" w:type="pct"/>
                  <w:vMerge w:val="restart"/>
                  <w:vAlign w:val="center"/>
                </w:tcPr>
                <w:p w14:paraId="2ED5394E">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color w:val="auto"/>
                      <w:spacing w:val="0"/>
                      <w:sz w:val="21"/>
                      <w:szCs w:val="21"/>
                      <w:highlight w:val="none"/>
                    </w:rPr>
                  </w:pPr>
                  <w:r>
                    <w:rPr>
                      <w:rFonts w:hint="eastAsia" w:ascii="Times New Roman" w:hAnsi="Times New Roman" w:eastAsia="宋体" w:cs="Times New Roman"/>
                      <w:color w:val="auto"/>
                      <w:spacing w:val="0"/>
                      <w:sz w:val="21"/>
                      <w:szCs w:val="21"/>
                      <w:highlight w:val="none"/>
                    </w:rPr>
                    <w:t>建筑物</w:t>
                  </w:r>
                  <w:r>
                    <w:rPr>
                      <w:rFonts w:ascii="Times New Roman" w:hAnsi="Times New Roman" w:eastAsia="宋体" w:cs="Times New Roman"/>
                      <w:color w:val="auto"/>
                      <w:spacing w:val="0"/>
                      <w:sz w:val="21"/>
                      <w:szCs w:val="21"/>
                      <w:highlight w:val="none"/>
                    </w:rPr>
                    <w:t>名称</w:t>
                  </w:r>
                </w:p>
              </w:tc>
              <w:tc>
                <w:tcPr>
                  <w:tcW w:w="530" w:type="pct"/>
                  <w:vMerge w:val="restart"/>
                  <w:vAlign w:val="center"/>
                </w:tcPr>
                <w:p w14:paraId="0996781D">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color w:val="auto"/>
                      <w:spacing w:val="0"/>
                      <w:sz w:val="21"/>
                      <w:szCs w:val="21"/>
                      <w:highlight w:val="none"/>
                    </w:rPr>
                  </w:pPr>
                  <w:r>
                    <w:rPr>
                      <w:rFonts w:hint="eastAsia" w:ascii="Times New Roman" w:hAnsi="Times New Roman" w:eastAsia="宋体" w:cs="Times New Roman"/>
                      <w:color w:val="auto"/>
                      <w:spacing w:val="0"/>
                      <w:sz w:val="21"/>
                      <w:szCs w:val="21"/>
                      <w:highlight w:val="none"/>
                    </w:rPr>
                    <w:t>声源</w:t>
                  </w:r>
                  <w:r>
                    <w:rPr>
                      <w:rFonts w:ascii="Times New Roman" w:hAnsi="Times New Roman" w:eastAsia="宋体" w:cs="Times New Roman"/>
                      <w:color w:val="auto"/>
                      <w:spacing w:val="0"/>
                      <w:sz w:val="21"/>
                      <w:szCs w:val="21"/>
                      <w:highlight w:val="none"/>
                    </w:rPr>
                    <w:t>名称</w:t>
                  </w:r>
                </w:p>
              </w:tc>
              <w:tc>
                <w:tcPr>
                  <w:tcW w:w="273" w:type="pct"/>
                  <w:vMerge w:val="restart"/>
                  <w:vAlign w:val="center"/>
                </w:tcPr>
                <w:p w14:paraId="06618610">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数量（台/套）</w:t>
                  </w:r>
                </w:p>
              </w:tc>
              <w:tc>
                <w:tcPr>
                  <w:tcW w:w="305" w:type="pct"/>
                  <w:vMerge w:val="restart"/>
                  <w:vAlign w:val="center"/>
                </w:tcPr>
                <w:p w14:paraId="7C418A66">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color w:val="auto"/>
                      <w:spacing w:val="0"/>
                      <w:sz w:val="21"/>
                      <w:szCs w:val="21"/>
                      <w:highlight w:val="none"/>
                    </w:rPr>
                  </w:pPr>
                  <w:r>
                    <w:rPr>
                      <w:rFonts w:hint="eastAsia" w:ascii="Times New Roman" w:hAnsi="Times New Roman" w:eastAsia="宋体" w:cs="Times New Roman"/>
                      <w:color w:val="auto"/>
                      <w:spacing w:val="0"/>
                      <w:sz w:val="21"/>
                      <w:szCs w:val="21"/>
                      <w:highlight w:val="none"/>
                    </w:rPr>
                    <w:t>声功率级</w:t>
                  </w:r>
                  <w:r>
                    <w:rPr>
                      <w:rFonts w:ascii="Times New Roman" w:hAnsi="Times New Roman" w:eastAsia="宋体" w:cs="Times New Roman"/>
                      <w:color w:val="auto"/>
                      <w:spacing w:val="0"/>
                      <w:sz w:val="21"/>
                      <w:szCs w:val="21"/>
                      <w:highlight w:val="none"/>
                    </w:rPr>
                    <w:t>dB</w:t>
                  </w:r>
                  <w:r>
                    <w:rPr>
                      <w:rFonts w:hint="eastAsia" w:ascii="Times New Roman" w:hAnsi="Times New Roman" w:eastAsia="宋体" w:cs="Times New Roman"/>
                      <w:color w:val="auto"/>
                      <w:spacing w:val="0"/>
                      <w:sz w:val="21"/>
                      <w:szCs w:val="21"/>
                      <w:highlight w:val="none"/>
                    </w:rPr>
                    <w:t>(</w:t>
                  </w:r>
                  <w:r>
                    <w:rPr>
                      <w:rFonts w:ascii="Times New Roman" w:hAnsi="Times New Roman" w:eastAsia="宋体" w:cs="Times New Roman"/>
                      <w:color w:val="auto"/>
                      <w:spacing w:val="0"/>
                      <w:sz w:val="21"/>
                      <w:szCs w:val="21"/>
                      <w:highlight w:val="none"/>
                    </w:rPr>
                    <w:t>A</w:t>
                  </w:r>
                  <w:r>
                    <w:rPr>
                      <w:rFonts w:hint="eastAsia" w:ascii="Times New Roman" w:hAnsi="Times New Roman" w:eastAsia="宋体" w:cs="Times New Roman"/>
                      <w:color w:val="auto"/>
                      <w:spacing w:val="0"/>
                      <w:sz w:val="21"/>
                      <w:szCs w:val="21"/>
                      <w:highlight w:val="none"/>
                    </w:rPr>
                    <w:t>)</w:t>
                  </w:r>
                </w:p>
              </w:tc>
              <w:tc>
                <w:tcPr>
                  <w:tcW w:w="404" w:type="pct"/>
                  <w:vMerge w:val="restart"/>
                  <w:vAlign w:val="center"/>
                </w:tcPr>
                <w:p w14:paraId="4BBD2208">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color w:val="auto"/>
                      <w:spacing w:val="0"/>
                      <w:sz w:val="21"/>
                      <w:szCs w:val="21"/>
                      <w:highlight w:val="none"/>
                    </w:rPr>
                  </w:pPr>
                  <w:r>
                    <w:rPr>
                      <w:rFonts w:hint="eastAsia" w:ascii="Times New Roman" w:hAnsi="Times New Roman" w:eastAsia="宋体" w:cs="Times New Roman"/>
                      <w:color w:val="auto"/>
                      <w:spacing w:val="0"/>
                      <w:sz w:val="21"/>
                      <w:szCs w:val="21"/>
                      <w:highlight w:val="none"/>
                    </w:rPr>
                    <w:t>声源</w:t>
                  </w:r>
                  <w:r>
                    <w:rPr>
                      <w:rFonts w:ascii="Times New Roman" w:hAnsi="Times New Roman" w:eastAsia="宋体" w:cs="Times New Roman"/>
                      <w:color w:val="auto"/>
                      <w:spacing w:val="0"/>
                      <w:sz w:val="21"/>
                      <w:szCs w:val="21"/>
                      <w:highlight w:val="none"/>
                    </w:rPr>
                    <w:t>控制措施</w:t>
                  </w:r>
                </w:p>
              </w:tc>
              <w:tc>
                <w:tcPr>
                  <w:tcW w:w="760" w:type="pct"/>
                  <w:gridSpan w:val="3"/>
                  <w:vAlign w:val="center"/>
                </w:tcPr>
                <w:p w14:paraId="46D52974">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color w:val="auto"/>
                      <w:spacing w:val="0"/>
                      <w:sz w:val="21"/>
                      <w:szCs w:val="21"/>
                      <w:highlight w:val="none"/>
                    </w:rPr>
                  </w:pPr>
                  <w:r>
                    <w:rPr>
                      <w:rFonts w:hint="eastAsia" w:ascii="Times New Roman" w:hAnsi="Times New Roman" w:eastAsia="宋体" w:cs="Times New Roman"/>
                      <w:color w:val="auto"/>
                      <w:spacing w:val="0"/>
                      <w:sz w:val="21"/>
                      <w:szCs w:val="21"/>
                      <w:highlight w:val="none"/>
                    </w:rPr>
                    <w:t>空间</w:t>
                  </w:r>
                  <w:r>
                    <w:rPr>
                      <w:rFonts w:ascii="Times New Roman" w:hAnsi="Times New Roman" w:eastAsia="宋体" w:cs="Times New Roman"/>
                      <w:color w:val="auto"/>
                      <w:spacing w:val="0"/>
                      <w:sz w:val="21"/>
                      <w:szCs w:val="21"/>
                      <w:highlight w:val="none"/>
                    </w:rPr>
                    <w:t>相对位置</w:t>
                  </w:r>
                  <w:r>
                    <w:rPr>
                      <w:rFonts w:hint="eastAsia" w:ascii="Times New Roman" w:hAnsi="Times New Roman" w:eastAsia="宋体" w:cs="Times New Roman"/>
                      <w:color w:val="auto"/>
                      <w:spacing w:val="0"/>
                      <w:sz w:val="21"/>
                      <w:szCs w:val="21"/>
                      <w:highlight w:val="none"/>
                    </w:rPr>
                    <w:t>/m</w:t>
                  </w:r>
                </w:p>
              </w:tc>
              <w:tc>
                <w:tcPr>
                  <w:tcW w:w="360" w:type="pct"/>
                  <w:vMerge w:val="restart"/>
                  <w:vAlign w:val="center"/>
                </w:tcPr>
                <w:p w14:paraId="23327211">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color w:val="auto"/>
                      <w:spacing w:val="0"/>
                      <w:sz w:val="21"/>
                      <w:szCs w:val="21"/>
                      <w:highlight w:val="none"/>
                    </w:rPr>
                  </w:pPr>
                  <w:r>
                    <w:rPr>
                      <w:rFonts w:hint="eastAsia" w:ascii="Times New Roman" w:hAnsi="Times New Roman" w:eastAsia="宋体" w:cs="Times New Roman"/>
                      <w:color w:val="auto"/>
                      <w:spacing w:val="0"/>
                      <w:sz w:val="21"/>
                      <w:szCs w:val="21"/>
                      <w:highlight w:val="none"/>
                    </w:rPr>
                    <w:t>距</w:t>
                  </w:r>
                  <w:r>
                    <w:rPr>
                      <w:rFonts w:ascii="Times New Roman" w:hAnsi="Times New Roman" w:eastAsia="宋体" w:cs="Times New Roman"/>
                      <w:color w:val="auto"/>
                      <w:spacing w:val="0"/>
                      <w:sz w:val="21"/>
                      <w:szCs w:val="21"/>
                      <w:highlight w:val="none"/>
                    </w:rPr>
                    <w:t>室内边界距离</w:t>
                  </w:r>
                  <w:r>
                    <w:rPr>
                      <w:rFonts w:hint="eastAsia" w:ascii="Times New Roman" w:hAnsi="Times New Roman" w:eastAsia="宋体" w:cs="Times New Roman"/>
                      <w:color w:val="auto"/>
                      <w:spacing w:val="0"/>
                      <w:sz w:val="21"/>
                      <w:szCs w:val="21"/>
                      <w:highlight w:val="none"/>
                    </w:rPr>
                    <w:t>/m</w:t>
                  </w:r>
                </w:p>
              </w:tc>
              <w:tc>
                <w:tcPr>
                  <w:tcW w:w="344" w:type="pct"/>
                  <w:vMerge w:val="restart"/>
                  <w:vAlign w:val="center"/>
                </w:tcPr>
                <w:p w14:paraId="194899CD">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color w:val="auto"/>
                      <w:spacing w:val="0"/>
                      <w:sz w:val="21"/>
                      <w:szCs w:val="21"/>
                      <w:highlight w:val="none"/>
                    </w:rPr>
                  </w:pPr>
                  <w:r>
                    <w:rPr>
                      <w:rFonts w:hint="eastAsia" w:ascii="Times New Roman" w:hAnsi="Times New Roman" w:eastAsia="宋体" w:cs="Times New Roman"/>
                      <w:color w:val="auto"/>
                      <w:spacing w:val="0"/>
                      <w:sz w:val="21"/>
                      <w:szCs w:val="21"/>
                      <w:highlight w:val="none"/>
                    </w:rPr>
                    <w:t>室内</w:t>
                  </w:r>
                  <w:r>
                    <w:rPr>
                      <w:rFonts w:ascii="Times New Roman" w:hAnsi="Times New Roman" w:eastAsia="宋体" w:cs="Times New Roman"/>
                      <w:color w:val="auto"/>
                      <w:spacing w:val="0"/>
                      <w:sz w:val="21"/>
                      <w:szCs w:val="21"/>
                      <w:highlight w:val="none"/>
                    </w:rPr>
                    <w:t>边界声级</w:t>
                  </w:r>
                  <w:r>
                    <w:rPr>
                      <w:rFonts w:hint="eastAsia" w:ascii="Times New Roman" w:hAnsi="Times New Roman" w:eastAsia="宋体" w:cs="Times New Roman"/>
                      <w:color w:val="auto"/>
                      <w:spacing w:val="0"/>
                      <w:sz w:val="21"/>
                      <w:szCs w:val="21"/>
                      <w:highlight w:val="none"/>
                    </w:rPr>
                    <w:t>d</w:t>
                  </w:r>
                  <w:r>
                    <w:rPr>
                      <w:rFonts w:ascii="Times New Roman" w:hAnsi="Times New Roman" w:eastAsia="宋体" w:cs="Times New Roman"/>
                      <w:color w:val="auto"/>
                      <w:spacing w:val="0"/>
                      <w:sz w:val="21"/>
                      <w:szCs w:val="21"/>
                      <w:highlight w:val="none"/>
                    </w:rPr>
                    <w:t>B</w:t>
                  </w:r>
                  <w:r>
                    <w:rPr>
                      <w:rFonts w:hint="eastAsia" w:ascii="Times New Roman" w:hAnsi="Times New Roman" w:eastAsia="宋体" w:cs="Times New Roman"/>
                      <w:color w:val="auto"/>
                      <w:spacing w:val="0"/>
                      <w:sz w:val="21"/>
                      <w:szCs w:val="21"/>
                      <w:highlight w:val="none"/>
                    </w:rPr>
                    <w:t>(</w:t>
                  </w:r>
                  <w:r>
                    <w:rPr>
                      <w:rFonts w:ascii="Times New Roman" w:hAnsi="Times New Roman" w:eastAsia="宋体" w:cs="Times New Roman"/>
                      <w:color w:val="auto"/>
                      <w:spacing w:val="0"/>
                      <w:sz w:val="21"/>
                      <w:szCs w:val="21"/>
                      <w:highlight w:val="none"/>
                    </w:rPr>
                    <w:t>A</w:t>
                  </w:r>
                  <w:r>
                    <w:rPr>
                      <w:rFonts w:hint="eastAsia" w:ascii="Times New Roman" w:hAnsi="Times New Roman" w:eastAsia="宋体" w:cs="Times New Roman"/>
                      <w:color w:val="auto"/>
                      <w:spacing w:val="0"/>
                      <w:sz w:val="21"/>
                      <w:szCs w:val="21"/>
                      <w:highlight w:val="none"/>
                    </w:rPr>
                    <w:t>)</w:t>
                  </w:r>
                </w:p>
              </w:tc>
              <w:tc>
                <w:tcPr>
                  <w:tcW w:w="295" w:type="pct"/>
                  <w:vMerge w:val="restart"/>
                  <w:vAlign w:val="center"/>
                </w:tcPr>
                <w:p w14:paraId="7C429EF0">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color w:val="auto"/>
                      <w:spacing w:val="0"/>
                      <w:sz w:val="21"/>
                      <w:szCs w:val="21"/>
                      <w:highlight w:val="none"/>
                    </w:rPr>
                  </w:pPr>
                  <w:r>
                    <w:rPr>
                      <w:rFonts w:hint="eastAsia" w:ascii="Times New Roman" w:hAnsi="Times New Roman" w:eastAsia="宋体" w:cs="Times New Roman"/>
                      <w:color w:val="auto"/>
                      <w:spacing w:val="0"/>
                      <w:sz w:val="21"/>
                      <w:szCs w:val="21"/>
                      <w:highlight w:val="none"/>
                    </w:rPr>
                    <w:t>运行</w:t>
                  </w:r>
                  <w:r>
                    <w:rPr>
                      <w:rFonts w:ascii="Times New Roman" w:hAnsi="Times New Roman" w:eastAsia="宋体" w:cs="Times New Roman"/>
                      <w:color w:val="auto"/>
                      <w:spacing w:val="0"/>
                      <w:sz w:val="21"/>
                      <w:szCs w:val="21"/>
                      <w:highlight w:val="none"/>
                    </w:rPr>
                    <w:t>时段</w:t>
                  </w:r>
                </w:p>
              </w:tc>
              <w:tc>
                <w:tcPr>
                  <w:tcW w:w="404" w:type="pct"/>
                  <w:vMerge w:val="restart"/>
                  <w:vAlign w:val="center"/>
                </w:tcPr>
                <w:p w14:paraId="426BC645">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color w:val="auto"/>
                      <w:spacing w:val="0"/>
                      <w:sz w:val="21"/>
                      <w:szCs w:val="21"/>
                      <w:highlight w:val="none"/>
                    </w:rPr>
                  </w:pPr>
                  <w:r>
                    <w:rPr>
                      <w:rFonts w:hint="eastAsia" w:ascii="Times New Roman" w:hAnsi="Times New Roman" w:eastAsia="宋体" w:cs="Times New Roman"/>
                      <w:color w:val="auto"/>
                      <w:spacing w:val="0"/>
                      <w:sz w:val="21"/>
                      <w:szCs w:val="21"/>
                      <w:highlight w:val="none"/>
                    </w:rPr>
                    <w:t>建筑物</w:t>
                  </w:r>
                  <w:r>
                    <w:rPr>
                      <w:rFonts w:ascii="Times New Roman" w:hAnsi="Times New Roman" w:eastAsia="宋体" w:cs="Times New Roman"/>
                      <w:color w:val="auto"/>
                      <w:spacing w:val="0"/>
                      <w:sz w:val="21"/>
                      <w:szCs w:val="21"/>
                      <w:highlight w:val="none"/>
                    </w:rPr>
                    <w:t>插入损失</w:t>
                  </w:r>
                  <w:r>
                    <w:rPr>
                      <w:rFonts w:hint="eastAsia" w:ascii="Times New Roman" w:hAnsi="Times New Roman" w:eastAsia="宋体" w:cs="Times New Roman"/>
                      <w:color w:val="auto"/>
                      <w:spacing w:val="0"/>
                      <w:sz w:val="21"/>
                      <w:szCs w:val="21"/>
                      <w:highlight w:val="none"/>
                    </w:rPr>
                    <w:t>d</w:t>
                  </w:r>
                  <w:r>
                    <w:rPr>
                      <w:rFonts w:ascii="Times New Roman" w:hAnsi="Times New Roman" w:eastAsia="宋体" w:cs="Times New Roman"/>
                      <w:color w:val="auto"/>
                      <w:spacing w:val="0"/>
                      <w:sz w:val="21"/>
                      <w:szCs w:val="21"/>
                      <w:highlight w:val="none"/>
                    </w:rPr>
                    <w:t>B</w:t>
                  </w:r>
                  <w:r>
                    <w:rPr>
                      <w:rFonts w:hint="eastAsia" w:ascii="Times New Roman" w:hAnsi="Times New Roman" w:eastAsia="宋体" w:cs="Times New Roman"/>
                      <w:color w:val="auto"/>
                      <w:spacing w:val="0"/>
                      <w:sz w:val="21"/>
                      <w:szCs w:val="21"/>
                      <w:highlight w:val="none"/>
                    </w:rPr>
                    <w:t>(</w:t>
                  </w:r>
                  <w:r>
                    <w:rPr>
                      <w:rFonts w:ascii="Times New Roman" w:hAnsi="Times New Roman" w:eastAsia="宋体" w:cs="Times New Roman"/>
                      <w:color w:val="auto"/>
                      <w:spacing w:val="0"/>
                      <w:sz w:val="21"/>
                      <w:szCs w:val="21"/>
                      <w:highlight w:val="none"/>
                    </w:rPr>
                    <w:t>A)</w:t>
                  </w:r>
                </w:p>
              </w:tc>
              <w:tc>
                <w:tcPr>
                  <w:tcW w:w="764" w:type="pct"/>
                  <w:gridSpan w:val="2"/>
                  <w:vAlign w:val="center"/>
                </w:tcPr>
                <w:p w14:paraId="03444AE8">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color w:val="auto"/>
                      <w:spacing w:val="0"/>
                      <w:sz w:val="21"/>
                      <w:szCs w:val="21"/>
                      <w:highlight w:val="none"/>
                    </w:rPr>
                  </w:pPr>
                  <w:r>
                    <w:rPr>
                      <w:rFonts w:hint="eastAsia" w:ascii="Times New Roman" w:hAnsi="Times New Roman" w:eastAsia="宋体" w:cs="Times New Roman"/>
                      <w:color w:val="auto"/>
                      <w:spacing w:val="0"/>
                      <w:sz w:val="21"/>
                      <w:szCs w:val="21"/>
                      <w:highlight w:val="none"/>
                    </w:rPr>
                    <w:t>建筑物</w:t>
                  </w:r>
                  <w:r>
                    <w:rPr>
                      <w:rFonts w:ascii="Times New Roman" w:hAnsi="Times New Roman" w:eastAsia="宋体" w:cs="Times New Roman"/>
                      <w:color w:val="auto"/>
                      <w:spacing w:val="0"/>
                      <w:sz w:val="21"/>
                      <w:szCs w:val="21"/>
                      <w:highlight w:val="none"/>
                    </w:rPr>
                    <w:t>外噪声</w:t>
                  </w:r>
                </w:p>
              </w:tc>
            </w:tr>
            <w:tr w14:paraId="75A6B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0" w:type="pct"/>
                  <w:vMerge w:val="continue"/>
                  <w:vAlign w:val="center"/>
                </w:tcPr>
                <w:p w14:paraId="676F915C">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color w:val="auto"/>
                      <w:spacing w:val="0"/>
                      <w:sz w:val="21"/>
                      <w:szCs w:val="21"/>
                      <w:highlight w:val="none"/>
                    </w:rPr>
                  </w:pPr>
                </w:p>
              </w:tc>
              <w:tc>
                <w:tcPr>
                  <w:tcW w:w="366" w:type="pct"/>
                  <w:vMerge w:val="continue"/>
                  <w:vAlign w:val="center"/>
                </w:tcPr>
                <w:p w14:paraId="2D5DE7E1">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color w:val="auto"/>
                      <w:spacing w:val="0"/>
                      <w:sz w:val="21"/>
                      <w:szCs w:val="21"/>
                      <w:highlight w:val="none"/>
                    </w:rPr>
                  </w:pPr>
                </w:p>
              </w:tc>
              <w:tc>
                <w:tcPr>
                  <w:tcW w:w="530" w:type="pct"/>
                  <w:vMerge w:val="continue"/>
                  <w:vAlign w:val="center"/>
                </w:tcPr>
                <w:p w14:paraId="5B4E5B33">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color w:val="auto"/>
                      <w:spacing w:val="0"/>
                      <w:sz w:val="21"/>
                      <w:szCs w:val="21"/>
                      <w:highlight w:val="none"/>
                    </w:rPr>
                  </w:pPr>
                </w:p>
              </w:tc>
              <w:tc>
                <w:tcPr>
                  <w:tcW w:w="273" w:type="pct"/>
                  <w:vMerge w:val="continue"/>
                  <w:vAlign w:val="center"/>
                </w:tcPr>
                <w:p w14:paraId="7E3987CE">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color w:val="auto"/>
                      <w:spacing w:val="0"/>
                      <w:sz w:val="21"/>
                      <w:szCs w:val="21"/>
                      <w:highlight w:val="none"/>
                    </w:rPr>
                  </w:pPr>
                </w:p>
              </w:tc>
              <w:tc>
                <w:tcPr>
                  <w:tcW w:w="305" w:type="pct"/>
                  <w:vMerge w:val="continue"/>
                  <w:vAlign w:val="center"/>
                </w:tcPr>
                <w:p w14:paraId="0553846F">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color w:val="auto"/>
                      <w:spacing w:val="0"/>
                      <w:sz w:val="21"/>
                      <w:szCs w:val="21"/>
                      <w:highlight w:val="none"/>
                    </w:rPr>
                  </w:pPr>
                </w:p>
              </w:tc>
              <w:tc>
                <w:tcPr>
                  <w:tcW w:w="404" w:type="pct"/>
                  <w:vMerge w:val="continue"/>
                  <w:vAlign w:val="center"/>
                </w:tcPr>
                <w:p w14:paraId="1E6E4AA0">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color w:val="auto"/>
                      <w:spacing w:val="0"/>
                      <w:sz w:val="21"/>
                      <w:szCs w:val="21"/>
                      <w:highlight w:val="none"/>
                    </w:rPr>
                  </w:pPr>
                </w:p>
              </w:tc>
              <w:tc>
                <w:tcPr>
                  <w:tcW w:w="253" w:type="pct"/>
                  <w:vAlign w:val="center"/>
                </w:tcPr>
                <w:p w14:paraId="4FED1566">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color w:val="auto"/>
                      <w:spacing w:val="0"/>
                      <w:sz w:val="21"/>
                      <w:szCs w:val="21"/>
                      <w:highlight w:val="none"/>
                    </w:rPr>
                  </w:pPr>
                  <w:r>
                    <w:rPr>
                      <w:rFonts w:hint="eastAsia" w:ascii="Times New Roman" w:hAnsi="Times New Roman" w:eastAsia="宋体" w:cs="Times New Roman"/>
                      <w:color w:val="auto"/>
                      <w:spacing w:val="0"/>
                      <w:sz w:val="21"/>
                      <w:szCs w:val="21"/>
                      <w:highlight w:val="none"/>
                    </w:rPr>
                    <w:t>X</w:t>
                  </w:r>
                </w:p>
              </w:tc>
              <w:tc>
                <w:tcPr>
                  <w:tcW w:w="253" w:type="pct"/>
                  <w:vAlign w:val="center"/>
                </w:tcPr>
                <w:p w14:paraId="474FA0A5">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color w:val="auto"/>
                      <w:spacing w:val="0"/>
                      <w:sz w:val="21"/>
                      <w:szCs w:val="21"/>
                      <w:highlight w:val="none"/>
                    </w:rPr>
                  </w:pPr>
                  <w:r>
                    <w:rPr>
                      <w:rFonts w:hint="eastAsia" w:ascii="Times New Roman" w:hAnsi="Times New Roman" w:eastAsia="宋体" w:cs="Times New Roman"/>
                      <w:color w:val="auto"/>
                      <w:spacing w:val="0"/>
                      <w:sz w:val="21"/>
                      <w:szCs w:val="21"/>
                      <w:highlight w:val="none"/>
                    </w:rPr>
                    <w:t>Y</w:t>
                  </w:r>
                </w:p>
              </w:tc>
              <w:tc>
                <w:tcPr>
                  <w:tcW w:w="254" w:type="pct"/>
                  <w:vAlign w:val="center"/>
                </w:tcPr>
                <w:p w14:paraId="0B5CC16F">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color w:val="auto"/>
                      <w:spacing w:val="0"/>
                      <w:sz w:val="21"/>
                      <w:szCs w:val="21"/>
                      <w:highlight w:val="none"/>
                    </w:rPr>
                  </w:pPr>
                  <w:r>
                    <w:rPr>
                      <w:rFonts w:hint="eastAsia" w:ascii="Times New Roman" w:hAnsi="Times New Roman" w:eastAsia="宋体" w:cs="Times New Roman"/>
                      <w:color w:val="auto"/>
                      <w:spacing w:val="0"/>
                      <w:sz w:val="21"/>
                      <w:szCs w:val="21"/>
                      <w:highlight w:val="none"/>
                    </w:rPr>
                    <w:t>Z</w:t>
                  </w:r>
                </w:p>
              </w:tc>
              <w:tc>
                <w:tcPr>
                  <w:tcW w:w="360" w:type="pct"/>
                  <w:vMerge w:val="continue"/>
                  <w:vAlign w:val="center"/>
                </w:tcPr>
                <w:p w14:paraId="4133CA75">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color w:val="auto"/>
                      <w:spacing w:val="0"/>
                      <w:sz w:val="21"/>
                      <w:szCs w:val="21"/>
                      <w:highlight w:val="none"/>
                    </w:rPr>
                  </w:pPr>
                </w:p>
              </w:tc>
              <w:tc>
                <w:tcPr>
                  <w:tcW w:w="344" w:type="pct"/>
                  <w:vMerge w:val="continue"/>
                  <w:vAlign w:val="center"/>
                </w:tcPr>
                <w:p w14:paraId="17036EDE">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color w:val="auto"/>
                      <w:spacing w:val="0"/>
                      <w:sz w:val="21"/>
                      <w:szCs w:val="21"/>
                      <w:highlight w:val="none"/>
                    </w:rPr>
                  </w:pPr>
                </w:p>
              </w:tc>
              <w:tc>
                <w:tcPr>
                  <w:tcW w:w="295" w:type="pct"/>
                  <w:vMerge w:val="continue"/>
                  <w:vAlign w:val="center"/>
                </w:tcPr>
                <w:p w14:paraId="0A709F39">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color w:val="auto"/>
                      <w:spacing w:val="0"/>
                      <w:sz w:val="21"/>
                      <w:szCs w:val="21"/>
                      <w:highlight w:val="none"/>
                    </w:rPr>
                  </w:pPr>
                </w:p>
              </w:tc>
              <w:tc>
                <w:tcPr>
                  <w:tcW w:w="404" w:type="pct"/>
                  <w:vMerge w:val="continue"/>
                  <w:vAlign w:val="center"/>
                </w:tcPr>
                <w:p w14:paraId="1EC99682">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color w:val="auto"/>
                      <w:spacing w:val="0"/>
                      <w:sz w:val="21"/>
                      <w:szCs w:val="21"/>
                      <w:highlight w:val="none"/>
                    </w:rPr>
                  </w:pPr>
                </w:p>
              </w:tc>
              <w:tc>
                <w:tcPr>
                  <w:tcW w:w="349" w:type="pct"/>
                  <w:vAlign w:val="center"/>
                </w:tcPr>
                <w:p w14:paraId="23ECA444">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color w:val="auto"/>
                      <w:spacing w:val="0"/>
                      <w:sz w:val="21"/>
                      <w:szCs w:val="21"/>
                      <w:highlight w:val="none"/>
                    </w:rPr>
                  </w:pPr>
                  <w:r>
                    <w:rPr>
                      <w:rFonts w:hint="eastAsia" w:ascii="Times New Roman" w:hAnsi="Times New Roman" w:eastAsia="宋体" w:cs="Times New Roman"/>
                      <w:color w:val="auto"/>
                      <w:spacing w:val="0"/>
                      <w:sz w:val="21"/>
                      <w:szCs w:val="21"/>
                      <w:highlight w:val="none"/>
                    </w:rPr>
                    <w:t>声压级dB(A)</w:t>
                  </w:r>
                </w:p>
              </w:tc>
              <w:tc>
                <w:tcPr>
                  <w:tcW w:w="414" w:type="pct"/>
                  <w:vAlign w:val="center"/>
                </w:tcPr>
                <w:p w14:paraId="3D527337">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rPr>
                    <w:t>建筑物</w:t>
                  </w:r>
                  <w:r>
                    <w:rPr>
                      <w:rFonts w:ascii="Times New Roman" w:hAnsi="Times New Roman" w:eastAsia="宋体" w:cs="Times New Roman"/>
                      <w:color w:val="auto"/>
                      <w:spacing w:val="0"/>
                      <w:sz w:val="21"/>
                      <w:szCs w:val="21"/>
                      <w:highlight w:val="none"/>
                    </w:rPr>
                    <w:t>外距离</w:t>
                  </w:r>
                  <w:r>
                    <w:rPr>
                      <w:rFonts w:hint="eastAsia" w:ascii="Times New Roman" w:hAnsi="Times New Roman" w:eastAsia="宋体" w:cs="Times New Roman"/>
                      <w:color w:val="auto"/>
                      <w:spacing w:val="0"/>
                      <w:sz w:val="21"/>
                      <w:szCs w:val="21"/>
                      <w:highlight w:val="none"/>
                      <w:lang w:val="en-US" w:eastAsia="zh-CN"/>
                    </w:rPr>
                    <w:t>m</w:t>
                  </w:r>
                </w:p>
              </w:tc>
            </w:tr>
            <w:tr w14:paraId="57B4F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190" w:type="pct"/>
                  <w:shd w:val="clear" w:color="auto" w:fill="auto"/>
                  <w:vAlign w:val="center"/>
                </w:tcPr>
                <w:p w14:paraId="082C904E">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sz w:val="21"/>
                      <w:szCs w:val="21"/>
                      <w:highlight w:val="none"/>
                      <w:lang w:val="en-US" w:eastAsia="zh-CN"/>
                    </w:rPr>
                    <w:t>1</w:t>
                  </w:r>
                </w:p>
              </w:tc>
              <w:tc>
                <w:tcPr>
                  <w:tcW w:w="366" w:type="pct"/>
                  <w:vMerge w:val="restart"/>
                  <w:vAlign w:val="center"/>
                </w:tcPr>
                <w:p w14:paraId="445645F8">
                  <w:pPr>
                    <w:keepNext w:val="0"/>
                    <w:keepLines w:val="0"/>
                    <w:pageBreakBefore w:val="0"/>
                    <w:widowControl w:val="0"/>
                    <w:kinsoku/>
                    <w:wordWrap/>
                    <w:overflowPunct/>
                    <w:topLinePunct w:val="0"/>
                    <w:bidi w:val="0"/>
                    <w:adjustRightInd w:val="0"/>
                    <w:snapToGrid w:val="0"/>
                    <w:spacing w:line="240" w:lineRule="auto"/>
                    <w:jc w:val="center"/>
                    <w:textAlignment w:val="auto"/>
                    <w:rPr>
                      <w:rFonts w:hint="eastAsia" w:ascii="Calibri" w:hAnsi="Calibri" w:cs="Times New Roman"/>
                      <w:color w:val="auto"/>
                      <w:spacing w:val="0"/>
                      <w:kern w:val="0"/>
                      <w:sz w:val="21"/>
                      <w:szCs w:val="21"/>
                      <w:highlight w:val="none"/>
                      <w:lang w:val="en-US" w:eastAsia="zh-CN"/>
                    </w:rPr>
                  </w:pPr>
                  <w:r>
                    <w:rPr>
                      <w:rFonts w:hint="eastAsia" w:ascii="Calibri" w:hAnsi="Calibri" w:cs="Times New Roman"/>
                      <w:color w:val="auto"/>
                      <w:spacing w:val="0"/>
                      <w:kern w:val="0"/>
                      <w:sz w:val="21"/>
                      <w:szCs w:val="21"/>
                      <w:highlight w:val="none"/>
                      <w:lang w:val="en-US" w:eastAsia="zh-CN"/>
                    </w:rPr>
                    <w:t>原煤</w:t>
                  </w:r>
                </w:p>
                <w:p w14:paraId="4B05B8C4">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Calibri" w:hAnsi="Calibri" w:eastAsia="宋体" w:cs="Times New Roman"/>
                      <w:color w:val="auto"/>
                      <w:spacing w:val="0"/>
                      <w:kern w:val="0"/>
                      <w:sz w:val="21"/>
                      <w:szCs w:val="21"/>
                      <w:highlight w:val="none"/>
                      <w:lang w:val="en-US" w:eastAsia="zh-CN"/>
                    </w:rPr>
                  </w:pPr>
                  <w:r>
                    <w:rPr>
                      <w:rFonts w:hint="eastAsia" w:ascii="Calibri" w:hAnsi="Calibri" w:cs="Times New Roman"/>
                      <w:color w:val="auto"/>
                      <w:spacing w:val="0"/>
                      <w:kern w:val="0"/>
                      <w:sz w:val="21"/>
                      <w:szCs w:val="21"/>
                      <w:highlight w:val="none"/>
                      <w:lang w:val="en-US" w:eastAsia="zh-CN"/>
                    </w:rPr>
                    <w:t>筒仓</w:t>
                  </w:r>
                </w:p>
              </w:tc>
              <w:tc>
                <w:tcPr>
                  <w:tcW w:w="530" w:type="pct"/>
                  <w:shd w:val="clear" w:color="auto" w:fill="auto"/>
                  <w:vAlign w:val="center"/>
                </w:tcPr>
                <w:p w14:paraId="2882F61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cs="Times New Roman"/>
                      <w:bCs/>
                      <w:color w:val="auto"/>
                      <w:szCs w:val="21"/>
                      <w:highlight w:val="none"/>
                      <w:lang w:val="en-US" w:eastAsia="zh-CN"/>
                    </w:rPr>
                    <w:t>仓下给煤机</w:t>
                  </w:r>
                </w:p>
              </w:tc>
              <w:tc>
                <w:tcPr>
                  <w:tcW w:w="273" w:type="pct"/>
                  <w:shd w:val="clear" w:color="auto" w:fill="auto"/>
                  <w:vAlign w:val="center"/>
                </w:tcPr>
                <w:p w14:paraId="5182B6C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sz w:val="21"/>
                      <w:szCs w:val="21"/>
                      <w:highlight w:val="none"/>
                      <w:lang w:val="en-US" w:eastAsia="zh-CN"/>
                    </w:rPr>
                    <w:t>4</w:t>
                  </w:r>
                </w:p>
              </w:tc>
              <w:tc>
                <w:tcPr>
                  <w:tcW w:w="305" w:type="pct"/>
                  <w:shd w:val="clear" w:color="auto" w:fill="auto"/>
                  <w:vAlign w:val="center"/>
                </w:tcPr>
                <w:p w14:paraId="0D1FF25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85</w:t>
                  </w:r>
                </w:p>
              </w:tc>
              <w:tc>
                <w:tcPr>
                  <w:tcW w:w="404" w:type="pct"/>
                  <w:vMerge w:val="restart"/>
                  <w:vAlign w:val="center"/>
                </w:tcPr>
                <w:p w14:paraId="1E4EFBE8">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spacing w:val="0"/>
                      <w:sz w:val="21"/>
                      <w:szCs w:val="21"/>
                      <w:highlight w:val="none"/>
                      <w:lang w:val="en-US"/>
                    </w:rPr>
                  </w:pPr>
                  <w:r>
                    <w:rPr>
                      <w:rFonts w:hint="eastAsia" w:cs="Times New Roman"/>
                      <w:color w:val="auto"/>
                      <w:spacing w:val="0"/>
                      <w:sz w:val="21"/>
                      <w:szCs w:val="21"/>
                      <w:highlight w:val="none"/>
                      <w:lang w:val="en-US" w:eastAsia="zh-CN"/>
                    </w:rPr>
                    <w:t>低噪声设备；</w:t>
                  </w:r>
                  <w:r>
                    <w:rPr>
                      <w:rFonts w:hint="eastAsia" w:ascii="Times New Roman" w:hAnsi="Times New Roman" w:eastAsia="宋体" w:cs="Times New Roman"/>
                      <w:color w:val="auto"/>
                      <w:spacing w:val="0"/>
                      <w:sz w:val="21"/>
                      <w:szCs w:val="21"/>
                      <w:highlight w:val="none"/>
                    </w:rPr>
                    <w:t>减振；</w:t>
                  </w:r>
                  <w:r>
                    <w:rPr>
                      <w:rFonts w:hint="eastAsia" w:ascii="Times New Roman" w:hAnsi="Times New Roman" w:eastAsia="宋体" w:cs="Times New Roman"/>
                      <w:color w:val="auto"/>
                      <w:spacing w:val="0"/>
                      <w:sz w:val="21"/>
                      <w:szCs w:val="21"/>
                      <w:highlight w:val="none"/>
                      <w:lang w:val="en-US" w:eastAsia="zh-CN"/>
                    </w:rPr>
                    <w:t>隔声；定期维护</w:t>
                  </w:r>
                </w:p>
              </w:tc>
              <w:tc>
                <w:tcPr>
                  <w:tcW w:w="253" w:type="pct"/>
                  <w:shd w:val="clear" w:color="auto" w:fill="auto"/>
                  <w:vAlign w:val="center"/>
                </w:tcPr>
                <w:p w14:paraId="072A35A6">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sz w:val="21"/>
                      <w:szCs w:val="21"/>
                      <w:highlight w:val="none"/>
                      <w:lang w:val="en-US" w:eastAsia="zh-CN"/>
                    </w:rPr>
                    <w:t>513</w:t>
                  </w:r>
                </w:p>
              </w:tc>
              <w:tc>
                <w:tcPr>
                  <w:tcW w:w="253" w:type="pct"/>
                  <w:shd w:val="clear" w:color="auto" w:fill="auto"/>
                  <w:vAlign w:val="center"/>
                </w:tcPr>
                <w:p w14:paraId="2E8E439F">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sz w:val="21"/>
                      <w:szCs w:val="21"/>
                      <w:highlight w:val="none"/>
                      <w:lang w:val="en-US" w:eastAsia="zh-CN"/>
                    </w:rPr>
                    <w:t>-184</w:t>
                  </w:r>
                </w:p>
              </w:tc>
              <w:tc>
                <w:tcPr>
                  <w:tcW w:w="254" w:type="pct"/>
                  <w:shd w:val="clear" w:color="auto" w:fill="auto"/>
                  <w:vAlign w:val="center"/>
                </w:tcPr>
                <w:p w14:paraId="78142271">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sz w:val="21"/>
                      <w:szCs w:val="21"/>
                      <w:highlight w:val="none"/>
                      <w:lang w:val="en-US" w:eastAsia="zh-CN"/>
                    </w:rPr>
                    <w:t>0</w:t>
                  </w:r>
                </w:p>
              </w:tc>
              <w:tc>
                <w:tcPr>
                  <w:tcW w:w="360" w:type="pct"/>
                  <w:vAlign w:val="center"/>
                </w:tcPr>
                <w:p w14:paraId="20BA5818">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1</w:t>
                  </w:r>
                </w:p>
              </w:tc>
              <w:tc>
                <w:tcPr>
                  <w:tcW w:w="344" w:type="pct"/>
                  <w:vAlign w:val="center"/>
                </w:tcPr>
                <w:p w14:paraId="0DF1922D">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81.8</w:t>
                  </w:r>
                </w:p>
              </w:tc>
              <w:tc>
                <w:tcPr>
                  <w:tcW w:w="295" w:type="pct"/>
                  <w:vMerge w:val="restart"/>
                  <w:vAlign w:val="center"/>
                </w:tcPr>
                <w:p w14:paraId="58E06B31">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olor w:val="auto"/>
                      <w:spacing w:val="0"/>
                      <w:sz w:val="21"/>
                      <w:szCs w:val="21"/>
                      <w:highlight w:val="none"/>
                      <w:lang w:val="en-US" w:eastAsia="zh-CN"/>
                    </w:rPr>
                    <w:t>6</w:t>
                  </w:r>
                  <w:r>
                    <w:rPr>
                      <w:rFonts w:hint="eastAsia" w:eastAsia="宋体"/>
                      <w:color w:val="auto"/>
                      <w:spacing w:val="0"/>
                      <w:sz w:val="21"/>
                      <w:szCs w:val="21"/>
                      <w:highlight w:val="none"/>
                      <w:lang w:val="en-US" w:eastAsia="zh-CN"/>
                    </w:rPr>
                    <w:t>:00~</w:t>
                  </w:r>
                  <w:r>
                    <w:rPr>
                      <w:rFonts w:hint="eastAsia"/>
                      <w:color w:val="auto"/>
                      <w:spacing w:val="0"/>
                      <w:sz w:val="21"/>
                      <w:szCs w:val="21"/>
                      <w:highlight w:val="none"/>
                      <w:lang w:val="en-US" w:eastAsia="zh-CN"/>
                    </w:rPr>
                    <w:t>22</w:t>
                  </w:r>
                  <w:r>
                    <w:rPr>
                      <w:rFonts w:hint="eastAsia" w:eastAsia="宋体"/>
                      <w:color w:val="auto"/>
                      <w:spacing w:val="0"/>
                      <w:sz w:val="21"/>
                      <w:szCs w:val="21"/>
                      <w:highlight w:val="none"/>
                      <w:lang w:val="en-US" w:eastAsia="zh-CN"/>
                    </w:rPr>
                    <w:t>:00</w:t>
                  </w:r>
                </w:p>
              </w:tc>
              <w:tc>
                <w:tcPr>
                  <w:tcW w:w="404" w:type="pct"/>
                  <w:vAlign w:val="center"/>
                </w:tcPr>
                <w:p w14:paraId="03ACADD8">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20</w:t>
                  </w:r>
                </w:p>
              </w:tc>
              <w:tc>
                <w:tcPr>
                  <w:tcW w:w="349" w:type="pct"/>
                  <w:vAlign w:val="center"/>
                </w:tcPr>
                <w:p w14:paraId="43D15607">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61.8</w:t>
                  </w:r>
                </w:p>
              </w:tc>
              <w:tc>
                <w:tcPr>
                  <w:tcW w:w="414" w:type="pct"/>
                  <w:vAlign w:val="center"/>
                </w:tcPr>
                <w:p w14:paraId="7D978500">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w:t>
                  </w:r>
                </w:p>
              </w:tc>
            </w:tr>
            <w:tr w14:paraId="1AA84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190" w:type="pct"/>
                  <w:shd w:val="clear" w:color="auto" w:fill="auto"/>
                  <w:vAlign w:val="center"/>
                </w:tcPr>
                <w:p w14:paraId="4A1382C2">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2</w:t>
                  </w:r>
                </w:p>
              </w:tc>
              <w:tc>
                <w:tcPr>
                  <w:tcW w:w="366" w:type="pct"/>
                  <w:vMerge w:val="continue"/>
                  <w:vAlign w:val="center"/>
                </w:tcPr>
                <w:p w14:paraId="1E6EE9D8">
                  <w:pPr>
                    <w:keepNext w:val="0"/>
                    <w:keepLines w:val="0"/>
                    <w:pageBreakBefore w:val="0"/>
                    <w:widowControl w:val="0"/>
                    <w:kinsoku/>
                    <w:wordWrap/>
                    <w:overflowPunct/>
                    <w:topLinePunct w:val="0"/>
                    <w:bidi w:val="0"/>
                    <w:adjustRightInd w:val="0"/>
                    <w:snapToGrid w:val="0"/>
                    <w:spacing w:line="240" w:lineRule="auto"/>
                    <w:jc w:val="center"/>
                    <w:textAlignment w:val="auto"/>
                    <w:rPr>
                      <w:rFonts w:hint="eastAsia" w:ascii="Calibri" w:hAnsi="Calibri" w:cs="Times New Roman"/>
                      <w:color w:val="auto"/>
                      <w:spacing w:val="0"/>
                      <w:kern w:val="0"/>
                      <w:sz w:val="21"/>
                      <w:szCs w:val="21"/>
                      <w:highlight w:val="none"/>
                      <w:lang w:val="en-US" w:eastAsia="zh-CN"/>
                    </w:rPr>
                  </w:pPr>
                </w:p>
              </w:tc>
              <w:tc>
                <w:tcPr>
                  <w:tcW w:w="530" w:type="pct"/>
                  <w:shd w:val="clear" w:color="auto" w:fill="auto"/>
                  <w:vAlign w:val="center"/>
                </w:tcPr>
                <w:p w14:paraId="4827AC5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spacing w:val="0"/>
                      <w:kern w:val="2"/>
                      <w:sz w:val="21"/>
                      <w:szCs w:val="21"/>
                      <w:highlight w:val="none"/>
                      <w:lang w:val="en-US" w:eastAsia="zh-CN" w:bidi="ar-SA"/>
                    </w:rPr>
                  </w:pPr>
                  <w:r>
                    <w:rPr>
                      <w:rFonts w:hint="default" w:ascii="Calibri" w:hAnsi="Calibri" w:cs="Times New Roman"/>
                      <w:color w:val="auto"/>
                      <w:spacing w:val="0"/>
                      <w:kern w:val="0"/>
                      <w:sz w:val="21"/>
                      <w:szCs w:val="21"/>
                      <w:highlight w:val="none"/>
                      <w:lang w:val="en-US" w:eastAsia="zh-CN"/>
                    </w:rPr>
                    <w:t>带式输送机</w:t>
                  </w:r>
                </w:p>
              </w:tc>
              <w:tc>
                <w:tcPr>
                  <w:tcW w:w="273" w:type="pct"/>
                  <w:shd w:val="clear" w:color="auto" w:fill="auto"/>
                  <w:vAlign w:val="center"/>
                </w:tcPr>
                <w:p w14:paraId="5C3054D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2</w:t>
                  </w:r>
                </w:p>
              </w:tc>
              <w:tc>
                <w:tcPr>
                  <w:tcW w:w="305" w:type="pct"/>
                  <w:shd w:val="clear" w:color="auto" w:fill="auto"/>
                  <w:vAlign w:val="center"/>
                </w:tcPr>
                <w:p w14:paraId="52D13E3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80</w:t>
                  </w:r>
                </w:p>
              </w:tc>
              <w:tc>
                <w:tcPr>
                  <w:tcW w:w="404" w:type="pct"/>
                  <w:vMerge w:val="continue"/>
                  <w:vAlign w:val="center"/>
                </w:tcPr>
                <w:p w14:paraId="0E534C15">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spacing w:val="0"/>
                      <w:sz w:val="21"/>
                      <w:szCs w:val="21"/>
                      <w:highlight w:val="none"/>
                    </w:rPr>
                  </w:pPr>
                </w:p>
              </w:tc>
              <w:tc>
                <w:tcPr>
                  <w:tcW w:w="253" w:type="pct"/>
                  <w:shd w:val="clear" w:color="auto" w:fill="auto"/>
                  <w:vAlign w:val="center"/>
                </w:tcPr>
                <w:p w14:paraId="7E0220D1">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sz w:val="21"/>
                      <w:szCs w:val="21"/>
                      <w:highlight w:val="none"/>
                      <w:lang w:val="en-US" w:eastAsia="zh-CN"/>
                    </w:rPr>
                    <w:t>351</w:t>
                  </w:r>
                </w:p>
              </w:tc>
              <w:tc>
                <w:tcPr>
                  <w:tcW w:w="253" w:type="pct"/>
                  <w:shd w:val="clear" w:color="auto" w:fill="auto"/>
                  <w:vAlign w:val="center"/>
                </w:tcPr>
                <w:p w14:paraId="1ECFD068">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sz w:val="21"/>
                      <w:szCs w:val="21"/>
                      <w:highlight w:val="none"/>
                      <w:lang w:val="en-US" w:eastAsia="zh-CN"/>
                    </w:rPr>
                    <w:t>-107</w:t>
                  </w:r>
                </w:p>
              </w:tc>
              <w:tc>
                <w:tcPr>
                  <w:tcW w:w="254" w:type="pct"/>
                  <w:shd w:val="clear" w:color="auto" w:fill="auto"/>
                  <w:vAlign w:val="center"/>
                </w:tcPr>
                <w:p w14:paraId="2698B938">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sz w:val="21"/>
                      <w:szCs w:val="21"/>
                      <w:highlight w:val="none"/>
                      <w:lang w:val="en-US" w:eastAsia="zh-CN"/>
                    </w:rPr>
                    <w:t>0</w:t>
                  </w:r>
                </w:p>
              </w:tc>
              <w:tc>
                <w:tcPr>
                  <w:tcW w:w="360" w:type="pct"/>
                  <w:vAlign w:val="center"/>
                </w:tcPr>
                <w:p w14:paraId="307DBA10">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1</w:t>
                  </w:r>
                </w:p>
              </w:tc>
              <w:tc>
                <w:tcPr>
                  <w:tcW w:w="344" w:type="pct"/>
                  <w:vAlign w:val="center"/>
                </w:tcPr>
                <w:p w14:paraId="505ED057">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81.8</w:t>
                  </w:r>
                </w:p>
              </w:tc>
              <w:tc>
                <w:tcPr>
                  <w:tcW w:w="295" w:type="pct"/>
                  <w:vMerge w:val="continue"/>
                  <w:vAlign w:val="center"/>
                </w:tcPr>
                <w:p w14:paraId="41DBF6A1">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eastAsia="宋体"/>
                      <w:color w:val="auto"/>
                      <w:spacing w:val="0"/>
                      <w:sz w:val="21"/>
                      <w:szCs w:val="21"/>
                      <w:highlight w:val="none"/>
                      <w:lang w:val="en-US" w:eastAsia="zh-CN"/>
                    </w:rPr>
                  </w:pPr>
                </w:p>
              </w:tc>
              <w:tc>
                <w:tcPr>
                  <w:tcW w:w="404" w:type="pct"/>
                  <w:vAlign w:val="center"/>
                </w:tcPr>
                <w:p w14:paraId="07C10889">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20</w:t>
                  </w:r>
                </w:p>
              </w:tc>
              <w:tc>
                <w:tcPr>
                  <w:tcW w:w="349" w:type="pct"/>
                  <w:vAlign w:val="center"/>
                </w:tcPr>
                <w:p w14:paraId="0BA58900">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61.8</w:t>
                  </w:r>
                </w:p>
              </w:tc>
              <w:tc>
                <w:tcPr>
                  <w:tcW w:w="414" w:type="pct"/>
                  <w:vAlign w:val="center"/>
                </w:tcPr>
                <w:p w14:paraId="35E24AEE">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w:t>
                  </w:r>
                </w:p>
              </w:tc>
            </w:tr>
            <w:tr w14:paraId="64C19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190" w:type="pct"/>
                  <w:shd w:val="clear" w:color="auto" w:fill="auto"/>
                  <w:vAlign w:val="center"/>
                </w:tcPr>
                <w:p w14:paraId="3A94FA86">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3</w:t>
                  </w:r>
                </w:p>
              </w:tc>
              <w:tc>
                <w:tcPr>
                  <w:tcW w:w="366" w:type="pct"/>
                  <w:vMerge w:val="continue"/>
                  <w:vAlign w:val="center"/>
                </w:tcPr>
                <w:p w14:paraId="641FA4F2">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Calibri" w:hAnsi="Calibri" w:cs="Times New Roman"/>
                      <w:color w:val="auto"/>
                      <w:spacing w:val="0"/>
                      <w:kern w:val="0"/>
                      <w:sz w:val="21"/>
                      <w:szCs w:val="21"/>
                      <w:highlight w:val="none"/>
                      <w:lang w:val="en-US" w:eastAsia="zh-CN"/>
                    </w:rPr>
                  </w:pPr>
                </w:p>
              </w:tc>
              <w:tc>
                <w:tcPr>
                  <w:tcW w:w="530" w:type="pct"/>
                  <w:shd w:val="clear" w:color="auto" w:fill="auto"/>
                  <w:vAlign w:val="center"/>
                </w:tcPr>
                <w:p w14:paraId="5F06073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通风机</w:t>
                  </w:r>
                </w:p>
              </w:tc>
              <w:tc>
                <w:tcPr>
                  <w:tcW w:w="273" w:type="pct"/>
                  <w:shd w:val="clear" w:color="auto" w:fill="auto"/>
                  <w:vAlign w:val="center"/>
                </w:tcPr>
                <w:p w14:paraId="3C55636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6</w:t>
                  </w:r>
                </w:p>
              </w:tc>
              <w:tc>
                <w:tcPr>
                  <w:tcW w:w="305" w:type="pct"/>
                  <w:shd w:val="clear" w:color="auto" w:fill="auto"/>
                  <w:vAlign w:val="center"/>
                </w:tcPr>
                <w:p w14:paraId="3A0E5E2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80</w:t>
                  </w:r>
                </w:p>
              </w:tc>
              <w:tc>
                <w:tcPr>
                  <w:tcW w:w="404" w:type="pct"/>
                  <w:vMerge w:val="continue"/>
                  <w:vAlign w:val="center"/>
                </w:tcPr>
                <w:p w14:paraId="4317FCBC">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spacing w:val="0"/>
                      <w:sz w:val="21"/>
                      <w:szCs w:val="21"/>
                      <w:highlight w:val="none"/>
                    </w:rPr>
                  </w:pPr>
                </w:p>
              </w:tc>
              <w:tc>
                <w:tcPr>
                  <w:tcW w:w="253" w:type="pct"/>
                  <w:shd w:val="clear" w:color="auto" w:fill="auto"/>
                  <w:vAlign w:val="center"/>
                </w:tcPr>
                <w:p w14:paraId="038C64B5">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sz w:val="21"/>
                      <w:szCs w:val="21"/>
                      <w:highlight w:val="none"/>
                      <w:lang w:val="en-US" w:eastAsia="zh-CN"/>
                    </w:rPr>
                    <w:t>490</w:t>
                  </w:r>
                </w:p>
              </w:tc>
              <w:tc>
                <w:tcPr>
                  <w:tcW w:w="253" w:type="pct"/>
                  <w:shd w:val="clear" w:color="auto" w:fill="auto"/>
                  <w:vAlign w:val="center"/>
                </w:tcPr>
                <w:p w14:paraId="24DD2C3C">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sz w:val="21"/>
                      <w:szCs w:val="21"/>
                      <w:highlight w:val="none"/>
                      <w:lang w:val="en-US" w:eastAsia="zh-CN"/>
                    </w:rPr>
                    <w:t>-185</w:t>
                  </w:r>
                </w:p>
              </w:tc>
              <w:tc>
                <w:tcPr>
                  <w:tcW w:w="254" w:type="pct"/>
                  <w:shd w:val="clear" w:color="auto" w:fill="auto"/>
                  <w:vAlign w:val="center"/>
                </w:tcPr>
                <w:p w14:paraId="1BF0A9AB">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sz w:val="21"/>
                      <w:szCs w:val="21"/>
                      <w:highlight w:val="none"/>
                      <w:lang w:val="en-US" w:eastAsia="zh-CN"/>
                    </w:rPr>
                    <w:t>0</w:t>
                  </w:r>
                </w:p>
              </w:tc>
              <w:tc>
                <w:tcPr>
                  <w:tcW w:w="360" w:type="pct"/>
                  <w:vAlign w:val="center"/>
                </w:tcPr>
                <w:p w14:paraId="79CBD585">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1</w:t>
                  </w:r>
                </w:p>
              </w:tc>
              <w:tc>
                <w:tcPr>
                  <w:tcW w:w="344" w:type="pct"/>
                  <w:vAlign w:val="center"/>
                </w:tcPr>
                <w:p w14:paraId="39F26BEA">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76.8</w:t>
                  </w:r>
                </w:p>
              </w:tc>
              <w:tc>
                <w:tcPr>
                  <w:tcW w:w="295" w:type="pct"/>
                  <w:vMerge w:val="continue"/>
                  <w:vAlign w:val="center"/>
                </w:tcPr>
                <w:p w14:paraId="086C52D4">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eastAsia="宋体"/>
                      <w:color w:val="auto"/>
                      <w:spacing w:val="0"/>
                      <w:sz w:val="21"/>
                      <w:szCs w:val="21"/>
                      <w:highlight w:val="none"/>
                      <w:lang w:val="en-US" w:eastAsia="zh-CN"/>
                    </w:rPr>
                  </w:pPr>
                </w:p>
              </w:tc>
              <w:tc>
                <w:tcPr>
                  <w:tcW w:w="404" w:type="pct"/>
                  <w:vAlign w:val="center"/>
                </w:tcPr>
                <w:p w14:paraId="214220A4">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20</w:t>
                  </w:r>
                </w:p>
              </w:tc>
              <w:tc>
                <w:tcPr>
                  <w:tcW w:w="349" w:type="pct"/>
                  <w:vAlign w:val="center"/>
                </w:tcPr>
                <w:p w14:paraId="2B45DA5F">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56.8</w:t>
                  </w:r>
                </w:p>
              </w:tc>
              <w:tc>
                <w:tcPr>
                  <w:tcW w:w="414" w:type="pct"/>
                  <w:vAlign w:val="center"/>
                </w:tcPr>
                <w:p w14:paraId="6815DDF1">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1</w:t>
                  </w:r>
                </w:p>
              </w:tc>
            </w:tr>
            <w:tr w14:paraId="1F4FA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190" w:type="pct"/>
                  <w:shd w:val="clear" w:color="auto" w:fill="auto"/>
                  <w:vAlign w:val="center"/>
                </w:tcPr>
                <w:p w14:paraId="32DE634A">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4</w:t>
                  </w:r>
                </w:p>
              </w:tc>
              <w:tc>
                <w:tcPr>
                  <w:tcW w:w="366" w:type="pct"/>
                  <w:vMerge w:val="restart"/>
                  <w:vAlign w:val="center"/>
                </w:tcPr>
                <w:p w14:paraId="1C57AA96">
                  <w:pPr>
                    <w:keepNext w:val="0"/>
                    <w:keepLines w:val="0"/>
                    <w:pageBreakBefore w:val="0"/>
                    <w:widowControl w:val="0"/>
                    <w:kinsoku/>
                    <w:wordWrap/>
                    <w:overflowPunct/>
                    <w:topLinePunct w:val="0"/>
                    <w:bidi w:val="0"/>
                    <w:adjustRightInd w:val="0"/>
                    <w:snapToGrid w:val="0"/>
                    <w:spacing w:line="240" w:lineRule="auto"/>
                    <w:jc w:val="center"/>
                    <w:textAlignment w:val="auto"/>
                    <w:rPr>
                      <w:rFonts w:hint="eastAsia" w:ascii="Calibri" w:hAnsi="Calibri" w:cs="Times New Roman"/>
                      <w:color w:val="auto"/>
                      <w:spacing w:val="0"/>
                      <w:kern w:val="0"/>
                      <w:sz w:val="21"/>
                      <w:szCs w:val="21"/>
                      <w:highlight w:val="none"/>
                      <w:lang w:val="en-US" w:eastAsia="zh-CN"/>
                    </w:rPr>
                  </w:pPr>
                  <w:r>
                    <w:rPr>
                      <w:rFonts w:hint="eastAsia" w:ascii="Calibri" w:hAnsi="Calibri" w:cs="Times New Roman"/>
                      <w:color w:val="auto"/>
                      <w:spacing w:val="0"/>
                      <w:kern w:val="0"/>
                      <w:sz w:val="21"/>
                      <w:szCs w:val="21"/>
                      <w:highlight w:val="none"/>
                      <w:lang w:val="en-US" w:eastAsia="zh-CN"/>
                    </w:rPr>
                    <w:t>末煤</w:t>
                  </w:r>
                </w:p>
                <w:p w14:paraId="4826D2B6">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Calibri" w:hAnsi="Calibri" w:cs="Times New Roman"/>
                      <w:color w:val="auto"/>
                      <w:spacing w:val="0"/>
                      <w:kern w:val="0"/>
                      <w:sz w:val="21"/>
                      <w:szCs w:val="21"/>
                      <w:highlight w:val="none"/>
                      <w:lang w:val="en-US" w:eastAsia="zh-CN"/>
                    </w:rPr>
                  </w:pPr>
                  <w:r>
                    <w:rPr>
                      <w:rFonts w:hint="eastAsia" w:ascii="Calibri" w:hAnsi="Calibri" w:cs="Times New Roman"/>
                      <w:color w:val="auto"/>
                      <w:spacing w:val="0"/>
                      <w:kern w:val="0"/>
                      <w:sz w:val="21"/>
                      <w:szCs w:val="21"/>
                      <w:highlight w:val="none"/>
                      <w:lang w:val="en-US" w:eastAsia="zh-CN"/>
                    </w:rPr>
                    <w:t>筒仓</w:t>
                  </w:r>
                </w:p>
              </w:tc>
              <w:tc>
                <w:tcPr>
                  <w:tcW w:w="530" w:type="pct"/>
                  <w:shd w:val="clear" w:color="auto" w:fill="auto"/>
                  <w:vAlign w:val="center"/>
                </w:tcPr>
                <w:p w14:paraId="33F80E0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eastAsia" w:cs="Times New Roman"/>
                      <w:bCs/>
                      <w:color w:val="auto"/>
                      <w:szCs w:val="21"/>
                      <w:highlight w:val="none"/>
                      <w:lang w:val="en-US" w:eastAsia="zh-CN"/>
                    </w:rPr>
                    <w:t>仓下给煤机</w:t>
                  </w:r>
                </w:p>
              </w:tc>
              <w:tc>
                <w:tcPr>
                  <w:tcW w:w="273" w:type="pct"/>
                  <w:shd w:val="clear" w:color="auto" w:fill="auto"/>
                  <w:vAlign w:val="center"/>
                </w:tcPr>
                <w:p w14:paraId="526BB23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sz w:val="21"/>
                      <w:szCs w:val="21"/>
                      <w:highlight w:val="none"/>
                      <w:lang w:val="en-US" w:eastAsia="zh-CN"/>
                    </w:rPr>
                    <w:t>4</w:t>
                  </w:r>
                </w:p>
              </w:tc>
              <w:tc>
                <w:tcPr>
                  <w:tcW w:w="305" w:type="pct"/>
                  <w:shd w:val="clear" w:color="auto" w:fill="auto"/>
                  <w:vAlign w:val="center"/>
                </w:tcPr>
                <w:p w14:paraId="6FF35E0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85</w:t>
                  </w:r>
                </w:p>
              </w:tc>
              <w:tc>
                <w:tcPr>
                  <w:tcW w:w="404" w:type="pct"/>
                  <w:vMerge w:val="continue"/>
                  <w:vAlign w:val="center"/>
                </w:tcPr>
                <w:p w14:paraId="5B2D64C4">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spacing w:val="0"/>
                      <w:sz w:val="21"/>
                      <w:szCs w:val="21"/>
                      <w:highlight w:val="none"/>
                    </w:rPr>
                  </w:pPr>
                </w:p>
              </w:tc>
              <w:tc>
                <w:tcPr>
                  <w:tcW w:w="253" w:type="pct"/>
                  <w:shd w:val="clear" w:color="auto" w:fill="auto"/>
                  <w:vAlign w:val="center"/>
                </w:tcPr>
                <w:p w14:paraId="5AC78219">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sz w:val="21"/>
                      <w:szCs w:val="21"/>
                      <w:highlight w:val="none"/>
                      <w:lang w:val="en-US" w:eastAsia="zh-CN"/>
                    </w:rPr>
                    <w:t>349</w:t>
                  </w:r>
                </w:p>
              </w:tc>
              <w:tc>
                <w:tcPr>
                  <w:tcW w:w="253" w:type="pct"/>
                  <w:shd w:val="clear" w:color="auto" w:fill="auto"/>
                  <w:vAlign w:val="center"/>
                </w:tcPr>
                <w:p w14:paraId="7F4ABFAE">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sz w:val="21"/>
                      <w:szCs w:val="21"/>
                      <w:highlight w:val="none"/>
                      <w:lang w:val="en-US" w:eastAsia="zh-CN"/>
                    </w:rPr>
                    <w:t>-108</w:t>
                  </w:r>
                </w:p>
              </w:tc>
              <w:tc>
                <w:tcPr>
                  <w:tcW w:w="254" w:type="pct"/>
                  <w:shd w:val="clear" w:color="auto" w:fill="auto"/>
                  <w:vAlign w:val="center"/>
                </w:tcPr>
                <w:p w14:paraId="46FDE1B2">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sz w:val="21"/>
                      <w:szCs w:val="21"/>
                      <w:highlight w:val="none"/>
                      <w:lang w:val="en-US" w:eastAsia="zh-CN"/>
                    </w:rPr>
                    <w:t>0</w:t>
                  </w:r>
                </w:p>
              </w:tc>
              <w:tc>
                <w:tcPr>
                  <w:tcW w:w="360" w:type="pct"/>
                  <w:vAlign w:val="center"/>
                </w:tcPr>
                <w:p w14:paraId="5387E3FB">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1</w:t>
                  </w:r>
                </w:p>
              </w:tc>
              <w:tc>
                <w:tcPr>
                  <w:tcW w:w="344" w:type="pct"/>
                  <w:vAlign w:val="center"/>
                </w:tcPr>
                <w:p w14:paraId="1A5BB7F5">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81.8</w:t>
                  </w:r>
                </w:p>
              </w:tc>
              <w:tc>
                <w:tcPr>
                  <w:tcW w:w="295" w:type="pct"/>
                  <w:vMerge w:val="continue"/>
                  <w:vAlign w:val="center"/>
                </w:tcPr>
                <w:p w14:paraId="0D540AD4">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eastAsia="宋体"/>
                      <w:color w:val="auto"/>
                      <w:spacing w:val="0"/>
                      <w:sz w:val="21"/>
                      <w:szCs w:val="21"/>
                      <w:highlight w:val="none"/>
                      <w:lang w:val="en-US" w:eastAsia="zh-CN"/>
                    </w:rPr>
                  </w:pPr>
                </w:p>
              </w:tc>
              <w:tc>
                <w:tcPr>
                  <w:tcW w:w="404" w:type="pct"/>
                  <w:vAlign w:val="center"/>
                </w:tcPr>
                <w:p w14:paraId="53404D51">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20</w:t>
                  </w:r>
                </w:p>
              </w:tc>
              <w:tc>
                <w:tcPr>
                  <w:tcW w:w="349" w:type="pct"/>
                  <w:vAlign w:val="center"/>
                </w:tcPr>
                <w:p w14:paraId="16794577">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61.8</w:t>
                  </w:r>
                </w:p>
              </w:tc>
              <w:tc>
                <w:tcPr>
                  <w:tcW w:w="414" w:type="pct"/>
                  <w:vAlign w:val="center"/>
                </w:tcPr>
                <w:p w14:paraId="09A99673">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w:t>
                  </w:r>
                </w:p>
              </w:tc>
            </w:tr>
            <w:tr w14:paraId="11E11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190" w:type="pct"/>
                  <w:shd w:val="clear" w:color="auto" w:fill="auto"/>
                  <w:vAlign w:val="center"/>
                </w:tcPr>
                <w:p w14:paraId="40AE3778">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5</w:t>
                  </w:r>
                </w:p>
              </w:tc>
              <w:tc>
                <w:tcPr>
                  <w:tcW w:w="366" w:type="pct"/>
                  <w:vMerge w:val="continue"/>
                  <w:vAlign w:val="center"/>
                </w:tcPr>
                <w:p w14:paraId="77E04730">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Calibri" w:hAnsi="Calibri" w:cs="Times New Roman"/>
                      <w:color w:val="auto"/>
                      <w:spacing w:val="0"/>
                      <w:kern w:val="0"/>
                      <w:sz w:val="21"/>
                      <w:szCs w:val="21"/>
                      <w:highlight w:val="none"/>
                      <w:lang w:val="en-US" w:eastAsia="zh-CN"/>
                    </w:rPr>
                  </w:pPr>
                </w:p>
              </w:tc>
              <w:tc>
                <w:tcPr>
                  <w:tcW w:w="530" w:type="pct"/>
                  <w:shd w:val="clear" w:color="auto" w:fill="auto"/>
                  <w:vAlign w:val="center"/>
                </w:tcPr>
                <w:p w14:paraId="4055C1A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default" w:ascii="Calibri" w:hAnsi="Calibri" w:cs="Times New Roman"/>
                      <w:color w:val="auto"/>
                      <w:spacing w:val="0"/>
                      <w:kern w:val="0"/>
                      <w:sz w:val="21"/>
                      <w:szCs w:val="21"/>
                      <w:highlight w:val="none"/>
                      <w:lang w:val="en-US" w:eastAsia="zh-CN"/>
                    </w:rPr>
                    <w:t>带式输送机</w:t>
                  </w:r>
                </w:p>
              </w:tc>
              <w:tc>
                <w:tcPr>
                  <w:tcW w:w="273" w:type="pct"/>
                  <w:shd w:val="clear" w:color="auto" w:fill="auto"/>
                  <w:vAlign w:val="center"/>
                </w:tcPr>
                <w:p w14:paraId="3F54E6F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sz w:val="21"/>
                      <w:szCs w:val="21"/>
                      <w:highlight w:val="none"/>
                      <w:lang w:val="en-US" w:eastAsia="zh-CN"/>
                    </w:rPr>
                    <w:t>3</w:t>
                  </w:r>
                </w:p>
              </w:tc>
              <w:tc>
                <w:tcPr>
                  <w:tcW w:w="305" w:type="pct"/>
                  <w:shd w:val="clear" w:color="auto" w:fill="auto"/>
                  <w:vAlign w:val="center"/>
                </w:tcPr>
                <w:p w14:paraId="1AD5CF0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80</w:t>
                  </w:r>
                </w:p>
              </w:tc>
              <w:tc>
                <w:tcPr>
                  <w:tcW w:w="404" w:type="pct"/>
                  <w:vMerge w:val="continue"/>
                  <w:vAlign w:val="center"/>
                </w:tcPr>
                <w:p w14:paraId="0F333A60">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spacing w:val="0"/>
                      <w:sz w:val="21"/>
                      <w:szCs w:val="21"/>
                      <w:highlight w:val="none"/>
                    </w:rPr>
                  </w:pPr>
                </w:p>
              </w:tc>
              <w:tc>
                <w:tcPr>
                  <w:tcW w:w="253" w:type="pct"/>
                  <w:shd w:val="clear" w:color="auto" w:fill="auto"/>
                  <w:vAlign w:val="center"/>
                </w:tcPr>
                <w:p w14:paraId="5D84957D">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sz w:val="21"/>
                      <w:szCs w:val="21"/>
                      <w:highlight w:val="none"/>
                      <w:lang w:val="en-US" w:eastAsia="zh-CN"/>
                    </w:rPr>
                    <w:t>503</w:t>
                  </w:r>
                </w:p>
              </w:tc>
              <w:tc>
                <w:tcPr>
                  <w:tcW w:w="253" w:type="pct"/>
                  <w:shd w:val="clear" w:color="auto" w:fill="auto"/>
                  <w:vAlign w:val="center"/>
                </w:tcPr>
                <w:p w14:paraId="1C0593D0">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sz w:val="21"/>
                      <w:szCs w:val="21"/>
                      <w:highlight w:val="none"/>
                      <w:lang w:val="en-US" w:eastAsia="zh-CN"/>
                    </w:rPr>
                    <w:t>-184</w:t>
                  </w:r>
                </w:p>
              </w:tc>
              <w:tc>
                <w:tcPr>
                  <w:tcW w:w="254" w:type="pct"/>
                  <w:shd w:val="clear" w:color="auto" w:fill="auto"/>
                  <w:vAlign w:val="center"/>
                </w:tcPr>
                <w:p w14:paraId="3359B5F4">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sz w:val="21"/>
                      <w:szCs w:val="21"/>
                      <w:highlight w:val="none"/>
                      <w:lang w:val="en-US" w:eastAsia="zh-CN"/>
                    </w:rPr>
                    <w:t>0</w:t>
                  </w:r>
                </w:p>
              </w:tc>
              <w:tc>
                <w:tcPr>
                  <w:tcW w:w="360" w:type="pct"/>
                  <w:vAlign w:val="center"/>
                </w:tcPr>
                <w:p w14:paraId="4B24D908">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1</w:t>
                  </w:r>
                </w:p>
              </w:tc>
              <w:tc>
                <w:tcPr>
                  <w:tcW w:w="344" w:type="pct"/>
                  <w:vAlign w:val="center"/>
                </w:tcPr>
                <w:p w14:paraId="27DE991A">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81.8</w:t>
                  </w:r>
                </w:p>
              </w:tc>
              <w:tc>
                <w:tcPr>
                  <w:tcW w:w="295" w:type="pct"/>
                  <w:vMerge w:val="continue"/>
                  <w:vAlign w:val="center"/>
                </w:tcPr>
                <w:p w14:paraId="5E51F979">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eastAsia="宋体"/>
                      <w:color w:val="auto"/>
                      <w:spacing w:val="0"/>
                      <w:sz w:val="21"/>
                      <w:szCs w:val="21"/>
                      <w:highlight w:val="none"/>
                      <w:lang w:val="en-US" w:eastAsia="zh-CN"/>
                    </w:rPr>
                  </w:pPr>
                </w:p>
              </w:tc>
              <w:tc>
                <w:tcPr>
                  <w:tcW w:w="404" w:type="pct"/>
                  <w:vAlign w:val="center"/>
                </w:tcPr>
                <w:p w14:paraId="367E59A6">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20</w:t>
                  </w:r>
                </w:p>
              </w:tc>
              <w:tc>
                <w:tcPr>
                  <w:tcW w:w="349" w:type="pct"/>
                  <w:vAlign w:val="center"/>
                </w:tcPr>
                <w:p w14:paraId="13F4E3AE">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61.8</w:t>
                  </w:r>
                </w:p>
              </w:tc>
              <w:tc>
                <w:tcPr>
                  <w:tcW w:w="414" w:type="pct"/>
                  <w:vAlign w:val="center"/>
                </w:tcPr>
                <w:p w14:paraId="564B5D5B">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w:t>
                  </w:r>
                </w:p>
              </w:tc>
            </w:tr>
            <w:tr w14:paraId="27E10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0" w:type="pct"/>
                  <w:shd w:val="clear" w:color="auto" w:fill="auto"/>
                  <w:vAlign w:val="center"/>
                </w:tcPr>
                <w:p w14:paraId="00CE56E5">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6</w:t>
                  </w:r>
                </w:p>
              </w:tc>
              <w:tc>
                <w:tcPr>
                  <w:tcW w:w="366" w:type="pct"/>
                  <w:vMerge w:val="continue"/>
                  <w:vAlign w:val="center"/>
                </w:tcPr>
                <w:p w14:paraId="3F2822F8">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Calibri" w:hAnsi="Calibri" w:cs="Times New Roman"/>
                      <w:color w:val="auto"/>
                      <w:spacing w:val="0"/>
                      <w:kern w:val="0"/>
                      <w:sz w:val="21"/>
                      <w:szCs w:val="21"/>
                      <w:highlight w:val="none"/>
                      <w:lang w:val="en-US" w:eastAsia="zh-CN"/>
                    </w:rPr>
                  </w:pPr>
                </w:p>
              </w:tc>
              <w:tc>
                <w:tcPr>
                  <w:tcW w:w="530" w:type="pct"/>
                  <w:shd w:val="clear" w:color="auto" w:fill="auto"/>
                  <w:vAlign w:val="center"/>
                </w:tcPr>
                <w:p w14:paraId="4A57B60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通风机</w:t>
                  </w:r>
                </w:p>
              </w:tc>
              <w:tc>
                <w:tcPr>
                  <w:tcW w:w="273" w:type="pct"/>
                  <w:shd w:val="clear" w:color="auto" w:fill="auto"/>
                  <w:vAlign w:val="center"/>
                </w:tcPr>
                <w:p w14:paraId="0BE5C78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sz w:val="21"/>
                      <w:szCs w:val="21"/>
                      <w:highlight w:val="none"/>
                      <w:lang w:val="en-US" w:eastAsia="zh-CN"/>
                    </w:rPr>
                    <w:t>6</w:t>
                  </w:r>
                </w:p>
              </w:tc>
              <w:tc>
                <w:tcPr>
                  <w:tcW w:w="305" w:type="pct"/>
                  <w:shd w:val="clear" w:color="auto" w:fill="auto"/>
                  <w:vAlign w:val="center"/>
                </w:tcPr>
                <w:p w14:paraId="53D23C7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80</w:t>
                  </w:r>
                </w:p>
              </w:tc>
              <w:tc>
                <w:tcPr>
                  <w:tcW w:w="404" w:type="pct"/>
                  <w:vMerge w:val="continue"/>
                  <w:vAlign w:val="center"/>
                </w:tcPr>
                <w:p w14:paraId="3B6A5B06">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spacing w:val="0"/>
                      <w:sz w:val="21"/>
                      <w:szCs w:val="21"/>
                      <w:highlight w:val="none"/>
                    </w:rPr>
                  </w:pPr>
                </w:p>
              </w:tc>
              <w:tc>
                <w:tcPr>
                  <w:tcW w:w="253" w:type="pct"/>
                  <w:shd w:val="clear" w:color="auto" w:fill="auto"/>
                  <w:vAlign w:val="center"/>
                </w:tcPr>
                <w:p w14:paraId="28F365B8">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sz w:val="21"/>
                      <w:szCs w:val="21"/>
                      <w:highlight w:val="none"/>
                      <w:lang w:val="en-US" w:eastAsia="zh-CN"/>
                    </w:rPr>
                    <w:t>316</w:t>
                  </w:r>
                </w:p>
              </w:tc>
              <w:tc>
                <w:tcPr>
                  <w:tcW w:w="253" w:type="pct"/>
                  <w:shd w:val="clear" w:color="auto" w:fill="auto"/>
                  <w:vAlign w:val="center"/>
                </w:tcPr>
                <w:p w14:paraId="2E7F57DE">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sz w:val="21"/>
                      <w:szCs w:val="21"/>
                      <w:highlight w:val="none"/>
                      <w:lang w:val="en-US" w:eastAsia="zh-CN"/>
                    </w:rPr>
                    <w:t>-113</w:t>
                  </w:r>
                </w:p>
              </w:tc>
              <w:tc>
                <w:tcPr>
                  <w:tcW w:w="254" w:type="pct"/>
                  <w:shd w:val="clear" w:color="auto" w:fill="auto"/>
                  <w:vAlign w:val="center"/>
                </w:tcPr>
                <w:p w14:paraId="5398B0B0">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sz w:val="21"/>
                      <w:szCs w:val="21"/>
                      <w:highlight w:val="none"/>
                      <w:lang w:val="en-US" w:eastAsia="zh-CN"/>
                    </w:rPr>
                    <w:t>0</w:t>
                  </w:r>
                </w:p>
              </w:tc>
              <w:tc>
                <w:tcPr>
                  <w:tcW w:w="360" w:type="pct"/>
                  <w:vAlign w:val="center"/>
                </w:tcPr>
                <w:p w14:paraId="126ACBD1">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1</w:t>
                  </w:r>
                </w:p>
              </w:tc>
              <w:tc>
                <w:tcPr>
                  <w:tcW w:w="344" w:type="pct"/>
                  <w:vAlign w:val="center"/>
                </w:tcPr>
                <w:p w14:paraId="5EDF158D">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76.8</w:t>
                  </w:r>
                </w:p>
              </w:tc>
              <w:tc>
                <w:tcPr>
                  <w:tcW w:w="295" w:type="pct"/>
                  <w:vMerge w:val="continue"/>
                  <w:vAlign w:val="center"/>
                </w:tcPr>
                <w:p w14:paraId="476DA081">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eastAsia="宋体"/>
                      <w:color w:val="auto"/>
                      <w:spacing w:val="0"/>
                      <w:sz w:val="21"/>
                      <w:szCs w:val="21"/>
                      <w:highlight w:val="none"/>
                      <w:lang w:val="en-US" w:eastAsia="zh-CN"/>
                    </w:rPr>
                  </w:pPr>
                </w:p>
              </w:tc>
              <w:tc>
                <w:tcPr>
                  <w:tcW w:w="404" w:type="pct"/>
                  <w:vAlign w:val="center"/>
                </w:tcPr>
                <w:p w14:paraId="29FB99E6">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20</w:t>
                  </w:r>
                </w:p>
              </w:tc>
              <w:tc>
                <w:tcPr>
                  <w:tcW w:w="349" w:type="pct"/>
                  <w:vAlign w:val="center"/>
                </w:tcPr>
                <w:p w14:paraId="332D2635">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56.8</w:t>
                  </w:r>
                </w:p>
              </w:tc>
              <w:tc>
                <w:tcPr>
                  <w:tcW w:w="414" w:type="pct"/>
                  <w:vAlign w:val="center"/>
                </w:tcPr>
                <w:p w14:paraId="4ED681D7">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w:t>
                  </w:r>
                </w:p>
              </w:tc>
            </w:tr>
            <w:tr w14:paraId="3528A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190" w:type="pct"/>
                  <w:shd w:val="clear" w:color="auto" w:fill="auto"/>
                  <w:vAlign w:val="center"/>
                </w:tcPr>
                <w:p w14:paraId="53FDE1C8">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7</w:t>
                  </w:r>
                </w:p>
              </w:tc>
              <w:tc>
                <w:tcPr>
                  <w:tcW w:w="366" w:type="pct"/>
                  <w:vAlign w:val="center"/>
                </w:tcPr>
                <w:p w14:paraId="453075AB">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Calibri" w:hAnsi="Calibri" w:cs="Times New Roman"/>
                      <w:color w:val="auto"/>
                      <w:spacing w:val="0"/>
                      <w:kern w:val="0"/>
                      <w:sz w:val="21"/>
                      <w:szCs w:val="21"/>
                      <w:highlight w:val="none"/>
                      <w:lang w:val="en-US" w:eastAsia="zh-CN"/>
                    </w:rPr>
                  </w:pPr>
                  <w:r>
                    <w:rPr>
                      <w:rFonts w:hint="eastAsia" w:ascii="Calibri" w:hAnsi="Calibri" w:cs="Times New Roman"/>
                      <w:color w:val="auto"/>
                      <w:spacing w:val="0"/>
                      <w:kern w:val="0"/>
                      <w:sz w:val="21"/>
                      <w:szCs w:val="21"/>
                      <w:highlight w:val="none"/>
                      <w:lang w:val="en-US" w:eastAsia="zh-CN"/>
                    </w:rPr>
                    <w:t>配电室</w:t>
                  </w:r>
                </w:p>
              </w:tc>
              <w:tc>
                <w:tcPr>
                  <w:tcW w:w="530" w:type="pct"/>
                  <w:shd w:val="clear" w:color="auto" w:fill="auto"/>
                  <w:vAlign w:val="center"/>
                </w:tcPr>
                <w:p w14:paraId="77CBDBD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spacing w:val="0"/>
                      <w:kern w:val="2"/>
                      <w:sz w:val="21"/>
                      <w:szCs w:val="21"/>
                      <w:highlight w:val="none"/>
                      <w:lang w:val="en-US" w:eastAsia="zh-CN" w:bidi="ar-SA"/>
                    </w:rPr>
                  </w:pPr>
                  <w:r>
                    <w:rPr>
                      <w:rFonts w:hint="eastAsia" w:ascii="Times New Roman" w:hAnsi="Times New Roman" w:eastAsia="宋体" w:cs="Times New Roman"/>
                      <w:bCs/>
                      <w:color w:val="auto"/>
                      <w:kern w:val="2"/>
                      <w:sz w:val="21"/>
                      <w:szCs w:val="21"/>
                      <w:lang w:val="en-US" w:eastAsia="zh-CN" w:bidi="ar-SA"/>
                    </w:rPr>
                    <w:t>干式变压器</w:t>
                  </w:r>
                </w:p>
              </w:tc>
              <w:tc>
                <w:tcPr>
                  <w:tcW w:w="273" w:type="pct"/>
                  <w:shd w:val="clear" w:color="auto" w:fill="auto"/>
                  <w:vAlign w:val="center"/>
                </w:tcPr>
                <w:p w14:paraId="3F10AEF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4</w:t>
                  </w:r>
                </w:p>
              </w:tc>
              <w:tc>
                <w:tcPr>
                  <w:tcW w:w="305" w:type="pct"/>
                  <w:shd w:val="clear" w:color="auto" w:fill="auto"/>
                  <w:vAlign w:val="center"/>
                </w:tcPr>
                <w:p w14:paraId="1A4123B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70</w:t>
                  </w:r>
                </w:p>
              </w:tc>
              <w:tc>
                <w:tcPr>
                  <w:tcW w:w="404" w:type="pct"/>
                  <w:vMerge w:val="continue"/>
                  <w:vAlign w:val="center"/>
                </w:tcPr>
                <w:p w14:paraId="58768866">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spacing w:val="0"/>
                      <w:sz w:val="21"/>
                      <w:szCs w:val="21"/>
                      <w:highlight w:val="none"/>
                    </w:rPr>
                  </w:pPr>
                </w:p>
              </w:tc>
              <w:tc>
                <w:tcPr>
                  <w:tcW w:w="253" w:type="pct"/>
                  <w:shd w:val="clear" w:color="auto" w:fill="auto"/>
                  <w:vAlign w:val="center"/>
                </w:tcPr>
                <w:p w14:paraId="5DF77C2E">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sz w:val="21"/>
                      <w:szCs w:val="21"/>
                      <w:highlight w:val="none"/>
                      <w:lang w:val="en-US" w:eastAsia="zh-CN"/>
                    </w:rPr>
                    <w:t>519</w:t>
                  </w:r>
                </w:p>
              </w:tc>
              <w:tc>
                <w:tcPr>
                  <w:tcW w:w="253" w:type="pct"/>
                  <w:shd w:val="clear" w:color="auto" w:fill="auto"/>
                  <w:vAlign w:val="center"/>
                </w:tcPr>
                <w:p w14:paraId="17C22882">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sz w:val="21"/>
                      <w:szCs w:val="21"/>
                      <w:highlight w:val="none"/>
                      <w:lang w:val="en-US" w:eastAsia="zh-CN"/>
                    </w:rPr>
                    <w:t>-159</w:t>
                  </w:r>
                </w:p>
              </w:tc>
              <w:tc>
                <w:tcPr>
                  <w:tcW w:w="254" w:type="pct"/>
                  <w:shd w:val="clear" w:color="auto" w:fill="auto"/>
                  <w:vAlign w:val="center"/>
                </w:tcPr>
                <w:p w14:paraId="46AFDFF4">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sz w:val="21"/>
                      <w:szCs w:val="21"/>
                      <w:highlight w:val="none"/>
                      <w:lang w:val="en-US" w:eastAsia="zh-CN"/>
                    </w:rPr>
                    <w:t>0</w:t>
                  </w:r>
                </w:p>
              </w:tc>
              <w:tc>
                <w:tcPr>
                  <w:tcW w:w="360" w:type="pct"/>
                  <w:vAlign w:val="center"/>
                </w:tcPr>
                <w:p w14:paraId="473FDE16">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1</w:t>
                  </w:r>
                </w:p>
              </w:tc>
              <w:tc>
                <w:tcPr>
                  <w:tcW w:w="344" w:type="pct"/>
                  <w:vAlign w:val="center"/>
                </w:tcPr>
                <w:p w14:paraId="5F6F1D43">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66.8</w:t>
                  </w:r>
                </w:p>
              </w:tc>
              <w:tc>
                <w:tcPr>
                  <w:tcW w:w="295" w:type="pct"/>
                  <w:vMerge w:val="continue"/>
                  <w:vAlign w:val="center"/>
                </w:tcPr>
                <w:p w14:paraId="58B0C10D">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eastAsia="宋体"/>
                      <w:color w:val="auto"/>
                      <w:spacing w:val="0"/>
                      <w:sz w:val="21"/>
                      <w:szCs w:val="21"/>
                      <w:highlight w:val="none"/>
                      <w:lang w:val="en-US" w:eastAsia="zh-CN"/>
                    </w:rPr>
                  </w:pPr>
                </w:p>
              </w:tc>
              <w:tc>
                <w:tcPr>
                  <w:tcW w:w="404" w:type="pct"/>
                  <w:vAlign w:val="center"/>
                </w:tcPr>
                <w:p w14:paraId="1B800417">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20</w:t>
                  </w:r>
                </w:p>
              </w:tc>
              <w:tc>
                <w:tcPr>
                  <w:tcW w:w="349" w:type="pct"/>
                  <w:vAlign w:val="center"/>
                </w:tcPr>
                <w:p w14:paraId="545779D6">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46.8</w:t>
                  </w:r>
                </w:p>
              </w:tc>
              <w:tc>
                <w:tcPr>
                  <w:tcW w:w="414" w:type="pct"/>
                  <w:vAlign w:val="center"/>
                </w:tcPr>
                <w:p w14:paraId="7F81E917">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w:t>
                  </w:r>
                </w:p>
              </w:tc>
            </w:tr>
          </w:tbl>
          <w:p w14:paraId="6C25BA3D">
            <w:pPr>
              <w:keepNext w:val="0"/>
              <w:keepLines w:val="0"/>
              <w:pageBreakBefore w:val="0"/>
              <w:widowControl w:val="0"/>
              <w:kinsoku/>
              <w:wordWrap/>
              <w:overflowPunct/>
              <w:topLinePunct w:val="0"/>
              <w:autoSpaceDE/>
              <w:autoSpaceDN/>
              <w:bidi w:val="0"/>
              <w:adjustRightInd w:val="0"/>
              <w:snapToGrid w:val="0"/>
              <w:spacing w:line="480" w:lineRule="exact"/>
              <w:ind w:firstLine="0" w:firstLineChars="0"/>
              <w:jc w:val="center"/>
              <w:textAlignment w:val="auto"/>
              <w:rPr>
                <w:rFonts w:hint="default" w:ascii="Times New Roman" w:hAnsi="Times New Roman" w:eastAsia="黑体" w:cs="Times New Roman"/>
                <w:b w:val="0"/>
                <w:bCs w:val="0"/>
                <w:color w:val="auto"/>
                <w:spacing w:val="0"/>
                <w:kern w:val="2"/>
                <w:sz w:val="21"/>
                <w:szCs w:val="21"/>
                <w:highlight w:val="none"/>
                <w:lang w:val="en-US" w:eastAsia="zh-CN" w:bidi="ar-SA"/>
              </w:rPr>
            </w:pPr>
          </w:p>
          <w:p w14:paraId="21BD4C9A">
            <w:pPr>
              <w:keepNext w:val="0"/>
              <w:keepLines w:val="0"/>
              <w:pageBreakBefore w:val="0"/>
              <w:widowControl w:val="0"/>
              <w:kinsoku/>
              <w:wordWrap/>
              <w:overflowPunct/>
              <w:topLinePunct w:val="0"/>
              <w:autoSpaceDE/>
              <w:autoSpaceDN/>
              <w:bidi w:val="0"/>
              <w:adjustRightInd w:val="0"/>
              <w:snapToGrid w:val="0"/>
              <w:spacing w:line="480" w:lineRule="exact"/>
              <w:jc w:val="both"/>
              <w:textAlignment w:val="auto"/>
              <w:rPr>
                <w:rFonts w:hint="eastAsia" w:ascii="Times New Roman" w:hAnsi="Times New Roman" w:eastAsia="宋体" w:cs="Times New Roman"/>
                <w:b/>
                <w:bCs w:val="0"/>
                <w:color w:val="auto"/>
                <w:spacing w:val="-10"/>
                <w:sz w:val="24"/>
                <w:szCs w:val="24"/>
                <w:highlight w:val="none"/>
                <w:vertAlign w:val="baseline"/>
                <w:lang w:val="en-US" w:eastAsia="zh-CN"/>
              </w:rPr>
            </w:pPr>
          </w:p>
        </w:tc>
      </w:tr>
    </w:tbl>
    <w:p w14:paraId="55798E92">
      <w:pPr>
        <w:rPr>
          <w:rFonts w:hint="default"/>
          <w:color w:val="auto"/>
          <w:highlight w:val="none"/>
        </w:rPr>
        <w:sectPr>
          <w:pgSz w:w="16840" w:h="11907" w:orient="landscape"/>
          <w:pgMar w:top="1531" w:right="1701" w:bottom="1531" w:left="2127"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8221"/>
      </w:tblGrid>
      <w:tr w14:paraId="0C2E0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40" w:type="dxa"/>
            <w:vAlign w:val="center"/>
          </w:tcPr>
          <w:p w14:paraId="30E983A5">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eastAsia="宋体" w:cs="Times New Roman"/>
                <w:bCs/>
                <w:color w:val="auto"/>
                <w:szCs w:val="21"/>
                <w:highlight w:val="none"/>
                <w:lang w:val="en-US" w:eastAsia="zh-CN"/>
              </w:rPr>
              <w:t>运营</w:t>
            </w:r>
          </w:p>
          <w:p w14:paraId="34A015D5">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eastAsia="宋体" w:cs="Times New Roman"/>
                <w:bCs/>
                <w:color w:val="auto"/>
                <w:szCs w:val="21"/>
                <w:highlight w:val="none"/>
                <w:lang w:val="en-US" w:eastAsia="zh-CN"/>
              </w:rPr>
              <w:t>期环</w:t>
            </w:r>
          </w:p>
          <w:p w14:paraId="7306A56B">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eastAsia="宋体" w:cs="Times New Roman"/>
                <w:bCs/>
                <w:color w:val="auto"/>
                <w:szCs w:val="21"/>
                <w:highlight w:val="none"/>
                <w:lang w:val="en-US" w:eastAsia="zh-CN"/>
              </w:rPr>
              <w:t>境影</w:t>
            </w:r>
          </w:p>
          <w:p w14:paraId="4C9C71D2">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eastAsia="宋体" w:cs="Times New Roman"/>
                <w:bCs/>
                <w:color w:val="auto"/>
                <w:szCs w:val="21"/>
                <w:highlight w:val="none"/>
                <w:lang w:val="en-US" w:eastAsia="zh-CN"/>
              </w:rPr>
              <w:t>响和</w:t>
            </w:r>
          </w:p>
          <w:p w14:paraId="2426E15E">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eastAsia="宋体" w:cs="Times New Roman"/>
                <w:bCs/>
                <w:color w:val="auto"/>
                <w:szCs w:val="21"/>
                <w:highlight w:val="none"/>
                <w:lang w:val="en-US" w:eastAsia="zh-CN"/>
              </w:rPr>
              <w:t>保护</w:t>
            </w:r>
          </w:p>
          <w:p w14:paraId="5D1B90FC">
            <w:pPr>
              <w:jc w:val="center"/>
              <w:rPr>
                <w:rFonts w:hint="default"/>
                <w:color w:val="auto"/>
                <w:highlight w:val="none"/>
                <w:vertAlign w:val="baseline"/>
              </w:rPr>
            </w:pPr>
            <w:r>
              <w:rPr>
                <w:rFonts w:hint="default" w:ascii="Times New Roman" w:hAnsi="Times New Roman" w:eastAsia="宋体" w:cs="Times New Roman"/>
                <w:bCs/>
                <w:color w:val="auto"/>
                <w:szCs w:val="21"/>
                <w:highlight w:val="none"/>
                <w:lang w:val="en-US" w:eastAsia="zh-CN"/>
              </w:rPr>
              <w:t>措施</w:t>
            </w:r>
          </w:p>
        </w:tc>
        <w:tc>
          <w:tcPr>
            <w:tcW w:w="8221" w:type="dxa"/>
          </w:tcPr>
          <w:p w14:paraId="4C7A9DCE">
            <w:pPr>
              <w:spacing w:line="460" w:lineRule="exact"/>
              <w:ind w:firstLine="480" w:firstLineChars="200"/>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2.</w:t>
            </w:r>
            <w:r>
              <w:rPr>
                <w:rFonts w:hint="default" w:ascii="Times New Roman" w:hAnsi="Times New Roman" w:eastAsia="宋体" w:cs="Times New Roman"/>
                <w:color w:val="auto"/>
                <w:sz w:val="24"/>
                <w:highlight w:val="none"/>
              </w:rPr>
              <w:t>噪声预测</w:t>
            </w:r>
          </w:p>
          <w:p w14:paraId="3C3BDD98">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eastAsia="宋体" w:cs="Times New Roman"/>
                <w:bCs/>
                <w:color w:val="auto"/>
                <w:spacing w:val="0"/>
                <w:sz w:val="24"/>
                <w:szCs w:val="24"/>
                <w:highlight w:val="none"/>
                <w:lang w:eastAsia="zh-CN"/>
              </w:rPr>
            </w:pPr>
            <w:r>
              <w:rPr>
                <w:rFonts w:ascii="Times New Roman" w:hAnsi="Times New Roman" w:eastAsia="宋体" w:cs="Times New Roman"/>
                <w:bCs/>
                <w:color w:val="auto"/>
                <w:spacing w:val="0"/>
                <w:sz w:val="24"/>
                <w:szCs w:val="24"/>
                <w:highlight w:val="none"/>
              </w:rPr>
              <w:t>本次预测采用《环境影响评价技术导则</w:t>
            </w:r>
            <w:r>
              <w:rPr>
                <w:rFonts w:hint="eastAsia" w:ascii="Times New Roman" w:hAnsi="Times New Roman" w:eastAsia="宋体" w:cs="Times New Roman"/>
                <w:bCs/>
                <w:color w:val="auto"/>
                <w:spacing w:val="0"/>
                <w:sz w:val="24"/>
                <w:szCs w:val="24"/>
                <w:highlight w:val="none"/>
                <w:lang w:val="en-US" w:eastAsia="zh-CN"/>
              </w:rPr>
              <w:t xml:space="preserve"> </w:t>
            </w:r>
            <w:r>
              <w:rPr>
                <w:rFonts w:ascii="Times New Roman" w:hAnsi="Times New Roman" w:eastAsia="宋体" w:cs="Times New Roman"/>
                <w:bCs/>
                <w:color w:val="auto"/>
                <w:spacing w:val="0"/>
                <w:sz w:val="24"/>
                <w:szCs w:val="24"/>
                <w:highlight w:val="none"/>
              </w:rPr>
              <w:t>声环境》（HJ2.4-2021）中推荐的工业噪声预测计算模式</w:t>
            </w:r>
            <w:r>
              <w:rPr>
                <w:rFonts w:hint="eastAsia" w:ascii="Times New Roman" w:hAnsi="Times New Roman" w:eastAsia="宋体" w:cs="Times New Roman"/>
                <w:bCs/>
                <w:color w:val="auto"/>
                <w:spacing w:val="0"/>
                <w:sz w:val="24"/>
                <w:szCs w:val="24"/>
                <w:highlight w:val="none"/>
                <w:lang w:eastAsia="zh-CN"/>
              </w:rPr>
              <w:t>。</w:t>
            </w:r>
          </w:p>
          <w:p w14:paraId="2E4C9B49">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ascii="Times New Roman" w:hAnsi="Times New Roman" w:eastAsia="宋体" w:cs="Times New Roman"/>
                <w:bCs/>
                <w:color w:val="auto"/>
                <w:spacing w:val="0"/>
                <w:sz w:val="24"/>
                <w:szCs w:val="24"/>
                <w:highlight w:val="none"/>
              </w:rPr>
            </w:pPr>
            <w:r>
              <w:rPr>
                <w:rFonts w:ascii="Times New Roman" w:hAnsi="Times New Roman" w:eastAsia="宋体" w:cs="Times New Roman"/>
                <w:bCs/>
                <w:color w:val="auto"/>
                <w:spacing w:val="0"/>
                <w:sz w:val="24"/>
                <w:szCs w:val="24"/>
                <w:highlight w:val="none"/>
              </w:rPr>
              <w:t>（1）预测点A声级</w:t>
            </w:r>
            <w:r>
              <w:rPr>
                <w:rFonts w:ascii="Cambria Math" w:hAnsi="Cambria Math" w:eastAsia="宋体" w:cs="Cambria Math"/>
                <w:bCs/>
                <w:color w:val="auto"/>
                <w:spacing w:val="0"/>
                <w:sz w:val="24"/>
                <w:szCs w:val="24"/>
                <w:highlight w:val="none"/>
              </w:rPr>
              <w:t>𝐿</w:t>
            </w:r>
            <w:r>
              <w:rPr>
                <w:rFonts w:ascii="Cambria Math" w:hAnsi="Cambria Math" w:eastAsia="宋体" w:cs="Cambria Math"/>
                <w:bCs/>
                <w:color w:val="auto"/>
                <w:spacing w:val="0"/>
                <w:sz w:val="24"/>
                <w:szCs w:val="24"/>
                <w:highlight w:val="none"/>
                <w:vertAlign w:val="subscript"/>
              </w:rPr>
              <w:t>𝐴</w:t>
            </w:r>
            <w:r>
              <w:rPr>
                <w:rFonts w:ascii="Times New Roman" w:hAnsi="Times New Roman" w:eastAsia="宋体" w:cs="Times New Roman"/>
                <w:bCs/>
                <w:color w:val="auto"/>
                <w:spacing w:val="0"/>
                <w:sz w:val="24"/>
                <w:szCs w:val="24"/>
                <w:highlight w:val="none"/>
              </w:rPr>
              <w:t>(</w:t>
            </w:r>
            <w:r>
              <w:rPr>
                <w:rFonts w:ascii="Cambria Math" w:hAnsi="Cambria Math" w:eastAsia="宋体" w:cs="Cambria Math"/>
                <w:bCs/>
                <w:color w:val="auto"/>
                <w:spacing w:val="0"/>
                <w:sz w:val="24"/>
                <w:szCs w:val="24"/>
                <w:highlight w:val="none"/>
              </w:rPr>
              <w:t>𝑟</w:t>
            </w:r>
            <w:r>
              <w:rPr>
                <w:rFonts w:ascii="Times New Roman" w:hAnsi="Times New Roman" w:eastAsia="宋体" w:cs="Times New Roman"/>
                <w:bCs/>
                <w:color w:val="auto"/>
                <w:spacing w:val="0"/>
                <w:sz w:val="24"/>
                <w:szCs w:val="24"/>
                <w:highlight w:val="none"/>
              </w:rPr>
              <w:t>)计算公式：</w:t>
            </w:r>
          </w:p>
          <w:p w14:paraId="75EFA76C">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eastAsia="宋体" w:cs="Times New Roman"/>
                <w:bCs/>
                <w:color w:val="auto"/>
                <w:spacing w:val="0"/>
                <w:sz w:val="24"/>
                <w:szCs w:val="24"/>
                <w:highlight w:val="none"/>
                <w:lang w:eastAsia="zh-CN"/>
              </w:rPr>
            </w:pPr>
            <w:r>
              <w:rPr>
                <w:rFonts w:ascii="Times New Roman" w:hAnsi="Times New Roman" w:eastAsia="宋体" w:cs="Times New Roman"/>
                <w:color w:val="auto"/>
                <w:spacing w:val="0"/>
                <w:sz w:val="24"/>
                <w:szCs w:val="24"/>
                <w:highlight w:val="none"/>
              </w:rPr>
              <w:drawing>
                <wp:anchor distT="0" distB="0" distL="0" distR="0" simplePos="0" relativeHeight="251660288" behindDoc="0" locked="0" layoutInCell="1" allowOverlap="1">
                  <wp:simplePos x="0" y="0"/>
                  <wp:positionH relativeFrom="column">
                    <wp:posOffset>1341755</wp:posOffset>
                  </wp:positionH>
                  <wp:positionV relativeFrom="paragraph">
                    <wp:posOffset>47625</wp:posOffset>
                  </wp:positionV>
                  <wp:extent cx="1889760" cy="501015"/>
                  <wp:effectExtent l="0" t="0" r="0" b="1905"/>
                  <wp:wrapNone/>
                  <wp:docPr id="1040" name="图片 825"/>
                  <wp:cNvGraphicFramePr/>
                  <a:graphic xmlns:a="http://schemas.openxmlformats.org/drawingml/2006/main">
                    <a:graphicData uri="http://schemas.openxmlformats.org/drawingml/2006/picture">
                      <pic:pic xmlns:pic="http://schemas.openxmlformats.org/drawingml/2006/picture">
                        <pic:nvPicPr>
                          <pic:cNvPr id="1040" name="图片 825"/>
                          <pic:cNvPicPr/>
                        </pic:nvPicPr>
                        <pic:blipFill>
                          <a:blip r:embed="rId29" cstate="print"/>
                          <a:srcRect/>
                          <a:stretch>
                            <a:fillRect/>
                          </a:stretch>
                        </pic:blipFill>
                        <pic:spPr>
                          <a:xfrm>
                            <a:off x="0" y="0"/>
                            <a:ext cx="1889760" cy="501015"/>
                          </a:xfrm>
                          <a:prstGeom prst="rect">
                            <a:avLst/>
                          </a:prstGeom>
                          <a:ln>
                            <a:noFill/>
                          </a:ln>
                        </pic:spPr>
                      </pic:pic>
                    </a:graphicData>
                  </a:graphic>
                </wp:anchor>
              </w:drawing>
            </w:r>
          </w:p>
          <w:p w14:paraId="0DE3BA57">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eastAsia="宋体" w:cs="Times New Roman"/>
                <w:bCs/>
                <w:color w:val="auto"/>
                <w:spacing w:val="0"/>
                <w:sz w:val="24"/>
                <w:szCs w:val="24"/>
                <w:highlight w:val="none"/>
                <w:lang w:eastAsia="zh-CN"/>
              </w:rPr>
            </w:pPr>
          </w:p>
          <w:p w14:paraId="0A338E5F">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ascii="Times New Roman" w:hAnsi="Times New Roman" w:eastAsia="宋体" w:cs="Times New Roman"/>
                <w:bCs/>
                <w:color w:val="auto"/>
                <w:spacing w:val="0"/>
                <w:sz w:val="24"/>
                <w:szCs w:val="24"/>
                <w:highlight w:val="none"/>
              </w:rPr>
            </w:pPr>
            <w:r>
              <w:rPr>
                <w:rFonts w:ascii="Times New Roman" w:hAnsi="Times New Roman" w:eastAsia="宋体" w:cs="Times New Roman"/>
                <w:bCs/>
                <w:color w:val="auto"/>
                <w:spacing w:val="0"/>
                <w:sz w:val="24"/>
                <w:szCs w:val="24"/>
                <w:highlight w:val="none"/>
              </w:rPr>
              <w:t>式中：</w:t>
            </w:r>
            <w:r>
              <w:rPr>
                <w:rFonts w:ascii="Cambria Math" w:hAnsi="Cambria Math" w:eastAsia="宋体" w:cs="Cambria Math"/>
                <w:bCs/>
                <w:color w:val="auto"/>
                <w:spacing w:val="0"/>
                <w:sz w:val="24"/>
                <w:szCs w:val="24"/>
                <w:highlight w:val="none"/>
              </w:rPr>
              <w:t>𝐿</w:t>
            </w:r>
            <w:r>
              <w:rPr>
                <w:rFonts w:ascii="Cambria Math" w:hAnsi="Cambria Math" w:eastAsia="宋体" w:cs="Cambria Math"/>
                <w:bCs/>
                <w:color w:val="auto"/>
                <w:spacing w:val="0"/>
                <w:sz w:val="24"/>
                <w:szCs w:val="24"/>
                <w:highlight w:val="none"/>
                <w:vertAlign w:val="subscript"/>
              </w:rPr>
              <w:t>𝐴</w:t>
            </w:r>
            <w:r>
              <w:rPr>
                <w:rFonts w:ascii="Times New Roman" w:hAnsi="Times New Roman" w:eastAsia="宋体" w:cs="Times New Roman"/>
                <w:bCs/>
                <w:color w:val="auto"/>
                <w:spacing w:val="0"/>
                <w:sz w:val="24"/>
                <w:szCs w:val="24"/>
                <w:highlight w:val="none"/>
              </w:rPr>
              <w:t>(</w:t>
            </w:r>
            <w:r>
              <w:rPr>
                <w:rFonts w:ascii="Cambria Math" w:hAnsi="Cambria Math" w:eastAsia="宋体" w:cs="Cambria Math"/>
                <w:bCs/>
                <w:color w:val="auto"/>
                <w:spacing w:val="0"/>
                <w:sz w:val="24"/>
                <w:szCs w:val="24"/>
                <w:highlight w:val="none"/>
              </w:rPr>
              <w:t>𝑟</w:t>
            </w:r>
            <w:r>
              <w:rPr>
                <w:rFonts w:ascii="Times New Roman" w:hAnsi="Times New Roman" w:eastAsia="宋体" w:cs="Times New Roman"/>
                <w:bCs/>
                <w:color w:val="auto"/>
                <w:spacing w:val="0"/>
                <w:sz w:val="24"/>
                <w:szCs w:val="24"/>
                <w:highlight w:val="none"/>
              </w:rPr>
              <w:t>)—距声源r处的A声级，dB（A）；</w:t>
            </w:r>
          </w:p>
          <w:p w14:paraId="34ED3B23">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ascii="Times New Roman" w:hAnsi="Times New Roman" w:eastAsia="宋体" w:cs="Times New Roman"/>
                <w:bCs/>
                <w:color w:val="auto"/>
                <w:spacing w:val="0"/>
                <w:sz w:val="24"/>
                <w:szCs w:val="24"/>
                <w:highlight w:val="none"/>
              </w:rPr>
            </w:pPr>
            <w:r>
              <w:rPr>
                <w:rFonts w:ascii="Times New Roman" w:hAnsi="Times New Roman" w:eastAsia="宋体" w:cs="Times New Roman"/>
                <w:bCs/>
                <w:color w:val="auto"/>
                <w:spacing w:val="0"/>
                <w:sz w:val="24"/>
                <w:szCs w:val="24"/>
                <w:highlight w:val="none"/>
              </w:rPr>
              <w:t xml:space="preserve">      </w:t>
            </w:r>
            <w:r>
              <w:rPr>
                <w:rFonts w:ascii="Cambria Math" w:hAnsi="Cambria Math" w:eastAsia="宋体" w:cs="Cambria Math"/>
                <w:bCs/>
                <w:color w:val="auto"/>
                <w:spacing w:val="0"/>
                <w:sz w:val="24"/>
                <w:szCs w:val="24"/>
                <w:highlight w:val="none"/>
              </w:rPr>
              <w:t>𝐿</w:t>
            </w:r>
            <w:r>
              <w:rPr>
                <w:rFonts w:ascii="Cambria Math" w:hAnsi="Cambria Math" w:eastAsia="宋体" w:cs="Cambria Math"/>
                <w:bCs/>
                <w:color w:val="auto"/>
                <w:spacing w:val="0"/>
                <w:sz w:val="24"/>
                <w:szCs w:val="24"/>
                <w:highlight w:val="none"/>
                <w:vertAlign w:val="subscript"/>
              </w:rPr>
              <w:t>𝑝𝑖</w:t>
            </w:r>
            <w:r>
              <w:rPr>
                <w:rFonts w:ascii="Times New Roman" w:hAnsi="Times New Roman" w:eastAsia="宋体" w:cs="Times New Roman"/>
                <w:bCs/>
                <w:color w:val="auto"/>
                <w:spacing w:val="0"/>
                <w:sz w:val="24"/>
                <w:szCs w:val="24"/>
                <w:highlight w:val="none"/>
              </w:rPr>
              <w:t>(</w:t>
            </w:r>
            <w:r>
              <w:rPr>
                <w:rFonts w:ascii="Cambria Math" w:hAnsi="Cambria Math" w:eastAsia="宋体" w:cs="Cambria Math"/>
                <w:bCs/>
                <w:color w:val="auto"/>
                <w:spacing w:val="0"/>
                <w:sz w:val="24"/>
                <w:szCs w:val="24"/>
                <w:highlight w:val="none"/>
              </w:rPr>
              <w:t>𝑟</w:t>
            </w:r>
            <w:r>
              <w:rPr>
                <w:rFonts w:ascii="Times New Roman" w:hAnsi="Times New Roman" w:eastAsia="宋体" w:cs="Times New Roman"/>
                <w:bCs/>
                <w:color w:val="auto"/>
                <w:spacing w:val="0"/>
                <w:sz w:val="24"/>
                <w:szCs w:val="24"/>
                <w:highlight w:val="none"/>
              </w:rPr>
              <w:t>)—预测点（r）处，第i倍频带声压级，dB；</w:t>
            </w:r>
          </w:p>
          <w:p w14:paraId="6846AAD5">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ascii="Times New Roman" w:hAnsi="Times New Roman" w:eastAsia="宋体" w:cs="Times New Roman"/>
                <w:bCs/>
                <w:color w:val="auto"/>
                <w:spacing w:val="0"/>
                <w:sz w:val="24"/>
                <w:szCs w:val="24"/>
                <w:highlight w:val="none"/>
              </w:rPr>
            </w:pPr>
            <w:r>
              <w:rPr>
                <w:rFonts w:ascii="Times New Roman" w:hAnsi="Times New Roman" w:eastAsia="宋体" w:cs="Times New Roman"/>
                <w:bCs/>
                <w:color w:val="auto"/>
                <w:spacing w:val="0"/>
                <w:sz w:val="24"/>
                <w:szCs w:val="24"/>
                <w:highlight w:val="none"/>
              </w:rPr>
              <w:t xml:space="preserve">      ∆</w:t>
            </w:r>
            <w:r>
              <w:rPr>
                <w:rFonts w:ascii="Cambria Math" w:hAnsi="Cambria Math" w:eastAsia="宋体" w:cs="Cambria Math"/>
                <w:bCs/>
                <w:color w:val="auto"/>
                <w:spacing w:val="0"/>
                <w:sz w:val="24"/>
                <w:szCs w:val="24"/>
                <w:highlight w:val="none"/>
              </w:rPr>
              <w:t>𝐿𝑖</w:t>
            </w:r>
            <w:r>
              <w:rPr>
                <w:rFonts w:ascii="Times New Roman" w:hAnsi="Times New Roman" w:eastAsia="宋体" w:cs="Times New Roman"/>
                <w:bCs/>
                <w:color w:val="auto"/>
                <w:spacing w:val="0"/>
                <w:sz w:val="24"/>
                <w:szCs w:val="24"/>
                <w:highlight w:val="none"/>
              </w:rPr>
              <w:t>—第i倍频带的A计权网络修正值，dB；</w:t>
            </w:r>
          </w:p>
          <w:p w14:paraId="692AC420">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ascii="Times New Roman" w:hAnsi="Times New Roman" w:eastAsia="宋体" w:cs="Times New Roman"/>
                <w:bCs/>
                <w:color w:val="auto"/>
                <w:spacing w:val="0"/>
                <w:sz w:val="24"/>
                <w:szCs w:val="24"/>
                <w:highlight w:val="none"/>
              </w:rPr>
            </w:pPr>
            <w:r>
              <w:rPr>
                <w:rFonts w:ascii="Times New Roman" w:hAnsi="Times New Roman" w:eastAsia="宋体" w:cs="Times New Roman"/>
                <w:bCs/>
                <w:color w:val="auto"/>
                <w:spacing w:val="0"/>
                <w:sz w:val="24"/>
                <w:szCs w:val="24"/>
                <w:highlight w:val="none"/>
              </w:rPr>
              <w:t>只考虑几何发散衰减时，按以下计算公式：</w:t>
            </w:r>
          </w:p>
          <w:p w14:paraId="731C47DA">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ascii="Times New Roman" w:hAnsi="Times New Roman" w:eastAsia="宋体" w:cs="Times New Roman"/>
                <w:bCs/>
                <w:color w:val="auto"/>
                <w:spacing w:val="0"/>
                <w:sz w:val="24"/>
                <w:szCs w:val="24"/>
                <w:highlight w:val="none"/>
              </w:rPr>
            </w:pPr>
            <w:r>
              <w:rPr>
                <w:rFonts w:ascii="Times New Roman" w:hAnsi="Times New Roman" w:eastAsia="宋体" w:cs="Times New Roman"/>
                <w:color w:val="auto"/>
                <w:spacing w:val="0"/>
                <w:sz w:val="24"/>
                <w:szCs w:val="24"/>
                <w:highlight w:val="none"/>
              </w:rPr>
              <w:drawing>
                <wp:inline distT="0" distB="0" distL="0" distR="0">
                  <wp:extent cx="1475740" cy="323850"/>
                  <wp:effectExtent l="0" t="0" r="2540" b="11430"/>
                  <wp:docPr id="1041" name="图片 14"/>
                  <wp:cNvGraphicFramePr/>
                  <a:graphic xmlns:a="http://schemas.openxmlformats.org/drawingml/2006/main">
                    <a:graphicData uri="http://schemas.openxmlformats.org/drawingml/2006/picture">
                      <pic:pic xmlns:pic="http://schemas.openxmlformats.org/drawingml/2006/picture">
                        <pic:nvPicPr>
                          <pic:cNvPr id="1041" name="图片 14"/>
                          <pic:cNvPicPr/>
                        </pic:nvPicPr>
                        <pic:blipFill>
                          <a:blip r:embed="rId30" cstate="print"/>
                          <a:srcRect/>
                          <a:stretch>
                            <a:fillRect/>
                          </a:stretch>
                        </pic:blipFill>
                        <pic:spPr>
                          <a:xfrm>
                            <a:off x="0" y="0"/>
                            <a:ext cx="1475740" cy="323850"/>
                          </a:xfrm>
                          <a:prstGeom prst="rect">
                            <a:avLst/>
                          </a:prstGeom>
                          <a:ln>
                            <a:noFill/>
                          </a:ln>
                        </pic:spPr>
                      </pic:pic>
                    </a:graphicData>
                  </a:graphic>
                </wp:inline>
              </w:drawing>
            </w:r>
          </w:p>
          <w:p w14:paraId="1DE95FF3">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ascii="Times New Roman" w:hAnsi="Times New Roman" w:eastAsia="宋体" w:cs="Times New Roman"/>
                <w:bCs/>
                <w:color w:val="auto"/>
                <w:spacing w:val="0"/>
                <w:sz w:val="24"/>
                <w:szCs w:val="24"/>
                <w:highlight w:val="none"/>
              </w:rPr>
            </w:pPr>
            <w:r>
              <w:rPr>
                <w:rFonts w:ascii="Times New Roman" w:hAnsi="Times New Roman" w:eastAsia="宋体" w:cs="Times New Roman"/>
                <w:bCs/>
                <w:color w:val="auto"/>
                <w:spacing w:val="0"/>
                <w:sz w:val="24"/>
                <w:szCs w:val="24"/>
                <w:highlight w:val="none"/>
              </w:rPr>
              <w:t>式中：</w:t>
            </w:r>
            <w:r>
              <w:rPr>
                <w:rFonts w:ascii="Cambria Math" w:hAnsi="Cambria Math" w:eastAsia="宋体" w:cs="Cambria Math"/>
                <w:bCs/>
                <w:color w:val="auto"/>
                <w:spacing w:val="0"/>
                <w:sz w:val="24"/>
                <w:szCs w:val="24"/>
                <w:highlight w:val="none"/>
              </w:rPr>
              <w:t>𝐿</w:t>
            </w:r>
            <w:r>
              <w:rPr>
                <w:rFonts w:ascii="Cambria Math" w:hAnsi="Cambria Math" w:eastAsia="宋体" w:cs="Cambria Math"/>
                <w:bCs/>
                <w:color w:val="auto"/>
                <w:spacing w:val="0"/>
                <w:sz w:val="24"/>
                <w:szCs w:val="24"/>
                <w:highlight w:val="none"/>
                <w:vertAlign w:val="subscript"/>
              </w:rPr>
              <w:t>𝐴</w:t>
            </w:r>
            <w:r>
              <w:rPr>
                <w:rFonts w:ascii="Times New Roman" w:hAnsi="Times New Roman" w:eastAsia="宋体" w:cs="Times New Roman"/>
                <w:bCs/>
                <w:color w:val="auto"/>
                <w:spacing w:val="0"/>
                <w:sz w:val="24"/>
                <w:szCs w:val="24"/>
                <w:highlight w:val="none"/>
              </w:rPr>
              <w:t>(</w:t>
            </w:r>
            <w:r>
              <w:rPr>
                <w:rFonts w:ascii="Cambria Math" w:hAnsi="Cambria Math" w:eastAsia="宋体" w:cs="Cambria Math"/>
                <w:bCs/>
                <w:color w:val="auto"/>
                <w:spacing w:val="0"/>
                <w:sz w:val="24"/>
                <w:szCs w:val="24"/>
                <w:highlight w:val="none"/>
              </w:rPr>
              <w:t>𝑟</w:t>
            </w:r>
            <w:r>
              <w:rPr>
                <w:rFonts w:ascii="Times New Roman" w:hAnsi="Times New Roman" w:eastAsia="宋体" w:cs="Times New Roman"/>
                <w:bCs/>
                <w:color w:val="auto"/>
                <w:spacing w:val="0"/>
                <w:sz w:val="24"/>
                <w:szCs w:val="24"/>
                <w:highlight w:val="none"/>
              </w:rPr>
              <w:t>)—距声源r处的A声级，dB（A）；</w:t>
            </w:r>
          </w:p>
          <w:p w14:paraId="78809120">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ascii="Times New Roman" w:hAnsi="Times New Roman" w:eastAsia="宋体" w:cs="Times New Roman"/>
                <w:bCs/>
                <w:color w:val="auto"/>
                <w:spacing w:val="0"/>
                <w:sz w:val="24"/>
                <w:szCs w:val="24"/>
                <w:highlight w:val="none"/>
              </w:rPr>
            </w:pPr>
            <w:r>
              <w:rPr>
                <w:rFonts w:hint="eastAsia" w:ascii="Times New Roman" w:hAnsi="Times New Roman" w:eastAsia="宋体" w:cs="Times New Roman"/>
                <w:bCs/>
                <w:color w:val="auto"/>
                <w:spacing w:val="0"/>
                <w:sz w:val="24"/>
                <w:szCs w:val="24"/>
                <w:highlight w:val="none"/>
                <w:lang w:val="en-US" w:eastAsia="zh-CN"/>
              </w:rPr>
              <w:t xml:space="preserve">      </w:t>
            </w:r>
            <w:r>
              <w:rPr>
                <w:rFonts w:ascii="Cambria Math" w:hAnsi="Cambria Math" w:eastAsia="宋体" w:cs="Cambria Math"/>
                <w:bCs/>
                <w:color w:val="auto"/>
                <w:spacing w:val="0"/>
                <w:sz w:val="24"/>
                <w:szCs w:val="24"/>
                <w:highlight w:val="none"/>
              </w:rPr>
              <w:t>𝐿</w:t>
            </w:r>
            <w:r>
              <w:rPr>
                <w:rFonts w:ascii="Times New Roman" w:hAnsi="Times New Roman" w:eastAsia="宋体" w:cs="Cambria Math"/>
                <w:bCs/>
                <w:color w:val="auto"/>
                <w:spacing w:val="0"/>
                <w:sz w:val="24"/>
                <w:szCs w:val="24"/>
                <w:highlight w:val="none"/>
                <w:vertAlign w:val="subscript"/>
              </w:rPr>
              <w:t>A</w:t>
            </w:r>
            <w:r>
              <w:rPr>
                <w:rFonts w:ascii="Times New Roman" w:hAnsi="Times New Roman" w:eastAsia="宋体" w:cs="Times New Roman"/>
                <w:bCs/>
                <w:color w:val="auto"/>
                <w:spacing w:val="0"/>
                <w:sz w:val="24"/>
                <w:szCs w:val="24"/>
                <w:highlight w:val="none"/>
              </w:rPr>
              <w:t>(</w:t>
            </w:r>
            <w:r>
              <w:rPr>
                <w:rFonts w:ascii="Cambria Math" w:hAnsi="Cambria Math" w:eastAsia="宋体" w:cs="Cambria Math"/>
                <w:bCs/>
                <w:color w:val="auto"/>
                <w:spacing w:val="0"/>
                <w:sz w:val="24"/>
                <w:szCs w:val="24"/>
                <w:highlight w:val="none"/>
              </w:rPr>
              <w:t>𝑟</w:t>
            </w:r>
            <w:r>
              <w:rPr>
                <w:rFonts w:ascii="Times New Roman" w:hAnsi="Times New Roman" w:eastAsia="宋体" w:cs="Cambria Math"/>
                <w:bCs/>
                <w:color w:val="auto"/>
                <w:spacing w:val="0"/>
                <w:sz w:val="24"/>
                <w:szCs w:val="24"/>
                <w:highlight w:val="none"/>
                <w:vertAlign w:val="subscript"/>
              </w:rPr>
              <w:t>0</w:t>
            </w:r>
            <w:r>
              <w:rPr>
                <w:rFonts w:ascii="Times New Roman" w:hAnsi="Times New Roman" w:eastAsia="宋体" w:cs="Times New Roman"/>
                <w:bCs/>
                <w:color w:val="auto"/>
                <w:spacing w:val="0"/>
                <w:sz w:val="24"/>
                <w:szCs w:val="24"/>
                <w:highlight w:val="none"/>
              </w:rPr>
              <w:t>)—</w:t>
            </w:r>
            <w:r>
              <w:rPr>
                <w:rFonts w:hint="eastAsia" w:ascii="Times New Roman" w:hAnsi="Times New Roman" w:eastAsia="宋体" w:cs="Times New Roman"/>
                <w:bCs/>
                <w:color w:val="auto"/>
                <w:spacing w:val="0"/>
                <w:sz w:val="24"/>
                <w:szCs w:val="24"/>
                <w:highlight w:val="none"/>
              </w:rPr>
              <w:t>参考位置</w:t>
            </w:r>
            <w:r>
              <w:rPr>
                <w:rFonts w:ascii="Times New Roman" w:hAnsi="Times New Roman" w:eastAsia="宋体" w:cs="Times New Roman"/>
                <w:bCs/>
                <w:i/>
                <w:iCs/>
                <w:color w:val="auto"/>
                <w:spacing w:val="0"/>
                <w:sz w:val="24"/>
                <w:szCs w:val="24"/>
                <w:highlight w:val="none"/>
              </w:rPr>
              <w:t>r</w:t>
            </w:r>
            <w:r>
              <w:rPr>
                <w:rFonts w:ascii="Times New Roman" w:hAnsi="Times New Roman" w:eastAsia="宋体" w:cs="Times New Roman"/>
                <w:bCs/>
                <w:color w:val="auto"/>
                <w:spacing w:val="0"/>
                <w:sz w:val="24"/>
                <w:szCs w:val="24"/>
                <w:highlight w:val="none"/>
                <w:vertAlign w:val="subscript"/>
              </w:rPr>
              <w:t>0</w:t>
            </w:r>
            <w:r>
              <w:rPr>
                <w:rFonts w:hint="eastAsia" w:ascii="Times New Roman" w:hAnsi="Times New Roman" w:eastAsia="宋体" w:cs="Times New Roman"/>
                <w:bCs/>
                <w:color w:val="auto"/>
                <w:spacing w:val="0"/>
                <w:sz w:val="24"/>
                <w:szCs w:val="24"/>
                <w:highlight w:val="none"/>
              </w:rPr>
              <w:t>处的</w:t>
            </w:r>
            <w:r>
              <w:rPr>
                <w:rFonts w:ascii="Times New Roman" w:hAnsi="Times New Roman" w:eastAsia="宋体" w:cs="Times New Roman"/>
                <w:bCs/>
                <w:color w:val="auto"/>
                <w:spacing w:val="0"/>
                <w:sz w:val="24"/>
                <w:szCs w:val="24"/>
                <w:highlight w:val="none"/>
              </w:rPr>
              <w:t>A</w:t>
            </w:r>
            <w:r>
              <w:rPr>
                <w:rFonts w:hint="eastAsia" w:ascii="Times New Roman" w:hAnsi="Times New Roman" w:eastAsia="宋体" w:cs="Times New Roman"/>
                <w:bCs/>
                <w:color w:val="auto"/>
                <w:spacing w:val="0"/>
                <w:sz w:val="24"/>
                <w:szCs w:val="24"/>
                <w:highlight w:val="none"/>
              </w:rPr>
              <w:t>声级，</w:t>
            </w:r>
            <w:r>
              <w:rPr>
                <w:rFonts w:ascii="Times New Roman" w:hAnsi="Times New Roman" w:eastAsia="宋体" w:cs="Times New Roman"/>
                <w:bCs/>
                <w:color w:val="auto"/>
                <w:spacing w:val="0"/>
                <w:sz w:val="24"/>
                <w:szCs w:val="24"/>
                <w:highlight w:val="none"/>
              </w:rPr>
              <w:t>dB(A)</w:t>
            </w:r>
            <w:r>
              <w:rPr>
                <w:rFonts w:hint="eastAsia" w:ascii="Times New Roman" w:hAnsi="Times New Roman" w:eastAsia="宋体" w:cs="Times New Roman"/>
                <w:bCs/>
                <w:color w:val="auto"/>
                <w:spacing w:val="0"/>
                <w:sz w:val="24"/>
                <w:szCs w:val="24"/>
                <w:highlight w:val="none"/>
              </w:rPr>
              <w:t>；</w:t>
            </w:r>
          </w:p>
          <w:p w14:paraId="63936F48">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ascii="Times New Roman" w:hAnsi="Times New Roman" w:eastAsia="宋体" w:cs="Times New Roman"/>
                <w:bCs/>
                <w:color w:val="auto"/>
                <w:spacing w:val="0"/>
                <w:sz w:val="24"/>
                <w:szCs w:val="24"/>
                <w:highlight w:val="none"/>
              </w:rPr>
            </w:pPr>
            <w:r>
              <w:rPr>
                <w:rFonts w:ascii="Times New Roman" w:hAnsi="Times New Roman" w:eastAsia="宋体" w:cs="Times New Roman"/>
                <w:bCs/>
                <w:color w:val="auto"/>
                <w:spacing w:val="0"/>
                <w:sz w:val="24"/>
                <w:szCs w:val="24"/>
                <w:highlight w:val="none"/>
              </w:rPr>
              <w:t xml:space="preserve"> </w:t>
            </w:r>
            <w:r>
              <w:rPr>
                <w:rFonts w:hint="eastAsia" w:ascii="Times New Roman" w:hAnsi="Times New Roman" w:eastAsia="宋体" w:cs="Times New Roman"/>
                <w:bCs/>
                <w:color w:val="auto"/>
                <w:spacing w:val="0"/>
                <w:sz w:val="24"/>
                <w:szCs w:val="24"/>
                <w:highlight w:val="none"/>
                <w:lang w:val="en-US" w:eastAsia="zh-CN"/>
              </w:rPr>
              <w:t xml:space="preserve">     </w:t>
            </w:r>
            <w:r>
              <w:rPr>
                <w:rFonts w:ascii="Cambria Math" w:hAnsi="Cambria Math" w:eastAsia="宋体" w:cs="Cambria Math"/>
                <w:bCs/>
                <w:color w:val="auto"/>
                <w:spacing w:val="0"/>
                <w:sz w:val="24"/>
                <w:szCs w:val="24"/>
                <w:highlight w:val="none"/>
              </w:rPr>
              <w:t>𝐴</w:t>
            </w:r>
            <w:r>
              <w:rPr>
                <w:rFonts w:ascii="Cambria Math" w:hAnsi="Cambria Math" w:eastAsia="宋体" w:cs="Cambria Math"/>
                <w:bCs/>
                <w:color w:val="auto"/>
                <w:spacing w:val="0"/>
                <w:sz w:val="24"/>
                <w:szCs w:val="24"/>
                <w:highlight w:val="none"/>
                <w:vertAlign w:val="subscript"/>
              </w:rPr>
              <w:t>𝑑𝑖𝑣</w:t>
            </w:r>
            <w:r>
              <w:rPr>
                <w:rFonts w:ascii="Times New Roman" w:hAnsi="Times New Roman" w:eastAsia="宋体" w:cs="Times New Roman"/>
                <w:bCs/>
                <w:color w:val="auto"/>
                <w:spacing w:val="0"/>
                <w:sz w:val="24"/>
                <w:szCs w:val="24"/>
                <w:highlight w:val="none"/>
              </w:rPr>
              <w:t>—几何发散引起的衰减，dB；</w:t>
            </w:r>
            <w:r>
              <w:rPr>
                <w:rFonts w:ascii="Cambria Math" w:hAnsi="Cambria Math" w:eastAsia="宋体" w:cs="Cambria Math"/>
                <w:bCs/>
                <w:color w:val="auto"/>
                <w:spacing w:val="0"/>
                <w:sz w:val="24"/>
                <w:szCs w:val="24"/>
                <w:highlight w:val="none"/>
              </w:rPr>
              <w:t>𝐴</w:t>
            </w:r>
            <w:r>
              <w:rPr>
                <w:rFonts w:ascii="Cambria Math" w:hAnsi="Cambria Math" w:eastAsia="宋体" w:cs="Cambria Math"/>
                <w:bCs/>
                <w:color w:val="auto"/>
                <w:spacing w:val="0"/>
                <w:sz w:val="24"/>
                <w:szCs w:val="24"/>
                <w:highlight w:val="none"/>
                <w:vertAlign w:val="subscript"/>
              </w:rPr>
              <w:t>𝑑𝑖𝑣</w:t>
            </w:r>
            <w:r>
              <w:rPr>
                <w:rFonts w:ascii="Times New Roman" w:hAnsi="Times New Roman" w:eastAsia="宋体" w:cs="Times New Roman"/>
                <w:bCs/>
                <w:color w:val="auto"/>
                <w:spacing w:val="0"/>
                <w:sz w:val="24"/>
                <w:szCs w:val="24"/>
                <w:highlight w:val="none"/>
              </w:rPr>
              <w:t xml:space="preserve"> = 20 log</w:t>
            </w:r>
            <w:r>
              <w:rPr>
                <w:rFonts w:hint="eastAsia" w:ascii="Times New Roman" w:hAnsi="Times New Roman" w:eastAsia="宋体" w:cs="Times New Roman"/>
                <w:bCs/>
                <w:color w:val="auto"/>
                <w:spacing w:val="0"/>
                <w:sz w:val="24"/>
                <w:szCs w:val="24"/>
                <w:highlight w:val="none"/>
              </w:rPr>
              <w:t>（</w:t>
            </w:r>
            <w:r>
              <w:rPr>
                <w:rFonts w:ascii="Cambria Math" w:hAnsi="Cambria Math" w:eastAsia="宋体" w:cs="Cambria Math"/>
                <w:bCs/>
                <w:color w:val="auto"/>
                <w:spacing w:val="0"/>
                <w:sz w:val="24"/>
                <w:szCs w:val="24"/>
                <w:highlight w:val="none"/>
              </w:rPr>
              <w:t>𝑟</w:t>
            </w:r>
            <w:r>
              <w:rPr>
                <w:rFonts w:ascii="Times New Roman" w:hAnsi="Times New Roman" w:eastAsia="宋体" w:cs="Times New Roman"/>
                <w:bCs/>
                <w:color w:val="auto"/>
                <w:spacing w:val="0"/>
                <w:sz w:val="24"/>
                <w:szCs w:val="24"/>
                <w:highlight w:val="none"/>
              </w:rPr>
              <w:t>/</w:t>
            </w:r>
            <w:r>
              <w:rPr>
                <w:rFonts w:ascii="Cambria Math" w:hAnsi="Cambria Math" w:eastAsia="宋体" w:cs="Cambria Math"/>
                <w:bCs/>
                <w:color w:val="auto"/>
                <w:spacing w:val="0"/>
                <w:sz w:val="24"/>
                <w:szCs w:val="24"/>
                <w:highlight w:val="none"/>
              </w:rPr>
              <w:t>𝑟</w:t>
            </w:r>
            <w:r>
              <w:rPr>
                <w:rFonts w:ascii="Times New Roman" w:hAnsi="Times New Roman" w:eastAsia="宋体" w:cs="Times New Roman"/>
                <w:bCs/>
                <w:color w:val="auto"/>
                <w:spacing w:val="0"/>
                <w:sz w:val="24"/>
                <w:szCs w:val="24"/>
                <w:highlight w:val="none"/>
                <w:vertAlign w:val="subscript"/>
              </w:rPr>
              <w:t>0</w:t>
            </w:r>
            <w:r>
              <w:rPr>
                <w:rFonts w:hint="eastAsia" w:ascii="Times New Roman" w:hAnsi="Times New Roman" w:eastAsia="宋体" w:cs="Times New Roman"/>
                <w:bCs/>
                <w:color w:val="auto"/>
                <w:spacing w:val="0"/>
                <w:sz w:val="24"/>
                <w:szCs w:val="24"/>
                <w:highlight w:val="none"/>
              </w:rPr>
              <w:t>）</w:t>
            </w:r>
            <w:r>
              <w:rPr>
                <w:rFonts w:ascii="Times New Roman" w:hAnsi="Times New Roman" w:eastAsia="宋体" w:cs="Times New Roman"/>
                <w:bCs/>
                <w:color w:val="auto"/>
                <w:spacing w:val="0"/>
                <w:sz w:val="24"/>
                <w:szCs w:val="24"/>
                <w:highlight w:val="none"/>
              </w:rPr>
              <w:t>；</w:t>
            </w:r>
          </w:p>
          <w:p w14:paraId="57711AAD">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ascii="Times New Roman" w:hAnsi="Times New Roman" w:eastAsia="宋体" w:cs="Times New Roman"/>
                <w:bCs/>
                <w:color w:val="auto"/>
                <w:spacing w:val="0"/>
                <w:sz w:val="24"/>
                <w:szCs w:val="24"/>
                <w:highlight w:val="none"/>
              </w:rPr>
            </w:pPr>
            <w:r>
              <w:rPr>
                <w:rFonts w:ascii="Times New Roman" w:hAnsi="Times New Roman" w:eastAsia="宋体" w:cs="Times New Roman"/>
                <w:color w:val="auto"/>
                <w:spacing w:val="0"/>
                <w:sz w:val="24"/>
                <w:szCs w:val="24"/>
                <w:highlight w:val="none"/>
              </w:rPr>
              <w:drawing>
                <wp:anchor distT="0" distB="0" distL="0" distR="0" simplePos="0" relativeHeight="251662336" behindDoc="0" locked="0" layoutInCell="1" allowOverlap="1">
                  <wp:simplePos x="0" y="0"/>
                  <wp:positionH relativeFrom="column">
                    <wp:posOffset>798195</wp:posOffset>
                  </wp:positionH>
                  <wp:positionV relativeFrom="paragraph">
                    <wp:posOffset>598170</wp:posOffset>
                  </wp:positionV>
                  <wp:extent cx="2976245" cy="628015"/>
                  <wp:effectExtent l="0" t="0" r="10795" b="12065"/>
                  <wp:wrapNone/>
                  <wp:docPr id="1042" name="图片 826"/>
                  <wp:cNvGraphicFramePr/>
                  <a:graphic xmlns:a="http://schemas.openxmlformats.org/drawingml/2006/main">
                    <a:graphicData uri="http://schemas.openxmlformats.org/drawingml/2006/picture">
                      <pic:pic xmlns:pic="http://schemas.openxmlformats.org/drawingml/2006/picture">
                        <pic:nvPicPr>
                          <pic:cNvPr id="1042" name="图片 826"/>
                          <pic:cNvPicPr/>
                        </pic:nvPicPr>
                        <pic:blipFill>
                          <a:blip r:embed="rId31" cstate="print"/>
                          <a:srcRect/>
                          <a:stretch>
                            <a:fillRect/>
                          </a:stretch>
                        </pic:blipFill>
                        <pic:spPr>
                          <a:xfrm>
                            <a:off x="0" y="0"/>
                            <a:ext cx="2976245" cy="628015"/>
                          </a:xfrm>
                          <a:prstGeom prst="rect">
                            <a:avLst/>
                          </a:prstGeom>
                          <a:ln>
                            <a:noFill/>
                          </a:ln>
                        </pic:spPr>
                      </pic:pic>
                    </a:graphicData>
                  </a:graphic>
                </wp:anchor>
              </w:drawing>
            </w:r>
            <w:r>
              <w:rPr>
                <w:rFonts w:hint="eastAsia" w:ascii="Times New Roman" w:hAnsi="Times New Roman" w:eastAsia="宋体" w:cs="Times New Roman"/>
                <w:bCs/>
                <w:color w:val="auto"/>
                <w:spacing w:val="0"/>
                <w:sz w:val="24"/>
                <w:szCs w:val="24"/>
                <w:highlight w:val="none"/>
              </w:rPr>
              <w:t>（2）噪声贡献值采用导则附录B工业噪声预测计算模型（B.6）式计算，公式如下：</w:t>
            </w:r>
          </w:p>
          <w:p w14:paraId="5C006BC4">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ascii="Times New Roman" w:hAnsi="Times New Roman" w:eastAsia="宋体" w:cs="Times New Roman"/>
                <w:color w:val="auto"/>
                <w:spacing w:val="0"/>
                <w:sz w:val="24"/>
                <w:szCs w:val="24"/>
                <w:highlight w:val="none"/>
              </w:rPr>
            </w:pPr>
          </w:p>
          <w:p w14:paraId="34E45E43">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ascii="Times New Roman" w:hAnsi="Times New Roman" w:eastAsia="宋体" w:cs="Times New Roman"/>
                <w:bCs/>
                <w:color w:val="auto"/>
                <w:spacing w:val="0"/>
                <w:sz w:val="24"/>
                <w:szCs w:val="24"/>
                <w:highlight w:val="none"/>
              </w:rPr>
            </w:pPr>
          </w:p>
          <w:p w14:paraId="30F1D30E">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ascii="Times New Roman" w:hAnsi="Times New Roman" w:eastAsia="宋体" w:cs="Times New Roman"/>
                <w:bCs/>
                <w:color w:val="auto"/>
                <w:spacing w:val="0"/>
                <w:sz w:val="24"/>
                <w:szCs w:val="24"/>
                <w:highlight w:val="none"/>
              </w:rPr>
            </w:pPr>
            <w:r>
              <w:rPr>
                <w:rFonts w:ascii="Times New Roman" w:hAnsi="Times New Roman" w:eastAsia="宋体" w:cs="Times New Roman"/>
                <w:bCs/>
                <w:color w:val="auto"/>
                <w:spacing w:val="0"/>
                <w:sz w:val="24"/>
                <w:szCs w:val="24"/>
                <w:highlight w:val="none"/>
              </w:rPr>
              <w:t>式中：L</w:t>
            </w:r>
            <w:r>
              <w:rPr>
                <w:rFonts w:ascii="Times New Roman" w:hAnsi="Times New Roman" w:eastAsia="宋体" w:cs="Times New Roman"/>
                <w:bCs/>
                <w:color w:val="auto"/>
                <w:spacing w:val="0"/>
                <w:sz w:val="24"/>
                <w:szCs w:val="24"/>
                <w:highlight w:val="none"/>
                <w:vertAlign w:val="subscript"/>
              </w:rPr>
              <w:t>eqg</w:t>
            </w:r>
            <w:r>
              <w:rPr>
                <w:rFonts w:ascii="Times New Roman" w:hAnsi="Times New Roman" w:eastAsia="宋体" w:cs="Times New Roman"/>
                <w:bCs/>
                <w:color w:val="auto"/>
                <w:spacing w:val="0"/>
                <w:sz w:val="24"/>
                <w:szCs w:val="24"/>
                <w:highlight w:val="none"/>
              </w:rPr>
              <w:t>—建设项目声源在预测点产生的噪声贡献值，dB；</w:t>
            </w:r>
          </w:p>
          <w:p w14:paraId="79987986">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ascii="Times New Roman" w:hAnsi="Times New Roman" w:eastAsia="宋体" w:cs="Times New Roman"/>
                <w:bCs/>
                <w:color w:val="auto"/>
                <w:spacing w:val="0"/>
                <w:sz w:val="24"/>
                <w:szCs w:val="24"/>
                <w:highlight w:val="none"/>
              </w:rPr>
            </w:pPr>
            <w:r>
              <w:rPr>
                <w:rFonts w:ascii="Times New Roman" w:hAnsi="Times New Roman" w:eastAsia="宋体" w:cs="Times New Roman"/>
                <w:bCs/>
                <w:color w:val="auto"/>
                <w:spacing w:val="0"/>
                <w:sz w:val="24"/>
                <w:szCs w:val="24"/>
                <w:highlight w:val="none"/>
              </w:rPr>
              <w:t xml:space="preserve"> </w:t>
            </w:r>
            <w:r>
              <w:rPr>
                <w:rFonts w:hint="eastAsia" w:ascii="Times New Roman" w:hAnsi="Times New Roman" w:eastAsia="宋体" w:cs="Times New Roman"/>
                <w:bCs/>
                <w:color w:val="auto"/>
                <w:spacing w:val="0"/>
                <w:sz w:val="24"/>
                <w:szCs w:val="24"/>
                <w:highlight w:val="none"/>
                <w:lang w:val="en-US" w:eastAsia="zh-CN"/>
              </w:rPr>
              <w:t xml:space="preserve">     </w:t>
            </w:r>
            <w:r>
              <w:rPr>
                <w:rFonts w:ascii="Cambria Math" w:hAnsi="Cambria Math" w:eastAsia="宋体" w:cs="Cambria Math"/>
                <w:bCs/>
                <w:color w:val="auto"/>
                <w:spacing w:val="0"/>
                <w:sz w:val="24"/>
                <w:szCs w:val="24"/>
                <w:highlight w:val="none"/>
              </w:rPr>
              <w:t>𝑇</w:t>
            </w:r>
            <w:r>
              <w:rPr>
                <w:rFonts w:ascii="Times New Roman" w:hAnsi="Times New Roman" w:eastAsia="宋体" w:cs="Times New Roman"/>
                <w:bCs/>
                <w:color w:val="auto"/>
                <w:spacing w:val="0"/>
                <w:sz w:val="24"/>
                <w:szCs w:val="24"/>
                <w:highlight w:val="none"/>
              </w:rPr>
              <w:t>—用于计算等效声级的时间，s；</w:t>
            </w:r>
          </w:p>
          <w:p w14:paraId="628D8396">
            <w:pPr>
              <w:keepNext w:val="0"/>
              <w:keepLines w:val="0"/>
              <w:pageBreakBefore w:val="0"/>
              <w:widowControl w:val="0"/>
              <w:kinsoku/>
              <w:wordWrap/>
              <w:overflowPunct/>
              <w:topLinePunct w:val="0"/>
              <w:autoSpaceDE/>
              <w:autoSpaceDN/>
              <w:bidi w:val="0"/>
              <w:adjustRightInd w:val="0"/>
              <w:snapToGrid w:val="0"/>
              <w:spacing w:line="480" w:lineRule="exact"/>
              <w:ind w:firstLine="1200" w:firstLineChars="500"/>
              <w:textAlignment w:val="auto"/>
              <w:rPr>
                <w:rFonts w:ascii="Times New Roman" w:hAnsi="Times New Roman" w:eastAsia="宋体" w:cs="Times New Roman"/>
                <w:bCs/>
                <w:color w:val="auto"/>
                <w:spacing w:val="0"/>
                <w:sz w:val="24"/>
                <w:szCs w:val="24"/>
                <w:highlight w:val="none"/>
              </w:rPr>
            </w:pPr>
            <w:r>
              <w:rPr>
                <w:rFonts w:ascii="Times New Roman" w:hAnsi="Times New Roman" w:eastAsia="宋体" w:cs="Times New Roman"/>
                <w:bCs/>
                <w:color w:val="auto"/>
                <w:spacing w:val="0"/>
                <w:sz w:val="24"/>
                <w:szCs w:val="24"/>
                <w:highlight w:val="none"/>
              </w:rPr>
              <w:t>N—室外声源个数；</w:t>
            </w:r>
          </w:p>
          <w:p w14:paraId="434A78D1">
            <w:pPr>
              <w:keepNext w:val="0"/>
              <w:keepLines w:val="0"/>
              <w:pageBreakBefore w:val="0"/>
              <w:widowControl w:val="0"/>
              <w:kinsoku/>
              <w:wordWrap/>
              <w:overflowPunct/>
              <w:topLinePunct w:val="0"/>
              <w:autoSpaceDE/>
              <w:autoSpaceDN/>
              <w:bidi w:val="0"/>
              <w:adjustRightInd w:val="0"/>
              <w:snapToGrid w:val="0"/>
              <w:spacing w:line="480" w:lineRule="exact"/>
              <w:ind w:firstLine="1200" w:firstLineChars="500"/>
              <w:textAlignment w:val="auto"/>
              <w:rPr>
                <w:rFonts w:ascii="Times New Roman" w:hAnsi="Times New Roman" w:eastAsia="宋体" w:cs="Times New Roman"/>
                <w:bCs/>
                <w:color w:val="auto"/>
                <w:spacing w:val="0"/>
                <w:sz w:val="24"/>
                <w:szCs w:val="24"/>
                <w:highlight w:val="none"/>
              </w:rPr>
            </w:pPr>
            <w:r>
              <w:rPr>
                <w:rFonts w:ascii="Times New Roman" w:hAnsi="Times New Roman" w:eastAsia="宋体" w:cs="Times New Roman"/>
                <w:bCs/>
                <w:color w:val="auto"/>
                <w:spacing w:val="0"/>
                <w:sz w:val="24"/>
                <w:szCs w:val="24"/>
                <w:highlight w:val="none"/>
              </w:rPr>
              <w:t>t</w:t>
            </w:r>
            <w:r>
              <w:rPr>
                <w:rFonts w:ascii="Times New Roman" w:hAnsi="Times New Roman" w:eastAsia="宋体" w:cs="Times New Roman"/>
                <w:bCs/>
                <w:color w:val="auto"/>
                <w:spacing w:val="0"/>
                <w:sz w:val="24"/>
                <w:szCs w:val="24"/>
                <w:highlight w:val="none"/>
                <w:vertAlign w:val="subscript"/>
              </w:rPr>
              <w:t>i</w:t>
            </w:r>
            <w:r>
              <w:rPr>
                <w:rFonts w:ascii="Times New Roman" w:hAnsi="Times New Roman" w:eastAsia="宋体" w:cs="Times New Roman"/>
                <w:bCs/>
                <w:color w:val="auto"/>
                <w:spacing w:val="0"/>
                <w:sz w:val="24"/>
                <w:szCs w:val="24"/>
                <w:highlight w:val="none"/>
              </w:rPr>
              <w:t>—在T时间内i声源工作时间，s；</w:t>
            </w:r>
          </w:p>
          <w:p w14:paraId="26F40426">
            <w:pPr>
              <w:keepNext w:val="0"/>
              <w:keepLines w:val="0"/>
              <w:pageBreakBefore w:val="0"/>
              <w:widowControl w:val="0"/>
              <w:kinsoku/>
              <w:wordWrap/>
              <w:overflowPunct/>
              <w:topLinePunct w:val="0"/>
              <w:autoSpaceDE/>
              <w:autoSpaceDN/>
              <w:bidi w:val="0"/>
              <w:adjustRightInd w:val="0"/>
              <w:snapToGrid w:val="0"/>
              <w:spacing w:line="480" w:lineRule="exact"/>
              <w:ind w:firstLine="1200" w:firstLineChars="500"/>
              <w:textAlignment w:val="auto"/>
              <w:rPr>
                <w:rFonts w:ascii="Times New Roman" w:hAnsi="Times New Roman" w:eastAsia="宋体" w:cs="Times New Roman"/>
                <w:bCs/>
                <w:color w:val="auto"/>
                <w:spacing w:val="0"/>
                <w:sz w:val="24"/>
                <w:szCs w:val="24"/>
                <w:highlight w:val="none"/>
              </w:rPr>
            </w:pPr>
            <w:r>
              <w:rPr>
                <w:rFonts w:ascii="Times New Roman" w:hAnsi="Times New Roman" w:eastAsia="宋体" w:cs="Times New Roman"/>
                <w:bCs/>
                <w:color w:val="auto"/>
                <w:spacing w:val="0"/>
                <w:sz w:val="24"/>
                <w:szCs w:val="24"/>
                <w:highlight w:val="none"/>
              </w:rPr>
              <w:t>M—等效室外声源个数；</w:t>
            </w:r>
          </w:p>
          <w:p w14:paraId="630444EC">
            <w:pPr>
              <w:spacing w:line="480" w:lineRule="exact"/>
              <w:ind w:firstLine="480" w:firstLineChars="200"/>
              <w:rPr>
                <w:rFonts w:hint="eastAsia"/>
                <w:color w:val="auto"/>
                <w:kern w:val="0"/>
                <w:sz w:val="24"/>
                <w:highlight w:val="none"/>
              </w:rPr>
            </w:pPr>
            <w:r>
              <w:rPr>
                <w:rFonts w:ascii="Times New Roman" w:hAnsi="Times New Roman" w:eastAsia="宋体" w:cs="Times New Roman"/>
                <w:bCs/>
                <w:color w:val="auto"/>
                <w:spacing w:val="0"/>
                <w:sz w:val="24"/>
                <w:szCs w:val="24"/>
                <w:highlight w:val="none"/>
              </w:rPr>
              <w:t>t</w:t>
            </w:r>
            <w:r>
              <w:rPr>
                <w:rFonts w:ascii="Times New Roman" w:hAnsi="Times New Roman" w:eastAsia="宋体" w:cs="Times New Roman"/>
                <w:bCs/>
                <w:color w:val="auto"/>
                <w:spacing w:val="0"/>
                <w:sz w:val="24"/>
                <w:szCs w:val="24"/>
                <w:highlight w:val="none"/>
                <w:vertAlign w:val="subscript"/>
              </w:rPr>
              <w:t>j</w:t>
            </w:r>
            <w:r>
              <w:rPr>
                <w:rFonts w:ascii="Times New Roman" w:hAnsi="Times New Roman" w:eastAsia="宋体" w:cs="Times New Roman"/>
                <w:bCs/>
                <w:color w:val="auto"/>
                <w:spacing w:val="0"/>
                <w:sz w:val="24"/>
                <w:szCs w:val="24"/>
                <w:highlight w:val="none"/>
              </w:rPr>
              <w:t>—在T时间内j声源工作时间，s。</w:t>
            </w:r>
          </w:p>
          <w:p w14:paraId="70F322BF">
            <w:pPr>
              <w:pageBreakBefore w:val="0"/>
              <w:widowControl w:val="0"/>
              <w:kinsoku/>
              <w:wordWrap/>
              <w:overflowPunct/>
              <w:topLinePunct w:val="0"/>
              <w:autoSpaceDE/>
              <w:autoSpaceDN/>
              <w:bidi w:val="0"/>
              <w:adjustRightInd w:val="0"/>
              <w:snapToGrid w:val="0"/>
              <w:spacing w:before="0" w:after="0" w:line="480" w:lineRule="exact"/>
              <w:ind w:left="0" w:leftChars="0" w:firstLine="496" w:firstLineChars="200"/>
              <w:jc w:val="both"/>
              <w:textAlignment w:val="auto"/>
              <w:rPr>
                <w:rFonts w:hint="default" w:ascii="Times New Roman" w:hAnsi="Times New Roman" w:eastAsia="宋体" w:cs="Times New Roman"/>
                <w:color w:val="auto"/>
                <w:spacing w:val="4"/>
                <w:kern w:val="2"/>
                <w:sz w:val="24"/>
                <w:szCs w:val="24"/>
                <w:highlight w:val="none"/>
                <w:lang w:val="en-US" w:eastAsia="zh-CN" w:bidi="ar-SA"/>
              </w:rPr>
            </w:pPr>
            <w:r>
              <w:rPr>
                <w:rFonts w:hint="eastAsia" w:ascii="Times New Roman" w:hAnsi="Times New Roman" w:eastAsia="宋体" w:cs="Times New Roman"/>
                <w:color w:val="auto"/>
                <w:spacing w:val="4"/>
                <w:kern w:val="2"/>
                <w:sz w:val="24"/>
                <w:szCs w:val="24"/>
                <w:highlight w:val="none"/>
                <w:lang w:val="en-US" w:eastAsia="zh-CN" w:bidi="ar-SA"/>
              </w:rPr>
              <w:t>厂界</w:t>
            </w:r>
            <w:r>
              <w:rPr>
                <w:rFonts w:hint="default" w:ascii="Times New Roman" w:hAnsi="Times New Roman" w:eastAsia="宋体" w:cs="Times New Roman"/>
                <w:color w:val="auto"/>
                <w:spacing w:val="4"/>
                <w:kern w:val="2"/>
                <w:sz w:val="24"/>
                <w:szCs w:val="24"/>
                <w:highlight w:val="none"/>
                <w:lang w:val="en-US" w:eastAsia="zh-CN" w:bidi="ar-SA"/>
              </w:rPr>
              <w:t>噪声预测结果见</w:t>
            </w:r>
            <w:r>
              <w:rPr>
                <w:rFonts w:hint="eastAsia" w:cs="Times New Roman"/>
                <w:color w:val="auto"/>
                <w:spacing w:val="4"/>
                <w:kern w:val="2"/>
                <w:sz w:val="24"/>
                <w:szCs w:val="24"/>
                <w:highlight w:val="none"/>
                <w:lang w:val="en-US" w:eastAsia="zh-CN" w:bidi="ar-SA"/>
              </w:rPr>
              <w:t>下</w:t>
            </w:r>
            <w:r>
              <w:rPr>
                <w:rFonts w:hint="default" w:ascii="Times New Roman" w:hAnsi="Times New Roman" w:eastAsia="宋体" w:cs="Times New Roman"/>
                <w:color w:val="auto"/>
                <w:spacing w:val="4"/>
                <w:kern w:val="2"/>
                <w:sz w:val="24"/>
                <w:szCs w:val="24"/>
                <w:highlight w:val="none"/>
                <w:lang w:val="en-US" w:eastAsia="zh-CN" w:bidi="ar-SA"/>
              </w:rPr>
              <w:t>表。</w:t>
            </w:r>
          </w:p>
          <w:p w14:paraId="1C5DA2F0">
            <w:pPr>
              <w:keepNext w:val="0"/>
              <w:keepLines w:val="0"/>
              <w:pageBreakBefore w:val="0"/>
              <w:widowControl w:val="0"/>
              <w:kinsoku/>
              <w:wordWrap/>
              <w:overflowPunct/>
              <w:topLinePunct w:val="0"/>
              <w:autoSpaceDE/>
              <w:autoSpaceDN/>
              <w:bidi w:val="0"/>
              <w:adjustRightInd w:val="0"/>
              <w:snapToGrid w:val="0"/>
              <w:spacing w:line="480" w:lineRule="exact"/>
              <w:ind w:firstLine="2730" w:firstLineChars="1300"/>
              <w:jc w:val="both"/>
              <w:textAlignment w:val="auto"/>
              <w:rPr>
                <w:rFonts w:hint="default" w:ascii="Times New Roman" w:hAnsi="Times New Roman" w:eastAsia="黑体" w:cs="Times New Roman"/>
                <w:b w:val="0"/>
                <w:bCs w:val="0"/>
                <w:color w:val="auto"/>
                <w:kern w:val="2"/>
                <w:sz w:val="21"/>
                <w:szCs w:val="21"/>
                <w:highlight w:val="none"/>
                <w:lang w:val="en-US" w:eastAsia="zh-CN" w:bidi="ar-SA"/>
              </w:rPr>
            </w:pPr>
          </w:p>
          <w:p w14:paraId="4C708986">
            <w:pPr>
              <w:keepNext w:val="0"/>
              <w:keepLines w:val="0"/>
              <w:pageBreakBefore w:val="0"/>
              <w:widowControl w:val="0"/>
              <w:kinsoku/>
              <w:wordWrap/>
              <w:overflowPunct/>
              <w:topLinePunct w:val="0"/>
              <w:autoSpaceDE/>
              <w:autoSpaceDN/>
              <w:bidi w:val="0"/>
              <w:adjustRightInd w:val="0"/>
              <w:snapToGrid w:val="0"/>
              <w:spacing w:line="480" w:lineRule="exact"/>
              <w:ind w:firstLine="2730" w:firstLineChars="1300"/>
              <w:jc w:val="both"/>
              <w:textAlignment w:val="auto"/>
              <w:rPr>
                <w:rFonts w:hint="default" w:ascii="Times New Roman" w:hAnsi="Times New Roman" w:eastAsia="黑体" w:cs="Times New Roman"/>
                <w:b w:val="0"/>
                <w:bCs w:val="0"/>
                <w:color w:val="auto"/>
                <w:kern w:val="2"/>
                <w:sz w:val="21"/>
                <w:szCs w:val="21"/>
                <w:highlight w:val="none"/>
                <w:lang w:val="en-US" w:eastAsia="zh-CN" w:bidi="ar-SA"/>
              </w:rPr>
            </w:pPr>
          </w:p>
          <w:p w14:paraId="380417E0">
            <w:pPr>
              <w:keepNext w:val="0"/>
              <w:keepLines w:val="0"/>
              <w:pageBreakBefore w:val="0"/>
              <w:widowControl w:val="0"/>
              <w:kinsoku/>
              <w:wordWrap/>
              <w:overflowPunct/>
              <w:topLinePunct w:val="0"/>
              <w:autoSpaceDE/>
              <w:autoSpaceDN/>
              <w:bidi w:val="0"/>
              <w:adjustRightInd w:val="0"/>
              <w:snapToGrid w:val="0"/>
              <w:spacing w:line="480" w:lineRule="exact"/>
              <w:ind w:firstLine="2730" w:firstLineChars="1300"/>
              <w:jc w:val="both"/>
              <w:textAlignment w:val="auto"/>
              <w:rPr>
                <w:rFonts w:hint="default" w:ascii="Times New Roman" w:hAnsi="Times New Roman" w:eastAsia="黑体" w:cs="Times New Roman"/>
                <w:b w:val="0"/>
                <w:bCs w:val="0"/>
                <w:color w:val="auto"/>
                <w:kern w:val="2"/>
                <w:sz w:val="21"/>
                <w:szCs w:val="21"/>
                <w:highlight w:val="none"/>
                <w:lang w:val="en-US" w:eastAsia="zh-CN" w:bidi="ar-SA"/>
              </w:rPr>
            </w:pPr>
            <w:r>
              <w:rPr>
                <w:rFonts w:hint="default" w:ascii="Times New Roman" w:hAnsi="Times New Roman" w:eastAsia="黑体" w:cs="Times New Roman"/>
                <w:b w:val="0"/>
                <w:bCs w:val="0"/>
                <w:color w:val="auto"/>
                <w:kern w:val="2"/>
                <w:sz w:val="21"/>
                <w:szCs w:val="21"/>
                <w:highlight w:val="none"/>
                <w:lang w:val="en-US" w:eastAsia="zh-CN" w:bidi="ar-SA"/>
              </w:rPr>
              <w:t>表</w:t>
            </w:r>
            <w:r>
              <w:rPr>
                <w:rFonts w:hint="eastAsia" w:eastAsia="黑体" w:cs="Times New Roman"/>
                <w:b w:val="0"/>
                <w:bCs w:val="0"/>
                <w:color w:val="auto"/>
                <w:kern w:val="2"/>
                <w:sz w:val="21"/>
                <w:szCs w:val="21"/>
                <w:highlight w:val="none"/>
                <w:lang w:val="en-US" w:eastAsia="zh-CN" w:bidi="ar-SA"/>
              </w:rPr>
              <w:t>4.7-2</w:t>
            </w:r>
            <w:r>
              <w:rPr>
                <w:rFonts w:hint="default" w:ascii="Times New Roman" w:hAnsi="Times New Roman" w:eastAsia="黑体" w:cs="Times New Roman"/>
                <w:b w:val="0"/>
                <w:bCs w:val="0"/>
                <w:color w:val="auto"/>
                <w:kern w:val="2"/>
                <w:sz w:val="21"/>
                <w:szCs w:val="21"/>
                <w:highlight w:val="none"/>
                <w:lang w:val="en-US" w:eastAsia="zh-CN" w:bidi="ar-SA"/>
              </w:rPr>
              <w:t xml:space="preserve">  环境噪声预测结果            单位：dB（A）</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4" w:space="0"/>
              </w:tblBorders>
              <w:tblLayout w:type="fixed"/>
              <w:tblCellMar>
                <w:top w:w="0" w:type="dxa"/>
                <w:left w:w="108" w:type="dxa"/>
                <w:bottom w:w="0" w:type="dxa"/>
                <w:right w:w="108" w:type="dxa"/>
              </w:tblCellMar>
            </w:tblPr>
            <w:tblGrid>
              <w:gridCol w:w="917"/>
              <w:gridCol w:w="1575"/>
              <w:gridCol w:w="903"/>
              <w:gridCol w:w="903"/>
              <w:gridCol w:w="903"/>
              <w:gridCol w:w="903"/>
              <w:gridCol w:w="903"/>
              <w:gridCol w:w="905"/>
            </w:tblGrid>
            <w:tr w14:paraId="2BBB75D3">
              <w:tblPrEx>
                <w:tblBorders>
                  <w:top w:val="single" w:color="auto" w:sz="4" w:space="0"/>
                  <w:left w:val="single" w:color="auto" w:sz="4" w:space="0"/>
                  <w:bottom w:val="single" w:color="auto" w:sz="4" w:space="0"/>
                  <w:right w:val="single" w:color="auto" w:sz="4" w:space="0"/>
                  <w:insideH w:val="single" w:color="auto" w:sz="6" w:space="0"/>
                  <w:insideV w:val="single" w:color="auto" w:sz="4" w:space="0"/>
                </w:tblBorders>
                <w:tblCellMar>
                  <w:top w:w="0" w:type="dxa"/>
                  <w:left w:w="108" w:type="dxa"/>
                  <w:bottom w:w="0" w:type="dxa"/>
                  <w:right w:w="108" w:type="dxa"/>
                </w:tblCellMar>
              </w:tblPrEx>
              <w:trPr>
                <w:cantSplit/>
                <w:trHeight w:val="349" w:hRule="atLeast"/>
                <w:jc w:val="center"/>
              </w:trPr>
              <w:tc>
                <w:tcPr>
                  <w:tcW w:w="2492" w:type="dxa"/>
                  <w:gridSpan w:val="2"/>
                  <w:vMerge w:val="restart"/>
                  <w:tcBorders>
                    <w:tl2br w:val="nil"/>
                    <w:tr2bl w:val="nil"/>
                  </w:tcBorders>
                  <w:vAlign w:val="center"/>
                </w:tcPr>
                <w:p w14:paraId="5A9C29EA">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监测点位</w:t>
                  </w:r>
                </w:p>
              </w:tc>
              <w:tc>
                <w:tcPr>
                  <w:tcW w:w="1806" w:type="dxa"/>
                  <w:gridSpan w:val="2"/>
                  <w:tcBorders>
                    <w:tl2br w:val="nil"/>
                    <w:tr2bl w:val="nil"/>
                  </w:tcBorders>
                  <w:vAlign w:val="center"/>
                </w:tcPr>
                <w:p w14:paraId="15D39CA3">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szCs w:val="21"/>
                      <w:highlight w:val="none"/>
                      <w:lang w:val="en-US"/>
                    </w:rPr>
                  </w:pPr>
                  <w:r>
                    <w:rPr>
                      <w:rFonts w:hint="eastAsia" w:cs="Times New Roman"/>
                      <w:color w:val="auto"/>
                      <w:szCs w:val="21"/>
                      <w:highlight w:val="none"/>
                      <w:lang w:val="en-US" w:eastAsia="zh-CN"/>
                    </w:rPr>
                    <w:t>贡献值</w:t>
                  </w:r>
                </w:p>
              </w:tc>
              <w:tc>
                <w:tcPr>
                  <w:tcW w:w="1806" w:type="dxa"/>
                  <w:gridSpan w:val="2"/>
                  <w:tcBorders>
                    <w:tl2br w:val="nil"/>
                    <w:tr2bl w:val="nil"/>
                  </w:tcBorders>
                  <w:vAlign w:val="center"/>
                </w:tcPr>
                <w:p w14:paraId="3C7FF143">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现状值</w:t>
                  </w:r>
                </w:p>
              </w:tc>
              <w:tc>
                <w:tcPr>
                  <w:tcW w:w="1808" w:type="dxa"/>
                  <w:gridSpan w:val="2"/>
                  <w:tcBorders>
                    <w:tl2br w:val="nil"/>
                    <w:tr2bl w:val="nil"/>
                  </w:tcBorders>
                  <w:vAlign w:val="center"/>
                </w:tcPr>
                <w:p w14:paraId="100DF92F">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预测值</w:t>
                  </w:r>
                </w:p>
              </w:tc>
            </w:tr>
            <w:tr w14:paraId="4ACC756A">
              <w:tblPrEx>
                <w:tblBorders>
                  <w:top w:val="single" w:color="auto" w:sz="4" w:space="0"/>
                  <w:left w:val="single" w:color="auto" w:sz="4" w:space="0"/>
                  <w:bottom w:val="single" w:color="auto" w:sz="4" w:space="0"/>
                  <w:right w:val="single" w:color="auto" w:sz="4" w:space="0"/>
                  <w:insideH w:val="single" w:color="auto" w:sz="6" w:space="0"/>
                  <w:insideV w:val="single" w:color="auto" w:sz="4" w:space="0"/>
                </w:tblBorders>
                <w:tblCellMar>
                  <w:top w:w="0" w:type="dxa"/>
                  <w:left w:w="108" w:type="dxa"/>
                  <w:bottom w:w="0" w:type="dxa"/>
                  <w:right w:w="108" w:type="dxa"/>
                </w:tblCellMar>
              </w:tblPrEx>
              <w:trPr>
                <w:cantSplit/>
                <w:trHeight w:val="359" w:hRule="atLeast"/>
                <w:jc w:val="center"/>
              </w:trPr>
              <w:tc>
                <w:tcPr>
                  <w:tcW w:w="2492" w:type="dxa"/>
                  <w:gridSpan w:val="2"/>
                  <w:vMerge w:val="continue"/>
                  <w:tcBorders>
                    <w:tl2br w:val="nil"/>
                    <w:tr2bl w:val="nil"/>
                  </w:tcBorders>
                  <w:vAlign w:val="center"/>
                </w:tcPr>
                <w:p w14:paraId="706C8C87">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szCs w:val="21"/>
                      <w:highlight w:val="none"/>
                    </w:rPr>
                  </w:pPr>
                </w:p>
              </w:tc>
              <w:tc>
                <w:tcPr>
                  <w:tcW w:w="903" w:type="dxa"/>
                  <w:tcBorders>
                    <w:tl2br w:val="nil"/>
                    <w:tr2bl w:val="nil"/>
                  </w:tcBorders>
                  <w:vAlign w:val="center"/>
                </w:tcPr>
                <w:p w14:paraId="73A79B22">
                  <w:pPr>
                    <w:keepNext w:val="0"/>
                    <w:keepLines w:val="0"/>
                    <w:pageBreakBefore w:val="0"/>
                    <w:kinsoku/>
                    <w:wordWrap/>
                    <w:overflowPunct/>
                    <w:topLinePunct w:val="0"/>
                    <w:bidi w:val="0"/>
                    <w:adjustRightInd w:val="0"/>
                    <w:snapToGrid w:val="0"/>
                    <w:spacing w:line="320" w:lineRule="exact"/>
                    <w:jc w:val="center"/>
                    <w:textAlignment w:val="baseline"/>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昼间</w:t>
                  </w:r>
                </w:p>
              </w:tc>
              <w:tc>
                <w:tcPr>
                  <w:tcW w:w="903" w:type="dxa"/>
                  <w:tcBorders>
                    <w:tl2br w:val="nil"/>
                    <w:tr2bl w:val="nil"/>
                  </w:tcBorders>
                  <w:vAlign w:val="center"/>
                </w:tcPr>
                <w:p w14:paraId="6753F9A2">
                  <w:pPr>
                    <w:keepNext w:val="0"/>
                    <w:keepLines w:val="0"/>
                    <w:pageBreakBefore w:val="0"/>
                    <w:kinsoku/>
                    <w:wordWrap/>
                    <w:overflowPunct/>
                    <w:topLinePunct w:val="0"/>
                    <w:bidi w:val="0"/>
                    <w:adjustRightInd w:val="0"/>
                    <w:snapToGrid w:val="0"/>
                    <w:spacing w:line="320" w:lineRule="exact"/>
                    <w:jc w:val="center"/>
                    <w:textAlignment w:val="baseline"/>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eastAsia="zh-CN"/>
                    </w:rPr>
                    <w:t>夜间</w:t>
                  </w:r>
                </w:p>
              </w:tc>
              <w:tc>
                <w:tcPr>
                  <w:tcW w:w="903" w:type="dxa"/>
                  <w:tcBorders>
                    <w:tl2br w:val="nil"/>
                    <w:tr2bl w:val="nil"/>
                  </w:tcBorders>
                  <w:vAlign w:val="center"/>
                </w:tcPr>
                <w:p w14:paraId="5998ECF1">
                  <w:pPr>
                    <w:keepNext w:val="0"/>
                    <w:keepLines w:val="0"/>
                    <w:pageBreakBefore w:val="0"/>
                    <w:kinsoku/>
                    <w:wordWrap/>
                    <w:overflowPunct/>
                    <w:topLinePunct w:val="0"/>
                    <w:bidi w:val="0"/>
                    <w:adjustRightInd w:val="0"/>
                    <w:snapToGrid w:val="0"/>
                    <w:spacing w:line="320" w:lineRule="exact"/>
                    <w:jc w:val="center"/>
                    <w:textAlignment w:val="baseline"/>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昼间</w:t>
                  </w:r>
                </w:p>
              </w:tc>
              <w:tc>
                <w:tcPr>
                  <w:tcW w:w="903" w:type="dxa"/>
                  <w:tcBorders>
                    <w:tl2br w:val="nil"/>
                    <w:tr2bl w:val="nil"/>
                  </w:tcBorders>
                  <w:vAlign w:val="center"/>
                </w:tcPr>
                <w:p w14:paraId="05F45AB1">
                  <w:pPr>
                    <w:keepNext w:val="0"/>
                    <w:keepLines w:val="0"/>
                    <w:pageBreakBefore w:val="0"/>
                    <w:kinsoku/>
                    <w:wordWrap/>
                    <w:overflowPunct/>
                    <w:topLinePunct w:val="0"/>
                    <w:bidi w:val="0"/>
                    <w:adjustRightInd w:val="0"/>
                    <w:snapToGrid w:val="0"/>
                    <w:spacing w:line="320" w:lineRule="exact"/>
                    <w:jc w:val="center"/>
                    <w:textAlignment w:val="baseline"/>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eastAsia="zh-CN"/>
                    </w:rPr>
                    <w:t>夜间</w:t>
                  </w:r>
                </w:p>
              </w:tc>
              <w:tc>
                <w:tcPr>
                  <w:tcW w:w="903" w:type="dxa"/>
                  <w:tcBorders>
                    <w:tl2br w:val="nil"/>
                    <w:tr2bl w:val="nil"/>
                  </w:tcBorders>
                  <w:shd w:val="clear" w:color="auto" w:fill="auto"/>
                  <w:vAlign w:val="center"/>
                </w:tcPr>
                <w:p w14:paraId="1AE18C67">
                  <w:pPr>
                    <w:keepNext w:val="0"/>
                    <w:keepLines w:val="0"/>
                    <w:pageBreakBefore w:val="0"/>
                    <w:kinsoku/>
                    <w:wordWrap/>
                    <w:overflowPunct/>
                    <w:topLinePunct w:val="0"/>
                    <w:bidi w:val="0"/>
                    <w:adjustRightInd w:val="0"/>
                    <w:snapToGrid w:val="0"/>
                    <w:spacing w:line="320" w:lineRule="exact"/>
                    <w:jc w:val="center"/>
                    <w:textAlignment w:val="baseline"/>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昼间</w:t>
                  </w:r>
                </w:p>
              </w:tc>
              <w:tc>
                <w:tcPr>
                  <w:tcW w:w="905" w:type="dxa"/>
                  <w:tcBorders>
                    <w:tl2br w:val="nil"/>
                    <w:tr2bl w:val="nil"/>
                  </w:tcBorders>
                  <w:shd w:val="clear" w:color="auto" w:fill="auto"/>
                  <w:vAlign w:val="center"/>
                </w:tcPr>
                <w:p w14:paraId="7A73CBA8">
                  <w:pPr>
                    <w:keepNext w:val="0"/>
                    <w:keepLines w:val="0"/>
                    <w:pageBreakBefore w:val="0"/>
                    <w:kinsoku/>
                    <w:wordWrap/>
                    <w:overflowPunct/>
                    <w:topLinePunct w:val="0"/>
                    <w:bidi w:val="0"/>
                    <w:adjustRightInd w:val="0"/>
                    <w:snapToGrid w:val="0"/>
                    <w:spacing w:line="320" w:lineRule="exact"/>
                    <w:jc w:val="center"/>
                    <w:textAlignment w:val="baseline"/>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eastAsia="zh-CN"/>
                    </w:rPr>
                    <w:t>夜间</w:t>
                  </w:r>
                </w:p>
              </w:tc>
            </w:tr>
            <w:tr w14:paraId="110CFA96">
              <w:tblPrEx>
                <w:tblBorders>
                  <w:top w:val="single" w:color="auto" w:sz="4" w:space="0"/>
                  <w:left w:val="single" w:color="auto" w:sz="4" w:space="0"/>
                  <w:bottom w:val="single" w:color="auto" w:sz="4" w:space="0"/>
                  <w:right w:val="single" w:color="auto" w:sz="4" w:space="0"/>
                  <w:insideH w:val="single" w:color="auto" w:sz="6" w:space="0"/>
                  <w:insideV w:val="single" w:color="auto" w:sz="4" w:space="0"/>
                </w:tblBorders>
                <w:tblCellMar>
                  <w:top w:w="0" w:type="dxa"/>
                  <w:left w:w="108" w:type="dxa"/>
                  <w:bottom w:w="0" w:type="dxa"/>
                  <w:right w:w="108" w:type="dxa"/>
                </w:tblCellMar>
              </w:tblPrEx>
              <w:trPr>
                <w:cantSplit/>
                <w:trHeight w:val="359" w:hRule="atLeast"/>
                <w:jc w:val="center"/>
              </w:trPr>
              <w:tc>
                <w:tcPr>
                  <w:tcW w:w="917" w:type="dxa"/>
                  <w:vMerge w:val="restart"/>
                  <w:tcBorders>
                    <w:tl2br w:val="nil"/>
                    <w:tr2bl w:val="nil"/>
                  </w:tcBorders>
                  <w:vAlign w:val="center"/>
                </w:tcPr>
                <w:p w14:paraId="032819C9">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厂界</w:t>
                  </w:r>
                </w:p>
              </w:tc>
              <w:tc>
                <w:tcPr>
                  <w:tcW w:w="1575" w:type="dxa"/>
                  <w:tcBorders>
                    <w:tl2br w:val="nil"/>
                    <w:tr2bl w:val="nil"/>
                  </w:tcBorders>
                  <w:vAlign w:val="center"/>
                </w:tcPr>
                <w:p w14:paraId="7EC65998">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szCs w:val="21"/>
                      <w:highlight w:val="none"/>
                    </w:rPr>
                    <w:t>1#（</w:t>
                  </w:r>
                  <w:r>
                    <w:rPr>
                      <w:rFonts w:hint="eastAsia" w:cs="Times New Roman"/>
                      <w:color w:val="auto"/>
                      <w:spacing w:val="0"/>
                      <w:szCs w:val="21"/>
                      <w:highlight w:val="none"/>
                      <w:lang w:val="en-US" w:eastAsia="zh-CN"/>
                    </w:rPr>
                    <w:t>西</w:t>
                  </w:r>
                  <w:r>
                    <w:rPr>
                      <w:rFonts w:hint="default" w:ascii="Times New Roman" w:hAnsi="Times New Roman" w:eastAsia="宋体" w:cs="Times New Roman"/>
                      <w:color w:val="auto"/>
                      <w:spacing w:val="0"/>
                      <w:szCs w:val="21"/>
                      <w:highlight w:val="none"/>
                    </w:rPr>
                    <w:t>）</w:t>
                  </w:r>
                </w:p>
              </w:tc>
              <w:tc>
                <w:tcPr>
                  <w:tcW w:w="903" w:type="dxa"/>
                  <w:tcBorders>
                    <w:tl2br w:val="nil"/>
                    <w:tr2bl w:val="nil"/>
                  </w:tcBorders>
                  <w:vAlign w:val="center"/>
                </w:tcPr>
                <w:p w14:paraId="2940FB23">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21.66</w:t>
                  </w:r>
                </w:p>
              </w:tc>
              <w:tc>
                <w:tcPr>
                  <w:tcW w:w="903" w:type="dxa"/>
                  <w:tcBorders>
                    <w:tl2br w:val="nil"/>
                    <w:tr2bl w:val="nil"/>
                  </w:tcBorders>
                  <w:shd w:val="clear" w:color="auto" w:fill="auto"/>
                  <w:vAlign w:val="center"/>
                </w:tcPr>
                <w:p w14:paraId="76A18FB3">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21.66</w:t>
                  </w:r>
                </w:p>
              </w:tc>
              <w:tc>
                <w:tcPr>
                  <w:tcW w:w="903" w:type="dxa"/>
                  <w:tcBorders>
                    <w:tl2br w:val="nil"/>
                    <w:tr2bl w:val="nil"/>
                  </w:tcBorders>
                  <w:vAlign w:val="center"/>
                </w:tcPr>
                <w:p w14:paraId="4DFC312B">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54.3</w:t>
                  </w:r>
                </w:p>
              </w:tc>
              <w:tc>
                <w:tcPr>
                  <w:tcW w:w="903" w:type="dxa"/>
                  <w:tcBorders>
                    <w:tl2br w:val="nil"/>
                    <w:tr2bl w:val="nil"/>
                  </w:tcBorders>
                  <w:vAlign w:val="center"/>
                </w:tcPr>
                <w:p w14:paraId="056A6F40">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47.1</w:t>
                  </w:r>
                </w:p>
              </w:tc>
              <w:tc>
                <w:tcPr>
                  <w:tcW w:w="903" w:type="dxa"/>
                  <w:tcBorders>
                    <w:tl2br w:val="nil"/>
                    <w:tr2bl w:val="nil"/>
                  </w:tcBorders>
                  <w:vAlign w:val="center"/>
                </w:tcPr>
                <w:p w14:paraId="7D2566F1">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54.3</w:t>
                  </w:r>
                </w:p>
              </w:tc>
              <w:tc>
                <w:tcPr>
                  <w:tcW w:w="905" w:type="dxa"/>
                  <w:tcBorders>
                    <w:tl2br w:val="nil"/>
                    <w:tr2bl w:val="nil"/>
                  </w:tcBorders>
                  <w:vAlign w:val="center"/>
                </w:tcPr>
                <w:p w14:paraId="6A735D08">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47.11</w:t>
                  </w:r>
                </w:p>
              </w:tc>
            </w:tr>
            <w:tr w14:paraId="2559F326">
              <w:tblPrEx>
                <w:tblBorders>
                  <w:top w:val="single" w:color="auto" w:sz="4" w:space="0"/>
                  <w:left w:val="single" w:color="auto" w:sz="4" w:space="0"/>
                  <w:bottom w:val="single" w:color="auto" w:sz="4" w:space="0"/>
                  <w:right w:val="single" w:color="auto" w:sz="4" w:space="0"/>
                  <w:insideH w:val="single" w:color="auto" w:sz="6" w:space="0"/>
                  <w:insideV w:val="single" w:color="auto" w:sz="4" w:space="0"/>
                </w:tblBorders>
                <w:tblCellMar>
                  <w:top w:w="0" w:type="dxa"/>
                  <w:left w:w="108" w:type="dxa"/>
                  <w:bottom w:w="0" w:type="dxa"/>
                  <w:right w:w="108" w:type="dxa"/>
                </w:tblCellMar>
              </w:tblPrEx>
              <w:trPr>
                <w:cantSplit/>
                <w:trHeight w:val="359" w:hRule="atLeast"/>
                <w:jc w:val="center"/>
              </w:trPr>
              <w:tc>
                <w:tcPr>
                  <w:tcW w:w="917" w:type="dxa"/>
                  <w:vMerge w:val="continue"/>
                  <w:tcBorders>
                    <w:tl2br w:val="nil"/>
                    <w:tr2bl w:val="nil"/>
                  </w:tcBorders>
                  <w:vAlign w:val="center"/>
                </w:tcPr>
                <w:p w14:paraId="762012F8">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szCs w:val="21"/>
                      <w:highlight w:val="none"/>
                    </w:rPr>
                  </w:pPr>
                </w:p>
              </w:tc>
              <w:tc>
                <w:tcPr>
                  <w:tcW w:w="1575" w:type="dxa"/>
                  <w:tcBorders>
                    <w:tl2br w:val="nil"/>
                    <w:tr2bl w:val="nil"/>
                  </w:tcBorders>
                  <w:vAlign w:val="center"/>
                </w:tcPr>
                <w:p w14:paraId="5EAA0BD2">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szCs w:val="21"/>
                      <w:highlight w:val="none"/>
                    </w:rPr>
                    <w:t>2#（</w:t>
                  </w:r>
                  <w:r>
                    <w:rPr>
                      <w:rFonts w:hint="eastAsia" w:cs="Times New Roman"/>
                      <w:color w:val="auto"/>
                      <w:spacing w:val="0"/>
                      <w:szCs w:val="21"/>
                      <w:highlight w:val="none"/>
                      <w:lang w:val="en-US" w:eastAsia="zh-CN"/>
                    </w:rPr>
                    <w:t>西</w:t>
                  </w:r>
                  <w:r>
                    <w:rPr>
                      <w:rFonts w:hint="default" w:ascii="Times New Roman" w:hAnsi="Times New Roman" w:eastAsia="宋体" w:cs="Times New Roman"/>
                      <w:color w:val="auto"/>
                      <w:spacing w:val="0"/>
                      <w:szCs w:val="21"/>
                      <w:highlight w:val="none"/>
                    </w:rPr>
                    <w:t>）</w:t>
                  </w:r>
                </w:p>
              </w:tc>
              <w:tc>
                <w:tcPr>
                  <w:tcW w:w="903" w:type="dxa"/>
                  <w:tcBorders>
                    <w:tl2br w:val="nil"/>
                    <w:tr2bl w:val="nil"/>
                  </w:tcBorders>
                  <w:vAlign w:val="center"/>
                </w:tcPr>
                <w:p w14:paraId="6E382CA2">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25.42</w:t>
                  </w:r>
                </w:p>
              </w:tc>
              <w:tc>
                <w:tcPr>
                  <w:tcW w:w="903" w:type="dxa"/>
                  <w:tcBorders>
                    <w:tl2br w:val="nil"/>
                    <w:tr2bl w:val="nil"/>
                  </w:tcBorders>
                  <w:shd w:val="clear" w:color="auto" w:fill="auto"/>
                  <w:vAlign w:val="center"/>
                </w:tcPr>
                <w:p w14:paraId="342A6194">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25.42</w:t>
                  </w:r>
                </w:p>
              </w:tc>
              <w:tc>
                <w:tcPr>
                  <w:tcW w:w="903" w:type="dxa"/>
                  <w:tcBorders>
                    <w:tl2br w:val="nil"/>
                    <w:tr2bl w:val="nil"/>
                  </w:tcBorders>
                  <w:shd w:val="clear" w:color="auto" w:fill="auto"/>
                  <w:vAlign w:val="center"/>
                </w:tcPr>
                <w:p w14:paraId="491A260B">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55.0</w:t>
                  </w:r>
                </w:p>
              </w:tc>
              <w:tc>
                <w:tcPr>
                  <w:tcW w:w="903" w:type="dxa"/>
                  <w:tcBorders>
                    <w:tl2br w:val="nil"/>
                    <w:tr2bl w:val="nil"/>
                  </w:tcBorders>
                  <w:shd w:val="clear" w:color="auto" w:fill="auto"/>
                  <w:vAlign w:val="center"/>
                </w:tcPr>
                <w:p w14:paraId="5EE72B5D">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44.6</w:t>
                  </w:r>
                </w:p>
              </w:tc>
              <w:tc>
                <w:tcPr>
                  <w:tcW w:w="903" w:type="dxa"/>
                  <w:tcBorders>
                    <w:tl2br w:val="nil"/>
                    <w:tr2bl w:val="nil"/>
                  </w:tcBorders>
                  <w:vAlign w:val="center"/>
                </w:tcPr>
                <w:p w14:paraId="09EB1F3E">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55.0</w:t>
                  </w:r>
                </w:p>
              </w:tc>
              <w:tc>
                <w:tcPr>
                  <w:tcW w:w="905" w:type="dxa"/>
                  <w:tcBorders>
                    <w:tl2br w:val="nil"/>
                    <w:tr2bl w:val="nil"/>
                  </w:tcBorders>
                  <w:vAlign w:val="center"/>
                </w:tcPr>
                <w:p w14:paraId="787A490C">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44.65</w:t>
                  </w:r>
                </w:p>
              </w:tc>
            </w:tr>
            <w:tr w14:paraId="1FE1373E">
              <w:tblPrEx>
                <w:tblBorders>
                  <w:top w:val="single" w:color="auto" w:sz="4" w:space="0"/>
                  <w:left w:val="single" w:color="auto" w:sz="4" w:space="0"/>
                  <w:bottom w:val="single" w:color="auto" w:sz="4" w:space="0"/>
                  <w:right w:val="single" w:color="auto" w:sz="4" w:space="0"/>
                  <w:insideH w:val="single" w:color="auto" w:sz="6" w:space="0"/>
                  <w:insideV w:val="single" w:color="auto" w:sz="4" w:space="0"/>
                </w:tblBorders>
                <w:tblCellMar>
                  <w:top w:w="0" w:type="dxa"/>
                  <w:left w:w="108" w:type="dxa"/>
                  <w:bottom w:w="0" w:type="dxa"/>
                  <w:right w:w="108" w:type="dxa"/>
                </w:tblCellMar>
              </w:tblPrEx>
              <w:trPr>
                <w:cantSplit/>
                <w:trHeight w:val="359" w:hRule="atLeast"/>
                <w:jc w:val="center"/>
              </w:trPr>
              <w:tc>
                <w:tcPr>
                  <w:tcW w:w="917" w:type="dxa"/>
                  <w:vMerge w:val="continue"/>
                  <w:tcBorders>
                    <w:tl2br w:val="nil"/>
                    <w:tr2bl w:val="nil"/>
                  </w:tcBorders>
                  <w:vAlign w:val="center"/>
                </w:tcPr>
                <w:p w14:paraId="215D3676">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szCs w:val="21"/>
                      <w:highlight w:val="none"/>
                    </w:rPr>
                  </w:pPr>
                </w:p>
              </w:tc>
              <w:tc>
                <w:tcPr>
                  <w:tcW w:w="1575" w:type="dxa"/>
                  <w:tcBorders>
                    <w:tl2br w:val="nil"/>
                    <w:tr2bl w:val="nil"/>
                  </w:tcBorders>
                  <w:vAlign w:val="center"/>
                </w:tcPr>
                <w:p w14:paraId="571A7BF7">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szCs w:val="21"/>
                      <w:highlight w:val="none"/>
                    </w:rPr>
                    <w:t>3#（</w:t>
                  </w:r>
                  <w:r>
                    <w:rPr>
                      <w:rFonts w:hint="eastAsia" w:ascii="Times New Roman" w:hAnsi="Times New Roman" w:eastAsia="宋体" w:cs="Times New Roman"/>
                      <w:color w:val="auto"/>
                      <w:spacing w:val="0"/>
                      <w:szCs w:val="21"/>
                      <w:highlight w:val="none"/>
                      <w:lang w:val="en-US" w:eastAsia="zh-CN"/>
                    </w:rPr>
                    <w:t>南</w:t>
                  </w:r>
                  <w:r>
                    <w:rPr>
                      <w:rFonts w:hint="default" w:ascii="Times New Roman" w:hAnsi="Times New Roman" w:eastAsia="宋体" w:cs="Times New Roman"/>
                      <w:color w:val="auto"/>
                      <w:spacing w:val="0"/>
                      <w:szCs w:val="21"/>
                      <w:highlight w:val="none"/>
                    </w:rPr>
                    <w:t>）</w:t>
                  </w:r>
                </w:p>
              </w:tc>
              <w:tc>
                <w:tcPr>
                  <w:tcW w:w="903" w:type="dxa"/>
                  <w:tcBorders>
                    <w:tl2br w:val="nil"/>
                    <w:tr2bl w:val="nil"/>
                  </w:tcBorders>
                  <w:vAlign w:val="center"/>
                </w:tcPr>
                <w:p w14:paraId="2433BC31">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24.64</w:t>
                  </w:r>
                </w:p>
              </w:tc>
              <w:tc>
                <w:tcPr>
                  <w:tcW w:w="903" w:type="dxa"/>
                  <w:tcBorders>
                    <w:tl2br w:val="nil"/>
                    <w:tr2bl w:val="nil"/>
                  </w:tcBorders>
                  <w:shd w:val="clear" w:color="auto" w:fill="auto"/>
                  <w:vAlign w:val="center"/>
                </w:tcPr>
                <w:p w14:paraId="78E363F0">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24.64</w:t>
                  </w:r>
                </w:p>
              </w:tc>
              <w:tc>
                <w:tcPr>
                  <w:tcW w:w="903" w:type="dxa"/>
                  <w:tcBorders>
                    <w:tl2br w:val="nil"/>
                    <w:tr2bl w:val="nil"/>
                  </w:tcBorders>
                  <w:shd w:val="clear" w:color="auto" w:fill="auto"/>
                  <w:vAlign w:val="center"/>
                </w:tcPr>
                <w:p w14:paraId="4BF0B6A6">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56.3</w:t>
                  </w:r>
                </w:p>
              </w:tc>
              <w:tc>
                <w:tcPr>
                  <w:tcW w:w="903" w:type="dxa"/>
                  <w:tcBorders>
                    <w:tl2br w:val="nil"/>
                    <w:tr2bl w:val="nil"/>
                  </w:tcBorders>
                  <w:shd w:val="clear" w:color="auto" w:fill="auto"/>
                  <w:vAlign w:val="center"/>
                </w:tcPr>
                <w:p w14:paraId="56A9316C">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42.1</w:t>
                  </w:r>
                </w:p>
              </w:tc>
              <w:tc>
                <w:tcPr>
                  <w:tcW w:w="903" w:type="dxa"/>
                  <w:tcBorders>
                    <w:tl2br w:val="nil"/>
                    <w:tr2bl w:val="nil"/>
                  </w:tcBorders>
                  <w:vAlign w:val="center"/>
                </w:tcPr>
                <w:p w14:paraId="198BFDC2">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56.3</w:t>
                  </w:r>
                </w:p>
              </w:tc>
              <w:tc>
                <w:tcPr>
                  <w:tcW w:w="905" w:type="dxa"/>
                  <w:tcBorders>
                    <w:tl2br w:val="nil"/>
                    <w:tr2bl w:val="nil"/>
                  </w:tcBorders>
                  <w:vAlign w:val="center"/>
                </w:tcPr>
                <w:p w14:paraId="3666A3BA">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42.18</w:t>
                  </w:r>
                </w:p>
              </w:tc>
            </w:tr>
            <w:tr w14:paraId="3160B7EB">
              <w:tblPrEx>
                <w:tblBorders>
                  <w:top w:val="single" w:color="auto" w:sz="4" w:space="0"/>
                  <w:left w:val="single" w:color="auto" w:sz="4" w:space="0"/>
                  <w:bottom w:val="single" w:color="auto" w:sz="4" w:space="0"/>
                  <w:right w:val="single" w:color="auto" w:sz="4" w:space="0"/>
                  <w:insideH w:val="single" w:color="auto" w:sz="6" w:space="0"/>
                  <w:insideV w:val="single" w:color="auto" w:sz="4" w:space="0"/>
                </w:tblBorders>
                <w:tblCellMar>
                  <w:top w:w="0" w:type="dxa"/>
                  <w:left w:w="108" w:type="dxa"/>
                  <w:bottom w:w="0" w:type="dxa"/>
                  <w:right w:w="108" w:type="dxa"/>
                </w:tblCellMar>
              </w:tblPrEx>
              <w:trPr>
                <w:cantSplit/>
                <w:trHeight w:val="378" w:hRule="atLeast"/>
                <w:jc w:val="center"/>
              </w:trPr>
              <w:tc>
                <w:tcPr>
                  <w:tcW w:w="917" w:type="dxa"/>
                  <w:vMerge w:val="continue"/>
                  <w:tcBorders>
                    <w:tl2br w:val="nil"/>
                    <w:tr2bl w:val="nil"/>
                  </w:tcBorders>
                  <w:vAlign w:val="center"/>
                </w:tcPr>
                <w:p w14:paraId="538A2F5B">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szCs w:val="21"/>
                      <w:highlight w:val="none"/>
                    </w:rPr>
                  </w:pPr>
                </w:p>
              </w:tc>
              <w:tc>
                <w:tcPr>
                  <w:tcW w:w="1575" w:type="dxa"/>
                  <w:tcBorders>
                    <w:tl2br w:val="nil"/>
                    <w:tr2bl w:val="nil"/>
                  </w:tcBorders>
                  <w:vAlign w:val="center"/>
                </w:tcPr>
                <w:p w14:paraId="42E5F238">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szCs w:val="21"/>
                      <w:highlight w:val="none"/>
                    </w:rPr>
                    <w:t>4#（</w:t>
                  </w:r>
                  <w:r>
                    <w:rPr>
                      <w:rFonts w:hint="eastAsia" w:ascii="Times New Roman" w:hAnsi="Times New Roman" w:eastAsia="宋体" w:cs="Times New Roman"/>
                      <w:color w:val="auto"/>
                      <w:spacing w:val="0"/>
                      <w:szCs w:val="21"/>
                      <w:highlight w:val="none"/>
                      <w:lang w:val="en-US" w:eastAsia="zh-CN"/>
                    </w:rPr>
                    <w:t>南</w:t>
                  </w:r>
                  <w:r>
                    <w:rPr>
                      <w:rFonts w:hint="default" w:ascii="Times New Roman" w:hAnsi="Times New Roman" w:eastAsia="宋体" w:cs="Times New Roman"/>
                      <w:color w:val="auto"/>
                      <w:spacing w:val="0"/>
                      <w:szCs w:val="21"/>
                      <w:highlight w:val="none"/>
                    </w:rPr>
                    <w:t>）</w:t>
                  </w:r>
                </w:p>
              </w:tc>
              <w:tc>
                <w:tcPr>
                  <w:tcW w:w="903" w:type="dxa"/>
                  <w:tcBorders>
                    <w:tl2br w:val="nil"/>
                    <w:tr2bl w:val="nil"/>
                  </w:tcBorders>
                  <w:vAlign w:val="center"/>
                </w:tcPr>
                <w:p w14:paraId="5D6C694F">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26.47</w:t>
                  </w:r>
                </w:p>
              </w:tc>
              <w:tc>
                <w:tcPr>
                  <w:tcW w:w="903" w:type="dxa"/>
                  <w:tcBorders>
                    <w:tl2br w:val="nil"/>
                    <w:tr2bl w:val="nil"/>
                  </w:tcBorders>
                  <w:shd w:val="clear" w:color="auto" w:fill="auto"/>
                  <w:vAlign w:val="center"/>
                </w:tcPr>
                <w:p w14:paraId="28FA206E">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26.47</w:t>
                  </w:r>
                </w:p>
              </w:tc>
              <w:tc>
                <w:tcPr>
                  <w:tcW w:w="903" w:type="dxa"/>
                  <w:tcBorders>
                    <w:tl2br w:val="nil"/>
                    <w:tr2bl w:val="nil"/>
                  </w:tcBorders>
                  <w:vAlign w:val="center"/>
                </w:tcPr>
                <w:p w14:paraId="753F0973">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54.7</w:t>
                  </w:r>
                </w:p>
              </w:tc>
              <w:tc>
                <w:tcPr>
                  <w:tcW w:w="903" w:type="dxa"/>
                  <w:tcBorders>
                    <w:tl2br w:val="nil"/>
                    <w:tr2bl w:val="nil"/>
                  </w:tcBorders>
                  <w:vAlign w:val="center"/>
                </w:tcPr>
                <w:p w14:paraId="5E0291BC">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41.3</w:t>
                  </w:r>
                </w:p>
              </w:tc>
              <w:tc>
                <w:tcPr>
                  <w:tcW w:w="903" w:type="dxa"/>
                  <w:tcBorders>
                    <w:tl2br w:val="nil"/>
                    <w:tr2bl w:val="nil"/>
                  </w:tcBorders>
                  <w:vAlign w:val="center"/>
                </w:tcPr>
                <w:p w14:paraId="4FAF831B">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54.71</w:t>
                  </w:r>
                </w:p>
              </w:tc>
              <w:tc>
                <w:tcPr>
                  <w:tcW w:w="905" w:type="dxa"/>
                  <w:tcBorders>
                    <w:tl2br w:val="nil"/>
                    <w:tr2bl w:val="nil"/>
                  </w:tcBorders>
                  <w:vAlign w:val="center"/>
                </w:tcPr>
                <w:p w14:paraId="7E6C20C4">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41.44</w:t>
                  </w:r>
                </w:p>
              </w:tc>
            </w:tr>
            <w:tr w14:paraId="3FA7B3F4">
              <w:tblPrEx>
                <w:tblBorders>
                  <w:top w:val="single" w:color="auto" w:sz="4" w:space="0"/>
                  <w:left w:val="single" w:color="auto" w:sz="4" w:space="0"/>
                  <w:bottom w:val="single" w:color="auto" w:sz="4" w:space="0"/>
                  <w:right w:val="single" w:color="auto" w:sz="4" w:space="0"/>
                  <w:insideH w:val="single" w:color="auto" w:sz="6" w:space="0"/>
                  <w:insideV w:val="single" w:color="auto" w:sz="4" w:space="0"/>
                </w:tblBorders>
                <w:tblCellMar>
                  <w:top w:w="0" w:type="dxa"/>
                  <w:left w:w="108" w:type="dxa"/>
                  <w:bottom w:w="0" w:type="dxa"/>
                  <w:right w:w="108" w:type="dxa"/>
                </w:tblCellMar>
              </w:tblPrEx>
              <w:trPr>
                <w:cantSplit/>
                <w:trHeight w:val="378" w:hRule="atLeast"/>
                <w:jc w:val="center"/>
              </w:trPr>
              <w:tc>
                <w:tcPr>
                  <w:tcW w:w="917" w:type="dxa"/>
                  <w:vMerge w:val="continue"/>
                  <w:tcBorders>
                    <w:tl2br w:val="nil"/>
                    <w:tr2bl w:val="nil"/>
                  </w:tcBorders>
                  <w:vAlign w:val="center"/>
                </w:tcPr>
                <w:p w14:paraId="5D8FDB7D">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szCs w:val="21"/>
                      <w:highlight w:val="none"/>
                    </w:rPr>
                  </w:pPr>
                </w:p>
              </w:tc>
              <w:tc>
                <w:tcPr>
                  <w:tcW w:w="1575" w:type="dxa"/>
                  <w:tcBorders>
                    <w:tl2br w:val="nil"/>
                    <w:tr2bl w:val="nil"/>
                  </w:tcBorders>
                  <w:vAlign w:val="center"/>
                </w:tcPr>
                <w:p w14:paraId="5A926AEA">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spacing w:val="0"/>
                      <w:szCs w:val="21"/>
                      <w:highlight w:val="none"/>
                    </w:rPr>
                  </w:pPr>
                  <w:r>
                    <w:rPr>
                      <w:rFonts w:hint="eastAsia" w:ascii="Times New Roman" w:hAnsi="Times New Roman" w:eastAsia="宋体" w:cs="Times New Roman"/>
                      <w:color w:val="auto"/>
                      <w:spacing w:val="0"/>
                      <w:szCs w:val="21"/>
                      <w:highlight w:val="none"/>
                      <w:lang w:val="en-US" w:eastAsia="zh-CN"/>
                    </w:rPr>
                    <w:t>5</w:t>
                  </w:r>
                  <w:r>
                    <w:rPr>
                      <w:rFonts w:hint="default" w:ascii="Times New Roman" w:hAnsi="Times New Roman" w:eastAsia="宋体" w:cs="Times New Roman"/>
                      <w:color w:val="auto"/>
                      <w:spacing w:val="0"/>
                      <w:szCs w:val="21"/>
                      <w:highlight w:val="none"/>
                    </w:rPr>
                    <w:t>#（</w:t>
                  </w:r>
                  <w:r>
                    <w:rPr>
                      <w:rFonts w:hint="eastAsia" w:ascii="Times New Roman" w:hAnsi="Times New Roman" w:eastAsia="宋体" w:cs="Times New Roman"/>
                      <w:color w:val="auto"/>
                      <w:spacing w:val="0"/>
                      <w:szCs w:val="21"/>
                      <w:highlight w:val="none"/>
                      <w:lang w:val="en-US" w:eastAsia="zh-CN"/>
                    </w:rPr>
                    <w:t>东</w:t>
                  </w:r>
                  <w:r>
                    <w:rPr>
                      <w:rFonts w:hint="default" w:ascii="Times New Roman" w:hAnsi="Times New Roman" w:eastAsia="宋体" w:cs="Times New Roman"/>
                      <w:color w:val="auto"/>
                      <w:spacing w:val="0"/>
                      <w:szCs w:val="21"/>
                      <w:highlight w:val="none"/>
                    </w:rPr>
                    <w:t>）</w:t>
                  </w:r>
                </w:p>
              </w:tc>
              <w:tc>
                <w:tcPr>
                  <w:tcW w:w="903" w:type="dxa"/>
                  <w:tcBorders>
                    <w:tl2br w:val="nil"/>
                    <w:tr2bl w:val="nil"/>
                  </w:tcBorders>
                  <w:vAlign w:val="center"/>
                </w:tcPr>
                <w:p w14:paraId="37971983">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32.97</w:t>
                  </w:r>
                </w:p>
              </w:tc>
              <w:tc>
                <w:tcPr>
                  <w:tcW w:w="903" w:type="dxa"/>
                  <w:tcBorders>
                    <w:tl2br w:val="nil"/>
                    <w:tr2bl w:val="nil"/>
                  </w:tcBorders>
                  <w:shd w:val="clear" w:color="auto" w:fill="auto"/>
                  <w:vAlign w:val="center"/>
                </w:tcPr>
                <w:p w14:paraId="4A8DCDB6">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32.97</w:t>
                  </w:r>
                </w:p>
              </w:tc>
              <w:tc>
                <w:tcPr>
                  <w:tcW w:w="903" w:type="dxa"/>
                  <w:tcBorders>
                    <w:tl2br w:val="nil"/>
                    <w:tr2bl w:val="nil"/>
                  </w:tcBorders>
                  <w:vAlign w:val="center"/>
                </w:tcPr>
                <w:p w14:paraId="79AA325C">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55.9</w:t>
                  </w:r>
                </w:p>
              </w:tc>
              <w:tc>
                <w:tcPr>
                  <w:tcW w:w="903" w:type="dxa"/>
                  <w:tcBorders>
                    <w:tl2br w:val="nil"/>
                    <w:tr2bl w:val="nil"/>
                  </w:tcBorders>
                  <w:vAlign w:val="center"/>
                </w:tcPr>
                <w:p w14:paraId="621FAFA5">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38.3</w:t>
                  </w:r>
                </w:p>
              </w:tc>
              <w:tc>
                <w:tcPr>
                  <w:tcW w:w="903" w:type="dxa"/>
                  <w:tcBorders>
                    <w:tl2br w:val="nil"/>
                    <w:tr2bl w:val="nil"/>
                  </w:tcBorders>
                  <w:vAlign w:val="center"/>
                </w:tcPr>
                <w:p w14:paraId="7D18CEA5">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55.92</w:t>
                  </w:r>
                </w:p>
              </w:tc>
              <w:tc>
                <w:tcPr>
                  <w:tcW w:w="905" w:type="dxa"/>
                  <w:tcBorders>
                    <w:tl2br w:val="nil"/>
                    <w:tr2bl w:val="nil"/>
                  </w:tcBorders>
                  <w:vAlign w:val="center"/>
                </w:tcPr>
                <w:p w14:paraId="3302F864">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39.42</w:t>
                  </w:r>
                </w:p>
              </w:tc>
            </w:tr>
            <w:tr w14:paraId="00A8B84F">
              <w:tblPrEx>
                <w:tblBorders>
                  <w:top w:val="single" w:color="auto" w:sz="4" w:space="0"/>
                  <w:left w:val="single" w:color="auto" w:sz="4" w:space="0"/>
                  <w:bottom w:val="single" w:color="auto" w:sz="4" w:space="0"/>
                  <w:right w:val="single" w:color="auto" w:sz="4" w:space="0"/>
                  <w:insideH w:val="single" w:color="auto" w:sz="6" w:space="0"/>
                  <w:insideV w:val="single" w:color="auto" w:sz="4" w:space="0"/>
                </w:tblBorders>
                <w:tblCellMar>
                  <w:top w:w="0" w:type="dxa"/>
                  <w:left w:w="108" w:type="dxa"/>
                  <w:bottom w:w="0" w:type="dxa"/>
                  <w:right w:w="108" w:type="dxa"/>
                </w:tblCellMar>
              </w:tblPrEx>
              <w:trPr>
                <w:cantSplit/>
                <w:trHeight w:val="378" w:hRule="atLeast"/>
                <w:jc w:val="center"/>
              </w:trPr>
              <w:tc>
                <w:tcPr>
                  <w:tcW w:w="917" w:type="dxa"/>
                  <w:vMerge w:val="continue"/>
                  <w:tcBorders>
                    <w:tl2br w:val="nil"/>
                    <w:tr2bl w:val="nil"/>
                  </w:tcBorders>
                  <w:vAlign w:val="center"/>
                </w:tcPr>
                <w:p w14:paraId="1B067345">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szCs w:val="21"/>
                      <w:highlight w:val="none"/>
                    </w:rPr>
                  </w:pPr>
                </w:p>
              </w:tc>
              <w:tc>
                <w:tcPr>
                  <w:tcW w:w="1575" w:type="dxa"/>
                  <w:tcBorders>
                    <w:tl2br w:val="nil"/>
                    <w:tr2bl w:val="nil"/>
                  </w:tcBorders>
                  <w:vAlign w:val="center"/>
                </w:tcPr>
                <w:p w14:paraId="0E9F1CD3">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spacing w:val="0"/>
                      <w:szCs w:val="21"/>
                      <w:highlight w:val="none"/>
                    </w:rPr>
                  </w:pPr>
                  <w:r>
                    <w:rPr>
                      <w:rFonts w:hint="eastAsia" w:ascii="Times New Roman" w:hAnsi="Times New Roman" w:eastAsia="宋体" w:cs="Times New Roman"/>
                      <w:color w:val="auto"/>
                      <w:spacing w:val="0"/>
                      <w:szCs w:val="21"/>
                      <w:highlight w:val="none"/>
                      <w:lang w:val="en-US" w:eastAsia="zh-CN"/>
                    </w:rPr>
                    <w:t>6</w:t>
                  </w:r>
                  <w:r>
                    <w:rPr>
                      <w:rFonts w:hint="default" w:ascii="Times New Roman" w:hAnsi="Times New Roman" w:eastAsia="宋体" w:cs="Times New Roman"/>
                      <w:color w:val="auto"/>
                      <w:spacing w:val="0"/>
                      <w:szCs w:val="21"/>
                      <w:highlight w:val="none"/>
                    </w:rPr>
                    <w:t>#（</w:t>
                  </w:r>
                  <w:r>
                    <w:rPr>
                      <w:rFonts w:hint="eastAsia" w:cs="Times New Roman"/>
                      <w:color w:val="auto"/>
                      <w:spacing w:val="0"/>
                      <w:szCs w:val="21"/>
                      <w:highlight w:val="none"/>
                      <w:lang w:val="en-US" w:eastAsia="zh-CN"/>
                    </w:rPr>
                    <w:t>东</w:t>
                  </w:r>
                  <w:r>
                    <w:rPr>
                      <w:rFonts w:hint="default" w:ascii="Times New Roman" w:hAnsi="Times New Roman" w:eastAsia="宋体" w:cs="Times New Roman"/>
                      <w:color w:val="auto"/>
                      <w:spacing w:val="0"/>
                      <w:szCs w:val="21"/>
                      <w:highlight w:val="none"/>
                    </w:rPr>
                    <w:t>）</w:t>
                  </w:r>
                </w:p>
              </w:tc>
              <w:tc>
                <w:tcPr>
                  <w:tcW w:w="903" w:type="dxa"/>
                  <w:tcBorders>
                    <w:tl2br w:val="nil"/>
                    <w:tr2bl w:val="nil"/>
                  </w:tcBorders>
                  <w:vAlign w:val="center"/>
                </w:tcPr>
                <w:p w14:paraId="2CC77080">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35.44</w:t>
                  </w:r>
                </w:p>
              </w:tc>
              <w:tc>
                <w:tcPr>
                  <w:tcW w:w="903" w:type="dxa"/>
                  <w:tcBorders>
                    <w:tl2br w:val="nil"/>
                    <w:tr2bl w:val="nil"/>
                  </w:tcBorders>
                  <w:shd w:val="clear" w:color="auto" w:fill="auto"/>
                  <w:vAlign w:val="center"/>
                </w:tcPr>
                <w:p w14:paraId="1F9CB56F">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35.44</w:t>
                  </w:r>
                </w:p>
              </w:tc>
              <w:tc>
                <w:tcPr>
                  <w:tcW w:w="903" w:type="dxa"/>
                  <w:tcBorders>
                    <w:tl2br w:val="nil"/>
                    <w:tr2bl w:val="nil"/>
                  </w:tcBorders>
                  <w:vAlign w:val="center"/>
                </w:tcPr>
                <w:p w14:paraId="6EAF098F">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56.3</w:t>
                  </w:r>
                </w:p>
              </w:tc>
              <w:tc>
                <w:tcPr>
                  <w:tcW w:w="903" w:type="dxa"/>
                  <w:tcBorders>
                    <w:tl2br w:val="nil"/>
                    <w:tr2bl w:val="nil"/>
                  </w:tcBorders>
                  <w:vAlign w:val="center"/>
                </w:tcPr>
                <w:p w14:paraId="7CFC4317">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40.1</w:t>
                  </w:r>
                </w:p>
              </w:tc>
              <w:tc>
                <w:tcPr>
                  <w:tcW w:w="903" w:type="dxa"/>
                  <w:tcBorders>
                    <w:tl2br w:val="nil"/>
                    <w:tr2bl w:val="nil"/>
                  </w:tcBorders>
                  <w:vAlign w:val="center"/>
                </w:tcPr>
                <w:p w14:paraId="16146B0B">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56.34</w:t>
                  </w:r>
                </w:p>
              </w:tc>
              <w:tc>
                <w:tcPr>
                  <w:tcW w:w="905" w:type="dxa"/>
                  <w:tcBorders>
                    <w:tl2br w:val="nil"/>
                    <w:tr2bl w:val="nil"/>
                  </w:tcBorders>
                  <w:vAlign w:val="center"/>
                </w:tcPr>
                <w:p w14:paraId="7021B7B0">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41.38</w:t>
                  </w:r>
                </w:p>
              </w:tc>
            </w:tr>
            <w:tr w14:paraId="1C2D3A1F">
              <w:tblPrEx>
                <w:tblBorders>
                  <w:top w:val="single" w:color="auto" w:sz="4" w:space="0"/>
                  <w:left w:val="single" w:color="auto" w:sz="4" w:space="0"/>
                  <w:bottom w:val="single" w:color="auto" w:sz="4" w:space="0"/>
                  <w:right w:val="single" w:color="auto" w:sz="4" w:space="0"/>
                  <w:insideH w:val="single" w:color="auto" w:sz="6" w:space="0"/>
                  <w:insideV w:val="single" w:color="auto" w:sz="4" w:space="0"/>
                </w:tblBorders>
                <w:tblCellMar>
                  <w:top w:w="0" w:type="dxa"/>
                  <w:left w:w="108" w:type="dxa"/>
                  <w:bottom w:w="0" w:type="dxa"/>
                  <w:right w:w="108" w:type="dxa"/>
                </w:tblCellMar>
              </w:tblPrEx>
              <w:trPr>
                <w:cantSplit/>
                <w:trHeight w:val="378" w:hRule="atLeast"/>
                <w:jc w:val="center"/>
              </w:trPr>
              <w:tc>
                <w:tcPr>
                  <w:tcW w:w="917" w:type="dxa"/>
                  <w:vMerge w:val="continue"/>
                  <w:tcBorders>
                    <w:tl2br w:val="nil"/>
                    <w:tr2bl w:val="nil"/>
                  </w:tcBorders>
                  <w:vAlign w:val="center"/>
                </w:tcPr>
                <w:p w14:paraId="08B74D23">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szCs w:val="21"/>
                      <w:highlight w:val="none"/>
                    </w:rPr>
                  </w:pPr>
                </w:p>
              </w:tc>
              <w:tc>
                <w:tcPr>
                  <w:tcW w:w="1575" w:type="dxa"/>
                  <w:tcBorders>
                    <w:tl2br w:val="nil"/>
                    <w:tr2bl w:val="nil"/>
                  </w:tcBorders>
                  <w:vAlign w:val="center"/>
                </w:tcPr>
                <w:p w14:paraId="10EDDFAC">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spacing w:val="0"/>
                      <w:szCs w:val="21"/>
                      <w:highlight w:val="none"/>
                    </w:rPr>
                  </w:pPr>
                  <w:r>
                    <w:rPr>
                      <w:rFonts w:hint="eastAsia" w:ascii="Times New Roman" w:hAnsi="Times New Roman" w:eastAsia="宋体" w:cs="Times New Roman"/>
                      <w:color w:val="auto"/>
                      <w:spacing w:val="0"/>
                      <w:szCs w:val="21"/>
                      <w:highlight w:val="none"/>
                      <w:lang w:val="en-US" w:eastAsia="zh-CN"/>
                    </w:rPr>
                    <w:t>7</w:t>
                  </w:r>
                  <w:r>
                    <w:rPr>
                      <w:rFonts w:hint="default" w:ascii="Times New Roman" w:hAnsi="Times New Roman" w:eastAsia="宋体" w:cs="Times New Roman"/>
                      <w:color w:val="auto"/>
                      <w:spacing w:val="0"/>
                      <w:szCs w:val="21"/>
                      <w:highlight w:val="none"/>
                    </w:rPr>
                    <w:t>#（</w:t>
                  </w:r>
                  <w:r>
                    <w:rPr>
                      <w:rFonts w:hint="eastAsia" w:ascii="Times New Roman" w:hAnsi="Times New Roman" w:eastAsia="宋体" w:cs="Times New Roman"/>
                      <w:color w:val="auto"/>
                      <w:spacing w:val="0"/>
                      <w:szCs w:val="21"/>
                      <w:highlight w:val="none"/>
                      <w:lang w:val="en-US" w:eastAsia="zh-CN"/>
                    </w:rPr>
                    <w:t>北</w:t>
                  </w:r>
                  <w:r>
                    <w:rPr>
                      <w:rFonts w:hint="default" w:ascii="Times New Roman" w:hAnsi="Times New Roman" w:eastAsia="宋体" w:cs="Times New Roman"/>
                      <w:color w:val="auto"/>
                      <w:spacing w:val="0"/>
                      <w:szCs w:val="21"/>
                      <w:highlight w:val="none"/>
                    </w:rPr>
                    <w:t>）</w:t>
                  </w:r>
                </w:p>
              </w:tc>
              <w:tc>
                <w:tcPr>
                  <w:tcW w:w="903" w:type="dxa"/>
                  <w:tcBorders>
                    <w:tl2br w:val="nil"/>
                    <w:tr2bl w:val="nil"/>
                  </w:tcBorders>
                  <w:vAlign w:val="center"/>
                </w:tcPr>
                <w:p w14:paraId="579B2CB7">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34.05</w:t>
                  </w:r>
                </w:p>
              </w:tc>
              <w:tc>
                <w:tcPr>
                  <w:tcW w:w="903" w:type="dxa"/>
                  <w:tcBorders>
                    <w:tl2br w:val="nil"/>
                    <w:tr2bl w:val="nil"/>
                  </w:tcBorders>
                  <w:shd w:val="clear" w:color="auto" w:fill="auto"/>
                  <w:vAlign w:val="center"/>
                </w:tcPr>
                <w:p w14:paraId="69DD305B">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34.05</w:t>
                  </w:r>
                </w:p>
              </w:tc>
              <w:tc>
                <w:tcPr>
                  <w:tcW w:w="903" w:type="dxa"/>
                  <w:tcBorders>
                    <w:tl2br w:val="nil"/>
                    <w:tr2bl w:val="nil"/>
                  </w:tcBorders>
                  <w:vAlign w:val="center"/>
                </w:tcPr>
                <w:p w14:paraId="71E0A6F6">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57.5</w:t>
                  </w:r>
                </w:p>
              </w:tc>
              <w:tc>
                <w:tcPr>
                  <w:tcW w:w="903" w:type="dxa"/>
                  <w:tcBorders>
                    <w:tl2br w:val="nil"/>
                    <w:tr2bl w:val="nil"/>
                  </w:tcBorders>
                  <w:vAlign w:val="center"/>
                </w:tcPr>
                <w:p w14:paraId="549DB73F">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42.0</w:t>
                  </w:r>
                </w:p>
              </w:tc>
              <w:tc>
                <w:tcPr>
                  <w:tcW w:w="903" w:type="dxa"/>
                  <w:tcBorders>
                    <w:tl2br w:val="nil"/>
                    <w:tr2bl w:val="nil"/>
                  </w:tcBorders>
                  <w:vAlign w:val="center"/>
                </w:tcPr>
                <w:p w14:paraId="2C3167CC">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57.52</w:t>
                  </w:r>
                </w:p>
              </w:tc>
              <w:tc>
                <w:tcPr>
                  <w:tcW w:w="905" w:type="dxa"/>
                  <w:tcBorders>
                    <w:tl2br w:val="nil"/>
                    <w:tr2bl w:val="nil"/>
                  </w:tcBorders>
                  <w:vAlign w:val="center"/>
                </w:tcPr>
                <w:p w14:paraId="436D3E30">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42.65</w:t>
                  </w:r>
                </w:p>
              </w:tc>
            </w:tr>
            <w:tr w14:paraId="5A3ADD31">
              <w:tblPrEx>
                <w:tblBorders>
                  <w:top w:val="single" w:color="auto" w:sz="4" w:space="0"/>
                  <w:left w:val="single" w:color="auto" w:sz="4" w:space="0"/>
                  <w:bottom w:val="single" w:color="auto" w:sz="4" w:space="0"/>
                  <w:right w:val="single" w:color="auto" w:sz="4" w:space="0"/>
                  <w:insideH w:val="single" w:color="auto" w:sz="6" w:space="0"/>
                  <w:insideV w:val="single" w:color="auto" w:sz="4" w:space="0"/>
                </w:tblBorders>
                <w:tblCellMar>
                  <w:top w:w="0" w:type="dxa"/>
                  <w:left w:w="108" w:type="dxa"/>
                  <w:bottom w:w="0" w:type="dxa"/>
                  <w:right w:w="108" w:type="dxa"/>
                </w:tblCellMar>
              </w:tblPrEx>
              <w:trPr>
                <w:cantSplit/>
                <w:trHeight w:val="378" w:hRule="atLeast"/>
                <w:jc w:val="center"/>
              </w:trPr>
              <w:tc>
                <w:tcPr>
                  <w:tcW w:w="917" w:type="dxa"/>
                  <w:vMerge w:val="continue"/>
                  <w:tcBorders>
                    <w:tl2br w:val="nil"/>
                    <w:tr2bl w:val="nil"/>
                  </w:tcBorders>
                  <w:vAlign w:val="center"/>
                </w:tcPr>
                <w:p w14:paraId="029C318B">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szCs w:val="21"/>
                      <w:highlight w:val="none"/>
                    </w:rPr>
                  </w:pPr>
                </w:p>
              </w:tc>
              <w:tc>
                <w:tcPr>
                  <w:tcW w:w="1575" w:type="dxa"/>
                  <w:tcBorders>
                    <w:tl2br w:val="nil"/>
                    <w:tr2bl w:val="nil"/>
                  </w:tcBorders>
                  <w:vAlign w:val="center"/>
                </w:tcPr>
                <w:p w14:paraId="0DA8CB27">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spacing w:val="0"/>
                      <w:szCs w:val="21"/>
                      <w:highlight w:val="none"/>
                    </w:rPr>
                  </w:pPr>
                  <w:r>
                    <w:rPr>
                      <w:rFonts w:hint="eastAsia" w:ascii="Times New Roman" w:hAnsi="Times New Roman" w:eastAsia="宋体" w:cs="Times New Roman"/>
                      <w:color w:val="auto"/>
                      <w:spacing w:val="0"/>
                      <w:szCs w:val="21"/>
                      <w:highlight w:val="none"/>
                      <w:lang w:val="en-US" w:eastAsia="zh-CN"/>
                    </w:rPr>
                    <w:t>8</w:t>
                  </w:r>
                  <w:r>
                    <w:rPr>
                      <w:rFonts w:hint="default" w:ascii="Times New Roman" w:hAnsi="Times New Roman" w:eastAsia="宋体" w:cs="Times New Roman"/>
                      <w:color w:val="auto"/>
                      <w:spacing w:val="0"/>
                      <w:szCs w:val="21"/>
                      <w:highlight w:val="none"/>
                    </w:rPr>
                    <w:t>#（</w:t>
                  </w:r>
                  <w:r>
                    <w:rPr>
                      <w:rFonts w:hint="eastAsia" w:ascii="Times New Roman" w:hAnsi="Times New Roman" w:eastAsia="宋体" w:cs="Times New Roman"/>
                      <w:color w:val="auto"/>
                      <w:spacing w:val="0"/>
                      <w:szCs w:val="21"/>
                      <w:highlight w:val="none"/>
                      <w:lang w:val="en-US" w:eastAsia="zh-CN"/>
                    </w:rPr>
                    <w:t>北</w:t>
                  </w:r>
                  <w:r>
                    <w:rPr>
                      <w:rFonts w:hint="default" w:ascii="Times New Roman" w:hAnsi="Times New Roman" w:eastAsia="宋体" w:cs="Times New Roman"/>
                      <w:color w:val="auto"/>
                      <w:spacing w:val="0"/>
                      <w:szCs w:val="21"/>
                      <w:highlight w:val="none"/>
                    </w:rPr>
                    <w:t>）</w:t>
                  </w:r>
                </w:p>
              </w:tc>
              <w:tc>
                <w:tcPr>
                  <w:tcW w:w="903" w:type="dxa"/>
                  <w:tcBorders>
                    <w:tl2br w:val="nil"/>
                    <w:tr2bl w:val="nil"/>
                  </w:tcBorders>
                  <w:vAlign w:val="center"/>
                </w:tcPr>
                <w:p w14:paraId="61A47BAA">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26.52</w:t>
                  </w:r>
                </w:p>
              </w:tc>
              <w:tc>
                <w:tcPr>
                  <w:tcW w:w="903" w:type="dxa"/>
                  <w:tcBorders>
                    <w:tl2br w:val="nil"/>
                    <w:tr2bl w:val="nil"/>
                  </w:tcBorders>
                  <w:shd w:val="clear" w:color="auto" w:fill="auto"/>
                  <w:vAlign w:val="center"/>
                </w:tcPr>
                <w:p w14:paraId="658F6AD3">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26.52</w:t>
                  </w:r>
                </w:p>
              </w:tc>
              <w:tc>
                <w:tcPr>
                  <w:tcW w:w="903" w:type="dxa"/>
                  <w:tcBorders>
                    <w:tl2br w:val="nil"/>
                    <w:tr2bl w:val="nil"/>
                  </w:tcBorders>
                  <w:vAlign w:val="center"/>
                </w:tcPr>
                <w:p w14:paraId="31C9A01B">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55.5</w:t>
                  </w:r>
                </w:p>
              </w:tc>
              <w:tc>
                <w:tcPr>
                  <w:tcW w:w="903" w:type="dxa"/>
                  <w:tcBorders>
                    <w:tl2br w:val="nil"/>
                    <w:tr2bl w:val="nil"/>
                  </w:tcBorders>
                  <w:vAlign w:val="center"/>
                </w:tcPr>
                <w:p w14:paraId="175C1BE1">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38.3</w:t>
                  </w:r>
                </w:p>
              </w:tc>
              <w:tc>
                <w:tcPr>
                  <w:tcW w:w="903" w:type="dxa"/>
                  <w:tcBorders>
                    <w:tl2br w:val="nil"/>
                    <w:tr2bl w:val="nil"/>
                  </w:tcBorders>
                  <w:vAlign w:val="center"/>
                </w:tcPr>
                <w:p w14:paraId="357BE6B0">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55.51</w:t>
                  </w:r>
                </w:p>
              </w:tc>
              <w:tc>
                <w:tcPr>
                  <w:tcW w:w="905" w:type="dxa"/>
                  <w:tcBorders>
                    <w:tl2br w:val="nil"/>
                    <w:tr2bl w:val="nil"/>
                  </w:tcBorders>
                  <w:vAlign w:val="center"/>
                </w:tcPr>
                <w:p w14:paraId="0053D30E">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38.58</w:t>
                  </w:r>
                </w:p>
              </w:tc>
            </w:tr>
            <w:tr w14:paraId="72916E0F">
              <w:tblPrEx>
                <w:tblBorders>
                  <w:top w:val="single" w:color="auto" w:sz="4" w:space="0"/>
                  <w:left w:val="single" w:color="auto" w:sz="4" w:space="0"/>
                  <w:bottom w:val="single" w:color="auto" w:sz="4" w:space="0"/>
                  <w:right w:val="single" w:color="auto" w:sz="4" w:space="0"/>
                  <w:insideH w:val="single" w:color="auto" w:sz="6" w:space="0"/>
                  <w:insideV w:val="single" w:color="auto" w:sz="4" w:space="0"/>
                </w:tblBorders>
                <w:tblCellMar>
                  <w:top w:w="0" w:type="dxa"/>
                  <w:left w:w="108" w:type="dxa"/>
                  <w:bottom w:w="0" w:type="dxa"/>
                  <w:right w:w="108" w:type="dxa"/>
                </w:tblCellMar>
              </w:tblPrEx>
              <w:trPr>
                <w:cantSplit/>
                <w:trHeight w:val="378" w:hRule="atLeast"/>
                <w:jc w:val="center"/>
              </w:trPr>
              <w:tc>
                <w:tcPr>
                  <w:tcW w:w="917" w:type="dxa"/>
                  <w:tcBorders>
                    <w:tl2br w:val="nil"/>
                    <w:tr2bl w:val="nil"/>
                  </w:tcBorders>
                  <w:vAlign w:val="center"/>
                </w:tcPr>
                <w:p w14:paraId="2A2F839A">
                  <w:pPr>
                    <w:keepNext w:val="0"/>
                    <w:keepLines w:val="0"/>
                    <w:pageBreakBefore w:val="0"/>
                    <w:kinsoku/>
                    <w:wordWrap/>
                    <w:overflowPunct/>
                    <w:topLinePunct w:val="0"/>
                    <w:bidi w:val="0"/>
                    <w:adjustRightInd w:val="0"/>
                    <w:snapToGrid w:val="0"/>
                    <w:spacing w:line="320" w:lineRule="exact"/>
                    <w:jc w:val="center"/>
                    <w:textAlignment w:val="baseline"/>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敏感点</w:t>
                  </w:r>
                </w:p>
              </w:tc>
              <w:tc>
                <w:tcPr>
                  <w:tcW w:w="1575" w:type="dxa"/>
                  <w:tcBorders>
                    <w:tl2br w:val="nil"/>
                    <w:tr2bl w:val="nil"/>
                  </w:tcBorders>
                  <w:vAlign w:val="center"/>
                </w:tcPr>
                <w:p w14:paraId="21E98E8B">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spacing w:val="0"/>
                      <w:szCs w:val="21"/>
                      <w:highlight w:val="none"/>
                      <w:lang w:val="en-US" w:eastAsia="zh-CN"/>
                    </w:rPr>
                  </w:pPr>
                  <w:r>
                    <w:rPr>
                      <w:rFonts w:hint="eastAsia" w:cs="Times New Roman"/>
                      <w:color w:val="auto"/>
                      <w:spacing w:val="0"/>
                      <w:szCs w:val="21"/>
                      <w:highlight w:val="none"/>
                      <w:lang w:val="en-US" w:eastAsia="zh-CN"/>
                    </w:rPr>
                    <w:t>崇瓦张村</w:t>
                  </w:r>
                </w:p>
              </w:tc>
              <w:tc>
                <w:tcPr>
                  <w:tcW w:w="903" w:type="dxa"/>
                  <w:tcBorders>
                    <w:tl2br w:val="nil"/>
                    <w:tr2bl w:val="nil"/>
                  </w:tcBorders>
                  <w:vAlign w:val="center"/>
                </w:tcPr>
                <w:p w14:paraId="0BB77C45">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kern w:val="0"/>
                      <w:szCs w:val="21"/>
                      <w:highlight w:val="none"/>
                      <w:lang w:val="en-US" w:eastAsia="zh-CN"/>
                    </w:rPr>
                  </w:pPr>
                  <w:r>
                    <w:rPr>
                      <w:rFonts w:hint="eastAsia" w:cs="Times New Roman"/>
                      <w:color w:val="auto"/>
                      <w:kern w:val="0"/>
                      <w:szCs w:val="21"/>
                      <w:highlight w:val="none"/>
                      <w:lang w:val="en-US" w:eastAsia="zh-CN"/>
                    </w:rPr>
                    <w:t>25.99</w:t>
                  </w:r>
                </w:p>
              </w:tc>
              <w:tc>
                <w:tcPr>
                  <w:tcW w:w="903" w:type="dxa"/>
                  <w:tcBorders>
                    <w:tl2br w:val="nil"/>
                    <w:tr2bl w:val="nil"/>
                  </w:tcBorders>
                  <w:shd w:val="clear" w:color="auto" w:fill="auto"/>
                  <w:vAlign w:val="center"/>
                </w:tcPr>
                <w:p w14:paraId="53FBE2B3">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25.99</w:t>
                  </w:r>
                </w:p>
              </w:tc>
              <w:tc>
                <w:tcPr>
                  <w:tcW w:w="903" w:type="dxa"/>
                  <w:tcBorders>
                    <w:tl2br w:val="nil"/>
                    <w:tr2bl w:val="nil"/>
                  </w:tcBorders>
                  <w:shd w:val="clear" w:color="auto" w:fill="auto"/>
                  <w:vAlign w:val="center"/>
                </w:tcPr>
                <w:p w14:paraId="27731D6D">
                  <w:pPr>
                    <w:snapToGrid w:val="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53.3</w:t>
                  </w:r>
                </w:p>
              </w:tc>
              <w:tc>
                <w:tcPr>
                  <w:tcW w:w="903" w:type="dxa"/>
                  <w:tcBorders>
                    <w:tl2br w:val="nil"/>
                    <w:tr2bl w:val="nil"/>
                  </w:tcBorders>
                  <w:shd w:val="clear" w:color="auto" w:fill="auto"/>
                  <w:vAlign w:val="center"/>
                </w:tcPr>
                <w:p w14:paraId="7234C5DD">
                  <w:pPr>
                    <w:snapToGrid w:val="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44.2</w:t>
                  </w:r>
                </w:p>
              </w:tc>
              <w:tc>
                <w:tcPr>
                  <w:tcW w:w="903" w:type="dxa"/>
                  <w:tcBorders>
                    <w:tl2br w:val="nil"/>
                    <w:tr2bl w:val="nil"/>
                  </w:tcBorders>
                  <w:vAlign w:val="center"/>
                </w:tcPr>
                <w:p w14:paraId="16A2E5CD">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53.31</w:t>
                  </w:r>
                </w:p>
              </w:tc>
              <w:tc>
                <w:tcPr>
                  <w:tcW w:w="905" w:type="dxa"/>
                  <w:tcBorders>
                    <w:tl2br w:val="nil"/>
                    <w:tr2bl w:val="nil"/>
                  </w:tcBorders>
                  <w:vAlign w:val="center"/>
                </w:tcPr>
                <w:p w14:paraId="4B6750A5">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44.27</w:t>
                  </w:r>
                </w:p>
              </w:tc>
            </w:tr>
          </w:tbl>
          <w:p w14:paraId="0577651A">
            <w:pPr>
              <w:spacing w:line="360" w:lineRule="auto"/>
              <w:ind w:firstLine="496"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pacing w:val="4"/>
                <w:kern w:val="2"/>
                <w:sz w:val="24"/>
                <w:szCs w:val="24"/>
                <w:highlight w:val="none"/>
                <w:lang w:val="en-US" w:eastAsia="zh-CN" w:bidi="ar-SA"/>
              </w:rPr>
              <w:t>根据</w:t>
            </w:r>
            <w:r>
              <w:rPr>
                <w:rFonts w:hint="eastAsia" w:ascii="Times New Roman" w:hAnsi="Times New Roman" w:eastAsia="宋体" w:cs="Times New Roman"/>
                <w:color w:val="auto"/>
                <w:spacing w:val="4"/>
                <w:kern w:val="2"/>
                <w:sz w:val="24"/>
                <w:szCs w:val="24"/>
                <w:highlight w:val="none"/>
                <w:lang w:val="en-US" w:eastAsia="zh-CN" w:bidi="ar-SA"/>
              </w:rPr>
              <w:t>以上</w:t>
            </w:r>
            <w:r>
              <w:rPr>
                <w:rFonts w:hint="default" w:ascii="Times New Roman" w:hAnsi="Times New Roman" w:eastAsia="宋体" w:cs="Times New Roman"/>
                <w:color w:val="auto"/>
                <w:spacing w:val="4"/>
                <w:kern w:val="2"/>
                <w:sz w:val="24"/>
                <w:szCs w:val="24"/>
                <w:highlight w:val="none"/>
                <w:lang w:val="en-US" w:eastAsia="zh-CN" w:bidi="ar-SA"/>
              </w:rPr>
              <w:t>预测结果可</w:t>
            </w:r>
            <w:r>
              <w:rPr>
                <w:rFonts w:hint="eastAsia" w:cs="Times New Roman"/>
                <w:color w:val="auto"/>
                <w:spacing w:val="4"/>
                <w:kern w:val="2"/>
                <w:sz w:val="24"/>
                <w:szCs w:val="24"/>
                <w:highlight w:val="none"/>
                <w:lang w:val="en-US" w:eastAsia="zh-CN" w:bidi="ar-SA"/>
              </w:rPr>
              <w:t>知</w:t>
            </w:r>
            <w:r>
              <w:rPr>
                <w:rFonts w:hint="default" w:ascii="Times New Roman" w:hAnsi="Times New Roman" w:eastAsia="宋体" w:cs="Times New Roman"/>
                <w:color w:val="auto"/>
                <w:spacing w:val="4"/>
                <w:kern w:val="2"/>
                <w:sz w:val="24"/>
                <w:szCs w:val="24"/>
                <w:highlight w:val="none"/>
                <w:lang w:val="en-US" w:eastAsia="zh-CN" w:bidi="ar-SA"/>
              </w:rPr>
              <w:t>，厂</w:t>
            </w:r>
            <w:r>
              <w:rPr>
                <w:rFonts w:hint="eastAsia" w:ascii="Times New Roman" w:hAnsi="Times New Roman" w:eastAsia="宋体" w:cs="Times New Roman"/>
                <w:color w:val="auto"/>
                <w:spacing w:val="4"/>
                <w:kern w:val="2"/>
                <w:sz w:val="24"/>
                <w:szCs w:val="24"/>
                <w:highlight w:val="none"/>
                <w:lang w:val="en-US" w:eastAsia="zh-CN" w:bidi="ar-SA"/>
              </w:rPr>
              <w:t>区</w:t>
            </w:r>
            <w:r>
              <w:rPr>
                <w:rFonts w:hint="default" w:ascii="Times New Roman" w:hAnsi="Times New Roman" w:eastAsia="宋体" w:cs="Times New Roman"/>
                <w:color w:val="auto"/>
                <w:spacing w:val="4"/>
                <w:kern w:val="2"/>
                <w:sz w:val="24"/>
                <w:szCs w:val="24"/>
                <w:highlight w:val="none"/>
                <w:lang w:val="en-US" w:eastAsia="zh-CN" w:bidi="ar-SA"/>
              </w:rPr>
              <w:t>各边界噪声</w:t>
            </w:r>
            <w:r>
              <w:rPr>
                <w:rFonts w:hint="eastAsia" w:cs="Times New Roman"/>
                <w:color w:val="auto"/>
                <w:spacing w:val="4"/>
                <w:kern w:val="2"/>
                <w:sz w:val="24"/>
                <w:szCs w:val="24"/>
                <w:highlight w:val="none"/>
                <w:lang w:val="en-US" w:eastAsia="zh-CN" w:bidi="ar-SA"/>
              </w:rPr>
              <w:t>预测值</w:t>
            </w:r>
            <w:r>
              <w:rPr>
                <w:rFonts w:hint="default" w:ascii="Times New Roman" w:hAnsi="Times New Roman" w:eastAsia="宋体" w:cs="Times New Roman"/>
                <w:color w:val="auto"/>
                <w:spacing w:val="4"/>
                <w:kern w:val="2"/>
                <w:sz w:val="24"/>
                <w:szCs w:val="24"/>
                <w:highlight w:val="none"/>
                <w:lang w:val="en-US" w:eastAsia="zh-CN" w:bidi="ar-SA"/>
              </w:rPr>
              <w:t>可满足《工业企业厂界环境噪声排放标准》（GB12348-2008）</w:t>
            </w:r>
            <w:r>
              <w:rPr>
                <w:rFonts w:hint="eastAsia" w:cs="Times New Roman"/>
                <w:color w:val="auto"/>
                <w:spacing w:val="4"/>
                <w:kern w:val="2"/>
                <w:sz w:val="24"/>
                <w:szCs w:val="24"/>
                <w:highlight w:val="none"/>
                <w:lang w:val="en-US" w:eastAsia="zh-CN" w:bidi="ar-SA"/>
              </w:rPr>
              <w:t>2类</w:t>
            </w:r>
            <w:r>
              <w:rPr>
                <w:rFonts w:hint="default" w:ascii="Times New Roman" w:hAnsi="Times New Roman" w:eastAsia="宋体" w:cs="Times New Roman"/>
                <w:color w:val="auto"/>
                <w:spacing w:val="4"/>
                <w:kern w:val="2"/>
                <w:sz w:val="24"/>
                <w:szCs w:val="24"/>
                <w:highlight w:val="none"/>
                <w:lang w:val="en-US" w:eastAsia="zh-CN" w:bidi="ar-SA"/>
              </w:rPr>
              <w:t>标准要求</w:t>
            </w:r>
            <w:r>
              <w:rPr>
                <w:rFonts w:hint="eastAsia" w:cs="Times New Roman"/>
                <w:color w:val="auto"/>
                <w:spacing w:val="4"/>
                <w:kern w:val="2"/>
                <w:sz w:val="24"/>
                <w:szCs w:val="24"/>
                <w:highlight w:val="none"/>
                <w:lang w:val="en-US" w:eastAsia="zh-CN" w:bidi="ar-SA"/>
              </w:rPr>
              <w:t>，敏感点噪声预测值可满足《声环境质量标准》（GB3096-2008）1类标准要求。</w:t>
            </w:r>
          </w:p>
          <w:p w14:paraId="3C48FD93">
            <w:pPr>
              <w:spacing w:line="460" w:lineRule="exact"/>
              <w:ind w:firstLine="480" w:firstLineChars="200"/>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3.</w:t>
            </w:r>
            <w:r>
              <w:rPr>
                <w:rFonts w:hint="default" w:ascii="Times New Roman" w:hAnsi="Times New Roman" w:eastAsia="宋体" w:cs="Times New Roman"/>
                <w:color w:val="auto"/>
                <w:sz w:val="24"/>
                <w:highlight w:val="none"/>
              </w:rPr>
              <w:t>噪声污染防治措施</w:t>
            </w:r>
          </w:p>
          <w:p w14:paraId="59F5FC7D">
            <w:pPr>
              <w:spacing w:line="460" w:lineRule="exact"/>
              <w:ind w:firstLine="496" w:firstLineChars="200"/>
              <w:rPr>
                <w:rFonts w:hint="default" w:ascii="Times New Roman" w:hAnsi="Times New Roman" w:eastAsia="宋体" w:cs="Times New Roman"/>
                <w:bCs/>
                <w:color w:val="auto"/>
                <w:sz w:val="24"/>
                <w:highlight w:val="none"/>
                <w:lang w:eastAsia="zh-CN"/>
              </w:rPr>
            </w:pPr>
            <w:r>
              <w:rPr>
                <w:rFonts w:hint="eastAsia" w:ascii="Times New Roman" w:hAnsi="Times New Roman" w:cs="Times New Roman"/>
                <w:bCs/>
                <w:color w:val="auto"/>
                <w:spacing w:val="4"/>
                <w:sz w:val="24"/>
                <w:szCs w:val="24"/>
                <w:highlight w:val="none"/>
                <w:lang w:val="en-US" w:eastAsia="zh-CN"/>
              </w:rPr>
              <w:t>本项目为煤炭储存</w:t>
            </w:r>
            <w:r>
              <w:rPr>
                <w:rFonts w:hint="eastAsia" w:cs="Times New Roman"/>
                <w:bCs/>
                <w:color w:val="auto"/>
                <w:spacing w:val="4"/>
                <w:sz w:val="24"/>
                <w:szCs w:val="24"/>
                <w:highlight w:val="none"/>
                <w:lang w:val="en-US" w:eastAsia="zh-CN"/>
              </w:rPr>
              <w:t>项目</w:t>
            </w:r>
            <w:r>
              <w:rPr>
                <w:rFonts w:hint="eastAsia" w:ascii="Times New Roman" w:hAnsi="Times New Roman" w:cs="Times New Roman"/>
                <w:bCs/>
                <w:color w:val="auto"/>
                <w:spacing w:val="4"/>
                <w:sz w:val="24"/>
                <w:szCs w:val="24"/>
                <w:highlight w:val="none"/>
                <w:lang w:val="en-US" w:eastAsia="zh-CN"/>
              </w:rPr>
              <w:t>，主要产生噪声的设备为仓下给煤机</w:t>
            </w:r>
            <w:r>
              <w:rPr>
                <w:rFonts w:hint="eastAsia" w:cs="Times New Roman"/>
                <w:bCs/>
                <w:color w:val="auto"/>
                <w:spacing w:val="4"/>
                <w:sz w:val="24"/>
                <w:szCs w:val="24"/>
                <w:highlight w:val="none"/>
                <w:lang w:val="en-US" w:eastAsia="zh-CN"/>
              </w:rPr>
              <w:t>、通风机</w:t>
            </w:r>
            <w:r>
              <w:rPr>
                <w:rFonts w:hint="eastAsia" w:ascii="Times New Roman" w:hAnsi="Times New Roman" w:cs="Times New Roman"/>
                <w:bCs/>
                <w:color w:val="auto"/>
                <w:spacing w:val="4"/>
                <w:sz w:val="24"/>
                <w:szCs w:val="24"/>
                <w:highlight w:val="none"/>
                <w:lang w:val="en-US" w:eastAsia="zh-CN"/>
              </w:rPr>
              <w:t>和</w:t>
            </w:r>
            <w:r>
              <w:rPr>
                <w:rFonts w:hint="eastAsia" w:cs="Times New Roman"/>
                <w:bCs/>
                <w:color w:val="auto"/>
                <w:spacing w:val="4"/>
                <w:sz w:val="24"/>
                <w:szCs w:val="24"/>
                <w:highlight w:val="none"/>
                <w:lang w:val="en-US" w:eastAsia="zh-CN"/>
              </w:rPr>
              <w:t>皮带输送机</w:t>
            </w:r>
            <w:r>
              <w:rPr>
                <w:rFonts w:hint="eastAsia" w:ascii="Times New Roman" w:hAnsi="Times New Roman" w:cs="Times New Roman"/>
                <w:bCs/>
                <w:color w:val="auto"/>
                <w:spacing w:val="4"/>
                <w:sz w:val="24"/>
                <w:szCs w:val="24"/>
                <w:highlight w:val="none"/>
                <w:lang w:val="en-US" w:eastAsia="zh-CN"/>
              </w:rPr>
              <w:t>。</w:t>
            </w:r>
            <w:r>
              <w:rPr>
                <w:rFonts w:hint="eastAsia" w:cs="Times New Roman"/>
                <w:bCs/>
                <w:color w:val="auto"/>
                <w:spacing w:val="4"/>
                <w:sz w:val="24"/>
                <w:szCs w:val="24"/>
                <w:highlight w:val="none"/>
                <w:lang w:val="en-US" w:eastAsia="zh-CN"/>
              </w:rPr>
              <w:t>通风机、仓下给料机均位于筒仓内</w:t>
            </w:r>
            <w:r>
              <w:rPr>
                <w:rFonts w:hint="eastAsia" w:ascii="Times New Roman" w:hAnsi="Times New Roman" w:cs="Times New Roman"/>
                <w:bCs/>
                <w:color w:val="auto"/>
                <w:spacing w:val="4"/>
                <w:sz w:val="24"/>
                <w:szCs w:val="24"/>
                <w:highlight w:val="none"/>
                <w:lang w:val="en-US" w:eastAsia="zh-CN"/>
              </w:rPr>
              <w:t>，</w:t>
            </w:r>
            <w:r>
              <w:rPr>
                <w:rFonts w:hint="eastAsia" w:cs="Times New Roman"/>
                <w:bCs/>
                <w:color w:val="auto"/>
                <w:spacing w:val="4"/>
                <w:sz w:val="24"/>
                <w:szCs w:val="24"/>
                <w:highlight w:val="none"/>
                <w:lang w:val="en-US" w:eastAsia="zh-CN"/>
              </w:rPr>
              <w:t>皮带输送机均为全封闭，通过进行</w:t>
            </w:r>
            <w:r>
              <w:rPr>
                <w:rFonts w:hint="eastAsia" w:ascii="Times New Roman" w:hAnsi="Times New Roman" w:cs="Times New Roman"/>
                <w:bCs/>
                <w:color w:val="auto"/>
                <w:spacing w:val="4"/>
                <w:sz w:val="24"/>
                <w:szCs w:val="24"/>
                <w:highlight w:val="none"/>
                <w:lang w:val="en-US" w:eastAsia="zh-CN"/>
              </w:rPr>
              <w:t>定期维护，加强对噪声控制装置的维护保养</w:t>
            </w:r>
            <w:r>
              <w:rPr>
                <w:rFonts w:hint="eastAsia" w:cs="Times New Roman"/>
                <w:bCs/>
                <w:color w:val="auto"/>
                <w:spacing w:val="4"/>
                <w:sz w:val="24"/>
                <w:szCs w:val="24"/>
                <w:highlight w:val="none"/>
                <w:lang w:val="en-US" w:eastAsia="zh-CN"/>
              </w:rPr>
              <w:t>，</w:t>
            </w:r>
            <w:r>
              <w:rPr>
                <w:rFonts w:hint="eastAsia" w:ascii="Times New Roman" w:hAnsi="Times New Roman" w:cs="Times New Roman"/>
                <w:bCs/>
                <w:color w:val="auto"/>
                <w:spacing w:val="4"/>
                <w:sz w:val="24"/>
                <w:szCs w:val="24"/>
                <w:highlight w:val="none"/>
                <w:lang w:val="en-US" w:eastAsia="zh-CN"/>
              </w:rPr>
              <w:t>使其保持良好运行状态</w:t>
            </w:r>
            <w:r>
              <w:rPr>
                <w:rFonts w:hint="eastAsia" w:cs="Times New Roman"/>
                <w:bCs/>
                <w:color w:val="auto"/>
                <w:spacing w:val="4"/>
                <w:sz w:val="24"/>
                <w:szCs w:val="24"/>
                <w:highlight w:val="none"/>
                <w:lang w:val="en-US" w:eastAsia="zh-CN"/>
              </w:rPr>
              <w:t>。</w:t>
            </w:r>
            <w:r>
              <w:rPr>
                <w:rFonts w:hint="default" w:ascii="Times New Roman" w:hAnsi="Times New Roman" w:eastAsia="宋体" w:cs="Times New Roman"/>
                <w:bCs/>
                <w:color w:val="auto"/>
                <w:sz w:val="24"/>
                <w:highlight w:val="none"/>
                <w:lang w:val="en-US" w:eastAsia="zh-CN"/>
              </w:rPr>
              <w:t>在采取以上防噪措施后，可以有效的减少噪声对周围环境的影响。</w:t>
            </w:r>
          </w:p>
          <w:p w14:paraId="04E9384C">
            <w:pPr>
              <w:spacing w:line="460" w:lineRule="exact"/>
              <w:ind w:firstLine="480" w:firstLineChars="200"/>
              <w:rPr>
                <w:rFonts w:hint="default" w:ascii="Times New Roman" w:hAnsi="Times New Roman" w:eastAsia="宋体" w:cs="Times New Roman"/>
                <w:bCs/>
                <w:color w:val="auto"/>
                <w:sz w:val="24"/>
                <w:highlight w:val="none"/>
                <w:lang w:val="en-US" w:eastAsia="zh-CN"/>
              </w:rPr>
            </w:pPr>
            <w:r>
              <w:rPr>
                <w:rFonts w:hint="eastAsia" w:ascii="Times New Roman" w:hAnsi="Times New Roman" w:eastAsia="宋体" w:cs="Times New Roman"/>
                <w:bCs/>
                <w:color w:val="auto"/>
                <w:sz w:val="24"/>
                <w:highlight w:val="none"/>
                <w:lang w:val="en-US" w:eastAsia="zh-CN"/>
              </w:rPr>
              <w:t>4.噪声监测计划</w:t>
            </w:r>
          </w:p>
          <w:p w14:paraId="023DBEB9">
            <w:pPr>
              <w:jc w:val="center"/>
              <w:rPr>
                <w:rFonts w:hint="eastAsia" w:ascii="Times New Roman" w:hAnsi="Times New Roman" w:eastAsia="黑体" w:cs="Times New Roman"/>
                <w:b w:val="0"/>
                <w:bCs w:val="0"/>
                <w:color w:val="auto"/>
                <w:kern w:val="2"/>
                <w:sz w:val="21"/>
                <w:szCs w:val="21"/>
                <w:highlight w:val="none"/>
                <w:lang w:val="en-US" w:eastAsia="zh-CN" w:bidi="ar-SA"/>
              </w:rPr>
            </w:pPr>
          </w:p>
          <w:p w14:paraId="24712B30">
            <w:pPr>
              <w:jc w:val="center"/>
              <w:rPr>
                <w:rFonts w:hint="default" w:ascii="Times New Roman" w:hAnsi="Times New Roman" w:eastAsia="黑体" w:cs="Times New Roman"/>
                <w:b w:val="0"/>
                <w:bCs w:val="0"/>
                <w:color w:val="auto"/>
                <w:kern w:val="2"/>
                <w:sz w:val="21"/>
                <w:szCs w:val="21"/>
                <w:highlight w:val="none"/>
                <w:lang w:val="en-US" w:eastAsia="zh-CN" w:bidi="ar-SA"/>
              </w:rPr>
            </w:pPr>
            <w:r>
              <w:rPr>
                <w:rFonts w:hint="eastAsia" w:ascii="Times New Roman" w:hAnsi="Times New Roman" w:eastAsia="黑体" w:cs="Times New Roman"/>
                <w:b w:val="0"/>
                <w:bCs w:val="0"/>
                <w:color w:val="auto"/>
                <w:kern w:val="2"/>
                <w:sz w:val="21"/>
                <w:szCs w:val="21"/>
                <w:highlight w:val="none"/>
                <w:lang w:val="en-US" w:eastAsia="zh-CN" w:bidi="ar-SA"/>
              </w:rPr>
              <w:t>表4</w:t>
            </w:r>
            <w:r>
              <w:rPr>
                <w:rFonts w:hint="eastAsia" w:eastAsia="黑体" w:cs="Times New Roman"/>
                <w:b w:val="0"/>
                <w:bCs w:val="0"/>
                <w:color w:val="auto"/>
                <w:kern w:val="2"/>
                <w:sz w:val="21"/>
                <w:szCs w:val="21"/>
                <w:highlight w:val="none"/>
                <w:lang w:val="en-US" w:eastAsia="zh-CN" w:bidi="ar-SA"/>
              </w:rPr>
              <w:t>.7-3</w:t>
            </w:r>
            <w:r>
              <w:rPr>
                <w:rFonts w:hint="eastAsia" w:ascii="Times New Roman" w:hAnsi="Times New Roman" w:eastAsia="黑体" w:cs="Times New Roman"/>
                <w:b w:val="0"/>
                <w:bCs w:val="0"/>
                <w:color w:val="auto"/>
                <w:kern w:val="2"/>
                <w:sz w:val="21"/>
                <w:szCs w:val="21"/>
                <w:highlight w:val="none"/>
                <w:lang w:val="en-US" w:eastAsia="zh-CN" w:bidi="ar-SA"/>
              </w:rPr>
              <w:t xml:space="preserve">  </w:t>
            </w:r>
            <w:r>
              <w:rPr>
                <w:rFonts w:hint="eastAsia" w:eastAsia="黑体" w:cs="Times New Roman"/>
                <w:b w:val="0"/>
                <w:bCs w:val="0"/>
                <w:color w:val="auto"/>
                <w:kern w:val="2"/>
                <w:sz w:val="21"/>
                <w:szCs w:val="21"/>
                <w:highlight w:val="none"/>
                <w:lang w:val="en-US" w:eastAsia="zh-CN" w:bidi="ar-SA"/>
              </w:rPr>
              <w:t xml:space="preserve"> </w:t>
            </w:r>
            <w:r>
              <w:rPr>
                <w:rFonts w:hint="eastAsia" w:ascii="Times New Roman" w:hAnsi="Times New Roman" w:eastAsia="黑体" w:cs="Times New Roman"/>
                <w:b w:val="0"/>
                <w:bCs w:val="0"/>
                <w:color w:val="auto"/>
                <w:kern w:val="2"/>
                <w:sz w:val="21"/>
                <w:szCs w:val="21"/>
                <w:highlight w:val="none"/>
                <w:lang w:val="en-US" w:eastAsia="zh-CN" w:bidi="ar-SA"/>
              </w:rPr>
              <w:t>噪声监测计划一览表</w:t>
            </w:r>
          </w:p>
          <w:tbl>
            <w:tblPr>
              <w:tblStyle w:val="26"/>
              <w:tblW w:w="793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645"/>
              <w:gridCol w:w="2645"/>
              <w:gridCol w:w="2647"/>
            </w:tblGrid>
            <w:tr w14:paraId="32CD8F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45" w:type="dxa"/>
                  <w:tcBorders>
                    <w:tl2br w:val="nil"/>
                    <w:tr2bl w:val="nil"/>
                  </w:tcBorders>
                  <w:vAlign w:val="center"/>
                </w:tcPr>
                <w:p w14:paraId="0C0C17BB">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宋体" w:cs="Times New Roman"/>
                      <w:color w:val="auto"/>
                      <w:kern w:val="2"/>
                      <w:sz w:val="21"/>
                      <w:szCs w:val="21"/>
                      <w:highlight w:val="none"/>
                      <w:u w:val="none"/>
                    </w:rPr>
                  </w:pPr>
                  <w:r>
                    <w:rPr>
                      <w:rFonts w:hint="default" w:ascii="Times New Roman" w:hAnsi="Times New Roman" w:eastAsia="宋体" w:cs="Times New Roman"/>
                      <w:color w:val="auto"/>
                      <w:sz w:val="21"/>
                      <w:szCs w:val="21"/>
                      <w:highlight w:val="none"/>
                      <w:u w:val="none"/>
                    </w:rPr>
                    <w:t>监测点位</w:t>
                  </w:r>
                </w:p>
              </w:tc>
              <w:tc>
                <w:tcPr>
                  <w:tcW w:w="2645" w:type="dxa"/>
                  <w:tcBorders>
                    <w:tl2br w:val="nil"/>
                    <w:tr2bl w:val="nil"/>
                  </w:tcBorders>
                  <w:vAlign w:val="center"/>
                </w:tcPr>
                <w:p w14:paraId="24245F26">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eastAsia" w:ascii="Times New Roman" w:hAnsi="Times New Roman" w:eastAsia="宋体" w:cs="Times New Roman"/>
                      <w:color w:val="auto"/>
                      <w:kern w:val="2"/>
                      <w:sz w:val="21"/>
                      <w:szCs w:val="21"/>
                      <w:highlight w:val="none"/>
                      <w:u w:val="none"/>
                      <w:lang w:eastAsia="zh-CN"/>
                    </w:rPr>
                  </w:pPr>
                  <w:r>
                    <w:rPr>
                      <w:rFonts w:hint="default" w:ascii="Times New Roman" w:hAnsi="Times New Roman" w:eastAsia="宋体" w:cs="Times New Roman"/>
                      <w:color w:val="auto"/>
                      <w:sz w:val="21"/>
                      <w:szCs w:val="21"/>
                      <w:highlight w:val="none"/>
                      <w:u w:val="none"/>
                    </w:rPr>
                    <w:t>监测</w:t>
                  </w:r>
                  <w:r>
                    <w:rPr>
                      <w:rFonts w:hint="eastAsia" w:ascii="Times New Roman" w:hAnsi="Times New Roman" w:eastAsia="宋体" w:cs="Times New Roman"/>
                      <w:color w:val="auto"/>
                      <w:sz w:val="21"/>
                      <w:szCs w:val="21"/>
                      <w:highlight w:val="none"/>
                      <w:u w:val="none"/>
                      <w:lang w:val="en-US" w:eastAsia="zh-CN"/>
                    </w:rPr>
                    <w:t>项目</w:t>
                  </w:r>
                </w:p>
              </w:tc>
              <w:tc>
                <w:tcPr>
                  <w:tcW w:w="2647" w:type="dxa"/>
                  <w:tcBorders>
                    <w:tl2br w:val="nil"/>
                    <w:tr2bl w:val="nil"/>
                  </w:tcBorders>
                  <w:vAlign w:val="center"/>
                </w:tcPr>
                <w:p w14:paraId="370139B9">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宋体" w:cs="Times New Roman"/>
                      <w:color w:val="auto"/>
                      <w:kern w:val="2"/>
                      <w:sz w:val="21"/>
                      <w:szCs w:val="21"/>
                      <w:highlight w:val="none"/>
                      <w:u w:val="none"/>
                    </w:rPr>
                  </w:pPr>
                  <w:r>
                    <w:rPr>
                      <w:rFonts w:hint="default" w:ascii="Times New Roman" w:hAnsi="Times New Roman" w:eastAsia="宋体" w:cs="Times New Roman"/>
                      <w:color w:val="auto"/>
                      <w:sz w:val="21"/>
                      <w:szCs w:val="21"/>
                      <w:highlight w:val="none"/>
                      <w:u w:val="none"/>
                    </w:rPr>
                    <w:t>监测频次</w:t>
                  </w:r>
                </w:p>
              </w:tc>
            </w:tr>
            <w:tr w14:paraId="20753B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45" w:type="dxa"/>
                  <w:tcBorders>
                    <w:tl2br w:val="nil"/>
                    <w:tr2bl w:val="nil"/>
                  </w:tcBorders>
                  <w:vAlign w:val="center"/>
                </w:tcPr>
                <w:p w14:paraId="0BD50D0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厂界</w:t>
                  </w:r>
                  <w:r>
                    <w:rPr>
                      <w:rFonts w:hint="eastAsia" w:ascii="Times New Roman" w:hAnsi="Times New Roman" w:eastAsia="宋体" w:cs="Times New Roman"/>
                      <w:color w:val="auto"/>
                      <w:szCs w:val="21"/>
                      <w:highlight w:val="none"/>
                      <w:lang w:val="en-US" w:eastAsia="zh-CN"/>
                    </w:rPr>
                    <w:t>四周1#-</w:t>
                  </w:r>
                  <w:r>
                    <w:rPr>
                      <w:rFonts w:hint="eastAsia" w:cs="Times New Roman"/>
                      <w:color w:val="auto"/>
                      <w:szCs w:val="21"/>
                      <w:highlight w:val="none"/>
                      <w:lang w:val="en-US" w:eastAsia="zh-CN"/>
                    </w:rPr>
                    <w:t>8</w:t>
                  </w:r>
                  <w:r>
                    <w:rPr>
                      <w:rFonts w:hint="eastAsia" w:ascii="Times New Roman" w:hAnsi="Times New Roman" w:eastAsia="宋体" w:cs="Times New Roman"/>
                      <w:color w:val="auto"/>
                      <w:szCs w:val="21"/>
                      <w:highlight w:val="none"/>
                      <w:lang w:val="en-US" w:eastAsia="zh-CN"/>
                    </w:rPr>
                    <w:t>#</w:t>
                  </w:r>
                </w:p>
              </w:tc>
              <w:tc>
                <w:tcPr>
                  <w:tcW w:w="2645" w:type="dxa"/>
                  <w:tcBorders>
                    <w:tl2br w:val="nil"/>
                    <w:tr2bl w:val="nil"/>
                  </w:tcBorders>
                  <w:vAlign w:val="center"/>
                </w:tcPr>
                <w:p w14:paraId="24351D7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等效声级、最大声级</w:t>
                  </w:r>
                </w:p>
              </w:tc>
              <w:tc>
                <w:tcPr>
                  <w:tcW w:w="2647" w:type="dxa"/>
                  <w:tcBorders>
                    <w:tl2br w:val="nil"/>
                    <w:tr2bl w:val="nil"/>
                  </w:tcBorders>
                  <w:vAlign w:val="center"/>
                </w:tcPr>
                <w:p w14:paraId="3A569C0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1次/季度</w:t>
                  </w:r>
                </w:p>
              </w:tc>
            </w:tr>
          </w:tbl>
          <w:p w14:paraId="21D5E4F4">
            <w:pPr>
              <w:keepNext w:val="0"/>
              <w:keepLines w:val="0"/>
              <w:pageBreakBefore w:val="0"/>
              <w:widowControl w:val="0"/>
              <w:kinsoku/>
              <w:wordWrap/>
              <w:overflowPunct/>
              <w:topLinePunct w:val="0"/>
              <w:bidi w:val="0"/>
              <w:adjustRightInd w:val="0"/>
              <w:snapToGrid w:val="0"/>
              <w:spacing w:line="480" w:lineRule="exact"/>
              <w:ind w:firstLine="482" w:firstLineChars="200"/>
              <w:textAlignment w:val="auto"/>
              <w:rPr>
                <w:rFonts w:hint="default" w:ascii="Times New Roman" w:hAnsi="Times New Roman" w:eastAsia="宋体" w:cs="Times New Roman"/>
                <w:b/>
                <w:color w:val="auto"/>
                <w:sz w:val="24"/>
                <w:szCs w:val="24"/>
                <w:highlight w:val="none"/>
              </w:rPr>
            </w:pPr>
            <w:r>
              <w:rPr>
                <w:rFonts w:hint="eastAsia" w:ascii="Times New Roman" w:hAnsi="Times New Roman" w:eastAsia="宋体" w:cs="Times New Roman"/>
                <w:b/>
                <w:color w:val="auto"/>
                <w:sz w:val="24"/>
                <w:szCs w:val="24"/>
                <w:highlight w:val="none"/>
                <w:lang w:val="en-US" w:eastAsia="zh-CN"/>
              </w:rPr>
              <w:t xml:space="preserve">4.8 </w:t>
            </w:r>
            <w:r>
              <w:rPr>
                <w:rFonts w:hint="default" w:ascii="Times New Roman" w:hAnsi="Times New Roman" w:eastAsia="宋体" w:cs="Times New Roman"/>
                <w:b/>
                <w:color w:val="auto"/>
                <w:sz w:val="24"/>
                <w:szCs w:val="24"/>
                <w:highlight w:val="none"/>
              </w:rPr>
              <w:t>固体废物</w:t>
            </w:r>
          </w:p>
          <w:p w14:paraId="492CDA86">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1.固体废物产生及利用处置情况</w:t>
            </w:r>
          </w:p>
          <w:p w14:paraId="05416067">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本项目固体废物产生及利用处置情况见</w:t>
            </w:r>
            <w:r>
              <w:rPr>
                <w:rFonts w:hint="eastAsia" w:cs="Times New Roman"/>
                <w:bCs/>
                <w:color w:val="auto"/>
                <w:sz w:val="24"/>
                <w:highlight w:val="none"/>
                <w:lang w:val="en-US" w:eastAsia="zh-CN"/>
              </w:rPr>
              <w:t>下</w:t>
            </w:r>
            <w:r>
              <w:rPr>
                <w:rFonts w:hint="default" w:ascii="Times New Roman" w:hAnsi="Times New Roman" w:eastAsia="宋体" w:cs="Times New Roman"/>
                <w:bCs/>
                <w:color w:val="auto"/>
                <w:sz w:val="24"/>
                <w:highlight w:val="none"/>
                <w:lang w:val="en-US" w:eastAsia="zh-CN"/>
              </w:rPr>
              <w:t>表。</w:t>
            </w:r>
          </w:p>
          <w:p w14:paraId="0B557BA7">
            <w:pPr>
              <w:keepNext w:val="0"/>
              <w:keepLines w:val="0"/>
              <w:pageBreakBefore w:val="0"/>
              <w:widowControl w:val="0"/>
              <w:kinsoku/>
              <w:wordWrap/>
              <w:overflowPunct/>
              <w:topLinePunct w:val="0"/>
              <w:autoSpaceDE/>
              <w:autoSpaceDN/>
              <w:bidi w:val="0"/>
              <w:adjustRightInd w:val="0"/>
              <w:snapToGrid w:val="0"/>
              <w:spacing w:line="480" w:lineRule="exact"/>
              <w:ind w:firstLine="0" w:firstLineChars="0"/>
              <w:jc w:val="center"/>
              <w:textAlignment w:val="auto"/>
              <w:rPr>
                <w:rFonts w:hint="default" w:ascii="Times New Roman" w:hAnsi="Times New Roman" w:eastAsia="黑体" w:cs="Times New Roman"/>
                <w:b w:val="0"/>
                <w:bCs w:val="0"/>
                <w:color w:val="auto"/>
                <w:kern w:val="2"/>
                <w:sz w:val="21"/>
                <w:szCs w:val="21"/>
                <w:highlight w:val="none"/>
                <w:lang w:val="en-US" w:eastAsia="zh-CN" w:bidi="ar-SA"/>
              </w:rPr>
            </w:pPr>
            <w:r>
              <w:rPr>
                <w:rFonts w:hint="default" w:ascii="Times New Roman" w:hAnsi="Times New Roman" w:eastAsia="黑体" w:cs="Times New Roman"/>
                <w:b w:val="0"/>
                <w:bCs w:val="0"/>
                <w:color w:val="auto"/>
                <w:kern w:val="2"/>
                <w:sz w:val="21"/>
                <w:szCs w:val="21"/>
                <w:highlight w:val="none"/>
                <w:lang w:val="en-US" w:eastAsia="zh-CN" w:bidi="ar-SA"/>
              </w:rPr>
              <w:t>表4</w:t>
            </w:r>
            <w:r>
              <w:rPr>
                <w:rFonts w:hint="eastAsia" w:eastAsia="黑体" w:cs="Times New Roman"/>
                <w:b w:val="0"/>
                <w:bCs w:val="0"/>
                <w:color w:val="auto"/>
                <w:kern w:val="2"/>
                <w:sz w:val="21"/>
                <w:szCs w:val="21"/>
                <w:highlight w:val="none"/>
                <w:lang w:val="en-US" w:eastAsia="zh-CN" w:bidi="ar-SA"/>
              </w:rPr>
              <w:t>.8-1</w:t>
            </w:r>
            <w:r>
              <w:rPr>
                <w:rFonts w:hint="default" w:ascii="Times New Roman" w:hAnsi="Times New Roman" w:eastAsia="黑体" w:cs="Times New Roman"/>
                <w:b w:val="0"/>
                <w:bCs w:val="0"/>
                <w:color w:val="auto"/>
                <w:kern w:val="2"/>
                <w:sz w:val="21"/>
                <w:szCs w:val="21"/>
                <w:highlight w:val="none"/>
                <w:lang w:val="en-US" w:eastAsia="zh-CN" w:bidi="ar-SA"/>
              </w:rPr>
              <w:t xml:space="preserve">  固体废物产生情况及利用处置情况表</w:t>
            </w:r>
          </w:p>
          <w:tbl>
            <w:tblPr>
              <w:tblStyle w:val="26"/>
              <w:tblW w:w="811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639"/>
              <w:gridCol w:w="705"/>
              <w:gridCol w:w="570"/>
              <w:gridCol w:w="765"/>
              <w:gridCol w:w="825"/>
              <w:gridCol w:w="938"/>
              <w:gridCol w:w="840"/>
              <w:gridCol w:w="645"/>
              <w:gridCol w:w="598"/>
              <w:gridCol w:w="1590"/>
            </w:tblGrid>
            <w:tr w14:paraId="6ABA6A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600" w:hRule="atLeast"/>
                <w:jc w:val="center"/>
              </w:trPr>
              <w:tc>
                <w:tcPr>
                  <w:tcW w:w="639" w:type="dxa"/>
                  <w:vAlign w:val="center"/>
                </w:tcPr>
                <w:p w14:paraId="1F5E5D9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szCs w:val="21"/>
                      <w:highlight w:val="none"/>
                      <w:lang w:val="en-US" w:eastAsia="zh-CN"/>
                    </w:rPr>
                  </w:pPr>
                  <w:r>
                    <w:rPr>
                      <w:rFonts w:hint="default" w:ascii="Times New Roman" w:hAnsi="Times New Roman" w:eastAsia="宋体" w:cs="Times New Roman"/>
                      <w:color w:val="auto"/>
                      <w:spacing w:val="0"/>
                      <w:szCs w:val="21"/>
                      <w:highlight w:val="none"/>
                      <w:lang w:val="en-US" w:eastAsia="zh-CN"/>
                    </w:rPr>
                    <w:t>分类</w:t>
                  </w:r>
                </w:p>
              </w:tc>
              <w:tc>
                <w:tcPr>
                  <w:tcW w:w="705" w:type="dxa"/>
                  <w:vAlign w:val="center"/>
                </w:tcPr>
                <w:p w14:paraId="18DB5D9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szCs w:val="21"/>
                      <w:highlight w:val="none"/>
                    </w:rPr>
                  </w:pPr>
                  <w:r>
                    <w:rPr>
                      <w:rFonts w:hint="default" w:ascii="Times New Roman" w:hAnsi="Times New Roman" w:eastAsia="宋体" w:cs="Times New Roman"/>
                      <w:color w:val="auto"/>
                      <w:spacing w:val="0"/>
                      <w:szCs w:val="21"/>
                      <w:highlight w:val="none"/>
                    </w:rPr>
                    <w:t>名称</w:t>
                  </w:r>
                </w:p>
              </w:tc>
              <w:tc>
                <w:tcPr>
                  <w:tcW w:w="570" w:type="dxa"/>
                  <w:vAlign w:val="center"/>
                </w:tcPr>
                <w:p w14:paraId="6A9439D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szCs w:val="21"/>
                      <w:highlight w:val="none"/>
                      <w:lang w:eastAsia="zh-CN"/>
                    </w:rPr>
                  </w:pPr>
                  <w:r>
                    <w:rPr>
                      <w:rFonts w:hint="eastAsia" w:ascii="Times New Roman" w:hAnsi="Times New Roman" w:eastAsia="宋体" w:cs="Times New Roman"/>
                      <w:color w:val="auto"/>
                      <w:spacing w:val="0"/>
                      <w:szCs w:val="21"/>
                      <w:highlight w:val="none"/>
                      <w:lang w:val="en-US" w:eastAsia="zh-CN"/>
                    </w:rPr>
                    <w:t>主要成分</w:t>
                  </w:r>
                </w:p>
              </w:tc>
              <w:tc>
                <w:tcPr>
                  <w:tcW w:w="765" w:type="dxa"/>
                  <w:vAlign w:val="center"/>
                </w:tcPr>
                <w:p w14:paraId="25E4FD2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szCs w:val="21"/>
                      <w:highlight w:val="none"/>
                      <w:lang w:val="en-US" w:eastAsia="zh-CN"/>
                    </w:rPr>
                  </w:pPr>
                  <w:r>
                    <w:rPr>
                      <w:rFonts w:hint="eastAsia" w:cs="Times New Roman"/>
                      <w:color w:val="auto"/>
                      <w:spacing w:val="0"/>
                      <w:szCs w:val="21"/>
                      <w:highlight w:val="none"/>
                      <w:lang w:val="en-US" w:eastAsia="zh-CN"/>
                    </w:rPr>
                    <w:t>类别</w:t>
                  </w:r>
                </w:p>
              </w:tc>
              <w:tc>
                <w:tcPr>
                  <w:tcW w:w="825" w:type="dxa"/>
                  <w:vAlign w:val="center"/>
                </w:tcPr>
                <w:p w14:paraId="7AF6A45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pacing w:val="0"/>
                      <w:szCs w:val="21"/>
                      <w:highlight w:val="none"/>
                      <w:lang w:val="en-US" w:eastAsia="zh-CN"/>
                    </w:rPr>
                  </w:pPr>
                  <w:r>
                    <w:rPr>
                      <w:rFonts w:hint="eastAsia" w:cs="Times New Roman"/>
                      <w:color w:val="auto"/>
                      <w:spacing w:val="0"/>
                      <w:szCs w:val="21"/>
                      <w:highlight w:val="none"/>
                      <w:lang w:val="en-US" w:eastAsia="zh-CN"/>
                    </w:rPr>
                    <w:t>代码</w:t>
                  </w:r>
                </w:p>
              </w:tc>
              <w:tc>
                <w:tcPr>
                  <w:tcW w:w="938" w:type="dxa"/>
                  <w:vAlign w:val="center"/>
                </w:tcPr>
                <w:p w14:paraId="786249D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szCs w:val="21"/>
                      <w:highlight w:val="none"/>
                      <w:lang w:eastAsia="zh-CN"/>
                    </w:rPr>
                  </w:pPr>
                  <w:r>
                    <w:rPr>
                      <w:rFonts w:hint="default" w:ascii="Times New Roman" w:hAnsi="Times New Roman" w:eastAsia="宋体" w:cs="Times New Roman"/>
                      <w:color w:val="auto"/>
                      <w:spacing w:val="0"/>
                      <w:szCs w:val="21"/>
                      <w:highlight w:val="none"/>
                    </w:rPr>
                    <w:t>产生量</w:t>
                  </w:r>
                  <w:r>
                    <w:rPr>
                      <w:rFonts w:hint="default" w:ascii="Times New Roman" w:hAnsi="Times New Roman" w:eastAsia="宋体" w:cs="Times New Roman"/>
                      <w:color w:val="auto"/>
                      <w:spacing w:val="0"/>
                      <w:szCs w:val="21"/>
                      <w:highlight w:val="none"/>
                      <w:lang w:eastAsia="zh-CN"/>
                    </w:rPr>
                    <w:t>（</w:t>
                  </w:r>
                  <w:r>
                    <w:rPr>
                      <w:rFonts w:hint="default" w:ascii="Times New Roman" w:hAnsi="Times New Roman" w:eastAsia="宋体" w:cs="Times New Roman"/>
                      <w:color w:val="auto"/>
                      <w:spacing w:val="0"/>
                      <w:szCs w:val="21"/>
                      <w:highlight w:val="none"/>
                    </w:rPr>
                    <w:t>t/a</w:t>
                  </w:r>
                  <w:r>
                    <w:rPr>
                      <w:rFonts w:hint="default" w:ascii="Times New Roman" w:hAnsi="Times New Roman" w:eastAsia="宋体" w:cs="Times New Roman"/>
                      <w:color w:val="auto"/>
                      <w:spacing w:val="0"/>
                      <w:szCs w:val="21"/>
                      <w:highlight w:val="none"/>
                      <w:lang w:eastAsia="zh-CN"/>
                    </w:rPr>
                    <w:t>）</w:t>
                  </w:r>
                </w:p>
              </w:tc>
              <w:tc>
                <w:tcPr>
                  <w:tcW w:w="840" w:type="dxa"/>
                  <w:vAlign w:val="center"/>
                </w:tcPr>
                <w:p w14:paraId="666480C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szCs w:val="21"/>
                      <w:highlight w:val="none"/>
                      <w:lang w:val="en-US" w:eastAsia="zh-CN"/>
                    </w:rPr>
                  </w:pPr>
                  <w:r>
                    <w:rPr>
                      <w:rFonts w:hint="default" w:ascii="Times New Roman" w:hAnsi="Times New Roman" w:eastAsia="宋体" w:cs="Times New Roman"/>
                      <w:color w:val="auto"/>
                      <w:spacing w:val="0"/>
                      <w:szCs w:val="21"/>
                      <w:highlight w:val="none"/>
                      <w:lang w:val="en-US" w:eastAsia="zh-CN"/>
                    </w:rPr>
                    <w:t>综合利用量（</w:t>
                  </w:r>
                  <w:r>
                    <w:rPr>
                      <w:rFonts w:hint="default" w:ascii="Times New Roman" w:hAnsi="Times New Roman" w:eastAsia="宋体" w:cs="Times New Roman"/>
                      <w:color w:val="auto"/>
                      <w:spacing w:val="0"/>
                      <w:szCs w:val="21"/>
                      <w:highlight w:val="none"/>
                    </w:rPr>
                    <w:t>t/a</w:t>
                  </w:r>
                  <w:r>
                    <w:rPr>
                      <w:rFonts w:hint="default" w:ascii="Times New Roman" w:hAnsi="Times New Roman" w:eastAsia="宋体" w:cs="Times New Roman"/>
                      <w:color w:val="auto"/>
                      <w:spacing w:val="0"/>
                      <w:szCs w:val="21"/>
                      <w:highlight w:val="none"/>
                      <w:lang w:val="en-US" w:eastAsia="zh-CN"/>
                    </w:rPr>
                    <w:t>）</w:t>
                  </w:r>
                </w:p>
              </w:tc>
              <w:tc>
                <w:tcPr>
                  <w:tcW w:w="645" w:type="dxa"/>
                  <w:vAlign w:val="center"/>
                </w:tcPr>
                <w:p w14:paraId="3903DA8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szCs w:val="21"/>
                      <w:highlight w:val="none"/>
                      <w:lang w:val="en-US" w:eastAsia="zh-CN"/>
                    </w:rPr>
                  </w:pPr>
                  <w:r>
                    <w:rPr>
                      <w:rFonts w:hint="default" w:ascii="Times New Roman" w:hAnsi="Times New Roman" w:eastAsia="宋体" w:cs="Times New Roman"/>
                      <w:color w:val="auto"/>
                      <w:spacing w:val="0"/>
                      <w:szCs w:val="21"/>
                      <w:highlight w:val="none"/>
                      <w:lang w:val="en-US" w:eastAsia="zh-CN"/>
                    </w:rPr>
                    <w:t>处置量（</w:t>
                  </w:r>
                  <w:r>
                    <w:rPr>
                      <w:rFonts w:hint="default" w:ascii="Times New Roman" w:hAnsi="Times New Roman" w:eastAsia="宋体" w:cs="Times New Roman"/>
                      <w:color w:val="auto"/>
                      <w:spacing w:val="0"/>
                      <w:szCs w:val="21"/>
                      <w:highlight w:val="none"/>
                    </w:rPr>
                    <w:t>t/a</w:t>
                  </w:r>
                  <w:r>
                    <w:rPr>
                      <w:rFonts w:hint="default" w:ascii="Times New Roman" w:hAnsi="Times New Roman" w:eastAsia="宋体" w:cs="Times New Roman"/>
                      <w:color w:val="auto"/>
                      <w:spacing w:val="0"/>
                      <w:szCs w:val="21"/>
                      <w:highlight w:val="none"/>
                      <w:lang w:val="en-US" w:eastAsia="zh-CN"/>
                    </w:rPr>
                    <w:t>）</w:t>
                  </w:r>
                </w:p>
              </w:tc>
              <w:tc>
                <w:tcPr>
                  <w:tcW w:w="598" w:type="dxa"/>
                  <w:vAlign w:val="center"/>
                </w:tcPr>
                <w:p w14:paraId="1336DD6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szCs w:val="21"/>
                      <w:highlight w:val="none"/>
                      <w:lang w:val="en-US" w:eastAsia="zh-CN"/>
                    </w:rPr>
                  </w:pPr>
                  <w:r>
                    <w:rPr>
                      <w:rFonts w:hint="default" w:ascii="Times New Roman" w:hAnsi="Times New Roman" w:eastAsia="宋体" w:cs="Times New Roman"/>
                      <w:color w:val="auto"/>
                      <w:spacing w:val="0"/>
                      <w:szCs w:val="21"/>
                      <w:highlight w:val="none"/>
                      <w:lang w:val="en-US" w:eastAsia="zh-CN"/>
                    </w:rPr>
                    <w:t>产废</w:t>
                  </w:r>
                </w:p>
                <w:p w14:paraId="2FF9FA6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szCs w:val="21"/>
                      <w:highlight w:val="none"/>
                      <w:lang w:val="en-US" w:eastAsia="zh-CN"/>
                    </w:rPr>
                  </w:pPr>
                  <w:r>
                    <w:rPr>
                      <w:rFonts w:hint="default" w:ascii="Times New Roman" w:hAnsi="Times New Roman" w:eastAsia="宋体" w:cs="Times New Roman"/>
                      <w:color w:val="auto"/>
                      <w:spacing w:val="0"/>
                      <w:szCs w:val="21"/>
                      <w:highlight w:val="none"/>
                      <w:lang w:val="en-US" w:eastAsia="zh-CN"/>
                    </w:rPr>
                    <w:t>周期</w:t>
                  </w:r>
                </w:p>
              </w:tc>
              <w:tc>
                <w:tcPr>
                  <w:tcW w:w="1590" w:type="dxa"/>
                  <w:vAlign w:val="center"/>
                </w:tcPr>
                <w:p w14:paraId="775856D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szCs w:val="21"/>
                      <w:highlight w:val="none"/>
                      <w:lang w:val="en-US" w:eastAsia="zh-CN"/>
                    </w:rPr>
                  </w:pPr>
                  <w:r>
                    <w:rPr>
                      <w:rFonts w:hint="default" w:ascii="Times New Roman" w:hAnsi="Times New Roman" w:eastAsia="宋体" w:cs="Times New Roman"/>
                      <w:color w:val="auto"/>
                      <w:spacing w:val="0"/>
                      <w:szCs w:val="21"/>
                      <w:highlight w:val="none"/>
                      <w:lang w:val="en-US" w:eastAsia="zh-CN"/>
                    </w:rPr>
                    <w:t>综合利用或</w:t>
                  </w:r>
                </w:p>
                <w:p w14:paraId="3443ADA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szCs w:val="21"/>
                      <w:highlight w:val="none"/>
                      <w:lang w:val="en-US" w:eastAsia="zh-CN"/>
                    </w:rPr>
                  </w:pPr>
                  <w:r>
                    <w:rPr>
                      <w:rFonts w:hint="default" w:ascii="Times New Roman" w:hAnsi="Times New Roman" w:eastAsia="宋体" w:cs="Times New Roman"/>
                      <w:color w:val="auto"/>
                      <w:spacing w:val="0"/>
                      <w:szCs w:val="21"/>
                      <w:highlight w:val="none"/>
                      <w:lang w:val="en-US" w:eastAsia="zh-CN"/>
                    </w:rPr>
                    <w:t>处置方式</w:t>
                  </w:r>
                </w:p>
              </w:tc>
            </w:tr>
            <w:tr w14:paraId="2B94E3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729" w:hRule="atLeast"/>
                <w:jc w:val="center"/>
              </w:trPr>
              <w:tc>
                <w:tcPr>
                  <w:tcW w:w="639" w:type="dxa"/>
                  <w:vAlign w:val="center"/>
                </w:tcPr>
                <w:p w14:paraId="1AFE0EC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szCs w:val="21"/>
                      <w:highlight w:val="none"/>
                      <w:lang w:val="en-US" w:eastAsia="zh-CN"/>
                    </w:rPr>
                  </w:pPr>
                  <w:r>
                    <w:rPr>
                      <w:rFonts w:hint="default" w:ascii="Times New Roman" w:hAnsi="Times New Roman" w:eastAsia="宋体" w:cs="Times New Roman"/>
                      <w:color w:val="auto"/>
                      <w:spacing w:val="0"/>
                      <w:szCs w:val="21"/>
                      <w:highlight w:val="none"/>
                      <w:lang w:val="en-US" w:eastAsia="zh-CN"/>
                    </w:rPr>
                    <w:t>一般工业固体废物</w:t>
                  </w:r>
                </w:p>
              </w:tc>
              <w:tc>
                <w:tcPr>
                  <w:tcW w:w="705" w:type="dxa"/>
                  <w:vAlign w:val="center"/>
                </w:tcPr>
                <w:p w14:paraId="357C96D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spacing w:val="0"/>
                      <w:szCs w:val="21"/>
                      <w:highlight w:val="none"/>
                      <w:lang w:val="en-US" w:eastAsia="zh-CN"/>
                    </w:rPr>
                  </w:pPr>
                  <w:r>
                    <w:rPr>
                      <w:rFonts w:hint="eastAsia" w:cs="Times New Roman"/>
                      <w:color w:val="auto"/>
                      <w:spacing w:val="0"/>
                      <w:szCs w:val="21"/>
                      <w:highlight w:val="none"/>
                      <w:lang w:val="en-US" w:eastAsia="zh-CN"/>
                    </w:rPr>
                    <w:t>沉淀</w:t>
                  </w:r>
                </w:p>
                <w:p w14:paraId="187791C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szCs w:val="21"/>
                      <w:highlight w:val="none"/>
                      <w:lang w:val="en-US" w:eastAsia="zh-CN"/>
                    </w:rPr>
                  </w:pPr>
                  <w:r>
                    <w:rPr>
                      <w:rFonts w:hint="eastAsia" w:cs="Times New Roman"/>
                      <w:color w:val="auto"/>
                      <w:spacing w:val="0"/>
                      <w:szCs w:val="21"/>
                      <w:highlight w:val="none"/>
                      <w:lang w:val="en-US" w:eastAsia="zh-CN"/>
                    </w:rPr>
                    <w:t>煤泥</w:t>
                  </w:r>
                </w:p>
              </w:tc>
              <w:tc>
                <w:tcPr>
                  <w:tcW w:w="570" w:type="dxa"/>
                  <w:vAlign w:val="center"/>
                </w:tcPr>
                <w:p w14:paraId="2B7F1D3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szCs w:val="21"/>
                      <w:highlight w:val="none"/>
                      <w:lang w:val="en-US" w:eastAsia="zh-CN"/>
                    </w:rPr>
                  </w:pPr>
                  <w:r>
                    <w:rPr>
                      <w:rFonts w:hint="eastAsia" w:cs="Times New Roman"/>
                      <w:color w:val="auto"/>
                      <w:spacing w:val="0"/>
                      <w:szCs w:val="21"/>
                      <w:highlight w:val="none"/>
                      <w:lang w:val="en-US" w:eastAsia="zh-CN"/>
                    </w:rPr>
                    <w:t>煤泥</w:t>
                  </w:r>
                </w:p>
              </w:tc>
              <w:tc>
                <w:tcPr>
                  <w:tcW w:w="765" w:type="dxa"/>
                  <w:vAlign w:val="center"/>
                </w:tcPr>
                <w:p w14:paraId="72500AF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szCs w:val="21"/>
                      <w:highlight w:val="none"/>
                      <w:lang w:val="en-US" w:eastAsia="zh-CN"/>
                    </w:rPr>
                  </w:pPr>
                  <w:r>
                    <w:rPr>
                      <w:rFonts w:hint="eastAsia" w:ascii="Times New Roman" w:hAnsi="Times New Roman" w:eastAsia="宋体" w:cs="Times New Roman"/>
                      <w:color w:val="auto"/>
                      <w:spacing w:val="0"/>
                      <w:szCs w:val="21"/>
                      <w:highlight w:val="none"/>
                      <w:lang w:val="en-US" w:eastAsia="zh-CN"/>
                    </w:rPr>
                    <w:t>SW</w:t>
                  </w:r>
                  <w:r>
                    <w:rPr>
                      <w:rFonts w:hint="eastAsia" w:cs="Times New Roman"/>
                      <w:color w:val="auto"/>
                      <w:spacing w:val="0"/>
                      <w:szCs w:val="21"/>
                      <w:highlight w:val="none"/>
                      <w:lang w:val="en-US" w:eastAsia="zh-CN"/>
                    </w:rPr>
                    <w:t>07</w:t>
                  </w:r>
                </w:p>
              </w:tc>
              <w:tc>
                <w:tcPr>
                  <w:tcW w:w="825" w:type="dxa"/>
                  <w:vAlign w:val="center"/>
                </w:tcPr>
                <w:p w14:paraId="0AF18E2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spacing w:val="0"/>
                      <w:szCs w:val="21"/>
                      <w:highlight w:val="none"/>
                      <w:lang w:val="en-US" w:eastAsia="zh-CN"/>
                    </w:rPr>
                  </w:pPr>
                  <w:r>
                    <w:rPr>
                      <w:rFonts w:hint="eastAsia" w:cs="Times New Roman"/>
                      <w:color w:val="auto"/>
                      <w:spacing w:val="0"/>
                      <w:szCs w:val="21"/>
                      <w:highlight w:val="none"/>
                      <w:lang w:val="en-US" w:eastAsia="zh-CN"/>
                    </w:rPr>
                    <w:t>900-099-S07</w:t>
                  </w:r>
                </w:p>
              </w:tc>
              <w:tc>
                <w:tcPr>
                  <w:tcW w:w="938" w:type="dxa"/>
                  <w:vAlign w:val="center"/>
                </w:tcPr>
                <w:p w14:paraId="3FD2790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szCs w:val="21"/>
                      <w:highlight w:val="none"/>
                      <w:lang w:val="en-US" w:eastAsia="zh-CN"/>
                    </w:rPr>
                  </w:pPr>
                  <w:r>
                    <w:rPr>
                      <w:rFonts w:hint="eastAsia" w:cs="Times New Roman"/>
                      <w:color w:val="auto"/>
                      <w:spacing w:val="0"/>
                      <w:szCs w:val="21"/>
                      <w:highlight w:val="none"/>
                      <w:lang w:val="en-US" w:eastAsia="zh-CN"/>
                    </w:rPr>
                    <w:t>2</w:t>
                  </w:r>
                </w:p>
              </w:tc>
              <w:tc>
                <w:tcPr>
                  <w:tcW w:w="840" w:type="dxa"/>
                  <w:vAlign w:val="center"/>
                </w:tcPr>
                <w:p w14:paraId="421AC8B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0</w:t>
                  </w:r>
                </w:p>
              </w:tc>
              <w:tc>
                <w:tcPr>
                  <w:tcW w:w="645" w:type="dxa"/>
                  <w:vAlign w:val="center"/>
                </w:tcPr>
                <w:p w14:paraId="37E3C7C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szCs w:val="21"/>
                      <w:highlight w:val="none"/>
                      <w:lang w:val="en-US" w:eastAsia="zh-CN"/>
                    </w:rPr>
                  </w:pPr>
                  <w:r>
                    <w:rPr>
                      <w:rFonts w:hint="eastAsia" w:cs="Times New Roman"/>
                      <w:color w:val="auto"/>
                      <w:spacing w:val="0"/>
                      <w:szCs w:val="21"/>
                      <w:highlight w:val="none"/>
                      <w:lang w:val="en-US" w:eastAsia="zh-CN"/>
                    </w:rPr>
                    <w:t>2</w:t>
                  </w:r>
                </w:p>
              </w:tc>
              <w:tc>
                <w:tcPr>
                  <w:tcW w:w="598" w:type="dxa"/>
                  <w:vAlign w:val="center"/>
                </w:tcPr>
                <w:p w14:paraId="2FD1AF8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szCs w:val="21"/>
                      <w:highlight w:val="none"/>
                      <w:lang w:val="en-US" w:eastAsia="zh-CN"/>
                    </w:rPr>
                  </w:pPr>
                  <w:r>
                    <w:rPr>
                      <w:rFonts w:hint="eastAsia" w:cs="Times New Roman"/>
                      <w:color w:val="auto"/>
                      <w:spacing w:val="0"/>
                      <w:kern w:val="2"/>
                      <w:sz w:val="21"/>
                      <w:szCs w:val="21"/>
                      <w:highlight w:val="none"/>
                      <w:lang w:val="en-US" w:eastAsia="zh-CN" w:bidi="ar-SA"/>
                    </w:rPr>
                    <w:t>定期</w:t>
                  </w:r>
                </w:p>
              </w:tc>
              <w:tc>
                <w:tcPr>
                  <w:tcW w:w="1590" w:type="dxa"/>
                  <w:vAlign w:val="center"/>
                </w:tcPr>
                <w:p w14:paraId="2BB02FE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szCs w:val="21"/>
                      <w:highlight w:val="none"/>
                      <w:lang w:val="en-US" w:eastAsia="zh-CN"/>
                    </w:rPr>
                  </w:pPr>
                  <w:r>
                    <w:rPr>
                      <w:rFonts w:hint="eastAsia" w:cs="Times New Roman"/>
                      <w:color w:val="auto"/>
                      <w:spacing w:val="0"/>
                      <w:szCs w:val="21"/>
                      <w:highlight w:val="none"/>
                      <w:lang w:val="en-US" w:eastAsia="zh-CN"/>
                    </w:rPr>
                    <w:t>掺入煤泥外售</w:t>
                  </w:r>
                </w:p>
              </w:tc>
            </w:tr>
            <w:tr w14:paraId="262F65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86" w:hRule="atLeast"/>
                <w:jc w:val="center"/>
              </w:trPr>
              <w:tc>
                <w:tcPr>
                  <w:tcW w:w="639" w:type="dxa"/>
                  <w:vMerge w:val="restart"/>
                  <w:vAlign w:val="center"/>
                </w:tcPr>
                <w:p w14:paraId="2C3AEF3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kern w:val="0"/>
                      <w:szCs w:val="21"/>
                      <w:highlight w:val="none"/>
                      <w:lang w:val="en-US" w:eastAsia="zh-CN"/>
                    </w:rPr>
                  </w:pPr>
                  <w:r>
                    <w:rPr>
                      <w:rFonts w:hint="eastAsia" w:ascii="Times New Roman" w:hAnsi="Times New Roman" w:eastAsia="宋体" w:cs="Times New Roman"/>
                      <w:color w:val="auto"/>
                      <w:spacing w:val="0"/>
                      <w:kern w:val="0"/>
                      <w:szCs w:val="21"/>
                      <w:highlight w:val="none"/>
                      <w:lang w:val="en-US" w:eastAsia="zh-CN"/>
                    </w:rPr>
                    <w:t>危险废物</w:t>
                  </w:r>
                </w:p>
              </w:tc>
              <w:tc>
                <w:tcPr>
                  <w:tcW w:w="705" w:type="dxa"/>
                  <w:vAlign w:val="center"/>
                </w:tcPr>
                <w:p w14:paraId="14BA8AA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szCs w:val="21"/>
                      <w:highlight w:val="none"/>
                      <w:lang w:val="en-US" w:eastAsia="zh-CN"/>
                    </w:rPr>
                  </w:pPr>
                  <w:r>
                    <w:rPr>
                      <w:rFonts w:hint="default" w:ascii="Times New Roman" w:hAnsi="Times New Roman" w:eastAsia="宋体" w:cs="Times New Roman"/>
                      <w:color w:val="auto"/>
                      <w:spacing w:val="0"/>
                      <w:szCs w:val="21"/>
                      <w:highlight w:val="none"/>
                      <w:lang w:val="en-US" w:eastAsia="zh-CN"/>
                    </w:rPr>
                    <w:t>废矿</w:t>
                  </w:r>
                </w:p>
                <w:p w14:paraId="7E3A802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szCs w:val="21"/>
                      <w:highlight w:val="none"/>
                      <w:lang w:val="en-US" w:eastAsia="zh-CN"/>
                    </w:rPr>
                    <w:t>物油</w:t>
                  </w:r>
                </w:p>
              </w:tc>
              <w:tc>
                <w:tcPr>
                  <w:tcW w:w="570" w:type="dxa"/>
                  <w:vAlign w:val="center"/>
                </w:tcPr>
                <w:p w14:paraId="25E6588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szCs w:val="21"/>
                      <w:highlight w:val="none"/>
                      <w:lang w:val="en-US" w:eastAsia="zh-CN"/>
                    </w:rPr>
                    <w:t>危险废物</w:t>
                  </w:r>
                </w:p>
              </w:tc>
              <w:tc>
                <w:tcPr>
                  <w:tcW w:w="765" w:type="dxa"/>
                  <w:shd w:val="clear" w:color="auto" w:fill="auto"/>
                  <w:vAlign w:val="center"/>
                </w:tcPr>
                <w:p w14:paraId="3A7E66D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szCs w:val="21"/>
                      <w:highlight w:val="none"/>
                      <w:lang w:val="en-US" w:eastAsia="zh-CN"/>
                    </w:rPr>
                    <w:t>HW08</w:t>
                  </w:r>
                </w:p>
              </w:tc>
              <w:tc>
                <w:tcPr>
                  <w:tcW w:w="825" w:type="dxa"/>
                  <w:shd w:val="clear" w:color="auto" w:fill="auto"/>
                  <w:vAlign w:val="center"/>
                </w:tcPr>
                <w:p w14:paraId="2CE3D54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900-214-08</w:t>
                  </w:r>
                </w:p>
              </w:tc>
              <w:tc>
                <w:tcPr>
                  <w:tcW w:w="938" w:type="dxa"/>
                  <w:vAlign w:val="center"/>
                </w:tcPr>
                <w:p w14:paraId="54DEBC4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0.2</w:t>
                  </w:r>
                </w:p>
              </w:tc>
              <w:tc>
                <w:tcPr>
                  <w:tcW w:w="840" w:type="dxa"/>
                  <w:vAlign w:val="center"/>
                </w:tcPr>
                <w:p w14:paraId="4B2ABF9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kern w:val="2"/>
                      <w:sz w:val="21"/>
                      <w:szCs w:val="21"/>
                      <w:highlight w:val="none"/>
                      <w:lang w:val="en-US" w:eastAsia="zh-CN" w:bidi="ar-SA"/>
                    </w:rPr>
                    <w:t>0</w:t>
                  </w:r>
                </w:p>
              </w:tc>
              <w:tc>
                <w:tcPr>
                  <w:tcW w:w="645" w:type="dxa"/>
                  <w:vAlign w:val="center"/>
                </w:tcPr>
                <w:p w14:paraId="5993DB2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0.2</w:t>
                  </w:r>
                </w:p>
              </w:tc>
              <w:tc>
                <w:tcPr>
                  <w:tcW w:w="598" w:type="dxa"/>
                  <w:vMerge w:val="restart"/>
                  <w:vAlign w:val="center"/>
                </w:tcPr>
                <w:p w14:paraId="38582EA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kern w:val="2"/>
                      <w:sz w:val="21"/>
                      <w:szCs w:val="21"/>
                      <w:highlight w:val="none"/>
                      <w:lang w:val="en-US" w:eastAsia="zh-CN" w:bidi="ar-SA"/>
                    </w:rPr>
                    <w:t>每</w:t>
                  </w:r>
                  <w:r>
                    <w:rPr>
                      <w:rFonts w:hint="eastAsia" w:ascii="Times New Roman" w:hAnsi="Times New Roman" w:eastAsia="宋体" w:cs="Times New Roman"/>
                      <w:color w:val="auto"/>
                      <w:spacing w:val="0"/>
                      <w:kern w:val="2"/>
                      <w:sz w:val="21"/>
                      <w:szCs w:val="21"/>
                      <w:highlight w:val="none"/>
                      <w:lang w:val="en-US" w:eastAsia="zh-CN" w:bidi="ar-SA"/>
                    </w:rPr>
                    <w:t>月</w:t>
                  </w:r>
                </w:p>
              </w:tc>
              <w:tc>
                <w:tcPr>
                  <w:tcW w:w="1590" w:type="dxa"/>
                  <w:vMerge w:val="restart"/>
                  <w:vAlign w:val="center"/>
                </w:tcPr>
                <w:p w14:paraId="54796F9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kern w:val="2"/>
                      <w:sz w:val="21"/>
                      <w:szCs w:val="21"/>
                      <w:highlight w:val="none"/>
                      <w:lang w:val="en-US" w:eastAsia="zh-CN" w:bidi="ar-SA"/>
                    </w:rPr>
                    <w:t>暂存于危险废物贮存库，定期</w:t>
                  </w:r>
                  <w:r>
                    <w:rPr>
                      <w:rFonts w:hint="eastAsia" w:ascii="Times New Roman" w:hAnsi="Times New Roman" w:eastAsia="宋体" w:cs="Times New Roman"/>
                      <w:color w:val="auto"/>
                      <w:spacing w:val="0"/>
                      <w:kern w:val="2"/>
                      <w:sz w:val="21"/>
                      <w:szCs w:val="21"/>
                      <w:highlight w:val="none"/>
                      <w:lang w:val="en-US" w:eastAsia="zh-CN" w:bidi="ar-SA"/>
                    </w:rPr>
                    <w:t>交</w:t>
                  </w:r>
                  <w:r>
                    <w:rPr>
                      <w:rFonts w:hint="default" w:ascii="Times New Roman" w:hAnsi="Times New Roman" w:eastAsia="宋体" w:cs="Times New Roman"/>
                      <w:color w:val="auto"/>
                      <w:spacing w:val="0"/>
                      <w:kern w:val="2"/>
                      <w:sz w:val="21"/>
                      <w:szCs w:val="21"/>
                      <w:highlight w:val="none"/>
                      <w:lang w:val="en-US" w:eastAsia="zh-CN" w:bidi="ar-SA"/>
                    </w:rPr>
                    <w:t>由有资质单位处置</w:t>
                  </w:r>
                </w:p>
              </w:tc>
            </w:tr>
            <w:tr w14:paraId="0A6C03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98" w:hRule="atLeast"/>
                <w:jc w:val="center"/>
              </w:trPr>
              <w:tc>
                <w:tcPr>
                  <w:tcW w:w="639" w:type="dxa"/>
                  <w:vMerge w:val="continue"/>
                  <w:vAlign w:val="center"/>
                </w:tcPr>
                <w:p w14:paraId="473ABAA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kern w:val="0"/>
                      <w:szCs w:val="21"/>
                      <w:highlight w:val="none"/>
                      <w:lang w:val="en-US" w:eastAsia="zh-CN"/>
                    </w:rPr>
                  </w:pPr>
                </w:p>
              </w:tc>
              <w:tc>
                <w:tcPr>
                  <w:tcW w:w="705" w:type="dxa"/>
                  <w:vAlign w:val="center"/>
                </w:tcPr>
                <w:p w14:paraId="0B341D1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szCs w:val="21"/>
                      <w:highlight w:val="none"/>
                      <w:lang w:val="en-US" w:eastAsia="zh-CN"/>
                    </w:rPr>
                    <w:t>废油桶</w:t>
                  </w:r>
                </w:p>
              </w:tc>
              <w:tc>
                <w:tcPr>
                  <w:tcW w:w="570" w:type="dxa"/>
                  <w:vAlign w:val="center"/>
                </w:tcPr>
                <w:p w14:paraId="25A8DFA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szCs w:val="21"/>
                      <w:highlight w:val="none"/>
                      <w:lang w:val="en-US" w:eastAsia="zh-CN"/>
                    </w:rPr>
                    <w:t>危险废物</w:t>
                  </w:r>
                </w:p>
              </w:tc>
              <w:tc>
                <w:tcPr>
                  <w:tcW w:w="765" w:type="dxa"/>
                  <w:shd w:val="clear" w:color="auto" w:fill="auto"/>
                  <w:vAlign w:val="center"/>
                </w:tcPr>
                <w:p w14:paraId="57176ED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szCs w:val="21"/>
                      <w:highlight w:val="none"/>
                      <w:lang w:val="en-US" w:eastAsia="zh-CN"/>
                    </w:rPr>
                    <w:t>HW49</w:t>
                  </w:r>
                </w:p>
              </w:tc>
              <w:tc>
                <w:tcPr>
                  <w:tcW w:w="825" w:type="dxa"/>
                  <w:shd w:val="clear" w:color="auto" w:fill="auto"/>
                  <w:vAlign w:val="center"/>
                </w:tcPr>
                <w:p w14:paraId="4A0F25B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900-041-49</w:t>
                  </w:r>
                </w:p>
              </w:tc>
              <w:tc>
                <w:tcPr>
                  <w:tcW w:w="938" w:type="dxa"/>
                  <w:vAlign w:val="center"/>
                </w:tcPr>
                <w:p w14:paraId="029C57C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0.01</w:t>
                  </w:r>
                </w:p>
              </w:tc>
              <w:tc>
                <w:tcPr>
                  <w:tcW w:w="840" w:type="dxa"/>
                  <w:vAlign w:val="center"/>
                </w:tcPr>
                <w:p w14:paraId="1395988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kern w:val="2"/>
                      <w:sz w:val="21"/>
                      <w:szCs w:val="21"/>
                      <w:highlight w:val="none"/>
                      <w:lang w:val="en-US" w:eastAsia="zh-CN" w:bidi="ar-SA"/>
                    </w:rPr>
                    <w:t>0</w:t>
                  </w:r>
                </w:p>
              </w:tc>
              <w:tc>
                <w:tcPr>
                  <w:tcW w:w="645" w:type="dxa"/>
                  <w:vAlign w:val="center"/>
                </w:tcPr>
                <w:p w14:paraId="46E169B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0.01</w:t>
                  </w:r>
                </w:p>
              </w:tc>
              <w:tc>
                <w:tcPr>
                  <w:tcW w:w="598" w:type="dxa"/>
                  <w:vMerge w:val="continue"/>
                  <w:vAlign w:val="center"/>
                </w:tcPr>
                <w:p w14:paraId="6DCAAEB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p>
              </w:tc>
              <w:tc>
                <w:tcPr>
                  <w:tcW w:w="1590" w:type="dxa"/>
                  <w:vMerge w:val="continue"/>
                  <w:vAlign w:val="center"/>
                </w:tcPr>
                <w:p w14:paraId="33836FF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p>
              </w:tc>
            </w:tr>
          </w:tbl>
          <w:p w14:paraId="6A52D9B3">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bCs/>
                <w:color w:val="auto"/>
                <w:sz w:val="24"/>
                <w:highlight w:val="none"/>
              </w:rPr>
              <w:t>S1</w:t>
            </w:r>
            <w:r>
              <w:rPr>
                <w:rFonts w:hint="eastAsia" w:ascii="Times New Roman" w:hAnsi="Times New Roman" w:eastAsia="宋体" w:cs="Times New Roman"/>
                <w:bCs/>
                <w:color w:val="auto"/>
                <w:sz w:val="24"/>
                <w:highlight w:val="none"/>
                <w:lang w:val="en-US" w:eastAsia="zh-CN"/>
              </w:rPr>
              <w:t>.</w:t>
            </w:r>
            <w:r>
              <w:rPr>
                <w:rFonts w:hint="eastAsia" w:cs="Times New Roman"/>
                <w:bCs/>
                <w:color w:val="auto"/>
                <w:sz w:val="24"/>
                <w:highlight w:val="none"/>
                <w:lang w:val="en-US" w:eastAsia="zh-CN"/>
              </w:rPr>
              <w:t>沉淀煤泥</w:t>
            </w:r>
          </w:p>
          <w:p w14:paraId="1CCC9F42">
            <w:pPr>
              <w:keepNext w:val="0"/>
              <w:keepLines w:val="0"/>
              <w:pageBreakBefore w:val="0"/>
              <w:widowControl w:val="0"/>
              <w:kinsoku/>
              <w:wordWrap/>
              <w:overflowPunct/>
              <w:topLinePunct w:val="0"/>
              <w:bidi w:val="0"/>
              <w:spacing w:line="480" w:lineRule="exact"/>
              <w:ind w:firstLine="480" w:firstLineChars="200"/>
              <w:textAlignment w:val="auto"/>
              <w:rPr>
                <w:rFonts w:hint="default" w:ascii="Times New Roman" w:hAnsi="Times New Roman" w:eastAsia="宋体" w:cs="Times New Roman"/>
                <w:color w:val="auto"/>
                <w:sz w:val="24"/>
                <w:highlight w:val="none"/>
                <w:lang w:val="en-US"/>
              </w:rPr>
            </w:pPr>
            <w:r>
              <w:rPr>
                <w:rFonts w:hint="eastAsia" w:ascii="Times New Roman" w:hAnsi="Times New Roman" w:eastAsia="宋体" w:cs="Times New Roman"/>
                <w:color w:val="auto"/>
                <w:sz w:val="24"/>
                <w:highlight w:val="none"/>
                <w:lang w:val="en-US" w:eastAsia="zh-CN"/>
              </w:rPr>
              <w:t>主要为初期雨水池产生的沉淀煤泥</w:t>
            </w:r>
            <w:r>
              <w:rPr>
                <w:rFonts w:hint="eastAsia" w:cs="Times New Roman"/>
                <w:color w:val="auto"/>
                <w:sz w:val="24"/>
                <w:highlight w:val="none"/>
                <w:lang w:val="en-US" w:eastAsia="zh-CN"/>
              </w:rPr>
              <w:t>，</w:t>
            </w:r>
            <w:r>
              <w:rPr>
                <w:rFonts w:hint="eastAsia" w:ascii="Times New Roman" w:hAnsi="Times New Roman" w:eastAsia="宋体" w:cs="Times New Roman"/>
                <w:color w:val="auto"/>
                <w:sz w:val="24"/>
                <w:highlight w:val="none"/>
                <w:lang w:val="en-US" w:eastAsia="zh-CN"/>
              </w:rPr>
              <w:t>产生量约</w:t>
            </w:r>
            <w:r>
              <w:rPr>
                <w:rFonts w:hint="eastAsia" w:cs="Times New Roman"/>
                <w:color w:val="auto"/>
                <w:sz w:val="24"/>
                <w:highlight w:val="none"/>
                <w:lang w:val="en-US" w:eastAsia="zh-CN"/>
              </w:rPr>
              <w:t>2</w:t>
            </w:r>
            <w:r>
              <w:rPr>
                <w:rFonts w:hint="eastAsia" w:ascii="Times New Roman" w:hAnsi="Times New Roman" w:eastAsia="宋体" w:cs="Times New Roman"/>
                <w:color w:val="auto"/>
                <w:sz w:val="24"/>
                <w:highlight w:val="none"/>
                <w:lang w:val="en-US" w:eastAsia="zh-CN"/>
              </w:rPr>
              <w:t>t/a，</w:t>
            </w:r>
            <w:r>
              <w:rPr>
                <w:rFonts w:hint="eastAsia" w:cs="Times New Roman"/>
                <w:color w:val="auto"/>
                <w:sz w:val="24"/>
                <w:highlight w:val="none"/>
                <w:lang w:val="en-US" w:eastAsia="zh-CN"/>
              </w:rPr>
              <w:t>定期清理，</w:t>
            </w:r>
            <w:r>
              <w:rPr>
                <w:rFonts w:hint="eastAsia" w:ascii="Times New Roman" w:hAnsi="Times New Roman" w:eastAsia="宋体" w:cs="Times New Roman"/>
                <w:color w:val="auto"/>
                <w:sz w:val="24"/>
                <w:highlight w:val="none"/>
                <w:lang w:val="en-US" w:eastAsia="zh-CN"/>
              </w:rPr>
              <w:t>掺入</w:t>
            </w:r>
            <w:r>
              <w:rPr>
                <w:rFonts w:hint="eastAsia" w:cs="Times New Roman"/>
                <w:color w:val="auto"/>
                <w:sz w:val="24"/>
                <w:highlight w:val="none"/>
                <w:lang w:val="en-US" w:eastAsia="zh-CN"/>
              </w:rPr>
              <w:t>煤泥外售</w:t>
            </w:r>
            <w:r>
              <w:rPr>
                <w:rFonts w:hint="eastAsia" w:ascii="Times New Roman" w:hAnsi="Times New Roman" w:eastAsia="宋体" w:cs="Times New Roman"/>
                <w:color w:val="auto"/>
                <w:sz w:val="24"/>
                <w:highlight w:val="none"/>
                <w:lang w:val="en-US" w:eastAsia="zh-CN"/>
              </w:rPr>
              <w:t>。</w:t>
            </w:r>
          </w:p>
          <w:p w14:paraId="79F47FD3">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rPr>
              <w:t>S</w:t>
            </w:r>
            <w:r>
              <w:rPr>
                <w:rFonts w:hint="eastAsia" w:ascii="Times New Roman" w:hAnsi="Times New Roman" w:eastAsia="宋体" w:cs="Times New Roman"/>
                <w:bCs/>
                <w:color w:val="auto"/>
                <w:sz w:val="24"/>
                <w:highlight w:val="none"/>
                <w:lang w:val="en-US" w:eastAsia="zh-CN"/>
              </w:rPr>
              <w:t>2.</w:t>
            </w:r>
            <w:r>
              <w:rPr>
                <w:rFonts w:hint="default" w:ascii="Times New Roman" w:hAnsi="Times New Roman" w:eastAsia="宋体" w:cs="Times New Roman"/>
                <w:bCs/>
                <w:color w:val="auto"/>
                <w:sz w:val="24"/>
                <w:highlight w:val="none"/>
                <w:lang w:val="en-US" w:eastAsia="zh-CN"/>
              </w:rPr>
              <w:t>废矿物油</w:t>
            </w:r>
            <w:r>
              <w:rPr>
                <w:rFonts w:hint="eastAsia" w:ascii="Times New Roman" w:hAnsi="Times New Roman" w:eastAsia="宋体" w:cs="Times New Roman"/>
                <w:bCs/>
                <w:color w:val="auto"/>
                <w:sz w:val="24"/>
                <w:highlight w:val="none"/>
                <w:lang w:val="en-US" w:eastAsia="zh-CN"/>
              </w:rPr>
              <w:t>、废油桶</w:t>
            </w:r>
          </w:p>
          <w:p w14:paraId="408A4D75">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本项目生产过程各设备</w:t>
            </w:r>
            <w:r>
              <w:rPr>
                <w:rFonts w:hint="eastAsia" w:ascii="Times New Roman" w:hAnsi="Times New Roman" w:eastAsia="宋体" w:cs="Times New Roman"/>
                <w:bCs/>
                <w:color w:val="auto"/>
                <w:sz w:val="24"/>
                <w:highlight w:val="none"/>
                <w:lang w:val="en-US" w:eastAsia="zh-CN"/>
              </w:rPr>
              <w:t>需日常维修保养，在此过程中</w:t>
            </w:r>
            <w:r>
              <w:rPr>
                <w:rFonts w:hint="default" w:ascii="Times New Roman" w:hAnsi="Times New Roman" w:eastAsia="宋体" w:cs="Times New Roman"/>
                <w:bCs/>
                <w:color w:val="auto"/>
                <w:sz w:val="24"/>
                <w:highlight w:val="none"/>
                <w:lang w:val="en-US" w:eastAsia="zh-CN"/>
              </w:rPr>
              <w:t>会产生少量废矿物油</w:t>
            </w:r>
            <w:r>
              <w:rPr>
                <w:rFonts w:hint="eastAsia" w:ascii="Times New Roman" w:hAnsi="Times New Roman" w:eastAsia="宋体" w:cs="Times New Roman"/>
                <w:bCs/>
                <w:color w:val="auto"/>
                <w:sz w:val="24"/>
                <w:highlight w:val="none"/>
                <w:lang w:val="en-US" w:eastAsia="zh-CN"/>
              </w:rPr>
              <w:t>及废油桶</w:t>
            </w:r>
            <w:r>
              <w:rPr>
                <w:rFonts w:hint="default" w:ascii="Times New Roman" w:hAnsi="Times New Roman" w:eastAsia="宋体" w:cs="Times New Roman"/>
                <w:bCs/>
                <w:color w:val="auto"/>
                <w:sz w:val="24"/>
                <w:highlight w:val="none"/>
                <w:lang w:val="en-US" w:eastAsia="zh-CN"/>
              </w:rPr>
              <w:t>，按照《国家危险废物名录》（202</w:t>
            </w:r>
            <w:r>
              <w:rPr>
                <w:rFonts w:hint="eastAsia" w:ascii="Times New Roman" w:hAnsi="Times New Roman" w:eastAsia="宋体" w:cs="Times New Roman"/>
                <w:bCs/>
                <w:color w:val="auto"/>
                <w:sz w:val="24"/>
                <w:highlight w:val="none"/>
                <w:lang w:val="en-US" w:eastAsia="zh-CN"/>
              </w:rPr>
              <w:t>5</w:t>
            </w:r>
            <w:r>
              <w:rPr>
                <w:rFonts w:hint="default" w:ascii="Times New Roman" w:hAnsi="Times New Roman" w:eastAsia="宋体" w:cs="Times New Roman"/>
                <w:bCs/>
                <w:color w:val="auto"/>
                <w:sz w:val="24"/>
                <w:highlight w:val="none"/>
                <w:lang w:val="en-US" w:eastAsia="zh-CN"/>
              </w:rPr>
              <w:t>年版），废矿物油</w:t>
            </w:r>
            <w:r>
              <w:rPr>
                <w:rFonts w:hint="eastAsia" w:ascii="Times New Roman" w:hAnsi="Times New Roman" w:eastAsia="宋体" w:cs="Times New Roman"/>
                <w:bCs/>
                <w:color w:val="auto"/>
                <w:sz w:val="24"/>
                <w:highlight w:val="none"/>
                <w:lang w:val="en-US" w:eastAsia="zh-CN"/>
              </w:rPr>
              <w:t>、废油桶</w:t>
            </w:r>
            <w:r>
              <w:rPr>
                <w:rFonts w:hint="default" w:ascii="Times New Roman" w:hAnsi="Times New Roman" w:eastAsia="宋体" w:cs="Times New Roman"/>
                <w:bCs/>
                <w:color w:val="auto"/>
                <w:sz w:val="24"/>
                <w:highlight w:val="none"/>
                <w:lang w:val="en-US" w:eastAsia="zh-CN"/>
              </w:rPr>
              <w:t>属于危险废物，废矿物油产生量约为</w:t>
            </w:r>
            <w:r>
              <w:rPr>
                <w:rFonts w:hint="eastAsia" w:ascii="Times New Roman" w:hAnsi="Times New Roman" w:eastAsia="宋体" w:cs="Times New Roman"/>
                <w:bCs/>
                <w:color w:val="auto"/>
                <w:sz w:val="24"/>
                <w:highlight w:val="none"/>
                <w:lang w:val="en-US" w:eastAsia="zh-CN"/>
              </w:rPr>
              <w:t>0.</w:t>
            </w:r>
            <w:r>
              <w:rPr>
                <w:rFonts w:hint="eastAsia" w:cs="Times New Roman"/>
                <w:bCs/>
                <w:color w:val="auto"/>
                <w:sz w:val="24"/>
                <w:highlight w:val="none"/>
                <w:lang w:val="en-US" w:eastAsia="zh-CN"/>
              </w:rPr>
              <w:t>2</w:t>
            </w:r>
            <w:r>
              <w:rPr>
                <w:rFonts w:hint="eastAsia" w:ascii="Times New Roman" w:hAnsi="Times New Roman" w:eastAsia="宋体" w:cs="Times New Roman"/>
                <w:bCs/>
                <w:color w:val="auto"/>
                <w:sz w:val="24"/>
                <w:highlight w:val="none"/>
                <w:lang w:val="en-US" w:eastAsia="zh-CN"/>
              </w:rPr>
              <w:t>t/a，废油桶产生量约0.0</w:t>
            </w:r>
            <w:r>
              <w:rPr>
                <w:rFonts w:hint="eastAsia" w:cs="Times New Roman"/>
                <w:bCs/>
                <w:color w:val="auto"/>
                <w:sz w:val="24"/>
                <w:highlight w:val="none"/>
                <w:lang w:val="en-US" w:eastAsia="zh-CN"/>
              </w:rPr>
              <w:t>1</w:t>
            </w:r>
            <w:r>
              <w:rPr>
                <w:rFonts w:hint="eastAsia" w:ascii="Times New Roman" w:hAnsi="Times New Roman" w:eastAsia="宋体" w:cs="Times New Roman"/>
                <w:bCs/>
                <w:color w:val="auto"/>
                <w:sz w:val="24"/>
                <w:highlight w:val="none"/>
                <w:lang w:val="en-US" w:eastAsia="zh-CN"/>
              </w:rPr>
              <w:t>t/a</w:t>
            </w:r>
            <w:r>
              <w:rPr>
                <w:rFonts w:hint="default" w:ascii="Times New Roman" w:hAnsi="Times New Roman" w:eastAsia="宋体" w:cs="Times New Roman"/>
                <w:bCs/>
                <w:color w:val="auto"/>
                <w:sz w:val="24"/>
                <w:highlight w:val="none"/>
                <w:lang w:val="en-US" w:eastAsia="zh-CN"/>
              </w:rPr>
              <w:t>。废矿物油、废油桶暂存于厂区</w:t>
            </w:r>
            <w:r>
              <w:rPr>
                <w:rFonts w:hint="eastAsia" w:ascii="Times New Roman" w:hAnsi="Times New Roman" w:eastAsia="宋体" w:cs="Times New Roman"/>
                <w:bCs/>
                <w:color w:val="auto"/>
                <w:sz w:val="24"/>
                <w:highlight w:val="none"/>
                <w:lang w:val="en-US" w:eastAsia="zh-CN"/>
              </w:rPr>
              <w:t>危废贮存库</w:t>
            </w:r>
            <w:r>
              <w:rPr>
                <w:rFonts w:hint="default" w:ascii="Times New Roman" w:hAnsi="Times New Roman" w:eastAsia="宋体" w:cs="Times New Roman"/>
                <w:bCs/>
                <w:color w:val="auto"/>
                <w:sz w:val="24"/>
                <w:highlight w:val="none"/>
                <w:lang w:val="en-US" w:eastAsia="zh-CN"/>
              </w:rPr>
              <w:t>，定期交由有资质单位处置</w:t>
            </w:r>
            <w:r>
              <w:rPr>
                <w:rFonts w:hint="eastAsia" w:ascii="Times New Roman" w:hAnsi="Times New Roman" w:eastAsia="宋体" w:cs="Times New Roman"/>
                <w:bCs/>
                <w:color w:val="auto"/>
                <w:sz w:val="24"/>
                <w:highlight w:val="none"/>
                <w:lang w:val="en-US" w:eastAsia="zh-CN"/>
              </w:rPr>
              <w:t>。</w:t>
            </w:r>
          </w:p>
          <w:p w14:paraId="4CC03385">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bCs/>
                <w:color w:val="auto"/>
                <w:sz w:val="24"/>
                <w:highlight w:val="none"/>
                <w:lang w:val="en-US" w:eastAsia="zh-CN"/>
              </w:rPr>
            </w:pPr>
            <w:r>
              <w:rPr>
                <w:rFonts w:hint="eastAsia" w:ascii="Times New Roman" w:hAnsi="Times New Roman" w:eastAsia="宋体" w:cs="Times New Roman"/>
                <w:bCs/>
                <w:color w:val="auto"/>
                <w:sz w:val="24"/>
                <w:highlight w:val="none"/>
                <w:lang w:val="en-US" w:eastAsia="zh-CN"/>
              </w:rPr>
              <w:t>2.</w:t>
            </w:r>
            <w:r>
              <w:rPr>
                <w:rFonts w:hint="eastAsia" w:cs="Times New Roman"/>
                <w:bCs/>
                <w:color w:val="auto"/>
                <w:sz w:val="24"/>
                <w:highlight w:val="none"/>
                <w:lang w:val="en-US" w:eastAsia="zh-CN"/>
              </w:rPr>
              <w:t>危废贮存库污染控制要求</w:t>
            </w:r>
          </w:p>
          <w:p w14:paraId="1AB33869">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eastAsia="宋体" w:cs="Times New Roman"/>
                <w:bCs/>
                <w:color w:val="auto"/>
                <w:sz w:val="24"/>
                <w:highlight w:val="none"/>
                <w:lang w:val="en-US" w:eastAsia="zh-CN"/>
              </w:rPr>
            </w:pPr>
            <w:r>
              <w:rPr>
                <w:rFonts w:hint="eastAsia" w:eastAsia="宋体" w:cs="Times New Roman"/>
                <w:bCs/>
                <w:color w:val="auto"/>
                <w:sz w:val="24"/>
                <w:highlight w:val="none"/>
                <w:lang w:val="en-US" w:eastAsia="zh-CN"/>
              </w:rPr>
              <w:t>危废贮存库依托可行性分析情况：</w:t>
            </w:r>
          </w:p>
          <w:p w14:paraId="54425F84">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eastAsia="宋体" w:cs="Times New Roman"/>
                <w:bCs/>
                <w:color w:val="auto"/>
                <w:sz w:val="24"/>
                <w:highlight w:val="none"/>
                <w:lang w:val="en-US" w:eastAsia="zh-CN"/>
              </w:rPr>
            </w:pPr>
            <w:r>
              <w:rPr>
                <w:rFonts w:hint="eastAsia" w:eastAsia="宋体" w:cs="Times New Roman"/>
                <w:bCs/>
                <w:color w:val="auto"/>
                <w:sz w:val="24"/>
                <w:highlight w:val="none"/>
                <w:lang w:val="en-US" w:eastAsia="zh-CN"/>
              </w:rPr>
              <w:t>1）危险废物贮存场所环境影响分析</w:t>
            </w:r>
          </w:p>
          <w:p w14:paraId="7D9241C8">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eastAsia="宋体" w:cs="Times New Roman"/>
                <w:bCs/>
                <w:color w:val="auto"/>
                <w:sz w:val="24"/>
                <w:highlight w:val="none"/>
                <w:lang w:val="en-US" w:eastAsia="zh-CN"/>
              </w:rPr>
            </w:pPr>
            <w:r>
              <w:rPr>
                <w:rFonts w:hint="eastAsia" w:eastAsia="宋体" w:cs="Times New Roman"/>
                <w:bCs/>
                <w:color w:val="auto"/>
                <w:sz w:val="24"/>
                <w:highlight w:val="none"/>
                <w:lang w:val="en-US" w:eastAsia="zh-CN"/>
              </w:rPr>
              <w:t>项目厂址所在区域地质结构稳定，地震烈度为Ⅵ度；项目所在地全年风向以南风为主，</w:t>
            </w:r>
            <w:r>
              <w:rPr>
                <w:rFonts w:hint="eastAsia" w:cs="Times New Roman"/>
                <w:bCs/>
                <w:color w:val="auto"/>
                <w:sz w:val="24"/>
                <w:highlight w:val="none"/>
                <w:lang w:val="en-US" w:eastAsia="zh-CN"/>
              </w:rPr>
              <w:t>危废贮存库</w:t>
            </w:r>
            <w:r>
              <w:rPr>
                <w:rFonts w:hint="eastAsia" w:eastAsia="宋体" w:cs="Times New Roman"/>
                <w:bCs/>
                <w:color w:val="auto"/>
                <w:sz w:val="24"/>
                <w:highlight w:val="none"/>
                <w:lang w:val="en-US" w:eastAsia="zh-CN"/>
              </w:rPr>
              <w:t>位于厂区北侧，位于主导风向的下风向，符合</w:t>
            </w:r>
            <w:r>
              <w:rPr>
                <w:rFonts w:hint="eastAsia" w:cs="Times New Roman"/>
                <w:bCs/>
                <w:color w:val="auto"/>
                <w:sz w:val="24"/>
                <w:highlight w:val="none"/>
                <w:lang w:val="en-US" w:eastAsia="zh-CN"/>
              </w:rPr>
              <w:t>危废贮存库</w:t>
            </w:r>
            <w:r>
              <w:rPr>
                <w:rFonts w:hint="eastAsia" w:eastAsia="宋体" w:cs="Times New Roman"/>
                <w:bCs/>
                <w:color w:val="auto"/>
                <w:sz w:val="24"/>
                <w:highlight w:val="none"/>
                <w:lang w:val="en-US" w:eastAsia="zh-CN"/>
              </w:rPr>
              <w:t>选址的要求。</w:t>
            </w:r>
          </w:p>
          <w:p w14:paraId="6DFF76E7">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eastAsia="宋体" w:cs="Times New Roman"/>
                <w:bCs/>
                <w:color w:val="auto"/>
                <w:sz w:val="24"/>
                <w:highlight w:val="none"/>
                <w:lang w:val="en-US" w:eastAsia="zh-CN"/>
              </w:rPr>
            </w:pPr>
            <w:r>
              <w:rPr>
                <w:rFonts w:hint="eastAsia" w:eastAsia="宋体" w:cs="Times New Roman"/>
                <w:bCs/>
                <w:color w:val="auto"/>
                <w:sz w:val="24"/>
                <w:highlight w:val="none"/>
                <w:lang w:val="en-US" w:eastAsia="zh-CN"/>
              </w:rPr>
              <w:t>2）危险废物委托处置影响分析</w:t>
            </w:r>
          </w:p>
          <w:p w14:paraId="5D0EA21E">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eastAsia="宋体" w:cs="Times New Roman"/>
                <w:bCs/>
                <w:color w:val="auto"/>
                <w:sz w:val="24"/>
                <w:highlight w:val="none"/>
                <w:lang w:val="en-US" w:eastAsia="zh-CN"/>
              </w:rPr>
            </w:pPr>
            <w:r>
              <w:rPr>
                <w:rFonts w:hint="eastAsia" w:eastAsia="宋体" w:cs="Times New Roman"/>
                <w:bCs/>
                <w:color w:val="auto"/>
                <w:sz w:val="24"/>
                <w:highlight w:val="none"/>
                <w:lang w:val="en-US" w:eastAsia="zh-CN"/>
              </w:rPr>
              <w:t>本项目危险废物委托处置单位，根据《建设项目危险废物环境影响评价指南》，本项目危险废物与</w:t>
            </w:r>
            <w:r>
              <w:rPr>
                <w:rFonts w:hint="eastAsia" w:cs="Times New Roman"/>
                <w:bCs/>
                <w:color w:val="auto"/>
                <w:sz w:val="24"/>
                <w:highlight w:val="none"/>
                <w:lang w:val="en-US" w:eastAsia="zh-CN"/>
              </w:rPr>
              <w:t>山西九州再生能源有限公司</w:t>
            </w:r>
            <w:r>
              <w:rPr>
                <w:rFonts w:hint="eastAsia" w:eastAsia="宋体" w:cs="Times New Roman"/>
                <w:bCs/>
                <w:color w:val="auto"/>
                <w:sz w:val="24"/>
                <w:highlight w:val="none"/>
                <w:lang w:val="en-US" w:eastAsia="zh-CN"/>
              </w:rPr>
              <w:t>、山西</w:t>
            </w:r>
            <w:r>
              <w:rPr>
                <w:rFonts w:hint="eastAsia" w:cs="Times New Roman"/>
                <w:bCs/>
                <w:color w:val="auto"/>
                <w:sz w:val="24"/>
                <w:highlight w:val="none"/>
                <w:lang w:val="en-US" w:eastAsia="zh-CN"/>
              </w:rPr>
              <w:t>金峰潞源环境科技</w:t>
            </w:r>
            <w:r>
              <w:rPr>
                <w:rFonts w:hint="eastAsia" w:eastAsia="宋体" w:cs="Times New Roman"/>
                <w:bCs/>
                <w:color w:val="auto"/>
                <w:sz w:val="24"/>
                <w:highlight w:val="none"/>
                <w:lang w:val="en-US" w:eastAsia="zh-CN"/>
              </w:rPr>
              <w:t>有限公司</w:t>
            </w:r>
            <w:r>
              <w:rPr>
                <w:rFonts w:hint="eastAsia" w:cs="Times New Roman"/>
                <w:bCs/>
                <w:color w:val="auto"/>
                <w:sz w:val="24"/>
                <w:highlight w:val="none"/>
                <w:lang w:val="en-US" w:eastAsia="zh-CN"/>
              </w:rPr>
              <w:t>分别</w:t>
            </w:r>
            <w:r>
              <w:rPr>
                <w:rFonts w:hint="eastAsia" w:eastAsia="宋体" w:cs="Times New Roman"/>
                <w:bCs/>
                <w:color w:val="auto"/>
                <w:sz w:val="24"/>
                <w:highlight w:val="none"/>
                <w:lang w:val="en-US" w:eastAsia="zh-CN"/>
              </w:rPr>
              <w:t>签订了危废处置合同</w:t>
            </w:r>
            <w:r>
              <w:rPr>
                <w:rFonts w:hint="eastAsia" w:cs="Times New Roman"/>
                <w:bCs/>
                <w:color w:val="auto"/>
                <w:sz w:val="24"/>
                <w:highlight w:val="none"/>
                <w:lang w:val="en-US" w:eastAsia="zh-CN"/>
              </w:rPr>
              <w:t>，危险废物处置单位均取得危险废物经营许可证</w:t>
            </w:r>
            <w:r>
              <w:rPr>
                <w:rFonts w:hint="eastAsia" w:eastAsia="宋体" w:cs="Times New Roman"/>
                <w:bCs/>
                <w:color w:val="auto"/>
                <w:sz w:val="24"/>
                <w:highlight w:val="none"/>
                <w:lang w:val="en-US" w:eastAsia="zh-CN"/>
              </w:rPr>
              <w:t>。</w:t>
            </w:r>
          </w:p>
          <w:p w14:paraId="0B8FDAE6">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eastAsia="宋体" w:cs="Times New Roman"/>
                <w:bCs/>
                <w:color w:val="auto"/>
                <w:sz w:val="24"/>
                <w:highlight w:val="none"/>
                <w:lang w:val="en-US" w:eastAsia="zh-CN"/>
              </w:rPr>
            </w:pPr>
            <w:r>
              <w:rPr>
                <w:rFonts w:hint="eastAsia" w:cs="Times New Roman"/>
                <w:bCs/>
                <w:color w:val="auto"/>
                <w:sz w:val="24"/>
                <w:highlight w:val="none"/>
                <w:lang w:val="en-US" w:eastAsia="zh-CN"/>
              </w:rPr>
              <w:t>3</w:t>
            </w:r>
            <w:r>
              <w:rPr>
                <w:rFonts w:hint="eastAsia" w:eastAsia="宋体" w:cs="Times New Roman"/>
                <w:bCs/>
                <w:color w:val="auto"/>
                <w:sz w:val="24"/>
                <w:highlight w:val="none"/>
                <w:lang w:val="en-US" w:eastAsia="zh-CN"/>
              </w:rPr>
              <w:t>）贮存场所污染防治措施</w:t>
            </w:r>
          </w:p>
          <w:p w14:paraId="228F27D8">
            <w:pPr>
              <w:spacing w:line="500" w:lineRule="exact"/>
              <w:ind w:firstLine="463" w:firstLineChars="193"/>
              <w:rPr>
                <w:rFonts w:hint="eastAsia" w:ascii="Times New Roman" w:hAnsi="Times New Roman" w:eastAsia="宋体" w:cs="Times New Roman"/>
                <w:b w:val="0"/>
                <w:bCs w:val="0"/>
                <w:color w:val="auto"/>
                <w:sz w:val="24"/>
                <w:lang w:eastAsia="zh-CN"/>
              </w:rPr>
            </w:pPr>
            <w:r>
              <w:rPr>
                <w:rFonts w:hint="eastAsia" w:ascii="Times New Roman" w:hAnsi="Times New Roman" w:cs="Times New Roman"/>
                <w:b w:val="0"/>
                <w:bCs w:val="0"/>
                <w:color w:val="auto"/>
                <w:sz w:val="24"/>
                <w:lang w:val="en-US" w:eastAsia="zh-CN"/>
              </w:rPr>
              <w:t>本项目依托厂区现有1#、2#危废贮存库，危废贮存库</w:t>
            </w:r>
            <w:r>
              <w:rPr>
                <w:rFonts w:hint="default" w:ascii="Times New Roman" w:hAnsi="Times New Roman" w:cs="Times New Roman"/>
                <w:b w:val="0"/>
                <w:bCs w:val="0"/>
                <w:color w:val="auto"/>
                <w:sz w:val="24"/>
              </w:rPr>
              <w:t>位于</w:t>
            </w:r>
            <w:r>
              <w:rPr>
                <w:rFonts w:hint="eastAsia" w:ascii="Times New Roman" w:hAnsi="Times New Roman" w:cs="Times New Roman"/>
                <w:b w:val="0"/>
                <w:bCs w:val="0"/>
                <w:color w:val="auto"/>
                <w:sz w:val="24"/>
                <w:lang w:val="en-US" w:eastAsia="zh-CN"/>
              </w:rPr>
              <w:t>厂区北侧</w:t>
            </w:r>
            <w:r>
              <w:rPr>
                <w:rFonts w:hint="default" w:ascii="Times New Roman" w:hAnsi="Times New Roman" w:cs="Times New Roman"/>
                <w:b w:val="0"/>
                <w:bCs w:val="0"/>
                <w:color w:val="auto"/>
                <w:sz w:val="24"/>
              </w:rPr>
              <w:t>，</w:t>
            </w:r>
            <w:r>
              <w:rPr>
                <w:rFonts w:hint="default" w:ascii="Times New Roman" w:hAnsi="Times New Roman" w:cs="Times New Roman"/>
                <w:b w:val="0"/>
                <w:bCs w:val="0"/>
                <w:color w:val="auto"/>
                <w:sz w:val="24"/>
                <w:highlight w:val="none"/>
              </w:rPr>
              <w:t>占地面积</w:t>
            </w:r>
            <w:r>
              <w:rPr>
                <w:rFonts w:hint="eastAsia" w:ascii="Times New Roman" w:hAnsi="Times New Roman" w:cs="Times New Roman"/>
                <w:b w:val="0"/>
                <w:bCs w:val="0"/>
                <w:color w:val="auto"/>
                <w:sz w:val="24"/>
                <w:highlight w:val="none"/>
                <w:lang w:val="en-US" w:eastAsia="zh-CN"/>
              </w:rPr>
              <w:t>均为75</w:t>
            </w:r>
            <w:r>
              <w:rPr>
                <w:rFonts w:hint="default" w:ascii="Times New Roman" w:hAnsi="Times New Roman" w:cs="Times New Roman"/>
                <w:b w:val="0"/>
                <w:bCs w:val="0"/>
                <w:color w:val="auto"/>
                <w:sz w:val="24"/>
                <w:highlight w:val="none"/>
              </w:rPr>
              <w:t>m</w:t>
            </w:r>
            <w:r>
              <w:rPr>
                <w:rFonts w:hint="default" w:ascii="Times New Roman" w:hAnsi="Times New Roman" w:cs="Times New Roman"/>
                <w:b w:val="0"/>
                <w:bCs w:val="0"/>
                <w:color w:val="auto"/>
                <w:sz w:val="24"/>
                <w:highlight w:val="none"/>
                <w:vertAlign w:val="superscript"/>
              </w:rPr>
              <w:t>2</w:t>
            </w:r>
            <w:r>
              <w:rPr>
                <w:rFonts w:hint="default" w:ascii="Times New Roman" w:hAnsi="Times New Roman" w:cs="Times New Roman"/>
                <w:b w:val="0"/>
                <w:bCs w:val="0"/>
                <w:color w:val="auto"/>
                <w:sz w:val="24"/>
                <w:highlight w:val="none"/>
              </w:rPr>
              <w:t>，</w:t>
            </w:r>
            <w:r>
              <w:rPr>
                <w:rFonts w:hint="eastAsia" w:ascii="Times New Roman" w:hAnsi="Times New Roman" w:cs="Times New Roman"/>
                <w:b w:val="0"/>
                <w:bCs w:val="0"/>
                <w:color w:val="auto"/>
                <w:sz w:val="24"/>
                <w:highlight w:val="none"/>
                <w:lang w:val="en-US" w:eastAsia="zh-CN"/>
              </w:rPr>
              <w:t>1#危废贮存库</w:t>
            </w:r>
            <w:r>
              <w:rPr>
                <w:rFonts w:hint="default" w:ascii="Times New Roman" w:hAnsi="Times New Roman" w:cs="Times New Roman"/>
                <w:b w:val="0"/>
                <w:bCs w:val="0"/>
                <w:color w:val="auto"/>
                <w:sz w:val="24"/>
              </w:rPr>
              <w:t>内设</w:t>
            </w:r>
            <w:r>
              <w:rPr>
                <w:rFonts w:hint="eastAsia" w:ascii="Times New Roman" w:hAnsi="Times New Roman" w:cs="Times New Roman"/>
                <w:b w:val="0"/>
                <w:bCs w:val="0"/>
                <w:color w:val="auto"/>
                <w:sz w:val="24"/>
                <w:lang w:val="en-US" w:eastAsia="zh-CN"/>
              </w:rPr>
              <w:t>废油桶暂存区、废乳化液桶暂存区，2#危废贮存库内设</w:t>
            </w:r>
            <w:r>
              <w:rPr>
                <w:rFonts w:hint="default" w:ascii="Times New Roman" w:hAnsi="Times New Roman" w:cs="Times New Roman"/>
                <w:b w:val="0"/>
                <w:bCs w:val="0"/>
                <w:color w:val="auto"/>
                <w:sz w:val="24"/>
              </w:rPr>
              <w:t>废矿物油暂存区、废</w:t>
            </w:r>
            <w:r>
              <w:rPr>
                <w:rFonts w:hint="eastAsia" w:ascii="Times New Roman" w:hAnsi="Times New Roman" w:cs="Times New Roman"/>
                <w:b w:val="0"/>
                <w:bCs w:val="0"/>
                <w:color w:val="auto"/>
                <w:sz w:val="24"/>
                <w:lang w:val="en-US" w:eastAsia="zh-CN"/>
              </w:rPr>
              <w:t>乳化液</w:t>
            </w:r>
            <w:r>
              <w:rPr>
                <w:rFonts w:hint="default" w:ascii="Times New Roman" w:hAnsi="Times New Roman" w:cs="Times New Roman"/>
                <w:b w:val="0"/>
                <w:bCs w:val="0"/>
                <w:color w:val="auto"/>
                <w:sz w:val="24"/>
              </w:rPr>
              <w:t>暂存区，并设置照明设施和观察窗口。</w:t>
            </w:r>
            <w:r>
              <w:rPr>
                <w:rFonts w:hint="default" w:ascii="Times New Roman" w:hAnsi="Times New Roman" w:cs="Times New Roman"/>
                <w:b w:val="0"/>
                <w:bCs w:val="0"/>
                <w:color w:val="auto"/>
                <w:sz w:val="24"/>
                <w:lang w:eastAsia="zh-CN"/>
              </w:rPr>
              <w:t>危废贮存库</w:t>
            </w:r>
            <w:r>
              <w:rPr>
                <w:rFonts w:hint="default" w:ascii="Times New Roman" w:hAnsi="Times New Roman" w:cs="Times New Roman"/>
                <w:b w:val="0"/>
                <w:bCs w:val="0"/>
                <w:color w:val="auto"/>
                <w:sz w:val="24"/>
              </w:rPr>
              <w:t>基础防渗采用1m厚黏土层</w:t>
            </w:r>
            <w:r>
              <w:rPr>
                <w:rFonts w:hint="default" w:ascii="Times New Roman" w:hAnsi="Times New Roman" w:cs="Times New Roman"/>
                <w:b w:val="0"/>
                <w:bCs w:val="0"/>
                <w:color w:val="auto"/>
                <w:sz w:val="24"/>
                <w:lang w:eastAsia="zh-CN"/>
              </w:rPr>
              <w:t>，</w:t>
            </w:r>
            <w:r>
              <w:rPr>
                <w:rFonts w:hint="default" w:ascii="Times New Roman" w:hAnsi="Times New Roman" w:cs="Times New Roman"/>
                <w:b w:val="0"/>
                <w:bCs w:val="0"/>
                <w:color w:val="auto"/>
                <w:sz w:val="24"/>
                <w:lang w:val="en-US" w:eastAsia="zh-CN"/>
              </w:rPr>
              <w:t>夯实，地面已进行C30混凝土防渗处理，墙体及地面均刷有环氧树脂漆，</w:t>
            </w:r>
            <w:r>
              <w:rPr>
                <w:rFonts w:hint="eastAsia" w:cs="Times New Roman"/>
                <w:b w:val="0"/>
                <w:bCs w:val="0"/>
                <w:color w:val="auto"/>
                <w:sz w:val="24"/>
                <w:lang w:val="en-US" w:eastAsia="zh-CN"/>
              </w:rPr>
              <w:t>地面环氧树脂漆</w:t>
            </w:r>
            <w:r>
              <w:rPr>
                <w:rFonts w:hint="default" w:ascii="Times New Roman" w:hAnsi="Times New Roman" w:cs="Times New Roman"/>
                <w:b w:val="0"/>
                <w:bCs w:val="0"/>
                <w:color w:val="auto"/>
                <w:sz w:val="24"/>
                <w:lang w:val="en-US" w:eastAsia="zh-CN"/>
              </w:rPr>
              <w:t>厚度为2mm，</w:t>
            </w:r>
            <w:r>
              <w:rPr>
                <w:rFonts w:hint="eastAsia" w:ascii="Times New Roman" w:hAnsi="Times New Roman" w:cs="Times New Roman"/>
                <w:b w:val="0"/>
                <w:bCs w:val="0"/>
                <w:color w:val="auto"/>
                <w:sz w:val="24"/>
                <w:lang w:val="en-US" w:eastAsia="zh-CN"/>
              </w:rPr>
              <w:t>1#、2#危废贮存库</w:t>
            </w:r>
            <w:r>
              <w:rPr>
                <w:rFonts w:hint="default" w:ascii="Times New Roman" w:hAnsi="Times New Roman" w:cs="Times New Roman"/>
                <w:b w:val="0"/>
                <w:bCs w:val="0"/>
                <w:color w:val="auto"/>
                <w:sz w:val="24"/>
                <w:lang w:val="en-US" w:eastAsia="zh-CN"/>
              </w:rPr>
              <w:t>墙体环氧树脂漆高度</w:t>
            </w:r>
            <w:r>
              <w:rPr>
                <w:rFonts w:hint="eastAsia" w:ascii="Times New Roman" w:hAnsi="Times New Roman" w:cs="Times New Roman"/>
                <w:b w:val="0"/>
                <w:bCs w:val="0"/>
                <w:color w:val="auto"/>
                <w:sz w:val="24"/>
                <w:lang w:val="en-US" w:eastAsia="zh-CN"/>
              </w:rPr>
              <w:t>分别</w:t>
            </w:r>
            <w:r>
              <w:rPr>
                <w:rFonts w:hint="default" w:ascii="Times New Roman" w:hAnsi="Times New Roman" w:cs="Times New Roman"/>
                <w:b w:val="0"/>
                <w:bCs w:val="0"/>
                <w:color w:val="auto"/>
                <w:sz w:val="24"/>
                <w:lang w:val="en-US" w:eastAsia="zh-CN"/>
              </w:rPr>
              <w:t>为</w:t>
            </w:r>
            <w:r>
              <w:rPr>
                <w:rFonts w:hint="eastAsia" w:ascii="Times New Roman" w:hAnsi="Times New Roman" w:cs="Times New Roman"/>
                <w:b w:val="0"/>
                <w:bCs w:val="0"/>
                <w:color w:val="auto"/>
                <w:sz w:val="24"/>
                <w:lang w:val="en-US" w:eastAsia="zh-CN"/>
              </w:rPr>
              <w:t>2.0</w:t>
            </w:r>
            <w:r>
              <w:rPr>
                <w:rFonts w:hint="default" w:ascii="Times New Roman" w:hAnsi="Times New Roman" w:cs="Times New Roman"/>
                <w:b w:val="0"/>
                <w:bCs w:val="0"/>
                <w:color w:val="auto"/>
                <w:sz w:val="24"/>
                <w:lang w:val="en-US" w:eastAsia="zh-CN"/>
              </w:rPr>
              <w:t>m</w:t>
            </w:r>
            <w:r>
              <w:rPr>
                <w:rFonts w:hint="eastAsia" w:ascii="Times New Roman" w:hAnsi="Times New Roman" w:cs="Times New Roman"/>
                <w:b w:val="0"/>
                <w:bCs w:val="0"/>
                <w:color w:val="auto"/>
                <w:sz w:val="24"/>
                <w:lang w:val="en-US" w:eastAsia="zh-CN"/>
              </w:rPr>
              <w:t>、1.4m</w:t>
            </w:r>
            <w:r>
              <w:rPr>
                <w:rFonts w:hint="eastAsia" w:cs="Times New Roman"/>
                <w:b w:val="0"/>
                <w:bCs w:val="0"/>
                <w:color w:val="auto"/>
                <w:sz w:val="24"/>
                <w:lang w:val="en-US" w:eastAsia="zh-CN"/>
              </w:rPr>
              <w:t>，</w:t>
            </w:r>
            <w:r>
              <w:rPr>
                <w:rFonts w:hint="default" w:ascii="Times New Roman" w:hAnsi="Times New Roman" w:cs="Times New Roman"/>
                <w:b w:val="0"/>
                <w:bCs w:val="0"/>
                <w:color w:val="auto"/>
                <w:sz w:val="24"/>
              </w:rPr>
              <w:t>满足重点防渗区渗透系数小于1×10</w:t>
            </w:r>
            <w:r>
              <w:rPr>
                <w:rFonts w:hint="default" w:ascii="Times New Roman" w:hAnsi="Times New Roman" w:cs="Times New Roman"/>
                <w:b w:val="0"/>
                <w:bCs w:val="0"/>
                <w:color w:val="auto"/>
                <w:sz w:val="24"/>
                <w:vertAlign w:val="superscript"/>
              </w:rPr>
              <w:t>-7</w:t>
            </w:r>
            <w:r>
              <w:rPr>
                <w:rFonts w:hint="default" w:ascii="Times New Roman" w:hAnsi="Times New Roman" w:cs="Times New Roman"/>
                <w:b w:val="0"/>
                <w:bCs w:val="0"/>
                <w:color w:val="auto"/>
                <w:sz w:val="24"/>
              </w:rPr>
              <w:t>cm/s的要求。库内</w:t>
            </w:r>
            <w:r>
              <w:rPr>
                <w:rFonts w:hint="eastAsia" w:cs="Times New Roman"/>
                <w:b w:val="0"/>
                <w:bCs w:val="0"/>
                <w:color w:val="auto"/>
                <w:sz w:val="24"/>
                <w:lang w:val="en-US" w:eastAsia="zh-CN"/>
              </w:rPr>
              <w:t>均</w:t>
            </w:r>
            <w:r>
              <w:rPr>
                <w:rFonts w:hint="default" w:ascii="Times New Roman" w:hAnsi="Times New Roman" w:cs="Times New Roman"/>
                <w:b w:val="0"/>
                <w:bCs w:val="0"/>
                <w:color w:val="auto"/>
                <w:sz w:val="24"/>
              </w:rPr>
              <w:t>设置导流渠及收集池，均进行硬化、环氧树脂防渗处理</w:t>
            </w:r>
            <w:r>
              <w:rPr>
                <w:rFonts w:hint="eastAsia" w:ascii="Times New Roman" w:hAnsi="Times New Roman" w:cs="Times New Roman"/>
                <w:b w:val="0"/>
                <w:bCs w:val="0"/>
                <w:color w:val="auto"/>
                <w:sz w:val="24"/>
                <w:lang w:eastAsia="zh-CN"/>
              </w:rPr>
              <w:t>；</w:t>
            </w:r>
            <w:r>
              <w:rPr>
                <w:rFonts w:hint="default" w:ascii="Times New Roman" w:hAnsi="Times New Roman" w:cs="Times New Roman"/>
                <w:b w:val="0"/>
                <w:bCs w:val="0"/>
                <w:color w:val="auto"/>
                <w:sz w:val="24"/>
              </w:rPr>
              <w:t>门口内侧</w:t>
            </w:r>
            <w:r>
              <w:rPr>
                <w:rFonts w:hint="eastAsia" w:ascii="Times New Roman" w:hAnsi="Times New Roman" w:cs="Times New Roman"/>
                <w:b w:val="0"/>
                <w:bCs w:val="0"/>
                <w:color w:val="auto"/>
                <w:sz w:val="24"/>
                <w:lang w:val="en-US" w:eastAsia="zh-CN"/>
              </w:rPr>
              <w:t>均</w:t>
            </w:r>
            <w:r>
              <w:rPr>
                <w:rFonts w:hint="default" w:ascii="Times New Roman" w:hAnsi="Times New Roman" w:cs="Times New Roman"/>
                <w:b w:val="0"/>
                <w:bCs w:val="0"/>
                <w:color w:val="auto"/>
                <w:sz w:val="24"/>
              </w:rPr>
              <w:t>设有</w:t>
            </w:r>
            <w:r>
              <w:rPr>
                <w:rFonts w:hint="eastAsia" w:ascii="Times New Roman" w:hAnsi="Times New Roman" w:cs="Times New Roman"/>
                <w:b w:val="0"/>
                <w:bCs w:val="0"/>
                <w:color w:val="auto"/>
                <w:sz w:val="24"/>
                <w:lang w:val="en-US" w:eastAsia="zh-CN"/>
              </w:rPr>
              <w:t>1</w:t>
            </w:r>
            <w:r>
              <w:rPr>
                <w:rFonts w:hint="default" w:ascii="Times New Roman" w:hAnsi="Times New Roman" w:cs="Times New Roman"/>
                <w:b w:val="0"/>
                <w:bCs w:val="0"/>
                <w:color w:val="auto"/>
                <w:sz w:val="24"/>
              </w:rPr>
              <w:t>0cm高的围堰</w:t>
            </w:r>
            <w:r>
              <w:rPr>
                <w:rFonts w:hint="eastAsia" w:ascii="Times New Roman" w:hAnsi="Times New Roman" w:cs="Times New Roman"/>
                <w:b w:val="0"/>
                <w:bCs w:val="0"/>
                <w:color w:val="auto"/>
                <w:sz w:val="24"/>
                <w:lang w:eastAsia="zh-CN"/>
              </w:rPr>
              <w:t>。</w:t>
            </w:r>
          </w:p>
          <w:p w14:paraId="24A6298A">
            <w:pPr>
              <w:spacing w:line="500" w:lineRule="exact"/>
              <w:ind w:firstLine="463" w:firstLineChars="193"/>
              <w:rPr>
                <w:rFonts w:hint="eastAsia" w:ascii="Times New Roman" w:hAnsi="Times New Roman" w:cs="Times New Roman"/>
                <w:b w:val="0"/>
                <w:bCs w:val="0"/>
                <w:color w:val="auto"/>
                <w:sz w:val="24"/>
                <w:lang w:val="en-US" w:eastAsia="zh-CN"/>
              </w:rPr>
            </w:pPr>
            <w:r>
              <w:rPr>
                <w:rFonts w:hint="eastAsia" w:ascii="Times New Roman" w:hAnsi="Times New Roman" w:cs="Times New Roman"/>
                <w:b w:val="0"/>
                <w:bCs w:val="0"/>
                <w:color w:val="auto"/>
                <w:sz w:val="24"/>
                <w:lang w:val="en-US" w:eastAsia="zh-CN"/>
              </w:rPr>
              <w:t>本项目依托现有危废贮存库可行。</w:t>
            </w:r>
          </w:p>
          <w:p w14:paraId="6235FEDF">
            <w:pPr>
              <w:spacing w:line="480" w:lineRule="exact"/>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危废贮存库现状如下图：</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49"/>
              <w:gridCol w:w="3950"/>
            </w:tblGrid>
            <w:tr w14:paraId="6FD85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3" w:hRule="atLeast"/>
              </w:trPr>
              <w:tc>
                <w:tcPr>
                  <w:tcW w:w="3949" w:type="dxa"/>
                  <w:noWrap w:val="0"/>
                  <w:vAlign w:val="center"/>
                </w:tcPr>
                <w:p w14:paraId="36B7D27E">
                  <w:pPr>
                    <w:spacing w:line="240" w:lineRule="auto"/>
                    <w:jc w:val="center"/>
                    <w:rPr>
                      <w:rFonts w:hint="eastAsia" w:ascii="Times New Roman" w:hAnsi="Times New Roman" w:eastAsia="宋体" w:cs="Times New Roman"/>
                      <w:color w:val="auto"/>
                      <w:sz w:val="24"/>
                      <w:lang w:eastAsia="zh-CN"/>
                    </w:rPr>
                  </w:pPr>
                  <w:r>
                    <w:rPr>
                      <w:rFonts w:hint="eastAsia" w:ascii="Times New Roman" w:hAnsi="Times New Roman" w:eastAsia="宋体" w:cs="Times New Roman"/>
                      <w:color w:val="auto"/>
                      <w:sz w:val="24"/>
                      <w:lang w:eastAsia="zh-CN"/>
                    </w:rPr>
                    <w:drawing>
                      <wp:inline distT="0" distB="0" distL="114300" distR="114300">
                        <wp:extent cx="2362835" cy="1772285"/>
                        <wp:effectExtent l="0" t="0" r="18415" b="18415"/>
                        <wp:docPr id="20" name="图片 20" descr="0a4cd394302c98095a775ea3f575b2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0a4cd394302c98095a775ea3f575b2c1"/>
                                <pic:cNvPicPr>
                                  <a:picLocks noChangeAspect="1"/>
                                </pic:cNvPicPr>
                              </pic:nvPicPr>
                              <pic:blipFill>
                                <a:blip r:embed="rId32"/>
                                <a:stretch>
                                  <a:fillRect/>
                                </a:stretch>
                              </pic:blipFill>
                              <pic:spPr>
                                <a:xfrm>
                                  <a:off x="0" y="0"/>
                                  <a:ext cx="2362835" cy="1772285"/>
                                </a:xfrm>
                                <a:prstGeom prst="rect">
                                  <a:avLst/>
                                </a:prstGeom>
                              </pic:spPr>
                            </pic:pic>
                          </a:graphicData>
                        </a:graphic>
                      </wp:inline>
                    </w:drawing>
                  </w:r>
                </w:p>
              </w:tc>
              <w:tc>
                <w:tcPr>
                  <w:tcW w:w="3950" w:type="dxa"/>
                  <w:noWrap w:val="0"/>
                  <w:vAlign w:val="center"/>
                </w:tcPr>
                <w:p w14:paraId="35A388E0">
                  <w:pPr>
                    <w:spacing w:line="240" w:lineRule="auto"/>
                    <w:jc w:val="both"/>
                    <w:rPr>
                      <w:rFonts w:hint="eastAsia" w:ascii="Times New Roman" w:hAnsi="Times New Roman" w:eastAsia="宋体" w:cs="Times New Roman"/>
                      <w:color w:val="auto"/>
                      <w:sz w:val="24"/>
                      <w:lang w:eastAsia="zh-CN"/>
                    </w:rPr>
                  </w:pPr>
                  <w:r>
                    <w:rPr>
                      <w:rFonts w:hint="eastAsia" w:ascii="Times New Roman" w:hAnsi="Times New Roman" w:eastAsia="宋体" w:cs="Times New Roman"/>
                      <w:color w:val="auto"/>
                      <w:sz w:val="24"/>
                      <w:lang w:eastAsia="zh-CN"/>
                    </w:rPr>
                    <w:drawing>
                      <wp:inline distT="0" distB="0" distL="114300" distR="114300">
                        <wp:extent cx="2324735" cy="1743710"/>
                        <wp:effectExtent l="0" t="0" r="18415" b="8890"/>
                        <wp:docPr id="26" name="图片 26" descr="75ecf1666aad55998f5e615708965e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75ecf1666aad55998f5e615708965ec1"/>
                                <pic:cNvPicPr>
                                  <a:picLocks noChangeAspect="1"/>
                                </pic:cNvPicPr>
                              </pic:nvPicPr>
                              <pic:blipFill>
                                <a:blip r:embed="rId33"/>
                                <a:stretch>
                                  <a:fillRect/>
                                </a:stretch>
                              </pic:blipFill>
                              <pic:spPr>
                                <a:xfrm>
                                  <a:off x="0" y="0"/>
                                  <a:ext cx="2324735" cy="1743710"/>
                                </a:xfrm>
                                <a:prstGeom prst="rect">
                                  <a:avLst/>
                                </a:prstGeom>
                              </pic:spPr>
                            </pic:pic>
                          </a:graphicData>
                        </a:graphic>
                      </wp:inline>
                    </w:drawing>
                  </w:r>
                </w:p>
              </w:tc>
            </w:tr>
            <w:tr w14:paraId="78EF9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trPr>
              <w:tc>
                <w:tcPr>
                  <w:tcW w:w="3949" w:type="dxa"/>
                  <w:noWrap w:val="0"/>
                  <w:vAlign w:val="center"/>
                </w:tcPr>
                <w:p w14:paraId="184F3847">
                  <w:pPr>
                    <w:spacing w:line="240" w:lineRule="auto"/>
                    <w:jc w:val="center"/>
                    <w:rPr>
                      <w:rFonts w:hint="default" w:ascii="Times New Roman" w:hAnsi="Times New Roman"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1#</w:t>
                  </w:r>
                  <w:r>
                    <w:rPr>
                      <w:rFonts w:hint="default" w:ascii="Times New Roman" w:hAnsi="Times New Roman" w:cs="Times New Roman"/>
                      <w:color w:val="auto"/>
                      <w:sz w:val="21"/>
                      <w:szCs w:val="21"/>
                    </w:rPr>
                    <w:t>危废贮存库内</w:t>
                  </w:r>
                </w:p>
              </w:tc>
              <w:tc>
                <w:tcPr>
                  <w:tcW w:w="3950" w:type="dxa"/>
                  <w:noWrap w:val="0"/>
                  <w:vAlign w:val="center"/>
                </w:tcPr>
                <w:p w14:paraId="1AD10578">
                  <w:pPr>
                    <w:spacing w:line="240" w:lineRule="auto"/>
                    <w:jc w:val="center"/>
                    <w:rPr>
                      <w:rFonts w:hint="default" w:ascii="Times New Roman" w:hAnsi="Times New Roman"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1#</w:t>
                  </w:r>
                  <w:r>
                    <w:rPr>
                      <w:rFonts w:hint="default" w:ascii="Times New Roman" w:hAnsi="Times New Roman" w:cs="Times New Roman"/>
                      <w:color w:val="auto"/>
                      <w:sz w:val="21"/>
                      <w:szCs w:val="21"/>
                    </w:rPr>
                    <w:t>危废贮存库外</w:t>
                  </w:r>
                </w:p>
              </w:tc>
            </w:tr>
            <w:tr w14:paraId="2838E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trPr>
              <w:tc>
                <w:tcPr>
                  <w:tcW w:w="3949" w:type="dxa"/>
                  <w:noWrap w:val="0"/>
                  <w:vAlign w:val="center"/>
                </w:tcPr>
                <w:p w14:paraId="19BF4204">
                  <w:pPr>
                    <w:spacing w:line="240" w:lineRule="auto"/>
                    <w:jc w:val="center"/>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drawing>
                      <wp:inline distT="0" distB="0" distL="114300" distR="114300">
                        <wp:extent cx="2362835" cy="1772285"/>
                        <wp:effectExtent l="0" t="0" r="18415" b="18415"/>
                        <wp:docPr id="40" name="图片 40" descr="60fdb303263bc37817aaed3addde04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60fdb303263bc37817aaed3addde046f"/>
                                <pic:cNvPicPr>
                                  <a:picLocks noChangeAspect="1"/>
                                </pic:cNvPicPr>
                              </pic:nvPicPr>
                              <pic:blipFill>
                                <a:blip r:embed="rId34"/>
                                <a:stretch>
                                  <a:fillRect/>
                                </a:stretch>
                              </pic:blipFill>
                              <pic:spPr>
                                <a:xfrm>
                                  <a:off x="0" y="0"/>
                                  <a:ext cx="2362835" cy="1772285"/>
                                </a:xfrm>
                                <a:prstGeom prst="rect">
                                  <a:avLst/>
                                </a:prstGeom>
                              </pic:spPr>
                            </pic:pic>
                          </a:graphicData>
                        </a:graphic>
                      </wp:inline>
                    </w:drawing>
                  </w:r>
                </w:p>
              </w:tc>
              <w:tc>
                <w:tcPr>
                  <w:tcW w:w="3950" w:type="dxa"/>
                  <w:noWrap w:val="0"/>
                  <w:vAlign w:val="center"/>
                </w:tcPr>
                <w:p w14:paraId="5B9B1882">
                  <w:pPr>
                    <w:spacing w:line="240" w:lineRule="auto"/>
                    <w:jc w:val="center"/>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drawing>
                      <wp:inline distT="0" distB="0" distL="114300" distR="114300">
                        <wp:extent cx="2336800" cy="1752600"/>
                        <wp:effectExtent l="0" t="0" r="6350" b="0"/>
                        <wp:docPr id="43" name="图片 43" descr="db10ea804f6e96a9e0b8533aec3cbe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db10ea804f6e96a9e0b8533aec3cbe6a"/>
                                <pic:cNvPicPr>
                                  <a:picLocks noChangeAspect="1"/>
                                </pic:cNvPicPr>
                              </pic:nvPicPr>
                              <pic:blipFill>
                                <a:blip r:embed="rId35"/>
                                <a:stretch>
                                  <a:fillRect/>
                                </a:stretch>
                              </pic:blipFill>
                              <pic:spPr>
                                <a:xfrm>
                                  <a:off x="0" y="0"/>
                                  <a:ext cx="2336800" cy="1752600"/>
                                </a:xfrm>
                                <a:prstGeom prst="rect">
                                  <a:avLst/>
                                </a:prstGeom>
                              </pic:spPr>
                            </pic:pic>
                          </a:graphicData>
                        </a:graphic>
                      </wp:inline>
                    </w:drawing>
                  </w:r>
                </w:p>
              </w:tc>
            </w:tr>
            <w:tr w14:paraId="214D5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trPr>
              <w:tc>
                <w:tcPr>
                  <w:tcW w:w="3949" w:type="dxa"/>
                  <w:noWrap w:val="0"/>
                  <w:vAlign w:val="center"/>
                </w:tcPr>
                <w:p w14:paraId="1CB128EB">
                  <w:pPr>
                    <w:spacing w:line="240" w:lineRule="auto"/>
                    <w:jc w:val="center"/>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2#</w:t>
                  </w:r>
                  <w:r>
                    <w:rPr>
                      <w:rFonts w:hint="default" w:ascii="Times New Roman" w:hAnsi="Times New Roman" w:cs="Times New Roman"/>
                      <w:color w:val="auto"/>
                      <w:sz w:val="21"/>
                      <w:szCs w:val="21"/>
                    </w:rPr>
                    <w:t>危废贮存库内</w:t>
                  </w:r>
                </w:p>
              </w:tc>
              <w:tc>
                <w:tcPr>
                  <w:tcW w:w="3950" w:type="dxa"/>
                  <w:noWrap w:val="0"/>
                  <w:vAlign w:val="center"/>
                </w:tcPr>
                <w:p w14:paraId="61408DEB">
                  <w:pPr>
                    <w:spacing w:line="240" w:lineRule="auto"/>
                    <w:jc w:val="center"/>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2#</w:t>
                  </w:r>
                  <w:r>
                    <w:rPr>
                      <w:rFonts w:hint="default" w:ascii="Times New Roman" w:hAnsi="Times New Roman" w:cs="Times New Roman"/>
                      <w:color w:val="auto"/>
                      <w:sz w:val="21"/>
                      <w:szCs w:val="21"/>
                    </w:rPr>
                    <w:t>危废贮存库</w:t>
                  </w:r>
                  <w:r>
                    <w:rPr>
                      <w:rFonts w:hint="eastAsia" w:ascii="Times New Roman" w:hAnsi="Times New Roman" w:cs="Times New Roman"/>
                      <w:color w:val="auto"/>
                      <w:sz w:val="21"/>
                      <w:szCs w:val="21"/>
                      <w:lang w:val="en-US" w:eastAsia="zh-CN"/>
                    </w:rPr>
                    <w:t>外</w:t>
                  </w:r>
                </w:p>
              </w:tc>
            </w:tr>
          </w:tbl>
          <w:p w14:paraId="71C6AC80">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eastAsia="宋体" w:cs="Times New Roman"/>
                <w:bCs/>
                <w:color w:val="auto"/>
                <w:sz w:val="24"/>
                <w:highlight w:val="none"/>
                <w:lang w:val="en-US" w:eastAsia="zh-CN"/>
              </w:rPr>
            </w:pPr>
            <w:r>
              <w:rPr>
                <w:rFonts w:hint="eastAsia" w:eastAsia="宋体" w:cs="Times New Roman"/>
                <w:bCs/>
                <w:color w:val="auto"/>
                <w:sz w:val="24"/>
                <w:highlight w:val="none"/>
                <w:lang w:val="en-US" w:eastAsia="zh-CN"/>
              </w:rPr>
              <w:t xml:space="preserve">危险废物的收集作业应满足如下要求： </w:t>
            </w:r>
          </w:p>
          <w:p w14:paraId="3D189D62">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eastAsia="宋体" w:cs="Times New Roman"/>
                <w:bCs/>
                <w:color w:val="auto"/>
                <w:sz w:val="24"/>
                <w:highlight w:val="none"/>
                <w:lang w:val="en-US" w:eastAsia="zh-CN"/>
              </w:rPr>
            </w:pPr>
            <w:r>
              <w:rPr>
                <w:rFonts w:hint="eastAsia" w:eastAsia="宋体" w:cs="Times New Roman"/>
                <w:bCs/>
                <w:color w:val="auto"/>
                <w:sz w:val="24"/>
                <w:highlight w:val="none"/>
                <w:lang w:val="en-US" w:eastAsia="zh-CN"/>
              </w:rPr>
              <w:t>应根据收集设备、转运车辆以及现场人员等实际情况确定相应作业区域，同时要设置作业界限标志和警示牌</w:t>
            </w:r>
            <w:r>
              <w:rPr>
                <w:rFonts w:hint="eastAsia" w:cs="Times New Roman"/>
                <w:bCs/>
                <w:color w:val="auto"/>
                <w:sz w:val="24"/>
                <w:highlight w:val="none"/>
                <w:lang w:val="en-US" w:eastAsia="zh-CN"/>
              </w:rPr>
              <w:t>；</w:t>
            </w:r>
            <w:r>
              <w:rPr>
                <w:rFonts w:hint="eastAsia" w:eastAsia="宋体" w:cs="Times New Roman"/>
                <w:bCs/>
                <w:color w:val="auto"/>
                <w:sz w:val="24"/>
                <w:highlight w:val="none"/>
                <w:lang w:val="en-US" w:eastAsia="zh-CN"/>
              </w:rPr>
              <w:t>作业区域内应设置危险废物收集专用通道和人员避险通道</w:t>
            </w:r>
            <w:r>
              <w:rPr>
                <w:rFonts w:hint="eastAsia" w:cs="Times New Roman"/>
                <w:bCs/>
                <w:color w:val="auto"/>
                <w:sz w:val="24"/>
                <w:highlight w:val="none"/>
                <w:lang w:val="en-US" w:eastAsia="zh-CN"/>
              </w:rPr>
              <w:t>；</w:t>
            </w:r>
            <w:r>
              <w:rPr>
                <w:rFonts w:hint="eastAsia" w:eastAsia="宋体" w:cs="Times New Roman"/>
                <w:bCs/>
                <w:color w:val="auto"/>
                <w:sz w:val="24"/>
                <w:highlight w:val="none"/>
                <w:lang w:val="en-US" w:eastAsia="zh-CN"/>
              </w:rPr>
              <w:t>收集时应配备必要的收集工具和包装物，以及必要的应急监测设备及应急装备</w:t>
            </w:r>
            <w:r>
              <w:rPr>
                <w:rFonts w:hint="eastAsia" w:cs="Times New Roman"/>
                <w:bCs/>
                <w:color w:val="auto"/>
                <w:sz w:val="24"/>
                <w:highlight w:val="none"/>
                <w:lang w:val="en-US" w:eastAsia="zh-CN"/>
              </w:rPr>
              <w:t>；</w:t>
            </w:r>
            <w:r>
              <w:rPr>
                <w:rFonts w:hint="eastAsia" w:eastAsia="宋体" w:cs="Times New Roman"/>
                <w:bCs/>
                <w:color w:val="auto"/>
                <w:sz w:val="24"/>
                <w:highlight w:val="none"/>
                <w:lang w:val="en-US" w:eastAsia="zh-CN"/>
              </w:rPr>
              <w:t>危险废物收集应参照《危险废物收集贮存运输技术规划》（HJ2025-2012） 附录A填写记录表，并将记录表作为危险废物管理的重要档案妥善保存</w:t>
            </w:r>
            <w:r>
              <w:rPr>
                <w:rFonts w:hint="eastAsia" w:cs="Times New Roman"/>
                <w:bCs/>
                <w:color w:val="auto"/>
                <w:sz w:val="24"/>
                <w:highlight w:val="none"/>
                <w:lang w:val="en-US" w:eastAsia="zh-CN"/>
              </w:rPr>
              <w:t>；</w:t>
            </w:r>
            <w:r>
              <w:rPr>
                <w:rFonts w:hint="eastAsia" w:eastAsia="宋体" w:cs="Times New Roman"/>
                <w:bCs/>
                <w:color w:val="auto"/>
                <w:sz w:val="24"/>
                <w:highlight w:val="none"/>
                <w:lang w:val="en-US" w:eastAsia="zh-CN"/>
              </w:rPr>
              <w:t>收集结束后应清理和恢复收集作业区域，确保作业区域环境整洁安全</w:t>
            </w:r>
            <w:r>
              <w:rPr>
                <w:rFonts w:hint="eastAsia" w:cs="Times New Roman"/>
                <w:bCs/>
                <w:color w:val="auto"/>
                <w:sz w:val="24"/>
                <w:highlight w:val="none"/>
                <w:lang w:val="en-US" w:eastAsia="zh-CN"/>
              </w:rPr>
              <w:t>；</w:t>
            </w:r>
            <w:r>
              <w:rPr>
                <w:rFonts w:hint="eastAsia" w:eastAsia="宋体" w:cs="Times New Roman"/>
                <w:bCs/>
                <w:color w:val="auto"/>
                <w:sz w:val="24"/>
                <w:highlight w:val="none"/>
                <w:lang w:val="en-US" w:eastAsia="zh-CN"/>
              </w:rPr>
              <w:t>收集过危险废物的容器、设备、设施、场所及其它物品转作他用时，应消除污染，确保其使用安全。</w:t>
            </w:r>
          </w:p>
          <w:p w14:paraId="3369E295">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eastAsia="宋体" w:cs="Times New Roman"/>
                <w:bCs/>
                <w:color w:val="auto"/>
                <w:sz w:val="24"/>
                <w:highlight w:val="none"/>
                <w:lang w:val="en-US" w:eastAsia="zh-CN"/>
              </w:rPr>
            </w:pPr>
            <w:r>
              <w:rPr>
                <w:rFonts w:hint="eastAsia" w:eastAsia="宋体" w:cs="Times New Roman"/>
                <w:bCs/>
                <w:color w:val="auto"/>
                <w:sz w:val="24"/>
                <w:highlight w:val="none"/>
                <w:lang w:val="en-US" w:eastAsia="zh-CN"/>
              </w:rPr>
              <w:t xml:space="preserve">危险废物内部转运作业应满足如下要求： </w:t>
            </w:r>
          </w:p>
          <w:p w14:paraId="2C7A0DF7">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eastAsia="宋体" w:cs="Times New Roman"/>
                <w:bCs/>
                <w:color w:val="auto"/>
                <w:sz w:val="24"/>
                <w:highlight w:val="none"/>
                <w:lang w:val="en-US" w:eastAsia="zh-CN"/>
              </w:rPr>
            </w:pPr>
            <w:r>
              <w:rPr>
                <w:rFonts w:hint="eastAsia" w:eastAsia="宋体" w:cs="Times New Roman"/>
                <w:bCs/>
                <w:color w:val="auto"/>
                <w:sz w:val="24"/>
                <w:highlight w:val="none"/>
                <w:lang w:val="en-US" w:eastAsia="zh-CN"/>
              </w:rPr>
              <w:t>危险废物内部转运应综合考虑厂区的实际情况确定转运路线，尽量避开办公区和生活区</w:t>
            </w:r>
            <w:r>
              <w:rPr>
                <w:rFonts w:hint="eastAsia" w:cs="Times New Roman"/>
                <w:bCs/>
                <w:color w:val="auto"/>
                <w:sz w:val="24"/>
                <w:highlight w:val="none"/>
                <w:lang w:val="en-US" w:eastAsia="zh-CN"/>
              </w:rPr>
              <w:t>；</w:t>
            </w:r>
            <w:r>
              <w:rPr>
                <w:rFonts w:hint="eastAsia" w:eastAsia="宋体" w:cs="Times New Roman"/>
                <w:bCs/>
                <w:color w:val="auto"/>
                <w:sz w:val="24"/>
                <w:highlight w:val="none"/>
                <w:lang w:val="en-US" w:eastAsia="zh-CN"/>
              </w:rPr>
              <w:t>危险废物内部转运作业应采用专用的工具，危险废物内部转运应参照《危险废物收集贮存运输技术规划》（HJ2025-2012）附录B填写《危险废物厂内转运记录表》</w:t>
            </w:r>
            <w:r>
              <w:rPr>
                <w:rFonts w:hint="eastAsia" w:cs="Times New Roman"/>
                <w:bCs/>
                <w:color w:val="auto"/>
                <w:sz w:val="24"/>
                <w:highlight w:val="none"/>
                <w:lang w:val="en-US" w:eastAsia="zh-CN"/>
              </w:rPr>
              <w:t>；</w:t>
            </w:r>
            <w:r>
              <w:rPr>
                <w:rFonts w:hint="eastAsia" w:eastAsia="宋体" w:cs="Times New Roman"/>
                <w:bCs/>
                <w:color w:val="auto"/>
                <w:sz w:val="24"/>
                <w:highlight w:val="none"/>
                <w:lang w:val="en-US" w:eastAsia="zh-CN"/>
              </w:rPr>
              <w:t xml:space="preserve">危险废物内部转运结束后，应对转运路线进行检查和清理，确保无危险废物遗失在转运路线上，并对转运工具进行清洗。 </w:t>
            </w:r>
          </w:p>
          <w:p w14:paraId="2CA82B45">
            <w:pPr>
              <w:adjustRightInd w:val="0"/>
              <w:snapToGrid w:val="0"/>
              <w:spacing w:line="480" w:lineRule="exact"/>
              <w:ind w:firstLine="480" w:firstLineChars="200"/>
              <w:rPr>
                <w:rFonts w:hint="eastAsia"/>
                <w:bCs/>
                <w:color w:val="auto"/>
                <w:sz w:val="24"/>
              </w:rPr>
            </w:pPr>
            <w:r>
              <w:rPr>
                <w:rFonts w:hint="default"/>
                <w:bCs/>
                <w:color w:val="auto"/>
                <w:sz w:val="24"/>
              </w:rPr>
              <w:t>综上所述，本项目所产生的固体废物均</w:t>
            </w:r>
            <w:r>
              <w:rPr>
                <w:rFonts w:hint="eastAsia"/>
                <w:bCs/>
                <w:color w:val="auto"/>
                <w:sz w:val="24"/>
                <w:lang w:val="en-US" w:eastAsia="zh-CN"/>
              </w:rPr>
              <w:t>能够</w:t>
            </w:r>
            <w:r>
              <w:rPr>
                <w:rFonts w:hint="default"/>
                <w:bCs/>
                <w:color w:val="auto"/>
                <w:sz w:val="24"/>
              </w:rPr>
              <w:t>得到综合利用或合理处置，对周围环境影响较小。</w:t>
            </w:r>
          </w:p>
          <w:p w14:paraId="45A3C29F">
            <w:pPr>
              <w:keepNext w:val="0"/>
              <w:keepLines w:val="0"/>
              <w:pageBreakBefore w:val="0"/>
              <w:widowControl w:val="0"/>
              <w:kinsoku/>
              <w:wordWrap/>
              <w:overflowPunct/>
              <w:topLinePunct w:val="0"/>
              <w:autoSpaceDE/>
              <w:autoSpaceDN/>
              <w:bidi w:val="0"/>
              <w:adjustRightInd w:val="0"/>
              <w:snapToGrid w:val="0"/>
              <w:spacing w:line="480" w:lineRule="exact"/>
              <w:ind w:firstLine="0" w:firstLineChars="0"/>
              <w:jc w:val="center"/>
              <w:textAlignment w:val="auto"/>
              <w:rPr>
                <w:rFonts w:hint="default" w:ascii="Times New Roman" w:hAnsi="Times New Roman" w:eastAsia="黑体" w:cs="Times New Roman"/>
                <w:b w:val="0"/>
                <w:bCs w:val="0"/>
                <w:color w:val="auto"/>
                <w:kern w:val="2"/>
                <w:sz w:val="21"/>
                <w:szCs w:val="21"/>
                <w:highlight w:val="none"/>
                <w:lang w:val="en-US" w:eastAsia="zh-CN" w:bidi="ar-SA"/>
              </w:rPr>
            </w:pPr>
            <w:r>
              <w:rPr>
                <w:rFonts w:hint="default" w:ascii="Times New Roman" w:hAnsi="Times New Roman" w:eastAsia="黑体" w:cs="Times New Roman"/>
                <w:b w:val="0"/>
                <w:bCs w:val="0"/>
                <w:color w:val="auto"/>
                <w:kern w:val="2"/>
                <w:sz w:val="21"/>
                <w:szCs w:val="21"/>
                <w:highlight w:val="none"/>
                <w:lang w:val="en-US" w:eastAsia="zh-CN" w:bidi="ar-SA"/>
              </w:rPr>
              <w:t>表</w:t>
            </w:r>
            <w:r>
              <w:rPr>
                <w:rFonts w:hint="eastAsia" w:eastAsia="黑体" w:cs="Times New Roman"/>
                <w:b w:val="0"/>
                <w:bCs w:val="0"/>
                <w:color w:val="auto"/>
                <w:kern w:val="2"/>
                <w:sz w:val="21"/>
                <w:szCs w:val="21"/>
                <w:highlight w:val="none"/>
                <w:lang w:val="en-US" w:eastAsia="zh-CN" w:bidi="ar-SA"/>
              </w:rPr>
              <w:t>4.8-2</w:t>
            </w:r>
            <w:r>
              <w:rPr>
                <w:rFonts w:hint="default" w:ascii="Times New Roman" w:hAnsi="Times New Roman" w:eastAsia="黑体" w:cs="Times New Roman"/>
                <w:b w:val="0"/>
                <w:bCs w:val="0"/>
                <w:color w:val="auto"/>
                <w:kern w:val="2"/>
                <w:sz w:val="21"/>
                <w:szCs w:val="21"/>
                <w:highlight w:val="none"/>
                <w:lang w:val="en-US" w:eastAsia="zh-CN" w:bidi="ar-SA"/>
              </w:rPr>
              <w:t xml:space="preserve">  </w:t>
            </w:r>
            <w:r>
              <w:rPr>
                <w:rFonts w:hint="eastAsia" w:eastAsia="黑体" w:cs="Times New Roman"/>
                <w:b w:val="0"/>
                <w:bCs w:val="0"/>
                <w:color w:val="auto"/>
                <w:kern w:val="2"/>
                <w:sz w:val="21"/>
                <w:szCs w:val="21"/>
                <w:highlight w:val="none"/>
                <w:lang w:val="en-US" w:eastAsia="zh-CN" w:bidi="ar-SA"/>
              </w:rPr>
              <w:t xml:space="preserve"> </w:t>
            </w:r>
            <w:r>
              <w:rPr>
                <w:rFonts w:hint="default" w:ascii="Times New Roman" w:hAnsi="Times New Roman" w:eastAsia="黑体" w:cs="Times New Roman"/>
                <w:b w:val="0"/>
                <w:bCs w:val="0"/>
                <w:color w:val="auto"/>
                <w:kern w:val="2"/>
                <w:sz w:val="21"/>
                <w:szCs w:val="21"/>
                <w:highlight w:val="none"/>
                <w:lang w:val="en-US" w:eastAsia="zh-CN" w:bidi="ar-SA"/>
              </w:rPr>
              <w:t>项目危险废物汇总情况</w:t>
            </w:r>
          </w:p>
          <w:tbl>
            <w:tblPr>
              <w:tblStyle w:val="26"/>
              <w:tblW w:w="7937"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44"/>
              <w:gridCol w:w="885"/>
              <w:gridCol w:w="1198"/>
              <w:gridCol w:w="898"/>
              <w:gridCol w:w="756"/>
              <w:gridCol w:w="532"/>
              <w:gridCol w:w="590"/>
              <w:gridCol w:w="599"/>
              <w:gridCol w:w="1735"/>
            </w:tblGrid>
            <w:tr w14:paraId="413D824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68" w:type="pct"/>
                  <w:vAlign w:val="center"/>
                </w:tcPr>
                <w:p w14:paraId="0B759ABA">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名称</w:t>
                  </w:r>
                </w:p>
              </w:tc>
              <w:tc>
                <w:tcPr>
                  <w:tcW w:w="557" w:type="pct"/>
                  <w:vAlign w:val="center"/>
                </w:tcPr>
                <w:p w14:paraId="0E0087A8">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危险废物类别</w:t>
                  </w:r>
                </w:p>
              </w:tc>
              <w:tc>
                <w:tcPr>
                  <w:tcW w:w="754" w:type="pct"/>
                  <w:vAlign w:val="center"/>
                </w:tcPr>
                <w:p w14:paraId="35256557">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危险废物代码</w:t>
                  </w:r>
                </w:p>
              </w:tc>
              <w:tc>
                <w:tcPr>
                  <w:tcW w:w="565" w:type="pct"/>
                  <w:vAlign w:val="center"/>
                </w:tcPr>
                <w:p w14:paraId="390F11C6">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产生量（t/a）</w:t>
                  </w:r>
                </w:p>
              </w:tc>
              <w:tc>
                <w:tcPr>
                  <w:tcW w:w="476" w:type="pct"/>
                  <w:vAlign w:val="center"/>
                </w:tcPr>
                <w:p w14:paraId="323283DB">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产生工序及装置</w:t>
                  </w:r>
                </w:p>
              </w:tc>
              <w:tc>
                <w:tcPr>
                  <w:tcW w:w="335" w:type="pct"/>
                  <w:vAlign w:val="center"/>
                </w:tcPr>
                <w:p w14:paraId="4DC803E1">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形态</w:t>
                  </w:r>
                </w:p>
              </w:tc>
              <w:tc>
                <w:tcPr>
                  <w:tcW w:w="371" w:type="pct"/>
                  <w:vAlign w:val="center"/>
                </w:tcPr>
                <w:p w14:paraId="29BD7D15">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有害成分</w:t>
                  </w:r>
                </w:p>
              </w:tc>
              <w:tc>
                <w:tcPr>
                  <w:tcW w:w="377" w:type="pct"/>
                  <w:vAlign w:val="center"/>
                </w:tcPr>
                <w:p w14:paraId="28AB1B46">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危险</w:t>
                  </w:r>
                </w:p>
                <w:p w14:paraId="771561F5">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特性</w:t>
                  </w:r>
                </w:p>
              </w:tc>
              <w:tc>
                <w:tcPr>
                  <w:tcW w:w="1092" w:type="pct"/>
                  <w:vAlign w:val="center"/>
                </w:tcPr>
                <w:p w14:paraId="693FD4D2">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污染防治措施</w:t>
                  </w:r>
                </w:p>
              </w:tc>
            </w:tr>
            <w:tr w14:paraId="0B9080C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68" w:type="pct"/>
                  <w:vAlign w:val="center"/>
                </w:tcPr>
                <w:p w14:paraId="179564CE">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废矿物油</w:t>
                  </w:r>
                </w:p>
              </w:tc>
              <w:tc>
                <w:tcPr>
                  <w:tcW w:w="557" w:type="pct"/>
                  <w:vAlign w:val="center"/>
                </w:tcPr>
                <w:p w14:paraId="64075185">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HW08</w:t>
                  </w:r>
                </w:p>
              </w:tc>
              <w:tc>
                <w:tcPr>
                  <w:tcW w:w="754" w:type="pct"/>
                  <w:vAlign w:val="center"/>
                </w:tcPr>
                <w:p w14:paraId="1EFF6CCE">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eastAsia" w:ascii="Times New Roman" w:hAnsi="Times New Roman" w:eastAsia="宋体" w:cs="Times New Roman"/>
                      <w:color w:val="auto"/>
                      <w:kern w:val="0"/>
                      <w:sz w:val="21"/>
                      <w:szCs w:val="21"/>
                      <w:highlight w:val="none"/>
                      <w:lang w:eastAsia="zh-CN"/>
                    </w:rPr>
                  </w:pPr>
                  <w:r>
                    <w:rPr>
                      <w:rFonts w:hint="eastAsia" w:ascii="Times New Roman" w:hAnsi="Times New Roman" w:eastAsia="宋体" w:cs="Times New Roman"/>
                      <w:color w:val="auto"/>
                      <w:kern w:val="0"/>
                      <w:sz w:val="21"/>
                      <w:szCs w:val="21"/>
                      <w:highlight w:val="none"/>
                      <w:lang w:eastAsia="zh-CN"/>
                    </w:rPr>
                    <w:t>900-2</w:t>
                  </w:r>
                  <w:r>
                    <w:rPr>
                      <w:rFonts w:hint="eastAsia" w:cs="Times New Roman"/>
                      <w:color w:val="auto"/>
                      <w:kern w:val="0"/>
                      <w:sz w:val="21"/>
                      <w:szCs w:val="21"/>
                      <w:highlight w:val="none"/>
                      <w:lang w:val="en-US" w:eastAsia="zh-CN"/>
                    </w:rPr>
                    <w:t>14</w:t>
                  </w:r>
                  <w:r>
                    <w:rPr>
                      <w:rFonts w:hint="eastAsia" w:ascii="Times New Roman" w:hAnsi="Times New Roman" w:eastAsia="宋体" w:cs="Times New Roman"/>
                      <w:color w:val="auto"/>
                      <w:kern w:val="0"/>
                      <w:sz w:val="21"/>
                      <w:szCs w:val="21"/>
                      <w:highlight w:val="none"/>
                      <w:lang w:eastAsia="zh-CN"/>
                    </w:rPr>
                    <w:t>-08</w:t>
                  </w:r>
                </w:p>
              </w:tc>
              <w:tc>
                <w:tcPr>
                  <w:tcW w:w="565" w:type="pct"/>
                  <w:vAlign w:val="center"/>
                </w:tcPr>
                <w:p w14:paraId="54606FAA">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0.2</w:t>
                  </w:r>
                </w:p>
              </w:tc>
              <w:tc>
                <w:tcPr>
                  <w:tcW w:w="476" w:type="pct"/>
                  <w:vMerge w:val="restart"/>
                  <w:vAlign w:val="center"/>
                </w:tcPr>
                <w:p w14:paraId="52F48506">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设备维修保养</w:t>
                  </w:r>
                </w:p>
              </w:tc>
              <w:tc>
                <w:tcPr>
                  <w:tcW w:w="335" w:type="pct"/>
                  <w:vAlign w:val="center"/>
                </w:tcPr>
                <w:p w14:paraId="6FE017DC">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液态</w:t>
                  </w:r>
                </w:p>
              </w:tc>
              <w:tc>
                <w:tcPr>
                  <w:tcW w:w="371" w:type="pct"/>
                  <w:vMerge w:val="restart"/>
                  <w:vAlign w:val="center"/>
                </w:tcPr>
                <w:p w14:paraId="497EA248">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石油类</w:t>
                  </w:r>
                </w:p>
              </w:tc>
              <w:tc>
                <w:tcPr>
                  <w:tcW w:w="377" w:type="pct"/>
                  <w:vAlign w:val="center"/>
                </w:tcPr>
                <w:p w14:paraId="10A33417">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T，I</w:t>
                  </w:r>
                </w:p>
              </w:tc>
              <w:tc>
                <w:tcPr>
                  <w:tcW w:w="1092" w:type="pct"/>
                  <w:vMerge w:val="restart"/>
                  <w:vAlign w:val="center"/>
                </w:tcPr>
                <w:p w14:paraId="69C422BE">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贮存于</w:t>
                  </w:r>
                  <w:r>
                    <w:rPr>
                      <w:rFonts w:hint="eastAsia" w:cs="Times New Roman"/>
                      <w:color w:val="auto"/>
                      <w:kern w:val="0"/>
                      <w:sz w:val="21"/>
                      <w:szCs w:val="21"/>
                      <w:highlight w:val="none"/>
                      <w:lang w:val="en-US" w:eastAsia="zh-CN"/>
                    </w:rPr>
                    <w:t>厂区现有</w:t>
                  </w:r>
                  <w:r>
                    <w:rPr>
                      <w:rFonts w:hint="eastAsia" w:ascii="Times New Roman" w:hAnsi="Times New Roman" w:eastAsia="宋体" w:cs="Times New Roman"/>
                      <w:color w:val="auto"/>
                      <w:kern w:val="0"/>
                      <w:sz w:val="21"/>
                      <w:szCs w:val="21"/>
                      <w:highlight w:val="none"/>
                      <w:lang w:eastAsia="zh-CN"/>
                    </w:rPr>
                    <w:t>危废贮存库</w:t>
                  </w:r>
                  <w:r>
                    <w:rPr>
                      <w:rFonts w:hint="default" w:ascii="Times New Roman" w:hAnsi="Times New Roman" w:eastAsia="宋体" w:cs="Times New Roman"/>
                      <w:color w:val="auto"/>
                      <w:kern w:val="0"/>
                      <w:sz w:val="21"/>
                      <w:szCs w:val="21"/>
                      <w:highlight w:val="none"/>
                    </w:rPr>
                    <w:t>内，定期由有资质的单位处置</w:t>
                  </w:r>
                </w:p>
              </w:tc>
            </w:tr>
            <w:tr w14:paraId="61CC4F2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68" w:type="pct"/>
                  <w:vAlign w:val="center"/>
                </w:tcPr>
                <w:p w14:paraId="72B98EF5">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废油桶</w:t>
                  </w:r>
                </w:p>
              </w:tc>
              <w:tc>
                <w:tcPr>
                  <w:tcW w:w="557" w:type="pct"/>
                  <w:vAlign w:val="center"/>
                </w:tcPr>
                <w:p w14:paraId="57BAC2DC">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HW49</w:t>
                  </w:r>
                </w:p>
              </w:tc>
              <w:tc>
                <w:tcPr>
                  <w:tcW w:w="754" w:type="pct"/>
                  <w:vAlign w:val="center"/>
                </w:tcPr>
                <w:p w14:paraId="62AD10E0">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900-041-49</w:t>
                  </w:r>
                </w:p>
              </w:tc>
              <w:tc>
                <w:tcPr>
                  <w:tcW w:w="565" w:type="pct"/>
                  <w:vAlign w:val="center"/>
                </w:tcPr>
                <w:p w14:paraId="55A0904F">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0.01</w:t>
                  </w:r>
                </w:p>
              </w:tc>
              <w:tc>
                <w:tcPr>
                  <w:tcW w:w="476" w:type="pct"/>
                  <w:vMerge w:val="continue"/>
                  <w:vAlign w:val="center"/>
                </w:tcPr>
                <w:p w14:paraId="2A24E469">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rPr>
                  </w:pPr>
                </w:p>
              </w:tc>
              <w:tc>
                <w:tcPr>
                  <w:tcW w:w="335" w:type="pct"/>
                  <w:vAlign w:val="center"/>
                </w:tcPr>
                <w:p w14:paraId="23A2F9F9">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固态</w:t>
                  </w:r>
                </w:p>
              </w:tc>
              <w:tc>
                <w:tcPr>
                  <w:tcW w:w="371" w:type="pct"/>
                  <w:vMerge w:val="continue"/>
                  <w:vAlign w:val="center"/>
                </w:tcPr>
                <w:p w14:paraId="319A5CFB">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rPr>
                  </w:pPr>
                </w:p>
              </w:tc>
              <w:tc>
                <w:tcPr>
                  <w:tcW w:w="377" w:type="pct"/>
                  <w:vAlign w:val="center"/>
                </w:tcPr>
                <w:p w14:paraId="71EF2447">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T/In</w:t>
                  </w:r>
                </w:p>
              </w:tc>
              <w:tc>
                <w:tcPr>
                  <w:tcW w:w="1092" w:type="pct"/>
                  <w:vMerge w:val="continue"/>
                  <w:vAlign w:val="center"/>
                </w:tcPr>
                <w:p w14:paraId="66DCF8E1">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rPr>
                  </w:pPr>
                </w:p>
              </w:tc>
            </w:tr>
          </w:tbl>
          <w:p w14:paraId="6F74ED48">
            <w:pPr>
              <w:keepNext w:val="0"/>
              <w:keepLines w:val="0"/>
              <w:pageBreakBefore w:val="0"/>
              <w:widowControl w:val="0"/>
              <w:kinsoku/>
              <w:wordWrap/>
              <w:overflowPunct/>
              <w:topLinePunct w:val="0"/>
              <w:bidi w:val="0"/>
              <w:adjustRightInd w:val="0"/>
              <w:snapToGrid w:val="0"/>
              <w:spacing w:line="480" w:lineRule="exact"/>
              <w:ind w:firstLine="482" w:firstLineChars="200"/>
              <w:textAlignment w:val="auto"/>
              <w:rPr>
                <w:rFonts w:hint="default" w:ascii="Times New Roman" w:hAnsi="Times New Roman" w:eastAsia="宋体" w:cs="Times New Roman"/>
                <w:b/>
                <w:color w:val="auto"/>
                <w:sz w:val="24"/>
                <w:szCs w:val="24"/>
                <w:highlight w:val="none"/>
              </w:rPr>
            </w:pPr>
            <w:r>
              <w:rPr>
                <w:rFonts w:hint="eastAsia" w:ascii="Times New Roman" w:hAnsi="Times New Roman" w:eastAsia="宋体" w:cs="Times New Roman"/>
                <w:b/>
                <w:color w:val="auto"/>
                <w:sz w:val="24"/>
                <w:szCs w:val="24"/>
                <w:highlight w:val="none"/>
                <w:lang w:val="en-US" w:eastAsia="zh-CN"/>
              </w:rPr>
              <w:t>4.9 地下水</w:t>
            </w:r>
            <w:r>
              <w:rPr>
                <w:rFonts w:hint="eastAsia" w:ascii="Times New Roman" w:hAnsi="Times New Roman" w:eastAsia="宋体" w:cs="Times New Roman"/>
                <w:b/>
                <w:color w:val="auto"/>
                <w:sz w:val="24"/>
                <w:szCs w:val="24"/>
                <w:highlight w:val="none"/>
                <w:lang w:eastAsia="zh-CN"/>
              </w:rPr>
              <w:t>、</w:t>
            </w:r>
            <w:r>
              <w:rPr>
                <w:rFonts w:hint="default" w:ascii="Times New Roman" w:hAnsi="Times New Roman" w:eastAsia="宋体" w:cs="Times New Roman"/>
                <w:b/>
                <w:color w:val="auto"/>
                <w:sz w:val="24"/>
                <w:szCs w:val="24"/>
                <w:highlight w:val="none"/>
              </w:rPr>
              <w:t>土壤</w:t>
            </w:r>
          </w:p>
          <w:p w14:paraId="2C9D1C31">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1.</w:t>
            </w:r>
            <w:r>
              <w:rPr>
                <w:rFonts w:hint="default" w:ascii="Times New Roman" w:hAnsi="Times New Roman" w:eastAsia="宋体" w:cs="Times New Roman"/>
                <w:bCs/>
                <w:color w:val="auto"/>
                <w:sz w:val="24"/>
                <w:highlight w:val="none"/>
              </w:rPr>
              <w:t>污染源</w:t>
            </w:r>
            <w:r>
              <w:rPr>
                <w:rFonts w:hint="default" w:ascii="Times New Roman" w:hAnsi="Times New Roman" w:eastAsia="宋体" w:cs="Times New Roman"/>
                <w:bCs/>
                <w:color w:val="auto"/>
                <w:sz w:val="24"/>
                <w:highlight w:val="none"/>
                <w:lang w:val="en-US" w:eastAsia="zh-CN"/>
              </w:rPr>
              <w:t>和污染途径</w:t>
            </w:r>
          </w:p>
          <w:p w14:paraId="654103B4">
            <w:pPr>
              <w:pStyle w:val="48"/>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rPr>
                <w:rFonts w:hint="default" w:ascii="Times New Roman" w:hAnsi="Times New Roman" w:eastAsia="宋体" w:cs="Times New Roman"/>
                <w:b w:val="0"/>
                <w:color w:val="auto"/>
                <w:sz w:val="24"/>
                <w:szCs w:val="24"/>
                <w:highlight w:val="none"/>
                <w:lang w:val="en-US" w:eastAsia="zh-CN"/>
              </w:rPr>
            </w:pPr>
            <w:r>
              <w:rPr>
                <w:rFonts w:hint="default" w:ascii="Times New Roman" w:hAnsi="Times New Roman" w:cs="Times New Roman"/>
                <w:b w:val="0"/>
                <w:color w:val="auto"/>
                <w:sz w:val="24"/>
                <w:szCs w:val="24"/>
                <w:highlight w:val="none"/>
              </w:rPr>
              <w:t>项目运行期对地下水及土壤的主要污染源为危废</w:t>
            </w:r>
            <w:r>
              <w:rPr>
                <w:rFonts w:hint="eastAsia" w:ascii="Times New Roman" w:hAnsi="Times New Roman" w:cs="Times New Roman"/>
                <w:b w:val="0"/>
                <w:color w:val="auto"/>
                <w:sz w:val="24"/>
                <w:szCs w:val="24"/>
                <w:highlight w:val="none"/>
                <w:lang w:val="en-US" w:eastAsia="zh-CN"/>
              </w:rPr>
              <w:t>贮存库</w:t>
            </w:r>
            <w:r>
              <w:rPr>
                <w:rFonts w:hint="default" w:ascii="Times New Roman" w:hAnsi="Times New Roman" w:cs="Times New Roman"/>
                <w:b w:val="0"/>
                <w:color w:val="auto"/>
                <w:sz w:val="24"/>
                <w:szCs w:val="24"/>
                <w:highlight w:val="none"/>
              </w:rPr>
              <w:t>、</w:t>
            </w:r>
            <w:r>
              <w:rPr>
                <w:rFonts w:hint="eastAsia" w:ascii="Times New Roman" w:hAnsi="Times New Roman" w:cs="Times New Roman"/>
                <w:b w:val="0"/>
                <w:color w:val="auto"/>
                <w:sz w:val="24"/>
                <w:szCs w:val="24"/>
                <w:highlight w:val="none"/>
                <w:lang w:val="en-US" w:eastAsia="zh-CN"/>
              </w:rPr>
              <w:t>雨水收集池</w:t>
            </w:r>
            <w:r>
              <w:rPr>
                <w:rFonts w:hint="default" w:ascii="Times New Roman" w:hAnsi="Times New Roman" w:cs="Times New Roman"/>
                <w:b w:val="0"/>
                <w:color w:val="auto"/>
                <w:sz w:val="24"/>
                <w:szCs w:val="24"/>
                <w:highlight w:val="none"/>
              </w:rPr>
              <w:t>。针对以上情况，本评价要求建设单位对危废</w:t>
            </w:r>
            <w:r>
              <w:rPr>
                <w:rFonts w:hint="eastAsia" w:ascii="Times New Roman" w:hAnsi="Times New Roman" w:cs="Times New Roman"/>
                <w:b w:val="0"/>
                <w:color w:val="auto"/>
                <w:sz w:val="24"/>
                <w:szCs w:val="24"/>
                <w:highlight w:val="none"/>
                <w:lang w:val="en-US" w:eastAsia="zh-CN"/>
              </w:rPr>
              <w:t>贮存库</w:t>
            </w:r>
            <w:r>
              <w:rPr>
                <w:rFonts w:hint="default" w:ascii="Times New Roman" w:hAnsi="Times New Roman" w:cs="Times New Roman"/>
                <w:b w:val="0"/>
                <w:color w:val="auto"/>
                <w:sz w:val="24"/>
                <w:szCs w:val="24"/>
                <w:highlight w:val="none"/>
              </w:rPr>
              <w:t>、</w:t>
            </w:r>
            <w:r>
              <w:rPr>
                <w:rFonts w:hint="eastAsia" w:ascii="Times New Roman" w:hAnsi="Times New Roman" w:cs="Times New Roman"/>
                <w:b w:val="0"/>
                <w:color w:val="auto"/>
                <w:sz w:val="24"/>
                <w:szCs w:val="24"/>
                <w:highlight w:val="none"/>
                <w:lang w:val="en-US" w:eastAsia="zh-CN"/>
              </w:rPr>
              <w:t>雨水收集池</w:t>
            </w:r>
            <w:r>
              <w:rPr>
                <w:rFonts w:hint="default" w:ascii="Times New Roman" w:hAnsi="Times New Roman" w:cs="Times New Roman"/>
                <w:b w:val="0"/>
                <w:color w:val="auto"/>
                <w:sz w:val="24"/>
                <w:szCs w:val="24"/>
                <w:highlight w:val="none"/>
              </w:rPr>
              <w:t>等及时检查并做好防渗处理，防止污染地下水及土壤的事故发生。</w:t>
            </w:r>
          </w:p>
          <w:p w14:paraId="1CF0F0F3">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2.防控措施</w:t>
            </w:r>
          </w:p>
          <w:p w14:paraId="184D5301">
            <w:pPr>
              <w:keepNext w:val="0"/>
              <w:keepLines w:val="0"/>
              <w:pageBreakBefore w:val="0"/>
              <w:widowControl w:val="0"/>
              <w:kinsoku/>
              <w:wordWrap/>
              <w:overflowPunct/>
              <w:topLinePunct w:val="0"/>
              <w:bidi w:val="0"/>
              <w:adjustRightInd w:val="0"/>
              <w:snapToGrid w:val="0"/>
              <w:spacing w:line="480" w:lineRule="exact"/>
              <w:ind w:firstLine="480" w:firstLineChars="200"/>
              <w:textAlignment w:val="auto"/>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（1）源头控制</w:t>
            </w:r>
          </w:p>
          <w:p w14:paraId="1D5DFEA5">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加强对危废贮存库的管理，缩短废矿物油在厂内的暂存时间，及时将危险废物交由具有相应危废处置资质的单位进行处理；随时监护危废贮存库地面的维护管理，保证地面不存在破损现象。</w:t>
            </w:r>
          </w:p>
          <w:p w14:paraId="607B809B">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危废贮存库</w:t>
            </w:r>
            <w:r>
              <w:rPr>
                <w:rFonts w:hint="default" w:ascii="Times New Roman" w:hAnsi="Times New Roman" w:eastAsia="宋体" w:cs="Times New Roman"/>
                <w:color w:val="auto"/>
                <w:sz w:val="24"/>
                <w:highlight w:val="none"/>
                <w:lang w:val="en-US" w:eastAsia="zh-CN"/>
              </w:rPr>
              <w:t>做好</w:t>
            </w:r>
            <w:r>
              <w:rPr>
                <w:rFonts w:hint="eastAsia" w:ascii="Times New Roman" w:hAnsi="Times New Roman" w:eastAsia="宋体" w:cs="Times New Roman"/>
                <w:color w:val="auto"/>
                <w:kern w:val="2"/>
                <w:sz w:val="24"/>
                <w:highlight w:val="none"/>
                <w:lang w:val="en-US" w:eastAsia="zh-CN"/>
              </w:rPr>
              <w:t>防风、</w:t>
            </w:r>
            <w:r>
              <w:rPr>
                <w:rFonts w:hint="eastAsia" w:cs="Times New Roman"/>
                <w:color w:val="auto"/>
                <w:kern w:val="2"/>
                <w:sz w:val="24"/>
                <w:highlight w:val="none"/>
                <w:lang w:val="en-US" w:eastAsia="zh-CN"/>
              </w:rPr>
              <w:t>防晒、</w:t>
            </w:r>
            <w:r>
              <w:rPr>
                <w:rFonts w:hint="eastAsia" w:ascii="Times New Roman" w:hAnsi="Times New Roman" w:eastAsia="宋体" w:cs="Times New Roman"/>
                <w:color w:val="auto"/>
                <w:kern w:val="2"/>
                <w:sz w:val="24"/>
                <w:highlight w:val="none"/>
                <w:lang w:val="en-US" w:eastAsia="zh-CN"/>
              </w:rPr>
              <w:t>防雨、</w:t>
            </w:r>
            <w:r>
              <w:rPr>
                <w:rFonts w:hint="eastAsia" w:cs="Times New Roman"/>
                <w:color w:val="auto"/>
                <w:kern w:val="2"/>
                <w:sz w:val="24"/>
                <w:highlight w:val="none"/>
                <w:lang w:val="en-US" w:eastAsia="zh-CN"/>
              </w:rPr>
              <w:t>防漏、</w:t>
            </w:r>
            <w:r>
              <w:rPr>
                <w:rFonts w:hint="eastAsia" w:ascii="Times New Roman" w:hAnsi="Times New Roman" w:eastAsia="宋体" w:cs="Times New Roman"/>
                <w:color w:val="auto"/>
                <w:kern w:val="2"/>
                <w:sz w:val="24"/>
                <w:highlight w:val="none"/>
                <w:lang w:val="en-US" w:eastAsia="zh-CN"/>
              </w:rPr>
              <w:t>防</w:t>
            </w:r>
            <w:r>
              <w:rPr>
                <w:rFonts w:hint="eastAsia" w:cs="Times New Roman"/>
                <w:color w:val="auto"/>
                <w:kern w:val="2"/>
                <w:sz w:val="24"/>
                <w:highlight w:val="none"/>
                <w:lang w:val="en-US" w:eastAsia="zh-CN"/>
              </w:rPr>
              <w:t>渗、防腐</w:t>
            </w:r>
            <w:r>
              <w:rPr>
                <w:rFonts w:hint="default" w:ascii="Times New Roman" w:hAnsi="Times New Roman" w:eastAsia="宋体" w:cs="Times New Roman"/>
                <w:color w:val="auto"/>
                <w:sz w:val="24"/>
                <w:highlight w:val="none"/>
                <w:lang w:val="en-US" w:eastAsia="zh-CN"/>
              </w:rPr>
              <w:t>措施。加强对</w:t>
            </w:r>
            <w:r>
              <w:rPr>
                <w:rFonts w:hint="eastAsia" w:ascii="Times New Roman" w:hAnsi="Times New Roman" w:eastAsia="宋体" w:cs="Times New Roman"/>
                <w:color w:val="auto"/>
                <w:sz w:val="24"/>
                <w:highlight w:val="none"/>
                <w:lang w:val="en-US" w:eastAsia="zh-CN"/>
              </w:rPr>
              <w:t>废矿物油</w:t>
            </w:r>
            <w:r>
              <w:rPr>
                <w:rFonts w:hint="default" w:ascii="Times New Roman" w:hAnsi="Times New Roman" w:eastAsia="宋体" w:cs="Times New Roman"/>
                <w:color w:val="auto"/>
                <w:sz w:val="24"/>
                <w:highlight w:val="none"/>
                <w:lang w:val="en-US" w:eastAsia="zh-CN"/>
              </w:rPr>
              <w:t>贮存包装的管理，一旦发现有破损现象须及时更换包装，防止发生泄漏进入土壤及地下水。</w:t>
            </w:r>
          </w:p>
          <w:p w14:paraId="33C58E8C">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根据《环境影响评价技术导则-地下水环境》（HJ610-2016），结合项目总平面布置情况，本项目厂区分为重点防渗区、一般防渗区</w:t>
            </w:r>
            <w:r>
              <w:rPr>
                <w:rFonts w:hint="eastAsia" w:cs="Times New Roman"/>
                <w:color w:val="auto"/>
                <w:sz w:val="24"/>
                <w:highlight w:val="none"/>
                <w:lang w:val="en-US" w:eastAsia="zh-CN"/>
              </w:rPr>
              <w:t>、简单防渗区</w:t>
            </w:r>
            <w:r>
              <w:rPr>
                <w:rFonts w:hint="eastAsia" w:ascii="Times New Roman" w:hAnsi="Times New Roman" w:eastAsia="宋体" w:cs="Times New Roman"/>
                <w:color w:val="auto"/>
                <w:sz w:val="24"/>
                <w:highlight w:val="none"/>
                <w:lang w:val="en-US" w:eastAsia="zh-CN"/>
              </w:rPr>
              <w:t>。</w:t>
            </w:r>
          </w:p>
          <w:p w14:paraId="6F199A2C">
            <w:pPr>
              <w:keepNext w:val="0"/>
              <w:keepLines w:val="0"/>
              <w:pageBreakBefore w:val="0"/>
              <w:widowControl w:val="0"/>
              <w:kinsoku/>
              <w:wordWrap/>
              <w:overflowPunct/>
              <w:topLinePunct w:val="0"/>
              <w:autoSpaceDE/>
              <w:autoSpaceDN/>
              <w:bidi w:val="0"/>
              <w:adjustRightInd w:val="0"/>
              <w:snapToGrid w:val="0"/>
              <w:spacing w:line="480" w:lineRule="exact"/>
              <w:ind w:firstLine="0" w:firstLineChars="0"/>
              <w:jc w:val="center"/>
              <w:textAlignment w:val="auto"/>
              <w:rPr>
                <w:rFonts w:hint="default" w:ascii="Times New Roman" w:hAnsi="Times New Roman" w:eastAsia="黑体" w:cs="Times New Roman"/>
                <w:b w:val="0"/>
                <w:bCs w:val="0"/>
                <w:color w:val="auto"/>
                <w:kern w:val="2"/>
                <w:sz w:val="21"/>
                <w:szCs w:val="21"/>
                <w:highlight w:val="none"/>
                <w:lang w:val="en-US" w:eastAsia="zh-CN" w:bidi="ar-SA"/>
              </w:rPr>
            </w:pPr>
            <w:r>
              <w:rPr>
                <w:rFonts w:hint="default" w:ascii="Times New Roman" w:hAnsi="Times New Roman" w:eastAsia="黑体" w:cs="Times New Roman"/>
                <w:b w:val="0"/>
                <w:bCs w:val="0"/>
                <w:color w:val="auto"/>
                <w:kern w:val="2"/>
                <w:sz w:val="21"/>
                <w:szCs w:val="21"/>
                <w:highlight w:val="none"/>
                <w:lang w:val="en-US" w:eastAsia="zh-CN" w:bidi="ar-SA"/>
              </w:rPr>
              <w:t>表</w:t>
            </w:r>
            <w:r>
              <w:rPr>
                <w:rFonts w:hint="eastAsia" w:eastAsia="黑体" w:cs="Times New Roman"/>
                <w:b w:val="0"/>
                <w:bCs w:val="0"/>
                <w:color w:val="auto"/>
                <w:kern w:val="2"/>
                <w:sz w:val="21"/>
                <w:szCs w:val="21"/>
                <w:highlight w:val="none"/>
                <w:lang w:val="en-US" w:eastAsia="zh-CN" w:bidi="ar-SA"/>
              </w:rPr>
              <w:t>4.9-1</w:t>
            </w:r>
            <w:r>
              <w:rPr>
                <w:rFonts w:hint="default" w:ascii="Times New Roman" w:hAnsi="Times New Roman" w:eastAsia="黑体" w:cs="Times New Roman"/>
                <w:b w:val="0"/>
                <w:bCs w:val="0"/>
                <w:color w:val="auto"/>
                <w:kern w:val="2"/>
                <w:sz w:val="21"/>
                <w:szCs w:val="21"/>
                <w:highlight w:val="none"/>
                <w:lang w:val="en-US" w:eastAsia="zh-CN" w:bidi="ar-SA"/>
              </w:rPr>
              <w:t xml:space="preserve">  防渗分区</w:t>
            </w:r>
            <w:r>
              <w:rPr>
                <w:rFonts w:hint="eastAsia" w:ascii="Times New Roman" w:hAnsi="Times New Roman" w:eastAsia="黑体" w:cs="Times New Roman"/>
                <w:b w:val="0"/>
                <w:bCs w:val="0"/>
                <w:color w:val="auto"/>
                <w:kern w:val="2"/>
                <w:sz w:val="21"/>
                <w:szCs w:val="21"/>
                <w:highlight w:val="none"/>
                <w:lang w:val="en-US" w:eastAsia="zh-CN" w:bidi="ar-SA"/>
              </w:rPr>
              <w:t>及防渗要求</w:t>
            </w:r>
            <w:r>
              <w:rPr>
                <w:rFonts w:hint="default" w:ascii="Times New Roman" w:hAnsi="Times New Roman" w:eastAsia="黑体" w:cs="Times New Roman"/>
                <w:b w:val="0"/>
                <w:bCs w:val="0"/>
                <w:color w:val="auto"/>
                <w:kern w:val="2"/>
                <w:sz w:val="21"/>
                <w:szCs w:val="21"/>
                <w:highlight w:val="none"/>
                <w:lang w:val="en-US" w:eastAsia="zh-CN" w:bidi="ar-SA"/>
              </w:rPr>
              <w:t>情况表</w:t>
            </w:r>
          </w:p>
          <w:tbl>
            <w:tblPr>
              <w:tblStyle w:val="2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1"/>
              <w:gridCol w:w="1423"/>
              <w:gridCol w:w="2100"/>
              <w:gridCol w:w="1833"/>
              <w:gridCol w:w="1085"/>
            </w:tblGrid>
            <w:tr w14:paraId="3264E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0" w:type="pct"/>
                  <w:tcBorders>
                    <w:tl2br w:val="nil"/>
                    <w:tr2bl w:val="nil"/>
                  </w:tcBorders>
                  <w:vAlign w:val="center"/>
                </w:tcPr>
                <w:p w14:paraId="60C6E52E">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2"/>
                      <w:highlight w:val="none"/>
                      <w:lang w:val="en-US" w:eastAsia="zh-CN"/>
                    </w:rPr>
                  </w:pPr>
                  <w:r>
                    <w:rPr>
                      <w:rFonts w:hint="default" w:ascii="Times New Roman" w:hAnsi="Times New Roman" w:eastAsia="宋体" w:cs="Times New Roman"/>
                      <w:color w:val="auto"/>
                      <w:szCs w:val="22"/>
                      <w:highlight w:val="none"/>
                      <w:lang w:val="en-US" w:eastAsia="zh-CN"/>
                    </w:rPr>
                    <w:t>防渗分区</w:t>
                  </w:r>
                </w:p>
              </w:tc>
              <w:tc>
                <w:tcPr>
                  <w:tcW w:w="890" w:type="pct"/>
                  <w:tcBorders>
                    <w:tl2br w:val="nil"/>
                    <w:tr2bl w:val="nil"/>
                  </w:tcBorders>
                  <w:vAlign w:val="center"/>
                </w:tcPr>
                <w:p w14:paraId="5C5F0B40">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2"/>
                      <w:highlight w:val="none"/>
                      <w:lang w:val="en-US" w:eastAsia="zh-CN"/>
                    </w:rPr>
                  </w:pPr>
                  <w:r>
                    <w:rPr>
                      <w:rFonts w:hint="eastAsia" w:ascii="Times New Roman" w:hAnsi="Times New Roman" w:eastAsia="宋体" w:cs="Times New Roman"/>
                      <w:color w:val="auto"/>
                      <w:szCs w:val="22"/>
                      <w:highlight w:val="none"/>
                      <w:lang w:val="en-US" w:eastAsia="zh-CN"/>
                    </w:rPr>
                    <w:t>防渗区域</w:t>
                  </w:r>
                </w:p>
              </w:tc>
              <w:tc>
                <w:tcPr>
                  <w:tcW w:w="1313" w:type="pct"/>
                  <w:tcBorders>
                    <w:tl2br w:val="nil"/>
                    <w:tr2bl w:val="nil"/>
                  </w:tcBorders>
                  <w:vAlign w:val="center"/>
                </w:tcPr>
                <w:p w14:paraId="1F5B5A04">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2"/>
                      <w:highlight w:val="none"/>
                      <w:lang w:val="en-US" w:eastAsia="zh-CN"/>
                    </w:rPr>
                  </w:pPr>
                  <w:r>
                    <w:rPr>
                      <w:rFonts w:hint="default" w:ascii="Times New Roman" w:hAnsi="Times New Roman" w:eastAsia="宋体" w:cs="Times New Roman"/>
                      <w:color w:val="auto"/>
                      <w:szCs w:val="22"/>
                      <w:highlight w:val="none"/>
                      <w:lang w:val="en-US" w:eastAsia="zh-CN"/>
                    </w:rPr>
                    <w:t>防渗要求</w:t>
                  </w:r>
                </w:p>
              </w:tc>
              <w:tc>
                <w:tcPr>
                  <w:tcW w:w="1146" w:type="pct"/>
                  <w:tcBorders>
                    <w:tl2br w:val="nil"/>
                    <w:tr2bl w:val="nil"/>
                  </w:tcBorders>
                  <w:vAlign w:val="center"/>
                </w:tcPr>
                <w:p w14:paraId="67BCB40C">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2"/>
                      <w:highlight w:val="yellow"/>
                      <w:lang w:val="en-US" w:eastAsia="zh-CN"/>
                    </w:rPr>
                  </w:pPr>
                  <w:r>
                    <w:rPr>
                      <w:rFonts w:hint="eastAsia" w:cs="Times New Roman"/>
                      <w:color w:val="auto"/>
                      <w:szCs w:val="22"/>
                      <w:highlight w:val="none"/>
                      <w:lang w:val="en-US" w:eastAsia="zh-CN"/>
                    </w:rPr>
                    <w:t>现有防渗效果</w:t>
                  </w:r>
                </w:p>
              </w:tc>
              <w:tc>
                <w:tcPr>
                  <w:tcW w:w="678" w:type="pct"/>
                  <w:tcBorders>
                    <w:tl2br w:val="nil"/>
                    <w:tr2bl w:val="nil"/>
                  </w:tcBorders>
                  <w:vAlign w:val="center"/>
                </w:tcPr>
                <w:p w14:paraId="481C3833">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2"/>
                      <w:highlight w:val="none"/>
                      <w:lang w:val="en-US" w:eastAsia="zh-CN"/>
                    </w:rPr>
                  </w:pPr>
                  <w:r>
                    <w:rPr>
                      <w:rFonts w:hint="eastAsia" w:cs="Times New Roman"/>
                      <w:color w:val="auto"/>
                      <w:szCs w:val="22"/>
                      <w:highlight w:val="none"/>
                      <w:lang w:val="en-US" w:eastAsia="zh-CN"/>
                    </w:rPr>
                    <w:t>是否满足要求</w:t>
                  </w:r>
                </w:p>
              </w:tc>
            </w:tr>
            <w:tr w14:paraId="31FEF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0" w:type="pct"/>
                  <w:tcBorders>
                    <w:tl2br w:val="nil"/>
                    <w:tr2bl w:val="nil"/>
                  </w:tcBorders>
                  <w:vAlign w:val="center"/>
                </w:tcPr>
                <w:p w14:paraId="76D44356">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2"/>
                      <w:highlight w:val="none"/>
                      <w:lang w:val="en-US" w:eastAsia="zh-CN"/>
                    </w:rPr>
                  </w:pPr>
                  <w:r>
                    <w:rPr>
                      <w:rFonts w:hint="default" w:ascii="Times New Roman" w:hAnsi="Times New Roman" w:eastAsia="宋体" w:cs="Times New Roman"/>
                      <w:color w:val="auto"/>
                      <w:szCs w:val="22"/>
                      <w:highlight w:val="none"/>
                      <w:lang w:val="en-US" w:eastAsia="zh-CN"/>
                    </w:rPr>
                    <w:t>重点防渗区</w:t>
                  </w:r>
                </w:p>
              </w:tc>
              <w:tc>
                <w:tcPr>
                  <w:tcW w:w="890" w:type="pct"/>
                  <w:tcBorders>
                    <w:tl2br w:val="nil"/>
                    <w:tr2bl w:val="nil"/>
                  </w:tcBorders>
                  <w:vAlign w:val="center"/>
                </w:tcPr>
                <w:p w14:paraId="74C1D2B8">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bCs/>
                      <w:color w:val="auto"/>
                      <w:szCs w:val="21"/>
                      <w:lang w:eastAsia="zh-CN"/>
                    </w:rPr>
                    <w:t>危废贮存库</w:t>
                  </w:r>
                </w:p>
              </w:tc>
              <w:tc>
                <w:tcPr>
                  <w:tcW w:w="1313" w:type="pct"/>
                  <w:tcBorders>
                    <w:tl2br w:val="nil"/>
                    <w:tr2bl w:val="nil"/>
                  </w:tcBorders>
                  <w:vAlign w:val="center"/>
                </w:tcPr>
                <w:p w14:paraId="31DDCE08">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2"/>
                      <w:highlight w:val="none"/>
                      <w:lang w:val="en-US" w:eastAsia="zh-CN" w:bidi="ar-SA"/>
                    </w:rPr>
                  </w:pPr>
                  <w:r>
                    <w:rPr>
                      <w:rFonts w:hint="eastAsia" w:ascii="Times New Roman" w:hAnsi="Times New Roman" w:eastAsia="宋体" w:cs="Times New Roman"/>
                      <w:color w:val="auto"/>
                      <w:spacing w:val="0"/>
                      <w:szCs w:val="22"/>
                      <w:highlight w:val="none"/>
                      <w:lang w:val="en-US" w:eastAsia="zh-CN"/>
                    </w:rPr>
                    <w:t>等效黏土防渗层Mb≥6.0m，</w:t>
                  </w:r>
                  <w:r>
                    <w:rPr>
                      <w:rFonts w:hint="default" w:ascii="Times New Roman" w:hAnsi="Times New Roman" w:eastAsia="宋体" w:cs="Times New Roman"/>
                      <w:color w:val="auto"/>
                      <w:spacing w:val="0"/>
                      <w:szCs w:val="22"/>
                      <w:highlight w:val="none"/>
                      <w:lang w:val="en-US" w:eastAsia="zh-CN"/>
                    </w:rPr>
                    <w:t>渗透系数≤1×10</w:t>
                  </w:r>
                  <w:r>
                    <w:rPr>
                      <w:rFonts w:hint="default" w:ascii="Times New Roman" w:hAnsi="Times New Roman" w:eastAsia="宋体" w:cs="Times New Roman"/>
                      <w:color w:val="auto"/>
                      <w:spacing w:val="0"/>
                      <w:szCs w:val="22"/>
                      <w:highlight w:val="none"/>
                      <w:vertAlign w:val="superscript"/>
                      <w:lang w:val="en-US" w:eastAsia="zh-CN"/>
                    </w:rPr>
                    <w:t>-</w:t>
                  </w:r>
                  <w:r>
                    <w:rPr>
                      <w:rFonts w:hint="eastAsia" w:ascii="Times New Roman" w:hAnsi="Times New Roman" w:eastAsia="宋体" w:cs="Times New Roman"/>
                      <w:color w:val="auto"/>
                      <w:spacing w:val="0"/>
                      <w:szCs w:val="22"/>
                      <w:highlight w:val="none"/>
                      <w:vertAlign w:val="superscript"/>
                      <w:lang w:val="en-US" w:eastAsia="zh-CN"/>
                    </w:rPr>
                    <w:t>7</w:t>
                  </w:r>
                  <w:r>
                    <w:rPr>
                      <w:rFonts w:hint="default" w:ascii="Times New Roman" w:hAnsi="Times New Roman" w:eastAsia="宋体" w:cs="Times New Roman"/>
                      <w:color w:val="auto"/>
                      <w:spacing w:val="0"/>
                      <w:szCs w:val="22"/>
                      <w:highlight w:val="none"/>
                      <w:lang w:val="en-US" w:eastAsia="zh-CN"/>
                    </w:rPr>
                    <w:t>cm/s</w:t>
                  </w:r>
                </w:p>
              </w:tc>
              <w:tc>
                <w:tcPr>
                  <w:tcW w:w="1146" w:type="pct"/>
                  <w:tcBorders>
                    <w:tl2br w:val="nil"/>
                    <w:tr2bl w:val="nil"/>
                  </w:tcBorders>
                  <w:vAlign w:val="center"/>
                </w:tcPr>
                <w:p w14:paraId="5C1A27F8">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eastAsia" w:ascii="Times New Roman" w:hAnsi="Times New Roman" w:eastAsia="宋体" w:cs="Times New Roman"/>
                      <w:color w:val="auto"/>
                      <w:spacing w:val="0"/>
                      <w:szCs w:val="22"/>
                      <w:highlight w:val="none"/>
                      <w:lang w:val="en-US" w:eastAsia="zh-CN"/>
                    </w:rPr>
                  </w:pPr>
                  <w:r>
                    <w:rPr>
                      <w:rFonts w:hint="eastAsia" w:ascii="Times New Roman" w:hAnsi="Times New Roman" w:eastAsia="宋体" w:cs="Times New Roman"/>
                      <w:color w:val="auto"/>
                      <w:spacing w:val="0"/>
                      <w:szCs w:val="22"/>
                      <w:highlight w:val="none"/>
                      <w:lang w:val="en-US" w:eastAsia="zh-CN"/>
                    </w:rPr>
                    <w:t>危废贮存库基础防渗采用1m厚黏土层，夯实，地面已进行C30混凝土防渗处理，墙体及地面均刷有环氧树脂漆，地面环氧树脂漆厚度为2mm，1#、2#危废贮存库墙体环氧树脂漆高度分别为2.0m、1.4m，满足重点防渗区渗透系数小于1×10-7cm/s的要求。</w:t>
                  </w:r>
                </w:p>
              </w:tc>
              <w:tc>
                <w:tcPr>
                  <w:tcW w:w="678" w:type="pct"/>
                  <w:tcBorders>
                    <w:tl2br w:val="nil"/>
                    <w:tr2bl w:val="nil"/>
                  </w:tcBorders>
                  <w:vAlign w:val="center"/>
                </w:tcPr>
                <w:p w14:paraId="5F09A7BA">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spacing w:val="0"/>
                      <w:szCs w:val="22"/>
                      <w:highlight w:val="none"/>
                      <w:lang w:val="en-US" w:eastAsia="zh-CN"/>
                    </w:rPr>
                  </w:pPr>
                  <w:r>
                    <w:rPr>
                      <w:rFonts w:hint="eastAsia" w:cs="Times New Roman"/>
                      <w:color w:val="auto"/>
                      <w:spacing w:val="0"/>
                      <w:szCs w:val="22"/>
                      <w:highlight w:val="none"/>
                      <w:lang w:val="en-US" w:eastAsia="zh-CN"/>
                    </w:rPr>
                    <w:t>满足</w:t>
                  </w:r>
                </w:p>
              </w:tc>
            </w:tr>
            <w:tr w14:paraId="07796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970" w:type="pct"/>
                  <w:tcBorders>
                    <w:tl2br w:val="nil"/>
                    <w:tr2bl w:val="nil"/>
                  </w:tcBorders>
                  <w:vAlign w:val="center"/>
                </w:tcPr>
                <w:p w14:paraId="5053CF2F">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2"/>
                      <w:highlight w:val="none"/>
                      <w:lang w:val="en-US" w:eastAsia="zh-CN"/>
                    </w:rPr>
                  </w:pPr>
                  <w:r>
                    <w:rPr>
                      <w:rFonts w:hint="default" w:ascii="Times New Roman" w:hAnsi="Times New Roman" w:eastAsia="宋体" w:cs="Times New Roman"/>
                      <w:color w:val="auto"/>
                      <w:szCs w:val="22"/>
                      <w:highlight w:val="none"/>
                      <w:lang w:val="en-US" w:eastAsia="zh-CN"/>
                    </w:rPr>
                    <w:t>一般防渗区</w:t>
                  </w:r>
                </w:p>
              </w:tc>
              <w:tc>
                <w:tcPr>
                  <w:tcW w:w="890" w:type="pct"/>
                  <w:tcBorders>
                    <w:tl2br w:val="nil"/>
                    <w:tr2bl w:val="nil"/>
                  </w:tcBorders>
                  <w:vAlign w:val="center"/>
                </w:tcPr>
                <w:p w14:paraId="7381DF42">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bCs/>
                      <w:color w:val="auto"/>
                      <w:szCs w:val="21"/>
                      <w:lang w:val="en-US" w:eastAsia="zh-CN"/>
                    </w:rPr>
                    <w:t>初期雨水收集池、筒仓</w:t>
                  </w:r>
                </w:p>
              </w:tc>
              <w:tc>
                <w:tcPr>
                  <w:tcW w:w="1313" w:type="pct"/>
                  <w:tcBorders>
                    <w:tl2br w:val="nil"/>
                    <w:tr2bl w:val="nil"/>
                  </w:tcBorders>
                  <w:vAlign w:val="center"/>
                </w:tcPr>
                <w:p w14:paraId="192581A5">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2"/>
                      <w:highlight w:val="none"/>
                      <w:lang w:val="en-US" w:eastAsia="zh-CN"/>
                    </w:rPr>
                  </w:pPr>
                  <w:r>
                    <w:rPr>
                      <w:rFonts w:hint="eastAsia" w:ascii="Times New Roman" w:hAnsi="Times New Roman" w:eastAsia="宋体" w:cs="Times New Roman"/>
                      <w:color w:val="auto"/>
                      <w:spacing w:val="0"/>
                      <w:szCs w:val="22"/>
                      <w:highlight w:val="none"/>
                      <w:lang w:val="en-US" w:eastAsia="zh-CN"/>
                    </w:rPr>
                    <w:t>等效黏土防渗层Mb≥1.5m，</w:t>
                  </w:r>
                  <w:r>
                    <w:rPr>
                      <w:rFonts w:hint="default" w:ascii="Times New Roman" w:hAnsi="Times New Roman" w:eastAsia="宋体" w:cs="Times New Roman"/>
                      <w:color w:val="auto"/>
                      <w:spacing w:val="0"/>
                      <w:szCs w:val="22"/>
                      <w:highlight w:val="none"/>
                      <w:lang w:val="en-US" w:eastAsia="zh-CN"/>
                    </w:rPr>
                    <w:t>渗透系数≤1×10</w:t>
                  </w:r>
                  <w:r>
                    <w:rPr>
                      <w:rFonts w:hint="default" w:ascii="Times New Roman" w:hAnsi="Times New Roman" w:eastAsia="宋体" w:cs="Times New Roman"/>
                      <w:color w:val="auto"/>
                      <w:spacing w:val="0"/>
                      <w:szCs w:val="22"/>
                      <w:highlight w:val="none"/>
                      <w:vertAlign w:val="superscript"/>
                      <w:lang w:val="en-US" w:eastAsia="zh-CN"/>
                    </w:rPr>
                    <w:t>-</w:t>
                  </w:r>
                  <w:r>
                    <w:rPr>
                      <w:rFonts w:hint="eastAsia" w:ascii="Times New Roman" w:hAnsi="Times New Roman" w:eastAsia="宋体" w:cs="Times New Roman"/>
                      <w:color w:val="auto"/>
                      <w:spacing w:val="0"/>
                      <w:szCs w:val="22"/>
                      <w:highlight w:val="none"/>
                      <w:vertAlign w:val="superscript"/>
                      <w:lang w:val="en-US" w:eastAsia="zh-CN"/>
                    </w:rPr>
                    <w:t>7</w:t>
                  </w:r>
                  <w:r>
                    <w:rPr>
                      <w:rFonts w:hint="default" w:ascii="Times New Roman" w:hAnsi="Times New Roman" w:eastAsia="宋体" w:cs="Times New Roman"/>
                      <w:color w:val="auto"/>
                      <w:spacing w:val="0"/>
                      <w:szCs w:val="22"/>
                      <w:highlight w:val="none"/>
                      <w:lang w:val="en-US" w:eastAsia="zh-CN"/>
                    </w:rPr>
                    <w:t>cm/s</w:t>
                  </w:r>
                </w:p>
              </w:tc>
              <w:tc>
                <w:tcPr>
                  <w:tcW w:w="1146" w:type="pct"/>
                  <w:tcBorders>
                    <w:tl2br w:val="nil"/>
                    <w:tr2bl w:val="nil"/>
                  </w:tcBorders>
                  <w:vAlign w:val="center"/>
                </w:tcPr>
                <w:p w14:paraId="06916EF2">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spacing w:val="0"/>
                      <w:szCs w:val="22"/>
                      <w:highlight w:val="none"/>
                      <w:lang w:val="en-US" w:eastAsia="zh-CN"/>
                    </w:rPr>
                  </w:pPr>
                  <w:r>
                    <w:rPr>
                      <w:rFonts w:hint="eastAsia" w:cs="Times New Roman"/>
                      <w:color w:val="auto"/>
                      <w:spacing w:val="0"/>
                      <w:szCs w:val="22"/>
                      <w:highlight w:val="none"/>
                      <w:lang w:val="en-US" w:eastAsia="zh-CN"/>
                    </w:rPr>
                    <w:t>/</w:t>
                  </w:r>
                </w:p>
              </w:tc>
              <w:tc>
                <w:tcPr>
                  <w:tcW w:w="678" w:type="pct"/>
                  <w:tcBorders>
                    <w:tl2br w:val="nil"/>
                    <w:tr2bl w:val="nil"/>
                  </w:tcBorders>
                  <w:vAlign w:val="center"/>
                </w:tcPr>
                <w:p w14:paraId="22C723B6">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spacing w:val="0"/>
                      <w:szCs w:val="22"/>
                      <w:highlight w:val="none"/>
                      <w:lang w:val="en-US" w:eastAsia="zh-CN"/>
                    </w:rPr>
                  </w:pPr>
                  <w:r>
                    <w:rPr>
                      <w:rFonts w:hint="eastAsia" w:cs="Times New Roman"/>
                      <w:color w:val="auto"/>
                      <w:spacing w:val="0"/>
                      <w:szCs w:val="22"/>
                      <w:highlight w:val="none"/>
                      <w:lang w:val="en-US" w:eastAsia="zh-CN"/>
                    </w:rPr>
                    <w:t>/</w:t>
                  </w:r>
                </w:p>
              </w:tc>
            </w:tr>
            <w:tr w14:paraId="2D88C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970" w:type="pct"/>
                  <w:tcBorders>
                    <w:tl2br w:val="nil"/>
                    <w:tr2bl w:val="nil"/>
                  </w:tcBorders>
                  <w:vAlign w:val="center"/>
                </w:tcPr>
                <w:p w14:paraId="6B31C866">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2"/>
                      <w:highlight w:val="none"/>
                      <w:lang w:val="en-US" w:eastAsia="zh-CN"/>
                    </w:rPr>
                  </w:pPr>
                  <w:r>
                    <w:rPr>
                      <w:rFonts w:hint="eastAsia" w:cs="Times New Roman"/>
                      <w:color w:val="auto"/>
                      <w:szCs w:val="22"/>
                      <w:highlight w:val="none"/>
                      <w:lang w:val="en-US" w:eastAsia="zh-CN"/>
                    </w:rPr>
                    <w:t>简单防渗区</w:t>
                  </w:r>
                </w:p>
              </w:tc>
              <w:tc>
                <w:tcPr>
                  <w:tcW w:w="890" w:type="pct"/>
                  <w:tcBorders>
                    <w:tl2br w:val="nil"/>
                    <w:tr2bl w:val="nil"/>
                  </w:tcBorders>
                  <w:vAlign w:val="center"/>
                </w:tcPr>
                <w:p w14:paraId="7DEA479B">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配电室</w:t>
                  </w:r>
                </w:p>
              </w:tc>
              <w:tc>
                <w:tcPr>
                  <w:tcW w:w="1313" w:type="pct"/>
                  <w:tcBorders>
                    <w:tl2br w:val="nil"/>
                    <w:tr2bl w:val="nil"/>
                  </w:tcBorders>
                  <w:vAlign w:val="center"/>
                </w:tcPr>
                <w:p w14:paraId="459AF658">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spacing w:val="0"/>
                      <w:szCs w:val="22"/>
                      <w:highlight w:val="none"/>
                      <w:lang w:val="en-US" w:eastAsia="zh-CN"/>
                    </w:rPr>
                  </w:pPr>
                  <w:r>
                    <w:rPr>
                      <w:rFonts w:hint="eastAsia" w:cs="Times New Roman"/>
                      <w:color w:val="auto"/>
                      <w:spacing w:val="0"/>
                      <w:szCs w:val="22"/>
                      <w:highlight w:val="none"/>
                      <w:lang w:val="en-US" w:eastAsia="zh-CN"/>
                    </w:rPr>
                    <w:t>一般地面硬化</w:t>
                  </w:r>
                </w:p>
              </w:tc>
              <w:tc>
                <w:tcPr>
                  <w:tcW w:w="1146" w:type="pct"/>
                  <w:tcBorders>
                    <w:tl2br w:val="nil"/>
                    <w:tr2bl w:val="nil"/>
                  </w:tcBorders>
                  <w:vAlign w:val="center"/>
                </w:tcPr>
                <w:p w14:paraId="651D16A5">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cs="Times New Roman"/>
                      <w:color w:val="auto"/>
                      <w:spacing w:val="0"/>
                      <w:szCs w:val="22"/>
                      <w:highlight w:val="none"/>
                      <w:lang w:val="en-US" w:eastAsia="zh-CN"/>
                    </w:rPr>
                  </w:pPr>
                  <w:r>
                    <w:rPr>
                      <w:rFonts w:hint="eastAsia" w:cs="Times New Roman"/>
                      <w:color w:val="auto"/>
                      <w:spacing w:val="0"/>
                      <w:szCs w:val="22"/>
                      <w:highlight w:val="none"/>
                      <w:lang w:val="en-US" w:eastAsia="zh-CN"/>
                    </w:rPr>
                    <w:t>/</w:t>
                  </w:r>
                </w:p>
              </w:tc>
              <w:tc>
                <w:tcPr>
                  <w:tcW w:w="678" w:type="pct"/>
                  <w:tcBorders>
                    <w:tl2br w:val="nil"/>
                    <w:tr2bl w:val="nil"/>
                  </w:tcBorders>
                  <w:vAlign w:val="center"/>
                </w:tcPr>
                <w:p w14:paraId="2E6386A7">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cs="Times New Roman"/>
                      <w:color w:val="auto"/>
                      <w:spacing w:val="0"/>
                      <w:szCs w:val="22"/>
                      <w:highlight w:val="none"/>
                      <w:lang w:val="en-US" w:eastAsia="zh-CN"/>
                    </w:rPr>
                  </w:pPr>
                  <w:r>
                    <w:rPr>
                      <w:rFonts w:hint="eastAsia" w:cs="Times New Roman"/>
                      <w:color w:val="auto"/>
                      <w:spacing w:val="0"/>
                      <w:szCs w:val="22"/>
                      <w:highlight w:val="none"/>
                      <w:lang w:val="en-US" w:eastAsia="zh-CN"/>
                    </w:rPr>
                    <w:t>/</w:t>
                  </w:r>
                </w:p>
              </w:tc>
            </w:tr>
          </w:tbl>
          <w:p w14:paraId="48A329C7">
            <w:pPr>
              <w:keepNext w:val="0"/>
              <w:keepLines w:val="0"/>
              <w:pageBreakBefore w:val="0"/>
              <w:widowControl w:val="0"/>
              <w:kinsoku/>
              <w:wordWrap/>
              <w:overflowPunct/>
              <w:topLinePunct w:val="0"/>
              <w:bidi w:val="0"/>
              <w:adjustRightInd w:val="0"/>
              <w:snapToGrid w:val="0"/>
              <w:spacing w:line="480" w:lineRule="exact"/>
              <w:ind w:firstLine="482" w:firstLineChars="200"/>
              <w:textAlignment w:val="auto"/>
              <w:rPr>
                <w:rFonts w:hint="default" w:ascii="Times New Roman" w:hAnsi="Times New Roman" w:eastAsia="宋体" w:cs="Times New Roman"/>
                <w:b/>
                <w:color w:val="auto"/>
                <w:sz w:val="24"/>
                <w:szCs w:val="24"/>
                <w:highlight w:val="none"/>
                <w:lang w:val="en-US" w:eastAsia="zh-CN"/>
              </w:rPr>
            </w:pPr>
            <w:r>
              <w:rPr>
                <w:rFonts w:hint="eastAsia" w:ascii="Times New Roman" w:hAnsi="Times New Roman" w:eastAsia="宋体" w:cs="Times New Roman"/>
                <w:b/>
                <w:color w:val="auto"/>
                <w:sz w:val="24"/>
                <w:szCs w:val="24"/>
                <w:highlight w:val="none"/>
                <w:lang w:val="en-US" w:eastAsia="zh-CN"/>
              </w:rPr>
              <w:t xml:space="preserve">4.10 </w:t>
            </w:r>
            <w:r>
              <w:rPr>
                <w:rFonts w:hint="default" w:ascii="Times New Roman" w:hAnsi="Times New Roman" w:eastAsia="宋体" w:cs="Times New Roman"/>
                <w:b/>
                <w:color w:val="auto"/>
                <w:sz w:val="24"/>
                <w:szCs w:val="24"/>
                <w:highlight w:val="none"/>
              </w:rPr>
              <w:t>环境风险</w:t>
            </w:r>
            <w:r>
              <w:rPr>
                <w:rFonts w:hint="default" w:ascii="Times New Roman" w:hAnsi="Times New Roman" w:eastAsia="宋体" w:cs="Times New Roman"/>
                <w:b/>
                <w:color w:val="auto"/>
                <w:sz w:val="24"/>
                <w:szCs w:val="24"/>
                <w:highlight w:val="none"/>
                <w:lang w:val="en-US" w:eastAsia="zh-CN"/>
              </w:rPr>
              <w:t>评价</w:t>
            </w:r>
          </w:p>
          <w:p w14:paraId="76726B31">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风险评价等级判定</w:t>
            </w:r>
          </w:p>
          <w:p w14:paraId="3C1726BA">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eastAsia="zh-CN"/>
              </w:rPr>
              <w:t>）风险调查</w:t>
            </w:r>
          </w:p>
          <w:p w14:paraId="546C584F">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根据工程分析，结合《建设项目环境风险评价技术导则》（HJ169-2018）中附录B可知，本项目涉及的危险物质主要为</w:t>
            </w:r>
            <w:r>
              <w:rPr>
                <w:rFonts w:hint="eastAsia" w:ascii="Times New Roman" w:hAnsi="Times New Roman" w:eastAsia="宋体" w:cs="Times New Roman"/>
                <w:color w:val="auto"/>
                <w:sz w:val="24"/>
                <w:szCs w:val="24"/>
                <w:highlight w:val="none"/>
                <w:lang w:val="en-US" w:eastAsia="zh-CN"/>
              </w:rPr>
              <w:t>废矿物油</w:t>
            </w:r>
            <w:r>
              <w:rPr>
                <w:rFonts w:hint="eastAsia" w:cs="Times New Roman"/>
                <w:color w:val="auto"/>
                <w:sz w:val="24"/>
                <w:szCs w:val="24"/>
                <w:highlight w:val="none"/>
                <w:lang w:val="en-US" w:eastAsia="zh-CN"/>
              </w:rPr>
              <w:t>、废油桶</w:t>
            </w:r>
            <w:r>
              <w:rPr>
                <w:rFonts w:hint="default" w:ascii="Times New Roman" w:hAnsi="Times New Roman" w:eastAsia="宋体" w:cs="Times New Roman"/>
                <w:color w:val="auto"/>
                <w:sz w:val="24"/>
                <w:szCs w:val="24"/>
                <w:highlight w:val="none"/>
              </w:rPr>
              <w:t>。</w:t>
            </w:r>
          </w:p>
          <w:p w14:paraId="002BCFA3">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环境风险潜势初判</w:t>
            </w:r>
          </w:p>
          <w:p w14:paraId="50CDB05C">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default" w:ascii="Times New Roman" w:hAnsi="Times New Roman" w:eastAsia="宋体" w:cs="Times New Roman"/>
                <w:color w:val="auto"/>
                <w:sz w:val="24"/>
                <w:szCs w:val="24"/>
                <w:highlight w:val="none"/>
                <w:lang w:val="en-US"/>
              </w:rPr>
            </w:pPr>
            <w:r>
              <w:rPr>
                <w:rFonts w:hint="default" w:ascii="Times New Roman" w:hAnsi="Times New Roman" w:eastAsia="宋体" w:cs="Times New Roman"/>
                <w:color w:val="auto"/>
                <w:sz w:val="24"/>
                <w:szCs w:val="24"/>
                <w:highlight w:val="none"/>
                <w:lang w:val="en-US" w:eastAsia="zh-CN"/>
              </w:rPr>
              <w:t>根据《建设项目环境风险评价技术导则》（HJ 169-2018）附录B、附录C的有关规定，当</w:t>
            </w:r>
            <w:r>
              <w:rPr>
                <w:rFonts w:hint="eastAsia" w:ascii="Times New Roman" w:hAnsi="Times New Roman" w:eastAsia="宋体" w:cs="Times New Roman"/>
                <w:color w:val="auto"/>
                <w:sz w:val="24"/>
                <w:szCs w:val="24"/>
                <w:highlight w:val="none"/>
                <w:lang w:val="en-US" w:eastAsia="zh-CN"/>
              </w:rPr>
              <w:t>只涉及一种</w:t>
            </w:r>
            <w:r>
              <w:rPr>
                <w:rFonts w:hint="default" w:ascii="Times New Roman" w:hAnsi="Times New Roman" w:eastAsia="宋体" w:cs="Times New Roman"/>
                <w:color w:val="auto"/>
                <w:sz w:val="24"/>
                <w:szCs w:val="24"/>
                <w:highlight w:val="none"/>
                <w:lang w:val="en-US" w:eastAsia="zh-CN"/>
              </w:rPr>
              <w:t>危险物质时，计算</w:t>
            </w:r>
            <w:r>
              <w:rPr>
                <w:rFonts w:hint="eastAsia" w:ascii="Times New Roman" w:hAnsi="Times New Roman" w:eastAsia="宋体" w:cs="Times New Roman"/>
                <w:color w:val="auto"/>
                <w:sz w:val="24"/>
                <w:szCs w:val="24"/>
                <w:highlight w:val="none"/>
                <w:lang w:val="en-US" w:eastAsia="zh-CN"/>
              </w:rPr>
              <w:t>该</w:t>
            </w:r>
            <w:r>
              <w:rPr>
                <w:rFonts w:hint="default" w:ascii="Times New Roman" w:hAnsi="Times New Roman" w:eastAsia="宋体" w:cs="Times New Roman"/>
                <w:color w:val="auto"/>
                <w:sz w:val="24"/>
                <w:szCs w:val="24"/>
                <w:highlight w:val="none"/>
                <w:lang w:val="en-US" w:eastAsia="zh-CN"/>
              </w:rPr>
              <w:t>物质</w:t>
            </w:r>
            <w:r>
              <w:rPr>
                <w:rFonts w:hint="eastAsia" w:ascii="Times New Roman" w:hAnsi="Times New Roman" w:eastAsia="宋体" w:cs="Times New Roman"/>
                <w:color w:val="auto"/>
                <w:sz w:val="24"/>
                <w:szCs w:val="24"/>
                <w:highlight w:val="none"/>
                <w:lang w:val="en-US" w:eastAsia="zh-CN"/>
              </w:rPr>
              <w:t>的</w:t>
            </w:r>
            <w:r>
              <w:rPr>
                <w:rFonts w:hint="default" w:ascii="Times New Roman" w:hAnsi="Times New Roman" w:eastAsia="宋体" w:cs="Times New Roman"/>
                <w:color w:val="auto"/>
                <w:sz w:val="24"/>
                <w:szCs w:val="24"/>
                <w:highlight w:val="none"/>
                <w:lang w:val="en-US" w:eastAsia="zh-CN"/>
              </w:rPr>
              <w:t>总量与其临界量比值</w:t>
            </w:r>
            <w:r>
              <w:rPr>
                <w:rFonts w:hint="eastAsia" w:ascii="Times New Roman" w:hAnsi="Times New Roman" w:eastAsia="宋体" w:cs="Times New Roman"/>
                <w:color w:val="auto"/>
                <w:sz w:val="24"/>
                <w:szCs w:val="24"/>
                <w:highlight w:val="none"/>
                <w:lang w:val="en-US" w:eastAsia="zh-CN"/>
              </w:rPr>
              <w:t>，即为Q。</w:t>
            </w:r>
          </w:p>
          <w:p w14:paraId="2795EFFA">
            <w:pPr>
              <w:keepNext w:val="0"/>
              <w:keepLines w:val="0"/>
              <w:pageBreakBefore w:val="0"/>
              <w:widowControl w:val="0"/>
              <w:kinsoku/>
              <w:wordWrap/>
              <w:overflowPunct/>
              <w:topLinePunct w:val="0"/>
              <w:autoSpaceDE/>
              <w:autoSpaceDN/>
              <w:bidi w:val="0"/>
              <w:adjustRightInd w:val="0"/>
              <w:snapToGrid w:val="0"/>
              <w:spacing w:line="480" w:lineRule="exact"/>
              <w:ind w:firstLine="0" w:firstLineChars="0"/>
              <w:jc w:val="center"/>
              <w:textAlignment w:val="auto"/>
              <w:rPr>
                <w:rFonts w:hint="default" w:ascii="Times New Roman" w:hAnsi="Times New Roman" w:eastAsia="黑体" w:cs="Times New Roman"/>
                <w:b w:val="0"/>
                <w:bCs w:val="0"/>
                <w:color w:val="auto"/>
                <w:kern w:val="2"/>
                <w:sz w:val="21"/>
                <w:szCs w:val="21"/>
                <w:highlight w:val="none"/>
                <w:lang w:val="en-US" w:eastAsia="zh-CN" w:bidi="ar-SA"/>
              </w:rPr>
            </w:pPr>
            <w:r>
              <w:rPr>
                <w:rFonts w:hint="default" w:ascii="Times New Roman" w:hAnsi="Times New Roman" w:eastAsia="黑体" w:cs="Times New Roman"/>
                <w:b w:val="0"/>
                <w:bCs w:val="0"/>
                <w:color w:val="auto"/>
                <w:kern w:val="2"/>
                <w:sz w:val="21"/>
                <w:szCs w:val="21"/>
                <w:highlight w:val="none"/>
                <w:lang w:val="en-US" w:eastAsia="zh-CN" w:bidi="ar-SA"/>
              </w:rPr>
              <w:t>表</w:t>
            </w:r>
            <w:r>
              <w:rPr>
                <w:rFonts w:hint="eastAsia" w:eastAsia="黑体" w:cs="Times New Roman"/>
                <w:b w:val="0"/>
                <w:bCs w:val="0"/>
                <w:color w:val="auto"/>
                <w:kern w:val="2"/>
                <w:sz w:val="21"/>
                <w:szCs w:val="21"/>
                <w:highlight w:val="none"/>
                <w:lang w:val="en-US" w:eastAsia="zh-CN" w:bidi="ar-SA"/>
              </w:rPr>
              <w:t>4.10-1</w:t>
            </w:r>
            <w:r>
              <w:rPr>
                <w:rFonts w:hint="default" w:ascii="Times New Roman" w:hAnsi="Times New Roman" w:eastAsia="黑体" w:cs="Times New Roman"/>
                <w:b w:val="0"/>
                <w:bCs w:val="0"/>
                <w:color w:val="auto"/>
                <w:kern w:val="2"/>
                <w:sz w:val="21"/>
                <w:szCs w:val="21"/>
                <w:highlight w:val="none"/>
                <w:lang w:val="en-US" w:eastAsia="zh-CN" w:bidi="ar-SA"/>
              </w:rPr>
              <w:t xml:space="preserve">  </w:t>
            </w:r>
            <w:r>
              <w:rPr>
                <w:rFonts w:hint="eastAsia" w:eastAsia="黑体" w:cs="Times New Roman"/>
                <w:b w:val="0"/>
                <w:bCs w:val="0"/>
                <w:color w:val="auto"/>
                <w:kern w:val="2"/>
                <w:sz w:val="21"/>
                <w:szCs w:val="21"/>
                <w:highlight w:val="none"/>
                <w:lang w:val="en-US" w:eastAsia="zh-CN" w:bidi="ar-SA"/>
              </w:rPr>
              <w:t xml:space="preserve">  </w:t>
            </w:r>
            <w:r>
              <w:rPr>
                <w:rFonts w:hint="default" w:ascii="Times New Roman" w:hAnsi="Times New Roman" w:eastAsia="黑体" w:cs="Times New Roman"/>
                <w:b w:val="0"/>
                <w:bCs w:val="0"/>
                <w:color w:val="auto"/>
                <w:kern w:val="2"/>
                <w:sz w:val="21"/>
                <w:szCs w:val="21"/>
                <w:highlight w:val="none"/>
                <w:lang w:val="en-US" w:eastAsia="zh-CN" w:bidi="ar-SA"/>
              </w:rPr>
              <w:t>重大危险源判定一览表</w:t>
            </w:r>
          </w:p>
          <w:tbl>
            <w:tblPr>
              <w:tblStyle w:val="26"/>
              <w:tblW w:w="793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84"/>
              <w:gridCol w:w="2226"/>
              <w:gridCol w:w="1915"/>
              <w:gridCol w:w="1812"/>
            </w:tblGrid>
            <w:tr w14:paraId="3F4B6F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4" w:type="dxa"/>
                  <w:tcBorders>
                    <w:tl2br w:val="nil"/>
                    <w:tr2bl w:val="nil"/>
                  </w:tcBorders>
                  <w:vAlign w:val="center"/>
                </w:tcPr>
                <w:p w14:paraId="3BAFCF7C">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危险物质名称</w:t>
                  </w:r>
                </w:p>
              </w:tc>
              <w:tc>
                <w:tcPr>
                  <w:tcW w:w="2226" w:type="dxa"/>
                  <w:tcBorders>
                    <w:tl2br w:val="nil"/>
                    <w:tr2bl w:val="nil"/>
                  </w:tcBorders>
                  <w:vAlign w:val="center"/>
                </w:tcPr>
                <w:p w14:paraId="4D44B1A8">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物质总量</w:t>
                  </w:r>
                  <w:r>
                    <w:rPr>
                      <w:rFonts w:hint="default" w:ascii="Times New Roman" w:hAnsi="Times New Roman" w:eastAsia="宋体" w:cs="Times New Roman"/>
                      <w:color w:val="auto"/>
                      <w:sz w:val="21"/>
                      <w:szCs w:val="21"/>
                      <w:highlight w:val="none"/>
                      <w:lang w:val="en-US" w:eastAsia="zh-CN"/>
                    </w:rPr>
                    <w:t>（t）</w:t>
                  </w:r>
                </w:p>
              </w:tc>
              <w:tc>
                <w:tcPr>
                  <w:tcW w:w="1915" w:type="dxa"/>
                  <w:tcBorders>
                    <w:tl2br w:val="nil"/>
                    <w:tr2bl w:val="nil"/>
                  </w:tcBorders>
                  <w:vAlign w:val="center"/>
                </w:tcPr>
                <w:p w14:paraId="0AFDAF6C">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临界量（t）</w:t>
                  </w:r>
                </w:p>
              </w:tc>
              <w:tc>
                <w:tcPr>
                  <w:tcW w:w="1812" w:type="dxa"/>
                  <w:tcBorders>
                    <w:tl2br w:val="nil"/>
                    <w:tr2bl w:val="nil"/>
                  </w:tcBorders>
                  <w:vAlign w:val="center"/>
                </w:tcPr>
                <w:p w14:paraId="1619F405">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Q值</w:t>
                  </w:r>
                </w:p>
              </w:tc>
            </w:tr>
            <w:tr w14:paraId="175292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4" w:type="dxa"/>
                  <w:tcBorders>
                    <w:tl2br w:val="nil"/>
                    <w:tr2bl w:val="nil"/>
                  </w:tcBorders>
                  <w:vAlign w:val="center"/>
                </w:tcPr>
                <w:p w14:paraId="59464802">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废矿物油</w:t>
                  </w:r>
                </w:p>
              </w:tc>
              <w:tc>
                <w:tcPr>
                  <w:tcW w:w="2226" w:type="dxa"/>
                  <w:tcBorders>
                    <w:tl2br w:val="nil"/>
                    <w:tr2bl w:val="nil"/>
                  </w:tcBorders>
                  <w:vAlign w:val="center"/>
                </w:tcPr>
                <w:p w14:paraId="6E7B8C27">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0.2</w:t>
                  </w:r>
                </w:p>
              </w:tc>
              <w:tc>
                <w:tcPr>
                  <w:tcW w:w="1915" w:type="dxa"/>
                  <w:tcBorders>
                    <w:tl2br w:val="nil"/>
                    <w:tr2bl w:val="nil"/>
                  </w:tcBorders>
                  <w:vAlign w:val="center"/>
                </w:tcPr>
                <w:p w14:paraId="4F2FC948">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200</w:t>
                  </w:r>
                </w:p>
              </w:tc>
              <w:tc>
                <w:tcPr>
                  <w:tcW w:w="1812" w:type="dxa"/>
                  <w:tcBorders>
                    <w:tl2br w:val="nil"/>
                    <w:tr2bl w:val="nil"/>
                  </w:tcBorders>
                  <w:vAlign w:val="center"/>
                </w:tcPr>
                <w:p w14:paraId="50146324">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0.00</w:t>
                  </w:r>
                  <w:r>
                    <w:rPr>
                      <w:rFonts w:hint="eastAsia" w:cs="Times New Roman"/>
                      <w:color w:val="auto"/>
                      <w:kern w:val="2"/>
                      <w:sz w:val="21"/>
                      <w:szCs w:val="21"/>
                      <w:highlight w:val="none"/>
                      <w:lang w:val="en-US" w:eastAsia="zh-CN" w:bidi="ar-SA"/>
                    </w:rPr>
                    <w:t>1</w:t>
                  </w:r>
                </w:p>
              </w:tc>
            </w:tr>
            <w:tr w14:paraId="02BDBC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4" w:type="dxa"/>
                  <w:tcBorders>
                    <w:tl2br w:val="nil"/>
                    <w:tr2bl w:val="nil"/>
                  </w:tcBorders>
                  <w:vAlign w:val="center"/>
                </w:tcPr>
                <w:p w14:paraId="2736BD36">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废油桶</w:t>
                  </w:r>
                </w:p>
              </w:tc>
              <w:tc>
                <w:tcPr>
                  <w:tcW w:w="2226" w:type="dxa"/>
                  <w:tcBorders>
                    <w:tl2br w:val="nil"/>
                    <w:tr2bl w:val="nil"/>
                  </w:tcBorders>
                  <w:vAlign w:val="center"/>
                </w:tcPr>
                <w:p w14:paraId="3602F9E7">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0.05</w:t>
                  </w:r>
                </w:p>
              </w:tc>
              <w:tc>
                <w:tcPr>
                  <w:tcW w:w="1915" w:type="dxa"/>
                  <w:tcBorders>
                    <w:tl2br w:val="nil"/>
                    <w:tr2bl w:val="nil"/>
                  </w:tcBorders>
                  <w:vAlign w:val="center"/>
                </w:tcPr>
                <w:p w14:paraId="296E1500">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50</w:t>
                  </w:r>
                </w:p>
              </w:tc>
              <w:tc>
                <w:tcPr>
                  <w:tcW w:w="1812" w:type="dxa"/>
                  <w:tcBorders>
                    <w:tl2br w:val="nil"/>
                    <w:tr2bl w:val="nil"/>
                  </w:tcBorders>
                  <w:vAlign w:val="center"/>
                </w:tcPr>
                <w:p w14:paraId="2E8EBCBD">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0.001</w:t>
                  </w:r>
                </w:p>
              </w:tc>
            </w:tr>
            <w:tr w14:paraId="04610D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25" w:type="dxa"/>
                  <w:gridSpan w:val="3"/>
                  <w:tcBorders>
                    <w:tl2br w:val="nil"/>
                    <w:tr2bl w:val="nil"/>
                  </w:tcBorders>
                  <w:vAlign w:val="center"/>
                </w:tcPr>
                <w:p w14:paraId="57564205">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合计</w:t>
                  </w:r>
                </w:p>
              </w:tc>
              <w:tc>
                <w:tcPr>
                  <w:tcW w:w="1812" w:type="dxa"/>
                  <w:tcBorders>
                    <w:tl2br w:val="nil"/>
                    <w:tr2bl w:val="nil"/>
                  </w:tcBorders>
                  <w:vAlign w:val="center"/>
                </w:tcPr>
                <w:p w14:paraId="3F7088A9">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0.002</w:t>
                  </w:r>
                </w:p>
              </w:tc>
            </w:tr>
          </w:tbl>
          <w:p w14:paraId="380D2877">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经计算，Q&lt;1，本项目风险潜势为I，风险评价仅需简单分析，无需设置风险评价范围。</w:t>
            </w:r>
          </w:p>
          <w:p w14:paraId="1C33BBD9">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环境风险分析</w:t>
            </w:r>
          </w:p>
          <w:p w14:paraId="5CCF5C5D">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废矿物油在</w:t>
            </w:r>
            <w:r>
              <w:rPr>
                <w:rFonts w:hint="eastAsia" w:ascii="Times New Roman" w:hAnsi="Times New Roman" w:eastAsia="宋体" w:cs="Times New Roman"/>
                <w:color w:val="auto"/>
                <w:sz w:val="24"/>
                <w:szCs w:val="24"/>
                <w:highlight w:val="none"/>
                <w:lang w:val="en-US" w:eastAsia="zh-CN"/>
              </w:rPr>
              <w:t>暂存</w:t>
            </w:r>
            <w:r>
              <w:rPr>
                <w:rFonts w:hint="default" w:ascii="Times New Roman" w:hAnsi="Times New Roman" w:eastAsia="宋体" w:cs="Times New Roman"/>
                <w:color w:val="auto"/>
                <w:sz w:val="24"/>
                <w:szCs w:val="24"/>
                <w:highlight w:val="none"/>
                <w:lang w:val="en-US" w:eastAsia="zh-CN"/>
              </w:rPr>
              <w:t>过程中会因包装桶破裂或操作不当引起泄漏，可能导致项目区域地下水、地表水、土壤等被污染</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当废矿物油泄漏引发火灾事故时，环境风险物质燃烧过程中会产生烟尘、二氧化硫和氮氧化物等多种大气污染物，会对大气环境造成负面影响；消防废水外排会对地表水环境造成负面影响。</w:t>
            </w:r>
          </w:p>
          <w:p w14:paraId="1DA53308">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环境风险防范措施</w:t>
            </w:r>
          </w:p>
          <w:p w14:paraId="54275835">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本项目收集废矿物油的容器底部应设置钢制托盘；危废贮存库进行防水、防渗、防流失处理</w:t>
            </w:r>
            <w:r>
              <w:rPr>
                <w:rFonts w:hint="eastAsia" w:cs="Times New Roman"/>
                <w:color w:val="auto"/>
                <w:sz w:val="24"/>
                <w:szCs w:val="24"/>
                <w:highlight w:val="none"/>
                <w:lang w:val="en-US" w:eastAsia="zh-CN"/>
              </w:rPr>
              <w:t>，具</w:t>
            </w:r>
            <w:r>
              <w:rPr>
                <w:rFonts w:hint="default" w:ascii="Times New Roman" w:hAnsi="Times New Roman" w:eastAsia="宋体" w:cs="Times New Roman"/>
                <w:color w:val="auto"/>
                <w:sz w:val="24"/>
                <w:szCs w:val="24"/>
                <w:highlight w:val="none"/>
                <w:lang w:val="en-US" w:eastAsia="zh-CN"/>
              </w:rPr>
              <w:t>有足够地面承载能力，并能确保雨水不会流至贮存设施内，贮存设施应封闭，采取必要的防风、防晒、防雨、防漏、防渗、防腐以及其他环境污染防治措施</w:t>
            </w:r>
            <w:r>
              <w:rPr>
                <w:rFonts w:hint="default" w:ascii="Times New Roman" w:hAnsi="Times New Roman" w:eastAsia="宋体" w:cs="Times New Roman"/>
                <w:color w:val="auto"/>
                <w:sz w:val="24"/>
                <w:szCs w:val="24"/>
                <w:highlight w:val="none"/>
              </w:rPr>
              <w:t>。</w:t>
            </w:r>
          </w:p>
          <w:p w14:paraId="77AA5CA8">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严禁火源进入危废贮存库，对明火严格控制。配置相应的灭火装置和设施，如灭火器、消防砂、消火栓等，并保持完好。值班人员应掌握一般消防知识。</w:t>
            </w:r>
          </w:p>
          <w:p w14:paraId="5ED4C9A5">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4</w:t>
            </w:r>
            <w:bookmarkStart w:id="8" w:name="_Toc157591136"/>
            <w:bookmarkStart w:id="9" w:name="_Toc219170345"/>
            <w:bookmarkStart w:id="10" w:name="_Toc179601982"/>
            <w:bookmarkStart w:id="11" w:name="_Toc306609410"/>
            <w:bookmarkStart w:id="12" w:name="_Toc164788227"/>
            <w:bookmarkStart w:id="13" w:name="_Toc222586620"/>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环境风险应急预案</w:t>
            </w:r>
            <w:bookmarkEnd w:id="8"/>
            <w:bookmarkEnd w:id="9"/>
            <w:bookmarkEnd w:id="10"/>
            <w:bookmarkEnd w:id="11"/>
            <w:bookmarkEnd w:id="12"/>
            <w:bookmarkEnd w:id="13"/>
          </w:p>
          <w:p w14:paraId="7F4547EF">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对可能发生的事故，应制定应急计划，使各部门在事故发生后能有步骤、有秩序地采取各项应急措施。</w:t>
            </w:r>
          </w:p>
          <w:p w14:paraId="5D0B872E">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（1）事故发生后，应根据具体情况采取应急措施，切断泄漏源、火源，控制事故扩大，同时通知控制室，根据事故类型、大小启动相应的应急预案；</w:t>
            </w:r>
          </w:p>
          <w:p w14:paraId="692C1C5F">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（2）发生重大事故，应立即上报相关部门，启动社会救援系统，就近地区调拨到专业救援队伍协助处理；</w:t>
            </w:r>
          </w:p>
          <w:p w14:paraId="7093D9E7">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（3）事故发生后，应立即通知当地</w:t>
            </w:r>
            <w:r>
              <w:rPr>
                <w:rFonts w:hint="eastAsia" w:ascii="Times New Roman" w:hAnsi="Times New Roman" w:eastAsia="宋体" w:cs="Times New Roman"/>
                <w:color w:val="auto"/>
                <w:sz w:val="24"/>
                <w:szCs w:val="24"/>
                <w:highlight w:val="none"/>
                <w:lang w:val="en-US" w:eastAsia="zh-CN"/>
              </w:rPr>
              <w:t>生态环境</w:t>
            </w:r>
            <w:r>
              <w:rPr>
                <w:rFonts w:hint="default" w:ascii="Times New Roman" w:hAnsi="Times New Roman" w:eastAsia="宋体" w:cs="Times New Roman"/>
                <w:color w:val="auto"/>
                <w:sz w:val="24"/>
                <w:szCs w:val="24"/>
                <w:highlight w:val="none"/>
                <w:lang w:val="en-US" w:eastAsia="zh-CN"/>
              </w:rPr>
              <w:t>、消防等部门，进行救援与监控。</w:t>
            </w:r>
          </w:p>
          <w:p w14:paraId="237E249D">
            <w:pPr>
              <w:keepNext w:val="0"/>
              <w:keepLines w:val="0"/>
              <w:pageBreakBefore w:val="0"/>
              <w:widowControl w:val="0"/>
              <w:kinsoku/>
              <w:wordWrap/>
              <w:overflowPunct/>
              <w:topLinePunct w:val="0"/>
              <w:autoSpaceDE/>
              <w:autoSpaceDN/>
              <w:bidi w:val="0"/>
              <w:adjustRightInd w:val="0"/>
              <w:snapToGrid w:val="0"/>
              <w:spacing w:line="480" w:lineRule="exact"/>
              <w:ind w:firstLine="0" w:firstLineChars="0"/>
              <w:jc w:val="center"/>
              <w:textAlignment w:val="auto"/>
              <w:rPr>
                <w:rFonts w:hint="default" w:ascii="Times New Roman" w:hAnsi="Times New Roman" w:eastAsia="黑体" w:cs="Times New Roman"/>
                <w:b w:val="0"/>
                <w:bCs w:val="0"/>
                <w:color w:val="auto"/>
                <w:kern w:val="2"/>
                <w:sz w:val="21"/>
                <w:szCs w:val="21"/>
                <w:highlight w:val="none"/>
                <w:lang w:val="en-US" w:eastAsia="zh-CN" w:bidi="ar-SA"/>
              </w:rPr>
            </w:pPr>
            <w:r>
              <w:rPr>
                <w:rFonts w:hint="default" w:ascii="Times New Roman" w:hAnsi="Times New Roman" w:eastAsia="黑体" w:cs="Times New Roman"/>
                <w:b w:val="0"/>
                <w:bCs w:val="0"/>
                <w:color w:val="auto"/>
                <w:kern w:val="2"/>
                <w:sz w:val="21"/>
                <w:szCs w:val="21"/>
                <w:highlight w:val="none"/>
                <w:lang w:val="en-US" w:eastAsia="zh-CN" w:bidi="ar-SA"/>
              </w:rPr>
              <w:t>表</w:t>
            </w:r>
            <w:r>
              <w:rPr>
                <w:rFonts w:hint="eastAsia" w:eastAsia="黑体" w:cs="Times New Roman"/>
                <w:b w:val="0"/>
                <w:bCs w:val="0"/>
                <w:color w:val="auto"/>
                <w:kern w:val="2"/>
                <w:sz w:val="21"/>
                <w:szCs w:val="21"/>
                <w:highlight w:val="none"/>
                <w:lang w:val="en-US" w:eastAsia="zh-CN" w:bidi="ar-SA"/>
              </w:rPr>
              <w:t>4.10-2</w:t>
            </w:r>
            <w:r>
              <w:rPr>
                <w:rFonts w:hint="default" w:ascii="Times New Roman" w:hAnsi="Times New Roman" w:eastAsia="黑体" w:cs="Times New Roman"/>
                <w:b w:val="0"/>
                <w:bCs w:val="0"/>
                <w:color w:val="auto"/>
                <w:kern w:val="2"/>
                <w:sz w:val="21"/>
                <w:szCs w:val="21"/>
                <w:highlight w:val="none"/>
                <w:lang w:val="en-US" w:eastAsia="zh-CN" w:bidi="ar-SA"/>
              </w:rPr>
              <w:t xml:space="preserve">  环境风险应急预案内容一览表</w:t>
            </w:r>
          </w:p>
          <w:tbl>
            <w:tblPr>
              <w:tblStyle w:val="26"/>
              <w:tblW w:w="793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69"/>
              <w:gridCol w:w="1763"/>
              <w:gridCol w:w="5505"/>
            </w:tblGrid>
            <w:tr w14:paraId="490337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 w:type="dxa"/>
                  <w:tcBorders>
                    <w:tl2br w:val="nil"/>
                    <w:tr2bl w:val="nil"/>
                  </w:tcBorders>
                  <w:vAlign w:val="center"/>
                </w:tcPr>
                <w:p w14:paraId="3CC0106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序号</w:t>
                  </w:r>
                </w:p>
              </w:tc>
              <w:tc>
                <w:tcPr>
                  <w:tcW w:w="1776" w:type="dxa"/>
                  <w:tcBorders>
                    <w:tl2br w:val="nil"/>
                    <w:tr2bl w:val="nil"/>
                  </w:tcBorders>
                  <w:vAlign w:val="center"/>
                </w:tcPr>
                <w:p w14:paraId="62592D9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项目</w:t>
                  </w:r>
                </w:p>
              </w:tc>
              <w:tc>
                <w:tcPr>
                  <w:tcW w:w="5550" w:type="dxa"/>
                  <w:tcBorders>
                    <w:tl2br w:val="nil"/>
                    <w:tr2bl w:val="nil"/>
                  </w:tcBorders>
                  <w:vAlign w:val="center"/>
                </w:tcPr>
                <w:p w14:paraId="6CE2A66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内容及要求</w:t>
                  </w:r>
                </w:p>
              </w:tc>
            </w:tr>
            <w:tr w14:paraId="6226AF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 w:type="dxa"/>
                  <w:tcBorders>
                    <w:tl2br w:val="nil"/>
                    <w:tr2bl w:val="nil"/>
                  </w:tcBorders>
                  <w:vAlign w:val="center"/>
                </w:tcPr>
                <w:p w14:paraId="7C70BB6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1</w:t>
                  </w:r>
                </w:p>
              </w:tc>
              <w:tc>
                <w:tcPr>
                  <w:tcW w:w="1776" w:type="dxa"/>
                  <w:tcBorders>
                    <w:tl2br w:val="nil"/>
                    <w:tr2bl w:val="nil"/>
                  </w:tcBorders>
                  <w:vAlign w:val="center"/>
                </w:tcPr>
                <w:p w14:paraId="38FAA83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应急计划区</w:t>
                  </w:r>
                </w:p>
              </w:tc>
              <w:tc>
                <w:tcPr>
                  <w:tcW w:w="5550" w:type="dxa"/>
                  <w:tcBorders>
                    <w:tl2br w:val="nil"/>
                    <w:tr2bl w:val="nil"/>
                  </w:tcBorders>
                  <w:vAlign w:val="center"/>
                </w:tcPr>
                <w:p w14:paraId="3E0FB05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危险目标：</w:t>
                  </w:r>
                  <w:r>
                    <w:rPr>
                      <w:rFonts w:hint="eastAsia" w:cs="Times New Roman"/>
                      <w:color w:val="auto"/>
                      <w:kern w:val="0"/>
                      <w:sz w:val="21"/>
                      <w:szCs w:val="21"/>
                      <w:highlight w:val="none"/>
                      <w:lang w:val="en-US" w:eastAsia="zh-CN" w:bidi="ar-SA"/>
                    </w:rPr>
                    <w:t>1#、2#</w:t>
                  </w:r>
                  <w:r>
                    <w:rPr>
                      <w:rFonts w:hint="default" w:ascii="Times New Roman" w:hAnsi="Times New Roman" w:eastAsia="宋体" w:cs="Times New Roman"/>
                      <w:color w:val="auto"/>
                      <w:kern w:val="0"/>
                      <w:sz w:val="21"/>
                      <w:szCs w:val="21"/>
                      <w:highlight w:val="none"/>
                      <w:lang w:val="en-US" w:eastAsia="zh-CN" w:bidi="ar-SA"/>
                    </w:rPr>
                    <w:t>危废贮存库</w:t>
                  </w:r>
                </w:p>
              </w:tc>
            </w:tr>
            <w:tr w14:paraId="03156C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 w:type="dxa"/>
                  <w:tcBorders>
                    <w:tl2br w:val="nil"/>
                    <w:tr2bl w:val="nil"/>
                  </w:tcBorders>
                  <w:vAlign w:val="center"/>
                </w:tcPr>
                <w:p w14:paraId="4BEDA02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2</w:t>
                  </w:r>
                </w:p>
              </w:tc>
              <w:tc>
                <w:tcPr>
                  <w:tcW w:w="1776" w:type="dxa"/>
                  <w:tcBorders>
                    <w:tl2br w:val="nil"/>
                    <w:tr2bl w:val="nil"/>
                  </w:tcBorders>
                  <w:vAlign w:val="center"/>
                </w:tcPr>
                <w:p w14:paraId="67B4E9B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应急组织</w:t>
                  </w:r>
                </w:p>
              </w:tc>
              <w:tc>
                <w:tcPr>
                  <w:tcW w:w="5550" w:type="dxa"/>
                  <w:tcBorders>
                    <w:tl2br w:val="nil"/>
                    <w:tr2bl w:val="nil"/>
                  </w:tcBorders>
                  <w:vAlign w:val="center"/>
                </w:tcPr>
                <w:p w14:paraId="7AF057F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企业应急组织机构及人员</w:t>
                  </w:r>
                </w:p>
              </w:tc>
            </w:tr>
            <w:tr w14:paraId="16CA1F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 w:type="dxa"/>
                  <w:tcBorders>
                    <w:tl2br w:val="nil"/>
                    <w:tr2bl w:val="nil"/>
                  </w:tcBorders>
                  <w:vAlign w:val="center"/>
                </w:tcPr>
                <w:p w14:paraId="5E2123B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3</w:t>
                  </w:r>
                </w:p>
              </w:tc>
              <w:tc>
                <w:tcPr>
                  <w:tcW w:w="1776" w:type="dxa"/>
                  <w:tcBorders>
                    <w:tl2br w:val="nil"/>
                    <w:tr2bl w:val="nil"/>
                  </w:tcBorders>
                  <w:vAlign w:val="center"/>
                </w:tcPr>
                <w:p w14:paraId="687E1E2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预案分级响应</w:t>
                  </w:r>
                </w:p>
                <w:p w14:paraId="0FD8F93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条件</w:t>
                  </w:r>
                </w:p>
              </w:tc>
              <w:tc>
                <w:tcPr>
                  <w:tcW w:w="5550" w:type="dxa"/>
                  <w:tcBorders>
                    <w:tl2br w:val="nil"/>
                    <w:tr2bl w:val="nil"/>
                  </w:tcBorders>
                  <w:vAlign w:val="center"/>
                </w:tcPr>
                <w:p w14:paraId="6C4218E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规定预案的级别及分级响应条件</w:t>
                  </w:r>
                </w:p>
              </w:tc>
            </w:tr>
            <w:tr w14:paraId="4A10FA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 w:type="dxa"/>
                  <w:tcBorders>
                    <w:tl2br w:val="nil"/>
                    <w:tr2bl w:val="nil"/>
                  </w:tcBorders>
                  <w:vAlign w:val="center"/>
                </w:tcPr>
                <w:p w14:paraId="5EB2D36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4</w:t>
                  </w:r>
                </w:p>
              </w:tc>
              <w:tc>
                <w:tcPr>
                  <w:tcW w:w="1776" w:type="dxa"/>
                  <w:tcBorders>
                    <w:tl2br w:val="nil"/>
                    <w:tr2bl w:val="nil"/>
                  </w:tcBorders>
                  <w:vAlign w:val="center"/>
                </w:tcPr>
                <w:p w14:paraId="740198F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应急救援保障</w:t>
                  </w:r>
                </w:p>
              </w:tc>
              <w:tc>
                <w:tcPr>
                  <w:tcW w:w="5550" w:type="dxa"/>
                  <w:tcBorders>
                    <w:tl2br w:val="nil"/>
                    <w:tr2bl w:val="nil"/>
                  </w:tcBorders>
                  <w:vAlign w:val="center"/>
                </w:tcPr>
                <w:p w14:paraId="6CAA8BB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应急设施、设备及器材等</w:t>
                  </w:r>
                </w:p>
              </w:tc>
            </w:tr>
            <w:tr w14:paraId="28ADCD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 w:type="dxa"/>
                  <w:tcBorders>
                    <w:tl2br w:val="nil"/>
                    <w:tr2bl w:val="nil"/>
                  </w:tcBorders>
                  <w:vAlign w:val="center"/>
                </w:tcPr>
                <w:p w14:paraId="50AA215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5</w:t>
                  </w:r>
                </w:p>
              </w:tc>
              <w:tc>
                <w:tcPr>
                  <w:tcW w:w="1776" w:type="dxa"/>
                  <w:tcBorders>
                    <w:tl2br w:val="nil"/>
                    <w:tr2bl w:val="nil"/>
                  </w:tcBorders>
                  <w:vAlign w:val="center"/>
                </w:tcPr>
                <w:p w14:paraId="1860DD2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应急通讯通告与交通</w:t>
                  </w:r>
                </w:p>
              </w:tc>
              <w:tc>
                <w:tcPr>
                  <w:tcW w:w="5550" w:type="dxa"/>
                  <w:tcBorders>
                    <w:tl2br w:val="nil"/>
                    <w:tr2bl w:val="nil"/>
                  </w:tcBorders>
                  <w:vAlign w:val="center"/>
                </w:tcPr>
                <w:p w14:paraId="66A403D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规定应急状态下的通讯、通告方式和交通保障、管制等事项</w:t>
                  </w:r>
                </w:p>
              </w:tc>
            </w:tr>
            <w:tr w14:paraId="0A7156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 w:type="dxa"/>
                  <w:tcBorders>
                    <w:tl2br w:val="nil"/>
                    <w:tr2bl w:val="nil"/>
                  </w:tcBorders>
                  <w:vAlign w:val="center"/>
                </w:tcPr>
                <w:p w14:paraId="7CDAAD2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6</w:t>
                  </w:r>
                </w:p>
              </w:tc>
              <w:tc>
                <w:tcPr>
                  <w:tcW w:w="1776" w:type="dxa"/>
                  <w:tcBorders>
                    <w:tl2br w:val="nil"/>
                    <w:tr2bl w:val="nil"/>
                  </w:tcBorders>
                  <w:vAlign w:val="center"/>
                </w:tcPr>
                <w:p w14:paraId="7661930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应急环境监测及事故评估</w:t>
                  </w:r>
                </w:p>
              </w:tc>
              <w:tc>
                <w:tcPr>
                  <w:tcW w:w="5550" w:type="dxa"/>
                  <w:tcBorders>
                    <w:tl2br w:val="nil"/>
                    <w:tr2bl w:val="nil"/>
                  </w:tcBorders>
                  <w:vAlign w:val="center"/>
                </w:tcPr>
                <w:p w14:paraId="4AC6561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由专业人员对环境风险事故现场进行应急监测，对事故性质、严重程度等所造成的环境危害后果进行评估，吸取经验教</w:t>
                  </w:r>
                  <w:r>
                    <w:rPr>
                      <w:rFonts w:hint="eastAsia" w:cs="Times New Roman"/>
                      <w:color w:val="auto"/>
                      <w:kern w:val="0"/>
                      <w:sz w:val="21"/>
                      <w:szCs w:val="21"/>
                      <w:highlight w:val="none"/>
                      <w:lang w:val="en-US" w:eastAsia="zh-CN" w:bidi="ar-SA"/>
                    </w:rPr>
                    <w:t>训避</w:t>
                  </w:r>
                  <w:r>
                    <w:rPr>
                      <w:rFonts w:hint="default" w:ascii="Times New Roman" w:hAnsi="Times New Roman" w:eastAsia="宋体" w:cs="Times New Roman"/>
                      <w:color w:val="auto"/>
                      <w:kern w:val="0"/>
                      <w:sz w:val="21"/>
                      <w:szCs w:val="21"/>
                      <w:highlight w:val="none"/>
                      <w:lang w:val="en-US" w:eastAsia="zh-CN" w:bidi="ar-SA"/>
                    </w:rPr>
                    <w:t>免再次发生事故，为指挥部门提供决策依据。</w:t>
                  </w:r>
                </w:p>
              </w:tc>
            </w:tr>
            <w:tr w14:paraId="5F2DA1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 w:type="dxa"/>
                  <w:tcBorders>
                    <w:tl2br w:val="nil"/>
                    <w:tr2bl w:val="nil"/>
                  </w:tcBorders>
                  <w:vAlign w:val="center"/>
                </w:tcPr>
                <w:p w14:paraId="59D6FD9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7</w:t>
                  </w:r>
                </w:p>
              </w:tc>
              <w:tc>
                <w:tcPr>
                  <w:tcW w:w="1776" w:type="dxa"/>
                  <w:tcBorders>
                    <w:tl2br w:val="nil"/>
                    <w:tr2bl w:val="nil"/>
                  </w:tcBorders>
                  <w:vAlign w:val="center"/>
                </w:tcPr>
                <w:p w14:paraId="4EF0F99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应急防护措施</w:t>
                  </w:r>
                </w:p>
              </w:tc>
              <w:tc>
                <w:tcPr>
                  <w:tcW w:w="5550" w:type="dxa"/>
                  <w:tcBorders>
                    <w:tl2br w:val="nil"/>
                    <w:tr2bl w:val="nil"/>
                  </w:tcBorders>
                  <w:vAlign w:val="center"/>
                </w:tcPr>
                <w:p w14:paraId="6C820C7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事故现场：控制事故发展，防止扩大、蔓延及连锁反应；相应的设施器材配备；</w:t>
                  </w:r>
                  <w:r>
                    <w:rPr>
                      <w:rFonts w:hint="eastAsia" w:cs="Times New Roman"/>
                      <w:color w:val="auto"/>
                      <w:kern w:val="0"/>
                      <w:sz w:val="21"/>
                      <w:szCs w:val="21"/>
                      <w:highlight w:val="none"/>
                      <w:lang w:val="en-US" w:eastAsia="zh-CN" w:bidi="ar-SA"/>
                    </w:rPr>
                    <w:t>邻近地区</w:t>
                  </w:r>
                  <w:r>
                    <w:rPr>
                      <w:rFonts w:hint="default" w:ascii="Times New Roman" w:hAnsi="Times New Roman" w:eastAsia="宋体" w:cs="Times New Roman"/>
                      <w:color w:val="auto"/>
                      <w:kern w:val="0"/>
                      <w:sz w:val="21"/>
                      <w:szCs w:val="21"/>
                      <w:highlight w:val="none"/>
                      <w:lang w:val="en-US" w:eastAsia="zh-CN" w:bidi="ar-SA"/>
                    </w:rPr>
                    <w:t>：控制防火区域，控制和消除环境污染的措施及相应的设备设施。</w:t>
                  </w:r>
                </w:p>
              </w:tc>
            </w:tr>
            <w:tr w14:paraId="1D8562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 w:type="dxa"/>
                  <w:tcBorders>
                    <w:tl2br w:val="nil"/>
                    <w:tr2bl w:val="nil"/>
                  </w:tcBorders>
                  <w:vAlign w:val="center"/>
                </w:tcPr>
                <w:p w14:paraId="29E338A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8</w:t>
                  </w:r>
                </w:p>
              </w:tc>
              <w:tc>
                <w:tcPr>
                  <w:tcW w:w="1776" w:type="dxa"/>
                  <w:tcBorders>
                    <w:tl2br w:val="nil"/>
                    <w:tr2bl w:val="nil"/>
                  </w:tcBorders>
                  <w:vAlign w:val="center"/>
                </w:tcPr>
                <w:p w14:paraId="14816C8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撤离组织计划，医疗救护与公众健康</w:t>
                  </w:r>
                </w:p>
              </w:tc>
              <w:tc>
                <w:tcPr>
                  <w:tcW w:w="5550" w:type="dxa"/>
                  <w:tcBorders>
                    <w:tl2br w:val="nil"/>
                    <w:tr2bl w:val="nil"/>
                  </w:tcBorders>
                  <w:vAlign w:val="center"/>
                </w:tcPr>
                <w:p w14:paraId="5A1892D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事故现场：事故处理人员、现场及</w:t>
                  </w:r>
                  <w:r>
                    <w:rPr>
                      <w:rFonts w:hint="eastAsia" w:cs="Times New Roman"/>
                      <w:color w:val="auto"/>
                      <w:kern w:val="0"/>
                      <w:sz w:val="21"/>
                      <w:szCs w:val="21"/>
                      <w:highlight w:val="none"/>
                      <w:lang w:val="en-US" w:eastAsia="zh-CN" w:bidi="ar-SA"/>
                    </w:rPr>
                    <w:t>邻近</w:t>
                  </w:r>
                  <w:r>
                    <w:rPr>
                      <w:rFonts w:hint="default" w:ascii="Times New Roman" w:hAnsi="Times New Roman" w:eastAsia="宋体" w:cs="Times New Roman"/>
                      <w:color w:val="auto"/>
                      <w:kern w:val="0"/>
                      <w:sz w:val="21"/>
                      <w:szCs w:val="21"/>
                      <w:highlight w:val="none"/>
                      <w:lang w:val="en-US" w:eastAsia="zh-CN" w:bidi="ar-SA"/>
                    </w:rPr>
                    <w:t>人员的撤离组织计划和紧急救护方案；邻近地区：制定受事故影响的</w:t>
                  </w:r>
                  <w:r>
                    <w:rPr>
                      <w:rFonts w:hint="eastAsia" w:cs="Times New Roman"/>
                      <w:color w:val="auto"/>
                      <w:kern w:val="0"/>
                      <w:sz w:val="21"/>
                      <w:szCs w:val="21"/>
                      <w:highlight w:val="none"/>
                      <w:lang w:val="en-US" w:eastAsia="zh-CN" w:bidi="ar-SA"/>
                    </w:rPr>
                    <w:t>邻近地区</w:t>
                  </w:r>
                  <w:r>
                    <w:rPr>
                      <w:rFonts w:hint="default" w:ascii="Times New Roman" w:hAnsi="Times New Roman" w:eastAsia="宋体" w:cs="Times New Roman"/>
                      <w:color w:val="auto"/>
                      <w:kern w:val="0"/>
                      <w:sz w:val="21"/>
                      <w:szCs w:val="21"/>
                      <w:highlight w:val="none"/>
                      <w:lang w:val="en-US" w:eastAsia="zh-CN" w:bidi="ar-SA"/>
                    </w:rPr>
                    <w:t>人员的疏散组织计划和紧急救护方案。</w:t>
                  </w:r>
                </w:p>
              </w:tc>
            </w:tr>
            <w:tr w14:paraId="3F0A66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 w:type="dxa"/>
                  <w:tcBorders>
                    <w:tl2br w:val="nil"/>
                    <w:tr2bl w:val="nil"/>
                  </w:tcBorders>
                  <w:vAlign w:val="center"/>
                </w:tcPr>
                <w:p w14:paraId="361DC4D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9</w:t>
                  </w:r>
                </w:p>
              </w:tc>
              <w:tc>
                <w:tcPr>
                  <w:tcW w:w="1776" w:type="dxa"/>
                  <w:tcBorders>
                    <w:tl2br w:val="nil"/>
                    <w:tr2bl w:val="nil"/>
                  </w:tcBorders>
                  <w:vAlign w:val="center"/>
                </w:tcPr>
                <w:p w14:paraId="79A4AC9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应急状态终止恢复措施</w:t>
                  </w:r>
                </w:p>
              </w:tc>
              <w:tc>
                <w:tcPr>
                  <w:tcW w:w="5550" w:type="dxa"/>
                  <w:tcBorders>
                    <w:tl2br w:val="nil"/>
                    <w:tr2bl w:val="nil"/>
                  </w:tcBorders>
                  <w:vAlign w:val="center"/>
                </w:tcPr>
                <w:p w14:paraId="20E08FA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事故现场：规定应急状态</w:t>
                  </w:r>
                  <w:r>
                    <w:rPr>
                      <w:rFonts w:hint="eastAsia" w:cs="Times New Roman"/>
                      <w:color w:val="auto"/>
                      <w:kern w:val="0"/>
                      <w:sz w:val="21"/>
                      <w:szCs w:val="21"/>
                      <w:highlight w:val="none"/>
                      <w:lang w:val="en-US" w:eastAsia="zh-CN" w:bidi="ar-SA"/>
                    </w:rPr>
                    <w:t>中止</w:t>
                  </w:r>
                  <w:r>
                    <w:rPr>
                      <w:rFonts w:hint="default" w:ascii="Times New Roman" w:hAnsi="Times New Roman" w:eastAsia="宋体" w:cs="Times New Roman"/>
                      <w:color w:val="auto"/>
                      <w:kern w:val="0"/>
                      <w:sz w:val="21"/>
                      <w:szCs w:val="21"/>
                      <w:highlight w:val="none"/>
                      <w:lang w:val="en-US" w:eastAsia="zh-CN" w:bidi="ar-SA"/>
                    </w:rPr>
                    <w:t>秩序，事故善后处理，恢复生产措施；</w:t>
                  </w:r>
                  <w:r>
                    <w:rPr>
                      <w:rFonts w:hint="eastAsia" w:cs="Times New Roman"/>
                      <w:color w:val="auto"/>
                      <w:kern w:val="0"/>
                      <w:sz w:val="21"/>
                      <w:szCs w:val="21"/>
                      <w:highlight w:val="none"/>
                      <w:lang w:val="en-US" w:eastAsia="zh-CN" w:bidi="ar-SA"/>
                    </w:rPr>
                    <w:t>邻近地区</w:t>
                  </w:r>
                  <w:r>
                    <w:rPr>
                      <w:rFonts w:hint="default" w:ascii="Times New Roman" w:hAnsi="Times New Roman" w:eastAsia="宋体" w:cs="Times New Roman"/>
                      <w:color w:val="auto"/>
                      <w:kern w:val="0"/>
                      <w:sz w:val="21"/>
                      <w:szCs w:val="21"/>
                      <w:highlight w:val="none"/>
                      <w:lang w:val="en-US" w:eastAsia="zh-CN" w:bidi="ar-SA"/>
                    </w:rPr>
                    <w:t>：解除事故警戒、公众返回和善后恢复措施。</w:t>
                  </w:r>
                </w:p>
              </w:tc>
            </w:tr>
            <w:tr w14:paraId="6D8F0E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 w:type="dxa"/>
                  <w:tcBorders>
                    <w:tl2br w:val="nil"/>
                    <w:tr2bl w:val="nil"/>
                  </w:tcBorders>
                  <w:vAlign w:val="center"/>
                </w:tcPr>
                <w:p w14:paraId="7D3EFD6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10</w:t>
                  </w:r>
                </w:p>
              </w:tc>
              <w:tc>
                <w:tcPr>
                  <w:tcW w:w="1776" w:type="dxa"/>
                  <w:tcBorders>
                    <w:tl2br w:val="nil"/>
                    <w:tr2bl w:val="nil"/>
                  </w:tcBorders>
                  <w:vAlign w:val="center"/>
                </w:tcPr>
                <w:p w14:paraId="2253E80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人员培训与演习</w:t>
                  </w:r>
                </w:p>
              </w:tc>
              <w:tc>
                <w:tcPr>
                  <w:tcW w:w="5550" w:type="dxa"/>
                  <w:tcBorders>
                    <w:tl2br w:val="nil"/>
                    <w:tr2bl w:val="nil"/>
                  </w:tcBorders>
                  <w:vAlign w:val="center"/>
                </w:tcPr>
                <w:p w14:paraId="76B4B17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应急计划制定后，平时安排事故处理人员进行相关知识培训、进行事故应急处理演习；对企业职工进行安全卫生教育。</w:t>
                  </w:r>
                </w:p>
              </w:tc>
            </w:tr>
            <w:tr w14:paraId="6613BD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 w:type="dxa"/>
                  <w:tcBorders>
                    <w:tl2br w:val="nil"/>
                    <w:tr2bl w:val="nil"/>
                  </w:tcBorders>
                  <w:vAlign w:val="center"/>
                </w:tcPr>
                <w:p w14:paraId="0AA8FB0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11</w:t>
                  </w:r>
                </w:p>
              </w:tc>
              <w:tc>
                <w:tcPr>
                  <w:tcW w:w="1776" w:type="dxa"/>
                  <w:tcBorders>
                    <w:tl2br w:val="nil"/>
                    <w:tr2bl w:val="nil"/>
                  </w:tcBorders>
                  <w:vAlign w:val="center"/>
                </w:tcPr>
                <w:p w14:paraId="623F5B9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公众教育</w:t>
                  </w:r>
                </w:p>
              </w:tc>
              <w:tc>
                <w:tcPr>
                  <w:tcW w:w="5550" w:type="dxa"/>
                  <w:tcBorders>
                    <w:tl2br w:val="nil"/>
                    <w:tr2bl w:val="nil"/>
                  </w:tcBorders>
                  <w:vAlign w:val="center"/>
                </w:tcPr>
                <w:p w14:paraId="35AB076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对企业</w:t>
                  </w:r>
                  <w:r>
                    <w:rPr>
                      <w:rFonts w:hint="eastAsia" w:cs="Times New Roman"/>
                      <w:color w:val="auto"/>
                      <w:kern w:val="0"/>
                      <w:sz w:val="21"/>
                      <w:szCs w:val="21"/>
                      <w:highlight w:val="none"/>
                      <w:lang w:val="en-US" w:eastAsia="zh-CN" w:bidi="ar-SA"/>
                    </w:rPr>
                    <w:t>邻近地区</w:t>
                  </w:r>
                  <w:r>
                    <w:rPr>
                      <w:rFonts w:hint="default" w:ascii="Times New Roman" w:hAnsi="Times New Roman" w:eastAsia="宋体" w:cs="Times New Roman"/>
                      <w:color w:val="auto"/>
                      <w:kern w:val="0"/>
                      <w:sz w:val="21"/>
                      <w:szCs w:val="21"/>
                      <w:highlight w:val="none"/>
                      <w:lang w:val="en-US" w:eastAsia="zh-CN" w:bidi="ar-SA"/>
                    </w:rPr>
                    <w:t>公众开展环境风险事故预防教育、应急知识培训并定期发布相关信息。</w:t>
                  </w:r>
                </w:p>
              </w:tc>
            </w:tr>
            <w:tr w14:paraId="42016A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 w:type="dxa"/>
                  <w:tcBorders>
                    <w:tl2br w:val="nil"/>
                    <w:tr2bl w:val="nil"/>
                  </w:tcBorders>
                  <w:vAlign w:val="center"/>
                </w:tcPr>
                <w:p w14:paraId="3159835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12</w:t>
                  </w:r>
                </w:p>
              </w:tc>
              <w:tc>
                <w:tcPr>
                  <w:tcW w:w="1776" w:type="dxa"/>
                  <w:tcBorders>
                    <w:tl2br w:val="nil"/>
                    <w:tr2bl w:val="nil"/>
                  </w:tcBorders>
                  <w:vAlign w:val="center"/>
                </w:tcPr>
                <w:p w14:paraId="6E455C4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记录和报告</w:t>
                  </w:r>
                </w:p>
              </w:tc>
              <w:tc>
                <w:tcPr>
                  <w:tcW w:w="5550" w:type="dxa"/>
                  <w:tcBorders>
                    <w:tl2br w:val="nil"/>
                    <w:tr2bl w:val="nil"/>
                  </w:tcBorders>
                  <w:vAlign w:val="center"/>
                </w:tcPr>
                <w:p w14:paraId="44B7034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设立</w:t>
                  </w:r>
                  <w:r>
                    <w:rPr>
                      <w:rFonts w:hint="default" w:ascii="Times New Roman" w:hAnsi="Times New Roman" w:eastAsia="宋体" w:cs="Times New Roman"/>
                      <w:color w:val="auto"/>
                      <w:kern w:val="0"/>
                      <w:sz w:val="21"/>
                      <w:szCs w:val="21"/>
                      <w:highlight w:val="none"/>
                      <w:lang w:val="en-US" w:eastAsia="zh-CN" w:bidi="ar-SA"/>
                    </w:rPr>
                    <w:t>应急事故专门记录，建立档案和报告制度，设专门部门负责管理。</w:t>
                  </w:r>
                </w:p>
              </w:tc>
            </w:tr>
            <w:tr w14:paraId="2ABC88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 w:type="dxa"/>
                  <w:tcBorders>
                    <w:tl2br w:val="nil"/>
                    <w:tr2bl w:val="nil"/>
                  </w:tcBorders>
                  <w:vAlign w:val="center"/>
                </w:tcPr>
                <w:p w14:paraId="09A7AB2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13</w:t>
                  </w:r>
                </w:p>
              </w:tc>
              <w:tc>
                <w:tcPr>
                  <w:tcW w:w="1776" w:type="dxa"/>
                  <w:tcBorders>
                    <w:tl2br w:val="nil"/>
                    <w:tr2bl w:val="nil"/>
                  </w:tcBorders>
                  <w:vAlign w:val="center"/>
                </w:tcPr>
                <w:p w14:paraId="42025A7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附件</w:t>
                  </w:r>
                </w:p>
              </w:tc>
              <w:tc>
                <w:tcPr>
                  <w:tcW w:w="5550" w:type="dxa"/>
                  <w:tcBorders>
                    <w:tl2br w:val="nil"/>
                    <w:tr2bl w:val="nil"/>
                  </w:tcBorders>
                  <w:vAlign w:val="center"/>
                </w:tcPr>
                <w:p w14:paraId="3446FF2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准备并形成环境风险事故应急处理有关的附件材料</w:t>
                  </w:r>
                  <w:r>
                    <w:rPr>
                      <w:rFonts w:hint="eastAsia" w:ascii="Times New Roman" w:hAnsi="Times New Roman" w:eastAsia="宋体" w:cs="Times New Roman"/>
                      <w:color w:val="auto"/>
                      <w:kern w:val="0"/>
                      <w:sz w:val="21"/>
                      <w:szCs w:val="21"/>
                      <w:highlight w:val="none"/>
                      <w:lang w:val="en-US" w:eastAsia="zh-CN" w:bidi="ar-SA"/>
                    </w:rPr>
                    <w:t>。</w:t>
                  </w:r>
                </w:p>
              </w:tc>
            </w:tr>
          </w:tbl>
          <w:p w14:paraId="2B9DCDC4">
            <w:pPr>
              <w:widowControl w:val="0"/>
              <w:spacing w:line="480" w:lineRule="exact"/>
              <w:ind w:firstLine="480" w:firstLineChars="200"/>
              <w:jc w:val="both"/>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kern w:val="2"/>
                <w:sz w:val="24"/>
                <w:szCs w:val="24"/>
                <w:highlight w:val="none"/>
                <w:lang w:val="en-US" w:eastAsia="zh-CN" w:bidi="ar-SA"/>
              </w:rPr>
              <w:t>5</w:t>
            </w:r>
            <w:r>
              <w:rPr>
                <w:rFonts w:hint="eastAsia" w:ascii="Times New Roman" w:hAnsi="Times New Roman" w:eastAsia="宋体" w:cs="Times New Roman"/>
                <w:b w:val="0"/>
                <w:bCs w:val="0"/>
                <w:color w:val="auto"/>
                <w:kern w:val="2"/>
                <w:sz w:val="24"/>
                <w:szCs w:val="24"/>
                <w:highlight w:val="none"/>
                <w:lang w:val="en-US" w:eastAsia="zh-CN" w:bidi="ar-SA"/>
              </w:rPr>
              <w:t>.</w:t>
            </w:r>
            <w:r>
              <w:rPr>
                <w:rFonts w:hint="default" w:ascii="Times New Roman" w:hAnsi="Times New Roman" w:eastAsia="宋体" w:cs="Times New Roman"/>
                <w:b w:val="0"/>
                <w:bCs w:val="0"/>
                <w:color w:val="auto"/>
                <w:kern w:val="2"/>
                <w:sz w:val="24"/>
                <w:szCs w:val="24"/>
                <w:highlight w:val="none"/>
                <w:lang w:val="en-US" w:eastAsia="zh-CN" w:bidi="ar-SA"/>
              </w:rPr>
              <w:t>环境风险评价小结</w:t>
            </w:r>
          </w:p>
          <w:p w14:paraId="1F728E24">
            <w:pPr>
              <w:widowControl w:val="0"/>
              <w:spacing w:line="480" w:lineRule="exact"/>
              <w:ind w:firstLine="480" w:firstLineChars="200"/>
              <w:jc w:val="both"/>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kern w:val="2"/>
                <w:sz w:val="24"/>
                <w:szCs w:val="24"/>
                <w:highlight w:val="none"/>
                <w:lang w:val="en-US" w:eastAsia="zh-CN" w:bidi="ar-SA"/>
              </w:rPr>
              <w:t>本次评价通过对项目可能发生的环境风险事故进行定性分析，在采取</w:t>
            </w:r>
            <w:r>
              <w:rPr>
                <w:rFonts w:hint="eastAsia" w:ascii="Times New Roman" w:hAnsi="Times New Roman" w:eastAsia="宋体" w:cs="Times New Roman"/>
                <w:b w:val="0"/>
                <w:bCs w:val="0"/>
                <w:color w:val="auto"/>
                <w:kern w:val="2"/>
                <w:sz w:val="24"/>
                <w:szCs w:val="24"/>
                <w:highlight w:val="none"/>
                <w:lang w:val="en-US" w:eastAsia="zh-CN" w:bidi="ar-SA"/>
              </w:rPr>
              <w:t>应急</w:t>
            </w:r>
            <w:r>
              <w:rPr>
                <w:rFonts w:hint="default" w:ascii="Times New Roman" w:hAnsi="Times New Roman" w:eastAsia="宋体" w:cs="Times New Roman"/>
                <w:b w:val="0"/>
                <w:bCs w:val="0"/>
                <w:color w:val="auto"/>
                <w:kern w:val="2"/>
                <w:sz w:val="24"/>
                <w:szCs w:val="24"/>
                <w:highlight w:val="none"/>
                <w:lang w:val="en-US" w:eastAsia="zh-CN" w:bidi="ar-SA"/>
              </w:rPr>
              <w:t>防范措施、综合管理措施、制定风险应急预案等措施后，可将泄漏、火灾等事故对环境的影响减少到最低和可接受范围，避免使项目本身及周边环境遭受损失。</w:t>
            </w:r>
          </w:p>
          <w:p w14:paraId="50527157">
            <w:pPr>
              <w:keepNext w:val="0"/>
              <w:keepLines w:val="0"/>
              <w:pageBreakBefore w:val="0"/>
              <w:widowControl w:val="0"/>
              <w:kinsoku/>
              <w:wordWrap/>
              <w:overflowPunct/>
              <w:topLinePunct w:val="0"/>
              <w:autoSpaceDE/>
              <w:autoSpaceDN/>
              <w:bidi w:val="0"/>
              <w:adjustRightInd w:val="0"/>
              <w:snapToGrid w:val="0"/>
              <w:spacing w:line="480" w:lineRule="exact"/>
              <w:ind w:left="0" w:leftChars="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b w:val="0"/>
                <w:bCs w:val="0"/>
                <w:color w:val="auto"/>
                <w:kern w:val="2"/>
                <w:sz w:val="24"/>
                <w:szCs w:val="24"/>
                <w:highlight w:val="none"/>
                <w:lang w:val="en-US" w:eastAsia="zh-CN" w:bidi="ar-SA"/>
              </w:rPr>
              <w:t>因此，在加强对各类风险的管理，做到各项管理措施及要求后，本项目风险处于可接受水平，风险管理措施有效、可靠，从风险角度而言是可行的</w:t>
            </w:r>
            <w:r>
              <w:rPr>
                <w:rFonts w:hint="default" w:ascii="Times New Roman" w:hAnsi="Times New Roman" w:eastAsia="宋体" w:cs="Times New Roman"/>
                <w:color w:val="auto"/>
                <w:sz w:val="24"/>
                <w:szCs w:val="24"/>
                <w:highlight w:val="none"/>
              </w:rPr>
              <w:t>。</w:t>
            </w:r>
          </w:p>
          <w:p w14:paraId="2E510564">
            <w:pPr>
              <w:keepNext w:val="0"/>
              <w:keepLines w:val="0"/>
              <w:pageBreakBefore w:val="0"/>
              <w:widowControl w:val="0"/>
              <w:kinsoku/>
              <w:wordWrap/>
              <w:overflowPunct/>
              <w:topLinePunct w:val="0"/>
              <w:bidi w:val="0"/>
              <w:adjustRightInd w:val="0"/>
              <w:snapToGrid w:val="0"/>
              <w:spacing w:line="480" w:lineRule="exact"/>
              <w:ind w:firstLine="482" w:firstLineChars="200"/>
              <w:textAlignment w:val="auto"/>
              <w:rPr>
                <w:rFonts w:hint="default" w:ascii="Times New Roman" w:hAnsi="Times New Roman" w:eastAsia="宋体" w:cs="Times New Roman"/>
                <w:b/>
                <w:color w:val="auto"/>
                <w:sz w:val="24"/>
                <w:szCs w:val="24"/>
                <w:highlight w:val="none"/>
                <w:lang w:val="en-US" w:eastAsia="zh-CN"/>
              </w:rPr>
            </w:pPr>
            <w:r>
              <w:rPr>
                <w:rFonts w:hint="eastAsia" w:ascii="Times New Roman" w:hAnsi="Times New Roman" w:eastAsia="宋体" w:cs="Times New Roman"/>
                <w:b/>
                <w:color w:val="auto"/>
                <w:sz w:val="24"/>
                <w:szCs w:val="24"/>
                <w:highlight w:val="none"/>
                <w:lang w:val="en-US" w:eastAsia="zh-CN"/>
              </w:rPr>
              <w:t xml:space="preserve">4.11 </w:t>
            </w:r>
            <w:r>
              <w:rPr>
                <w:rFonts w:hint="default" w:ascii="Times New Roman" w:hAnsi="Times New Roman" w:eastAsia="宋体" w:cs="Times New Roman"/>
                <w:b/>
                <w:color w:val="auto"/>
                <w:sz w:val="24"/>
                <w:szCs w:val="24"/>
                <w:highlight w:val="none"/>
                <w:lang w:val="en-US" w:eastAsia="zh-CN"/>
              </w:rPr>
              <w:t>环保投资估算</w:t>
            </w:r>
          </w:p>
          <w:p w14:paraId="22C8055B">
            <w:pPr>
              <w:spacing w:line="480" w:lineRule="exact"/>
              <w:ind w:firstLine="480" w:firstLineChars="200"/>
              <w:jc w:val="both"/>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本项目总投资</w:t>
            </w:r>
            <w:r>
              <w:rPr>
                <w:rFonts w:hint="eastAsia" w:cs="Times New Roman"/>
                <w:color w:val="auto"/>
                <w:kern w:val="0"/>
                <w:sz w:val="24"/>
                <w:highlight w:val="none"/>
                <w:lang w:val="en-US" w:eastAsia="zh-CN"/>
              </w:rPr>
              <w:t>8344.83</w:t>
            </w:r>
            <w:r>
              <w:rPr>
                <w:rFonts w:hint="default" w:ascii="Times New Roman" w:hAnsi="Times New Roman" w:eastAsia="宋体" w:cs="Times New Roman"/>
                <w:color w:val="auto"/>
                <w:kern w:val="0"/>
                <w:sz w:val="24"/>
                <w:highlight w:val="none"/>
              </w:rPr>
              <w:t>万元</w:t>
            </w:r>
            <w:r>
              <w:rPr>
                <w:rFonts w:hint="default" w:ascii="Times New Roman" w:hAnsi="Times New Roman" w:eastAsia="宋体"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lang w:val="en-US" w:eastAsia="zh-CN"/>
              </w:rPr>
              <w:t>其中，</w:t>
            </w:r>
            <w:r>
              <w:rPr>
                <w:rFonts w:hint="default" w:ascii="Times New Roman" w:hAnsi="Times New Roman" w:eastAsia="宋体" w:cs="Times New Roman"/>
                <w:color w:val="auto"/>
                <w:kern w:val="0"/>
                <w:sz w:val="24"/>
                <w:highlight w:val="none"/>
              </w:rPr>
              <w:t>环保投资约</w:t>
            </w:r>
            <w:r>
              <w:rPr>
                <w:rFonts w:hint="eastAsia" w:cs="Times New Roman"/>
                <w:color w:val="auto"/>
                <w:kern w:val="0"/>
                <w:sz w:val="24"/>
                <w:highlight w:val="none"/>
                <w:lang w:val="en-US" w:eastAsia="zh-CN"/>
              </w:rPr>
              <w:t>15</w:t>
            </w:r>
            <w:r>
              <w:rPr>
                <w:rFonts w:hint="default" w:ascii="Times New Roman" w:hAnsi="Times New Roman" w:eastAsia="宋体" w:cs="Times New Roman"/>
                <w:color w:val="auto"/>
                <w:kern w:val="0"/>
                <w:sz w:val="24"/>
                <w:highlight w:val="none"/>
              </w:rPr>
              <w:t>万元</w:t>
            </w:r>
            <w:r>
              <w:rPr>
                <w:rFonts w:hint="default" w:ascii="Times New Roman" w:hAnsi="Times New Roman" w:eastAsia="宋体"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rPr>
              <w:t>占总投资比例为</w:t>
            </w:r>
            <w:r>
              <w:rPr>
                <w:rFonts w:hint="eastAsia" w:cs="Times New Roman"/>
                <w:color w:val="auto"/>
                <w:kern w:val="0"/>
                <w:sz w:val="24"/>
                <w:highlight w:val="none"/>
                <w:lang w:val="en-US" w:eastAsia="zh-CN"/>
              </w:rPr>
              <w:t>0.18</w:t>
            </w:r>
            <w:r>
              <w:rPr>
                <w:rFonts w:hint="eastAsia" w:ascii="Times New Roman" w:hAnsi="Times New Roman" w:eastAsia="宋体" w:cs="Times New Roman"/>
                <w:color w:val="auto"/>
                <w:kern w:val="0"/>
                <w:sz w:val="24"/>
                <w:highlight w:val="none"/>
                <w:lang w:val="en-US" w:eastAsia="zh-CN"/>
              </w:rPr>
              <w:t>%</w:t>
            </w:r>
            <w:r>
              <w:rPr>
                <w:rFonts w:hint="default" w:ascii="Times New Roman" w:hAnsi="Times New Roman" w:eastAsia="宋体" w:cs="Times New Roman"/>
                <w:color w:val="auto"/>
                <w:kern w:val="0"/>
                <w:sz w:val="24"/>
                <w:highlight w:val="none"/>
              </w:rPr>
              <w:t>。具体见</w:t>
            </w:r>
            <w:r>
              <w:rPr>
                <w:rFonts w:hint="eastAsia" w:cs="Times New Roman"/>
                <w:color w:val="auto"/>
                <w:kern w:val="0"/>
                <w:sz w:val="24"/>
                <w:highlight w:val="none"/>
                <w:lang w:val="en-US" w:eastAsia="zh-CN"/>
              </w:rPr>
              <w:t>下</w:t>
            </w:r>
            <w:r>
              <w:rPr>
                <w:rFonts w:hint="default" w:ascii="Times New Roman" w:hAnsi="Times New Roman" w:eastAsia="宋体" w:cs="Times New Roman"/>
                <w:color w:val="auto"/>
                <w:kern w:val="0"/>
                <w:sz w:val="24"/>
                <w:highlight w:val="none"/>
              </w:rPr>
              <w:t>表。</w:t>
            </w:r>
          </w:p>
          <w:p w14:paraId="3B19F1E3">
            <w:pPr>
              <w:keepNext w:val="0"/>
              <w:keepLines w:val="0"/>
              <w:pageBreakBefore w:val="0"/>
              <w:widowControl w:val="0"/>
              <w:kinsoku/>
              <w:wordWrap/>
              <w:overflowPunct/>
              <w:topLinePunct w:val="0"/>
              <w:autoSpaceDE/>
              <w:autoSpaceDN/>
              <w:bidi w:val="0"/>
              <w:adjustRightInd w:val="0"/>
              <w:snapToGrid w:val="0"/>
              <w:spacing w:line="480" w:lineRule="exact"/>
              <w:ind w:firstLine="0" w:firstLineChars="0"/>
              <w:jc w:val="center"/>
              <w:textAlignment w:val="auto"/>
              <w:rPr>
                <w:rFonts w:hint="default" w:ascii="Times New Roman" w:hAnsi="Times New Roman" w:eastAsia="黑体" w:cs="Times New Roman"/>
                <w:b w:val="0"/>
                <w:bCs w:val="0"/>
                <w:color w:val="auto"/>
                <w:kern w:val="2"/>
                <w:sz w:val="21"/>
                <w:szCs w:val="21"/>
                <w:highlight w:val="yellow"/>
                <w:lang w:val="en-US" w:eastAsia="zh-CN" w:bidi="ar-SA"/>
              </w:rPr>
            </w:pPr>
            <w:r>
              <w:rPr>
                <w:rFonts w:hint="default" w:ascii="Times New Roman" w:hAnsi="Times New Roman" w:eastAsia="黑体" w:cs="Times New Roman"/>
                <w:b w:val="0"/>
                <w:bCs w:val="0"/>
                <w:color w:val="auto"/>
                <w:kern w:val="2"/>
                <w:sz w:val="21"/>
                <w:szCs w:val="21"/>
                <w:highlight w:val="none"/>
                <w:lang w:val="en-US" w:eastAsia="zh-CN" w:bidi="ar-SA"/>
              </w:rPr>
              <w:t>表4</w:t>
            </w:r>
            <w:r>
              <w:rPr>
                <w:rFonts w:hint="eastAsia" w:eastAsia="黑体" w:cs="Times New Roman"/>
                <w:b w:val="0"/>
                <w:bCs w:val="0"/>
                <w:color w:val="auto"/>
                <w:kern w:val="2"/>
                <w:sz w:val="21"/>
                <w:szCs w:val="21"/>
                <w:highlight w:val="none"/>
                <w:lang w:val="en-US" w:eastAsia="zh-CN" w:bidi="ar-SA"/>
              </w:rPr>
              <w:t>.11-1</w:t>
            </w:r>
            <w:r>
              <w:rPr>
                <w:rFonts w:hint="default" w:ascii="Times New Roman" w:hAnsi="Times New Roman" w:eastAsia="黑体" w:cs="Times New Roman"/>
                <w:b w:val="0"/>
                <w:bCs w:val="0"/>
                <w:color w:val="auto"/>
                <w:kern w:val="2"/>
                <w:sz w:val="21"/>
                <w:szCs w:val="21"/>
                <w:highlight w:val="none"/>
                <w:lang w:val="en-US" w:eastAsia="zh-CN" w:bidi="ar-SA"/>
              </w:rPr>
              <w:t xml:space="preserve">  环保投资估算一览表</w:t>
            </w:r>
          </w:p>
          <w:tbl>
            <w:tblPr>
              <w:tblStyle w:val="27"/>
              <w:tblW w:w="4936" w:type="pct"/>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12"/>
              <w:gridCol w:w="705"/>
              <w:gridCol w:w="1658"/>
              <w:gridCol w:w="3903"/>
              <w:gridCol w:w="1016"/>
            </w:tblGrid>
            <w:tr w14:paraId="250ED2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5" w:hRule="atLeast"/>
              </w:trPr>
              <w:tc>
                <w:tcPr>
                  <w:tcW w:w="612" w:type="dxa"/>
                  <w:tcBorders>
                    <w:tl2br w:val="nil"/>
                    <w:tr2bl w:val="nil"/>
                  </w:tcBorders>
                  <w:vAlign w:val="center"/>
                </w:tcPr>
                <w:p w14:paraId="30C1844E">
                  <w:pPr>
                    <w:pStyle w:val="19"/>
                    <w:keepNext w:val="0"/>
                    <w:keepLines w:val="0"/>
                    <w:pageBreakBefore w:val="0"/>
                    <w:kinsoku/>
                    <w:wordWrap/>
                    <w:overflowPunct/>
                    <w:topLinePunct w:val="0"/>
                    <w:bidi w:val="0"/>
                    <w:adjustRightInd w:val="0"/>
                    <w:snapToGrid w:val="0"/>
                    <w:spacing w:before="0" w:beforeAutospacing="0" w:after="0" w:afterAutospacing="0" w:line="300" w:lineRule="exact"/>
                    <w:ind w:firstLine="0" w:firstLineChars="0"/>
                    <w:contextualSpacing/>
                    <w:jc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项目</w:t>
                  </w:r>
                </w:p>
              </w:tc>
              <w:tc>
                <w:tcPr>
                  <w:tcW w:w="2363" w:type="dxa"/>
                  <w:gridSpan w:val="2"/>
                  <w:tcBorders>
                    <w:tl2br w:val="nil"/>
                    <w:tr2bl w:val="nil"/>
                  </w:tcBorders>
                  <w:vAlign w:val="center"/>
                </w:tcPr>
                <w:p w14:paraId="3C25DEB4">
                  <w:pPr>
                    <w:keepNext w:val="0"/>
                    <w:keepLines w:val="0"/>
                    <w:pageBreakBefore w:val="0"/>
                    <w:kinsoku/>
                    <w:wordWrap/>
                    <w:overflowPunct/>
                    <w:topLinePunct w:val="0"/>
                    <w:bidi w:val="0"/>
                    <w:adjustRightInd w:val="0"/>
                    <w:snapToGrid w:val="0"/>
                    <w:spacing w:line="300" w:lineRule="exact"/>
                    <w:ind w:firstLine="0" w:firstLineChars="0"/>
                    <w:jc w:val="center"/>
                    <w:textAlignment w:val="baseline"/>
                    <w:rPr>
                      <w:rFonts w:hint="default" w:ascii="Times New Roman" w:hAnsi="Times New Roman" w:eastAsia="宋体" w:cs="Times New Roman"/>
                      <w:b w:val="0"/>
                      <w:bCs w:val="0"/>
                      <w:color w:val="auto"/>
                      <w:sz w:val="21"/>
                    </w:rPr>
                  </w:pPr>
                  <w:r>
                    <w:rPr>
                      <w:rFonts w:hint="default" w:ascii="Times New Roman" w:hAnsi="Times New Roman" w:eastAsia="宋体" w:cs="Times New Roman"/>
                      <w:b w:val="0"/>
                      <w:bCs w:val="0"/>
                      <w:color w:val="auto"/>
                      <w:sz w:val="21"/>
                    </w:rPr>
                    <w:t>内容</w:t>
                  </w:r>
                </w:p>
              </w:tc>
              <w:tc>
                <w:tcPr>
                  <w:tcW w:w="3903" w:type="dxa"/>
                  <w:tcBorders>
                    <w:tl2br w:val="nil"/>
                    <w:tr2bl w:val="nil"/>
                  </w:tcBorders>
                  <w:vAlign w:val="center"/>
                </w:tcPr>
                <w:p w14:paraId="3CA17C31">
                  <w:pPr>
                    <w:keepNext w:val="0"/>
                    <w:keepLines w:val="0"/>
                    <w:pageBreakBefore w:val="0"/>
                    <w:kinsoku/>
                    <w:wordWrap/>
                    <w:overflowPunct/>
                    <w:topLinePunct w:val="0"/>
                    <w:bidi w:val="0"/>
                    <w:adjustRightInd w:val="0"/>
                    <w:snapToGrid w:val="0"/>
                    <w:spacing w:line="300" w:lineRule="exact"/>
                    <w:ind w:firstLine="0" w:firstLineChars="0"/>
                    <w:jc w:val="center"/>
                    <w:textAlignment w:val="baseline"/>
                    <w:rPr>
                      <w:rFonts w:hint="default" w:ascii="Times New Roman" w:hAnsi="Times New Roman" w:eastAsia="宋体" w:cs="Times New Roman"/>
                      <w:b w:val="0"/>
                      <w:bCs w:val="0"/>
                      <w:color w:val="auto"/>
                      <w:sz w:val="21"/>
                    </w:rPr>
                  </w:pPr>
                  <w:r>
                    <w:rPr>
                      <w:rFonts w:hint="default" w:ascii="Times New Roman" w:hAnsi="Times New Roman" w:eastAsia="宋体" w:cs="Times New Roman"/>
                      <w:b w:val="0"/>
                      <w:bCs w:val="0"/>
                      <w:color w:val="auto"/>
                      <w:sz w:val="21"/>
                    </w:rPr>
                    <w:t>环保措施</w:t>
                  </w:r>
                </w:p>
              </w:tc>
              <w:tc>
                <w:tcPr>
                  <w:tcW w:w="1016" w:type="dxa"/>
                  <w:tcBorders>
                    <w:tl2br w:val="nil"/>
                    <w:tr2bl w:val="nil"/>
                  </w:tcBorders>
                  <w:vAlign w:val="center"/>
                </w:tcPr>
                <w:p w14:paraId="4C461119">
                  <w:pPr>
                    <w:keepNext w:val="0"/>
                    <w:keepLines w:val="0"/>
                    <w:pageBreakBefore w:val="0"/>
                    <w:kinsoku/>
                    <w:wordWrap/>
                    <w:overflowPunct/>
                    <w:topLinePunct w:val="0"/>
                    <w:bidi w:val="0"/>
                    <w:adjustRightInd w:val="0"/>
                    <w:snapToGrid w:val="0"/>
                    <w:spacing w:line="300" w:lineRule="exact"/>
                    <w:ind w:firstLine="0" w:firstLineChars="0"/>
                    <w:jc w:val="center"/>
                    <w:textAlignment w:val="baseline"/>
                    <w:rPr>
                      <w:rFonts w:hint="default" w:ascii="Times New Roman" w:hAnsi="Times New Roman" w:eastAsia="宋体" w:cs="Times New Roman"/>
                      <w:b w:val="0"/>
                      <w:bCs w:val="0"/>
                      <w:color w:val="auto"/>
                      <w:sz w:val="21"/>
                    </w:rPr>
                  </w:pPr>
                  <w:r>
                    <w:rPr>
                      <w:rFonts w:hint="default" w:ascii="Times New Roman" w:hAnsi="Times New Roman" w:eastAsia="宋体" w:cs="Times New Roman"/>
                      <w:b w:val="0"/>
                      <w:bCs w:val="0"/>
                      <w:color w:val="auto"/>
                      <w:sz w:val="21"/>
                    </w:rPr>
                    <w:t>总额</w:t>
                  </w:r>
                </w:p>
                <w:p w14:paraId="407372DF">
                  <w:pPr>
                    <w:keepNext w:val="0"/>
                    <w:keepLines w:val="0"/>
                    <w:pageBreakBefore w:val="0"/>
                    <w:kinsoku/>
                    <w:wordWrap/>
                    <w:overflowPunct/>
                    <w:topLinePunct w:val="0"/>
                    <w:bidi w:val="0"/>
                    <w:adjustRightInd w:val="0"/>
                    <w:snapToGrid w:val="0"/>
                    <w:spacing w:line="300" w:lineRule="exact"/>
                    <w:ind w:firstLine="0" w:firstLineChars="0"/>
                    <w:jc w:val="center"/>
                    <w:textAlignment w:val="baseline"/>
                    <w:rPr>
                      <w:rFonts w:hint="default" w:ascii="Times New Roman" w:hAnsi="Times New Roman" w:eastAsia="宋体" w:cs="Times New Roman"/>
                      <w:b w:val="0"/>
                      <w:bCs w:val="0"/>
                      <w:color w:val="auto"/>
                      <w:sz w:val="21"/>
                    </w:rPr>
                  </w:pPr>
                  <w:r>
                    <w:rPr>
                      <w:rFonts w:hint="default" w:ascii="Times New Roman" w:hAnsi="Times New Roman" w:eastAsia="宋体" w:cs="Times New Roman"/>
                      <w:b w:val="0"/>
                      <w:bCs w:val="0"/>
                      <w:color w:val="auto"/>
                      <w:sz w:val="21"/>
                    </w:rPr>
                    <w:t>/万元</w:t>
                  </w:r>
                </w:p>
              </w:tc>
            </w:tr>
            <w:tr w14:paraId="040D67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5" w:hRule="atLeast"/>
              </w:trPr>
              <w:tc>
                <w:tcPr>
                  <w:tcW w:w="612" w:type="dxa"/>
                  <w:vMerge w:val="restart"/>
                  <w:tcBorders>
                    <w:tl2br w:val="nil"/>
                    <w:tr2bl w:val="nil"/>
                  </w:tcBorders>
                  <w:vAlign w:val="center"/>
                </w:tcPr>
                <w:p w14:paraId="1D8A72AF">
                  <w:pPr>
                    <w:pStyle w:val="19"/>
                    <w:keepNext w:val="0"/>
                    <w:keepLines w:val="0"/>
                    <w:pageBreakBefore w:val="0"/>
                    <w:kinsoku/>
                    <w:wordWrap/>
                    <w:overflowPunct/>
                    <w:topLinePunct w:val="0"/>
                    <w:bidi w:val="0"/>
                    <w:adjustRightInd w:val="0"/>
                    <w:snapToGrid w:val="0"/>
                    <w:spacing w:before="0" w:beforeAutospacing="0" w:after="0" w:afterAutospacing="0" w:line="300" w:lineRule="exact"/>
                    <w:ind w:firstLine="0" w:firstLineChars="0"/>
                    <w:contextualSpacing/>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color w:val="auto"/>
                      <w:sz w:val="21"/>
                      <w:szCs w:val="21"/>
                    </w:rPr>
                    <w:t>环保工程</w:t>
                  </w:r>
                </w:p>
              </w:tc>
              <w:tc>
                <w:tcPr>
                  <w:tcW w:w="705" w:type="dxa"/>
                  <w:vMerge w:val="restart"/>
                  <w:tcBorders>
                    <w:tl2br w:val="nil"/>
                    <w:tr2bl w:val="nil"/>
                  </w:tcBorders>
                  <w:vAlign w:val="center"/>
                </w:tcPr>
                <w:p w14:paraId="66F9D084">
                  <w:pPr>
                    <w:pStyle w:val="24"/>
                    <w:keepNext w:val="0"/>
                    <w:keepLines w:val="0"/>
                    <w:pageBreakBefore w:val="0"/>
                    <w:kinsoku/>
                    <w:wordWrap/>
                    <w:overflowPunct/>
                    <w:topLinePunct w:val="0"/>
                    <w:bidi w:val="0"/>
                    <w:adjustRightInd w:val="0"/>
                    <w:snapToGrid w:val="0"/>
                    <w:spacing w:line="300" w:lineRule="exact"/>
                    <w:ind w:firstLine="0" w:firstLineChars="0"/>
                    <w:jc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废气</w:t>
                  </w:r>
                </w:p>
              </w:tc>
              <w:tc>
                <w:tcPr>
                  <w:tcW w:w="1658" w:type="dxa"/>
                  <w:tcBorders>
                    <w:tl2br w:val="nil"/>
                    <w:tr2bl w:val="nil"/>
                  </w:tcBorders>
                  <w:shd w:val="clear" w:color="auto" w:fill="auto"/>
                  <w:vAlign w:val="center"/>
                </w:tcPr>
                <w:p w14:paraId="4E34E96F">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kern w:val="2"/>
                      <w:sz w:val="21"/>
                      <w:szCs w:val="21"/>
                      <w:lang w:val="en-US" w:eastAsia="zh-CN" w:bidi="ar-SA"/>
                    </w:rPr>
                    <w:t>煤炭输送、转运粉尘</w:t>
                  </w:r>
                </w:p>
              </w:tc>
              <w:tc>
                <w:tcPr>
                  <w:tcW w:w="3903" w:type="dxa"/>
                  <w:tcBorders>
                    <w:tl2br w:val="nil"/>
                    <w:tr2bl w:val="nil"/>
                  </w:tcBorders>
                  <w:shd w:val="clear" w:color="auto" w:fill="auto"/>
                  <w:vAlign w:val="center"/>
                </w:tcPr>
                <w:p w14:paraId="5084676C">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b w:val="0"/>
                      <w:color w:val="auto"/>
                      <w:sz w:val="21"/>
                      <w:szCs w:val="21"/>
                      <w:highlight w:val="none"/>
                      <w:lang w:val="en-US" w:eastAsia="zh-CN"/>
                    </w:rPr>
                    <w:t>采用全封闭皮带走廊进行输送，转载点设喷雾抑尘装置</w:t>
                  </w:r>
                </w:p>
              </w:tc>
              <w:tc>
                <w:tcPr>
                  <w:tcW w:w="1016" w:type="dxa"/>
                  <w:tcBorders>
                    <w:tl2br w:val="nil"/>
                    <w:tr2bl w:val="nil"/>
                  </w:tcBorders>
                  <w:vAlign w:val="center"/>
                </w:tcPr>
                <w:p w14:paraId="274A34E8">
                  <w:pPr>
                    <w:keepNext w:val="0"/>
                    <w:keepLines w:val="0"/>
                    <w:pageBreakBefore w:val="0"/>
                    <w:kinsoku/>
                    <w:wordWrap/>
                    <w:overflowPunct/>
                    <w:topLinePunct w:val="0"/>
                    <w:bidi w:val="0"/>
                    <w:adjustRightInd w:val="0"/>
                    <w:snapToGrid w:val="0"/>
                    <w:spacing w:line="300" w:lineRule="exact"/>
                    <w:ind w:firstLine="0" w:firstLineChars="0"/>
                    <w:jc w:val="center"/>
                    <w:textAlignment w:val="baseline"/>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计入工程投资</w:t>
                  </w:r>
                </w:p>
              </w:tc>
            </w:tr>
            <w:tr w14:paraId="0FB21A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8" w:hRule="atLeast"/>
              </w:trPr>
              <w:tc>
                <w:tcPr>
                  <w:tcW w:w="612" w:type="dxa"/>
                  <w:vMerge w:val="continue"/>
                  <w:tcBorders>
                    <w:tl2br w:val="nil"/>
                    <w:tr2bl w:val="nil"/>
                  </w:tcBorders>
                  <w:vAlign w:val="center"/>
                </w:tcPr>
                <w:p w14:paraId="035365FA">
                  <w:pPr>
                    <w:pStyle w:val="19"/>
                    <w:keepNext w:val="0"/>
                    <w:keepLines w:val="0"/>
                    <w:pageBreakBefore w:val="0"/>
                    <w:kinsoku/>
                    <w:wordWrap/>
                    <w:overflowPunct/>
                    <w:topLinePunct w:val="0"/>
                    <w:bidi w:val="0"/>
                    <w:adjustRightInd w:val="0"/>
                    <w:snapToGrid w:val="0"/>
                    <w:spacing w:before="0" w:beforeAutospacing="0" w:after="0" w:afterAutospacing="0" w:line="300" w:lineRule="exact"/>
                    <w:ind w:firstLine="0" w:firstLineChars="0"/>
                    <w:contextualSpacing/>
                    <w:jc w:val="center"/>
                    <w:rPr>
                      <w:rFonts w:hint="default" w:ascii="Times New Roman" w:hAnsi="Times New Roman" w:eastAsia="宋体" w:cs="Times New Roman"/>
                      <w:b/>
                      <w:bCs/>
                      <w:color w:val="auto"/>
                      <w:sz w:val="21"/>
                      <w:szCs w:val="21"/>
                    </w:rPr>
                  </w:pPr>
                </w:p>
              </w:tc>
              <w:tc>
                <w:tcPr>
                  <w:tcW w:w="705" w:type="dxa"/>
                  <w:vMerge w:val="continue"/>
                  <w:tcBorders>
                    <w:tl2br w:val="nil"/>
                    <w:tr2bl w:val="nil"/>
                  </w:tcBorders>
                  <w:vAlign w:val="center"/>
                </w:tcPr>
                <w:p w14:paraId="337E86C2">
                  <w:pPr>
                    <w:pStyle w:val="24"/>
                    <w:keepNext w:val="0"/>
                    <w:keepLines w:val="0"/>
                    <w:pageBreakBefore w:val="0"/>
                    <w:kinsoku/>
                    <w:wordWrap/>
                    <w:overflowPunct/>
                    <w:topLinePunct w:val="0"/>
                    <w:bidi w:val="0"/>
                    <w:adjustRightInd w:val="0"/>
                    <w:snapToGrid w:val="0"/>
                    <w:spacing w:line="300" w:lineRule="exact"/>
                    <w:ind w:firstLine="0" w:firstLineChars="0"/>
                    <w:jc w:val="center"/>
                    <w:rPr>
                      <w:rFonts w:hint="default" w:ascii="Times New Roman" w:hAnsi="Times New Roman" w:eastAsia="宋体" w:cs="Times New Roman"/>
                      <w:color w:val="auto"/>
                      <w:sz w:val="21"/>
                    </w:rPr>
                  </w:pPr>
                </w:p>
              </w:tc>
              <w:tc>
                <w:tcPr>
                  <w:tcW w:w="1658" w:type="dxa"/>
                  <w:tcBorders>
                    <w:tl2br w:val="nil"/>
                    <w:tr2bl w:val="nil"/>
                  </w:tcBorders>
                  <w:shd w:val="clear" w:color="auto" w:fill="auto"/>
                  <w:vAlign w:val="center"/>
                </w:tcPr>
                <w:p w14:paraId="40DF8BC2">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kern w:val="2"/>
                      <w:sz w:val="21"/>
                      <w:szCs w:val="21"/>
                      <w:lang w:val="en-US" w:eastAsia="zh-CN" w:bidi="ar-SA"/>
                    </w:rPr>
                    <w:t>煤炭储存粉尘</w:t>
                  </w:r>
                </w:p>
              </w:tc>
              <w:tc>
                <w:tcPr>
                  <w:tcW w:w="3903" w:type="dxa"/>
                  <w:tcBorders>
                    <w:tl2br w:val="nil"/>
                    <w:tr2bl w:val="nil"/>
                  </w:tcBorders>
                  <w:shd w:val="clear" w:color="auto" w:fill="auto"/>
                  <w:vAlign w:val="center"/>
                </w:tcPr>
                <w:p w14:paraId="5D38E392">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rPr>
                    <w:t>全封闭筒仓储存</w:t>
                  </w:r>
                  <w:r>
                    <w:rPr>
                      <w:rFonts w:hint="eastAsia" w:ascii="Times New Roman" w:hAnsi="Times New Roman" w:cs="Times New Roman"/>
                      <w:color w:val="auto"/>
                      <w:spacing w:val="0"/>
                      <w:lang w:eastAsia="zh-CN"/>
                    </w:rPr>
                    <w:t>，</w:t>
                  </w:r>
                  <w:r>
                    <w:rPr>
                      <w:rFonts w:hint="eastAsia" w:ascii="Times New Roman" w:hAnsi="Times New Roman" w:cs="Times New Roman"/>
                      <w:color w:val="auto"/>
                      <w:spacing w:val="0"/>
                      <w:lang w:val="en-US" w:eastAsia="zh-CN"/>
                    </w:rPr>
                    <w:t>并设有通风机排风及瓦斯检测探头装置</w:t>
                  </w:r>
                </w:p>
              </w:tc>
              <w:tc>
                <w:tcPr>
                  <w:tcW w:w="1016" w:type="dxa"/>
                  <w:tcBorders>
                    <w:tl2br w:val="nil"/>
                    <w:tr2bl w:val="nil"/>
                  </w:tcBorders>
                  <w:vAlign w:val="center"/>
                </w:tcPr>
                <w:p w14:paraId="5741824A">
                  <w:pPr>
                    <w:keepNext w:val="0"/>
                    <w:keepLines w:val="0"/>
                    <w:pageBreakBefore w:val="0"/>
                    <w:kinsoku/>
                    <w:wordWrap/>
                    <w:overflowPunct/>
                    <w:topLinePunct w:val="0"/>
                    <w:bidi w:val="0"/>
                    <w:adjustRightInd w:val="0"/>
                    <w:snapToGrid w:val="0"/>
                    <w:spacing w:line="300" w:lineRule="exact"/>
                    <w:ind w:firstLine="0" w:firstLineChars="0"/>
                    <w:jc w:val="center"/>
                    <w:textAlignment w:val="baseline"/>
                    <w:rPr>
                      <w:rFonts w:hint="default" w:ascii="Times New Roman" w:hAnsi="Times New Roman" w:eastAsia="宋体" w:cs="Times New Roman"/>
                      <w:color w:val="auto"/>
                      <w:sz w:val="21"/>
                      <w:lang w:val="en-US" w:eastAsia="zh-CN"/>
                    </w:rPr>
                  </w:pPr>
                  <w:r>
                    <w:rPr>
                      <w:rFonts w:hint="eastAsia" w:ascii="Times New Roman" w:hAnsi="Times New Roman" w:cs="Times New Roman"/>
                      <w:color w:val="auto"/>
                      <w:szCs w:val="21"/>
                      <w:highlight w:val="none"/>
                      <w:lang w:val="en-US" w:eastAsia="zh-CN"/>
                    </w:rPr>
                    <w:t>计入工程投资</w:t>
                  </w:r>
                </w:p>
              </w:tc>
            </w:tr>
            <w:tr w14:paraId="09FABB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9" w:hRule="atLeast"/>
              </w:trPr>
              <w:tc>
                <w:tcPr>
                  <w:tcW w:w="612" w:type="dxa"/>
                  <w:vMerge w:val="continue"/>
                  <w:tcBorders>
                    <w:tl2br w:val="nil"/>
                    <w:tr2bl w:val="nil"/>
                  </w:tcBorders>
                  <w:vAlign w:val="center"/>
                </w:tcPr>
                <w:p w14:paraId="66833A23">
                  <w:pPr>
                    <w:pStyle w:val="19"/>
                    <w:keepNext w:val="0"/>
                    <w:keepLines w:val="0"/>
                    <w:pageBreakBefore w:val="0"/>
                    <w:kinsoku/>
                    <w:wordWrap/>
                    <w:overflowPunct/>
                    <w:topLinePunct w:val="0"/>
                    <w:bidi w:val="0"/>
                    <w:adjustRightInd w:val="0"/>
                    <w:snapToGrid w:val="0"/>
                    <w:spacing w:before="0" w:beforeAutospacing="0" w:after="0" w:afterAutospacing="0" w:line="300" w:lineRule="exact"/>
                    <w:ind w:firstLine="0" w:firstLineChars="0"/>
                    <w:contextualSpacing/>
                    <w:jc w:val="center"/>
                    <w:rPr>
                      <w:rFonts w:hint="default" w:ascii="Times New Roman" w:hAnsi="Times New Roman" w:eastAsia="宋体" w:cs="Times New Roman"/>
                      <w:b/>
                      <w:bCs/>
                      <w:color w:val="auto"/>
                      <w:sz w:val="21"/>
                      <w:szCs w:val="21"/>
                    </w:rPr>
                  </w:pPr>
                </w:p>
              </w:tc>
              <w:tc>
                <w:tcPr>
                  <w:tcW w:w="705" w:type="dxa"/>
                  <w:vMerge w:val="restart"/>
                  <w:tcBorders>
                    <w:tl2br w:val="nil"/>
                    <w:tr2bl w:val="nil"/>
                  </w:tcBorders>
                  <w:vAlign w:val="center"/>
                </w:tcPr>
                <w:p w14:paraId="02770DDE">
                  <w:pPr>
                    <w:pStyle w:val="24"/>
                    <w:keepNext w:val="0"/>
                    <w:keepLines w:val="0"/>
                    <w:pageBreakBefore w:val="0"/>
                    <w:kinsoku/>
                    <w:wordWrap/>
                    <w:overflowPunct/>
                    <w:topLinePunct w:val="0"/>
                    <w:bidi w:val="0"/>
                    <w:adjustRightInd w:val="0"/>
                    <w:snapToGrid w:val="0"/>
                    <w:spacing w:line="300" w:lineRule="exact"/>
                    <w:ind w:firstLine="0" w:firstLineChars="0"/>
                    <w:jc w:val="center"/>
                    <w:rPr>
                      <w:rFonts w:hint="eastAsia"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lang w:val="en-US" w:eastAsia="zh-CN"/>
                    </w:rPr>
                    <w:t>废水</w:t>
                  </w:r>
                </w:p>
              </w:tc>
              <w:tc>
                <w:tcPr>
                  <w:tcW w:w="1658" w:type="dxa"/>
                  <w:tcBorders>
                    <w:tl2br w:val="nil"/>
                    <w:tr2bl w:val="nil"/>
                  </w:tcBorders>
                  <w:shd w:val="clear" w:color="auto" w:fill="auto"/>
                  <w:vAlign w:val="center"/>
                </w:tcPr>
                <w:p w14:paraId="53FF2DC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冲洗废水</w:t>
                  </w:r>
                </w:p>
              </w:tc>
              <w:tc>
                <w:tcPr>
                  <w:tcW w:w="3903" w:type="dxa"/>
                  <w:tcBorders>
                    <w:tl2br w:val="nil"/>
                    <w:tr2bl w:val="nil"/>
                  </w:tcBorders>
                  <w:shd w:val="clear" w:color="auto" w:fill="auto"/>
                  <w:vAlign w:val="center"/>
                </w:tcPr>
                <w:p w14:paraId="53AA18A5">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筒仓仓顶房及仓底设冲洗水排水系统，在其最低处设地漏，冲洗废水经地漏收集后汇集至筒仓底部集水坑内，通过排水沟收集冲洗废水，经潜污泵加压，排至现有废水收集管网，全部回用于洗煤厂用于洗煤用水</w:t>
                  </w:r>
                </w:p>
              </w:tc>
              <w:tc>
                <w:tcPr>
                  <w:tcW w:w="1016" w:type="dxa"/>
                  <w:tcBorders>
                    <w:tl2br w:val="nil"/>
                    <w:tr2bl w:val="nil"/>
                  </w:tcBorders>
                  <w:vAlign w:val="center"/>
                </w:tcPr>
                <w:p w14:paraId="1CEC75A7">
                  <w:pPr>
                    <w:keepNext w:val="0"/>
                    <w:keepLines w:val="0"/>
                    <w:pageBreakBefore w:val="0"/>
                    <w:kinsoku/>
                    <w:wordWrap/>
                    <w:overflowPunct/>
                    <w:topLinePunct w:val="0"/>
                    <w:bidi w:val="0"/>
                    <w:adjustRightInd w:val="0"/>
                    <w:snapToGrid w:val="0"/>
                    <w:spacing w:line="300" w:lineRule="exact"/>
                    <w:ind w:firstLine="0" w:firstLineChars="0"/>
                    <w:jc w:val="center"/>
                    <w:textAlignment w:val="baseline"/>
                    <w:rPr>
                      <w:rFonts w:hint="default" w:ascii="Times New Roman" w:hAnsi="Times New Roman" w:eastAsia="宋体" w:cs="Times New Roman"/>
                      <w:color w:val="auto"/>
                      <w:sz w:val="21"/>
                      <w:lang w:val="en-US" w:eastAsia="zh-CN"/>
                    </w:rPr>
                  </w:pPr>
                  <w:r>
                    <w:rPr>
                      <w:rFonts w:hint="eastAsia" w:ascii="Times New Roman" w:hAnsi="Times New Roman" w:cs="Times New Roman"/>
                      <w:color w:val="auto"/>
                      <w:szCs w:val="21"/>
                      <w:highlight w:val="none"/>
                      <w:lang w:val="en-US" w:eastAsia="zh-CN"/>
                    </w:rPr>
                    <w:t>计入工程投资</w:t>
                  </w:r>
                </w:p>
              </w:tc>
            </w:tr>
            <w:tr w14:paraId="334E6D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612" w:type="dxa"/>
                  <w:vMerge w:val="continue"/>
                  <w:tcBorders>
                    <w:tl2br w:val="nil"/>
                    <w:tr2bl w:val="nil"/>
                  </w:tcBorders>
                  <w:vAlign w:val="center"/>
                </w:tcPr>
                <w:p w14:paraId="6E0353A9">
                  <w:pPr>
                    <w:pStyle w:val="19"/>
                    <w:keepNext w:val="0"/>
                    <w:keepLines w:val="0"/>
                    <w:pageBreakBefore w:val="0"/>
                    <w:kinsoku/>
                    <w:wordWrap/>
                    <w:overflowPunct/>
                    <w:topLinePunct w:val="0"/>
                    <w:bidi w:val="0"/>
                    <w:adjustRightInd w:val="0"/>
                    <w:snapToGrid w:val="0"/>
                    <w:spacing w:before="0" w:beforeAutospacing="0" w:after="0" w:afterAutospacing="0" w:line="300" w:lineRule="exact"/>
                    <w:ind w:firstLine="0" w:firstLineChars="0"/>
                    <w:contextualSpacing/>
                    <w:jc w:val="center"/>
                    <w:rPr>
                      <w:rFonts w:hint="default" w:ascii="Times New Roman" w:hAnsi="Times New Roman" w:eastAsia="宋体" w:cs="Times New Roman"/>
                      <w:b/>
                      <w:bCs/>
                      <w:color w:val="auto"/>
                      <w:sz w:val="21"/>
                      <w:szCs w:val="21"/>
                    </w:rPr>
                  </w:pPr>
                </w:p>
              </w:tc>
              <w:tc>
                <w:tcPr>
                  <w:tcW w:w="705" w:type="dxa"/>
                  <w:vMerge w:val="continue"/>
                  <w:tcBorders>
                    <w:tl2br w:val="nil"/>
                    <w:tr2bl w:val="nil"/>
                  </w:tcBorders>
                  <w:vAlign w:val="center"/>
                </w:tcPr>
                <w:p w14:paraId="4361D486">
                  <w:pPr>
                    <w:pStyle w:val="24"/>
                    <w:keepNext w:val="0"/>
                    <w:keepLines w:val="0"/>
                    <w:pageBreakBefore w:val="0"/>
                    <w:kinsoku/>
                    <w:wordWrap/>
                    <w:overflowPunct/>
                    <w:topLinePunct w:val="0"/>
                    <w:bidi w:val="0"/>
                    <w:adjustRightInd w:val="0"/>
                    <w:snapToGrid w:val="0"/>
                    <w:spacing w:line="300" w:lineRule="exact"/>
                    <w:ind w:firstLine="0" w:firstLineChars="0"/>
                    <w:jc w:val="center"/>
                    <w:rPr>
                      <w:rFonts w:hint="eastAsia" w:ascii="Times New Roman" w:hAnsi="Times New Roman" w:eastAsia="宋体" w:cs="Times New Roman"/>
                      <w:color w:val="auto"/>
                      <w:sz w:val="21"/>
                      <w:lang w:val="en-US" w:eastAsia="zh-CN"/>
                    </w:rPr>
                  </w:pPr>
                </w:p>
              </w:tc>
              <w:tc>
                <w:tcPr>
                  <w:tcW w:w="1658" w:type="dxa"/>
                  <w:tcBorders>
                    <w:tl2br w:val="nil"/>
                    <w:tr2bl w:val="nil"/>
                  </w:tcBorders>
                  <w:shd w:val="clear" w:color="auto" w:fill="auto"/>
                  <w:vAlign w:val="center"/>
                </w:tcPr>
                <w:p w14:paraId="23BF1E2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初期雨水</w:t>
                  </w:r>
                  <w:r>
                    <w:rPr>
                      <w:rFonts w:hint="eastAsia" w:ascii="Times New Roman" w:hAnsi="Times New Roman" w:cs="Times New Roman"/>
                      <w:color w:val="auto"/>
                      <w:sz w:val="21"/>
                      <w:szCs w:val="21"/>
                      <w:lang w:val="en-US" w:eastAsia="zh-CN"/>
                    </w:rPr>
                    <w:t>收集池</w:t>
                  </w:r>
                </w:p>
              </w:tc>
              <w:tc>
                <w:tcPr>
                  <w:tcW w:w="3903" w:type="dxa"/>
                  <w:tcBorders>
                    <w:tl2br w:val="nil"/>
                    <w:tr2bl w:val="nil"/>
                  </w:tcBorders>
                  <w:shd w:val="clear" w:color="auto" w:fill="auto"/>
                  <w:vAlign w:val="center"/>
                </w:tcPr>
                <w:p w14:paraId="28B81230">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雨水经雨水渠收集后进入1座225m</w:t>
                  </w:r>
                  <w:r>
                    <w:rPr>
                      <w:rFonts w:hint="eastAsia" w:ascii="Times New Roman" w:hAnsi="Times New Roman" w:cs="Times New Roman"/>
                      <w:color w:val="auto"/>
                      <w:sz w:val="21"/>
                      <w:szCs w:val="21"/>
                      <w:highlight w:val="none"/>
                      <w:vertAlign w:val="superscript"/>
                      <w:lang w:val="en-US" w:eastAsia="zh-CN"/>
                    </w:rPr>
                    <w:t>3</w:t>
                  </w:r>
                  <w:r>
                    <w:rPr>
                      <w:rFonts w:hint="eastAsia" w:ascii="Times New Roman" w:hAnsi="Times New Roman" w:cs="Times New Roman"/>
                      <w:color w:val="auto"/>
                      <w:sz w:val="21"/>
                      <w:szCs w:val="21"/>
                      <w:highlight w:val="none"/>
                      <w:vertAlign w:val="baseline"/>
                      <w:lang w:val="en-US" w:eastAsia="zh-CN"/>
                    </w:rPr>
                    <w:t>（9m×5m×5m）的</w:t>
                  </w:r>
                  <w:r>
                    <w:rPr>
                      <w:rFonts w:hint="eastAsia" w:ascii="Times New Roman" w:hAnsi="Times New Roman" w:cs="Times New Roman"/>
                      <w:color w:val="auto"/>
                      <w:sz w:val="21"/>
                      <w:szCs w:val="21"/>
                      <w:highlight w:val="none"/>
                      <w:lang w:val="en-US" w:eastAsia="zh-CN"/>
                    </w:rPr>
                    <w:t>初期雨水池，全部回用于洗煤厂用于洗煤用水</w:t>
                  </w:r>
                </w:p>
              </w:tc>
              <w:tc>
                <w:tcPr>
                  <w:tcW w:w="1016" w:type="dxa"/>
                  <w:tcBorders>
                    <w:tl2br w:val="nil"/>
                    <w:tr2bl w:val="nil"/>
                  </w:tcBorders>
                  <w:vAlign w:val="center"/>
                </w:tcPr>
                <w:p w14:paraId="38E15A36">
                  <w:pPr>
                    <w:keepNext w:val="0"/>
                    <w:keepLines w:val="0"/>
                    <w:pageBreakBefore w:val="0"/>
                    <w:kinsoku/>
                    <w:wordWrap/>
                    <w:overflowPunct/>
                    <w:topLinePunct w:val="0"/>
                    <w:bidi w:val="0"/>
                    <w:adjustRightInd w:val="0"/>
                    <w:snapToGrid w:val="0"/>
                    <w:spacing w:line="300" w:lineRule="exact"/>
                    <w:ind w:firstLine="0" w:firstLineChars="0"/>
                    <w:jc w:val="center"/>
                    <w:textAlignment w:val="baseline"/>
                    <w:rPr>
                      <w:rFonts w:hint="default" w:ascii="Times New Roman" w:hAnsi="Times New Roman" w:eastAsia="宋体" w:cs="Times New Roman"/>
                      <w:color w:val="auto"/>
                      <w:sz w:val="21"/>
                      <w:lang w:val="en-US" w:eastAsia="zh-CN"/>
                    </w:rPr>
                  </w:pPr>
                  <w:r>
                    <w:rPr>
                      <w:rFonts w:hint="eastAsia" w:cs="Times New Roman"/>
                      <w:color w:val="auto"/>
                      <w:sz w:val="21"/>
                      <w:lang w:val="en-US" w:eastAsia="zh-CN"/>
                    </w:rPr>
                    <w:t>15</w:t>
                  </w:r>
                </w:p>
              </w:tc>
            </w:tr>
            <w:tr w14:paraId="3134D1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612" w:type="dxa"/>
                  <w:vMerge w:val="continue"/>
                  <w:tcBorders>
                    <w:tl2br w:val="nil"/>
                    <w:tr2bl w:val="nil"/>
                  </w:tcBorders>
                  <w:vAlign w:val="center"/>
                </w:tcPr>
                <w:p w14:paraId="29589737">
                  <w:pPr>
                    <w:pStyle w:val="19"/>
                    <w:keepNext w:val="0"/>
                    <w:keepLines w:val="0"/>
                    <w:pageBreakBefore w:val="0"/>
                    <w:kinsoku/>
                    <w:wordWrap/>
                    <w:overflowPunct/>
                    <w:topLinePunct w:val="0"/>
                    <w:bidi w:val="0"/>
                    <w:adjustRightInd w:val="0"/>
                    <w:snapToGrid w:val="0"/>
                    <w:spacing w:before="0" w:beforeAutospacing="0" w:after="0" w:afterAutospacing="0" w:line="300" w:lineRule="exact"/>
                    <w:ind w:firstLine="0" w:firstLineChars="0"/>
                    <w:contextualSpacing/>
                    <w:jc w:val="center"/>
                    <w:rPr>
                      <w:rFonts w:hint="default" w:ascii="Times New Roman" w:hAnsi="Times New Roman" w:eastAsia="宋体" w:cs="Times New Roman"/>
                      <w:b/>
                      <w:bCs/>
                      <w:color w:val="auto"/>
                      <w:sz w:val="21"/>
                      <w:szCs w:val="21"/>
                    </w:rPr>
                  </w:pPr>
                </w:p>
              </w:tc>
              <w:tc>
                <w:tcPr>
                  <w:tcW w:w="705" w:type="dxa"/>
                  <w:tcBorders>
                    <w:tl2br w:val="nil"/>
                    <w:tr2bl w:val="nil"/>
                  </w:tcBorders>
                  <w:vAlign w:val="center"/>
                </w:tcPr>
                <w:p w14:paraId="5135ED66">
                  <w:pPr>
                    <w:pStyle w:val="24"/>
                    <w:keepNext w:val="0"/>
                    <w:keepLines w:val="0"/>
                    <w:pageBreakBefore w:val="0"/>
                    <w:kinsoku/>
                    <w:wordWrap/>
                    <w:overflowPunct/>
                    <w:topLinePunct w:val="0"/>
                    <w:bidi w:val="0"/>
                    <w:adjustRightInd w:val="0"/>
                    <w:snapToGrid w:val="0"/>
                    <w:spacing w:line="300" w:lineRule="exact"/>
                    <w:ind w:firstLine="0" w:firstLineChars="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sz w:val="21"/>
                    </w:rPr>
                    <w:t>噪声</w:t>
                  </w:r>
                </w:p>
              </w:tc>
              <w:tc>
                <w:tcPr>
                  <w:tcW w:w="1658" w:type="dxa"/>
                  <w:tcBorders>
                    <w:tl2br w:val="nil"/>
                    <w:tr2bl w:val="nil"/>
                  </w:tcBorders>
                  <w:vAlign w:val="center"/>
                </w:tcPr>
                <w:p w14:paraId="0EA52B77">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auto"/>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sz w:val="21"/>
                      <w:szCs w:val="21"/>
                    </w:rPr>
                    <w:t>产噪设备</w:t>
                  </w:r>
                </w:p>
              </w:tc>
              <w:tc>
                <w:tcPr>
                  <w:tcW w:w="3903" w:type="dxa"/>
                  <w:tcBorders>
                    <w:tl2br w:val="nil"/>
                    <w:tr2bl w:val="nil"/>
                  </w:tcBorders>
                  <w:vAlign w:val="center"/>
                </w:tcPr>
                <w:p w14:paraId="5D27F1FE">
                  <w:pPr>
                    <w:pStyle w:val="87"/>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auto"/>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kern w:val="2"/>
                      <w:sz w:val="21"/>
                      <w:szCs w:val="24"/>
                      <w:lang w:val="en-US" w:eastAsia="zh-CN" w:bidi="ar-SA"/>
                    </w:rPr>
                    <w:t>低噪声设备；减振、厂房隔声；定期维修、检修</w:t>
                  </w:r>
                </w:p>
              </w:tc>
              <w:tc>
                <w:tcPr>
                  <w:tcW w:w="1016" w:type="dxa"/>
                  <w:tcBorders>
                    <w:tl2br w:val="nil"/>
                    <w:tr2bl w:val="nil"/>
                  </w:tcBorders>
                  <w:vAlign w:val="center"/>
                </w:tcPr>
                <w:p w14:paraId="4D79F7CB">
                  <w:pPr>
                    <w:keepNext w:val="0"/>
                    <w:keepLines w:val="0"/>
                    <w:pageBreakBefore w:val="0"/>
                    <w:kinsoku/>
                    <w:wordWrap/>
                    <w:overflowPunct/>
                    <w:topLinePunct w:val="0"/>
                    <w:bidi w:val="0"/>
                    <w:adjustRightInd w:val="0"/>
                    <w:snapToGrid w:val="0"/>
                    <w:spacing w:line="300" w:lineRule="exact"/>
                    <w:ind w:firstLine="0" w:firstLineChars="0"/>
                    <w:jc w:val="center"/>
                    <w:textAlignment w:val="baseline"/>
                    <w:rPr>
                      <w:rFonts w:hint="default" w:ascii="Times New Roman" w:hAnsi="Times New Roman" w:eastAsia="宋体" w:cs="Times New Roman"/>
                      <w:color w:val="auto"/>
                      <w:sz w:val="21"/>
                      <w:lang w:val="en-US" w:eastAsia="zh-CN"/>
                    </w:rPr>
                  </w:pPr>
                  <w:r>
                    <w:rPr>
                      <w:rFonts w:hint="eastAsia" w:ascii="Times New Roman" w:hAnsi="Times New Roman" w:cs="Times New Roman"/>
                      <w:color w:val="auto"/>
                      <w:szCs w:val="21"/>
                      <w:highlight w:val="none"/>
                      <w:lang w:val="en-US" w:eastAsia="zh-CN"/>
                    </w:rPr>
                    <w:t>计入工程投资</w:t>
                  </w:r>
                </w:p>
              </w:tc>
            </w:tr>
            <w:tr w14:paraId="0AAC06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612" w:type="dxa"/>
                  <w:vMerge w:val="continue"/>
                  <w:tcBorders>
                    <w:tl2br w:val="nil"/>
                    <w:tr2bl w:val="nil"/>
                  </w:tcBorders>
                  <w:vAlign w:val="center"/>
                </w:tcPr>
                <w:p w14:paraId="20BDEF37">
                  <w:pPr>
                    <w:pStyle w:val="19"/>
                    <w:keepNext w:val="0"/>
                    <w:keepLines w:val="0"/>
                    <w:pageBreakBefore w:val="0"/>
                    <w:kinsoku/>
                    <w:wordWrap/>
                    <w:overflowPunct/>
                    <w:topLinePunct w:val="0"/>
                    <w:bidi w:val="0"/>
                    <w:adjustRightInd w:val="0"/>
                    <w:snapToGrid w:val="0"/>
                    <w:spacing w:before="0" w:beforeAutospacing="0" w:after="0" w:afterAutospacing="0" w:line="300" w:lineRule="exact"/>
                    <w:ind w:firstLine="0" w:firstLineChars="0"/>
                    <w:contextualSpacing/>
                    <w:jc w:val="center"/>
                    <w:rPr>
                      <w:rFonts w:hint="default" w:ascii="Times New Roman" w:hAnsi="Times New Roman" w:eastAsia="宋体" w:cs="Times New Roman"/>
                      <w:b/>
                      <w:bCs/>
                      <w:color w:val="auto"/>
                      <w:sz w:val="21"/>
                      <w:szCs w:val="21"/>
                    </w:rPr>
                  </w:pPr>
                </w:p>
              </w:tc>
              <w:tc>
                <w:tcPr>
                  <w:tcW w:w="705" w:type="dxa"/>
                  <w:vMerge w:val="restart"/>
                  <w:tcBorders>
                    <w:tl2br w:val="nil"/>
                    <w:tr2bl w:val="nil"/>
                  </w:tcBorders>
                  <w:vAlign w:val="center"/>
                </w:tcPr>
                <w:p w14:paraId="0C0924C3">
                  <w:pPr>
                    <w:pStyle w:val="24"/>
                    <w:keepNext w:val="0"/>
                    <w:keepLines w:val="0"/>
                    <w:pageBreakBefore w:val="0"/>
                    <w:kinsoku/>
                    <w:wordWrap/>
                    <w:overflowPunct/>
                    <w:topLinePunct w:val="0"/>
                    <w:bidi w:val="0"/>
                    <w:adjustRightInd w:val="0"/>
                    <w:snapToGrid w:val="0"/>
                    <w:spacing w:line="300" w:lineRule="exact"/>
                    <w:ind w:firstLine="0" w:firstLineChars="0"/>
                    <w:jc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固废</w:t>
                  </w:r>
                </w:p>
              </w:tc>
              <w:tc>
                <w:tcPr>
                  <w:tcW w:w="1658" w:type="dxa"/>
                  <w:tcBorders>
                    <w:tl2br w:val="nil"/>
                    <w:tr2bl w:val="nil"/>
                  </w:tcBorders>
                  <w:shd w:val="clear" w:color="auto" w:fill="auto"/>
                  <w:vAlign w:val="center"/>
                </w:tcPr>
                <w:p w14:paraId="170B069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沉淀煤泥</w:t>
                  </w:r>
                </w:p>
              </w:tc>
              <w:tc>
                <w:tcPr>
                  <w:tcW w:w="3903" w:type="dxa"/>
                  <w:tcBorders>
                    <w:tl2br w:val="nil"/>
                    <w:tr2bl w:val="nil"/>
                  </w:tcBorders>
                  <w:shd w:val="clear" w:color="auto" w:fill="auto"/>
                  <w:vAlign w:val="center"/>
                </w:tcPr>
                <w:p w14:paraId="334C7B35">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雨水池沉淀煤泥定期清理，掺入煤泥外售</w:t>
                  </w:r>
                </w:p>
              </w:tc>
              <w:tc>
                <w:tcPr>
                  <w:tcW w:w="1016" w:type="dxa"/>
                  <w:tcBorders>
                    <w:tl2br w:val="nil"/>
                    <w:tr2bl w:val="nil"/>
                  </w:tcBorders>
                  <w:vAlign w:val="center"/>
                </w:tcPr>
                <w:p w14:paraId="5A89C542">
                  <w:pPr>
                    <w:keepNext w:val="0"/>
                    <w:keepLines w:val="0"/>
                    <w:pageBreakBefore w:val="0"/>
                    <w:kinsoku/>
                    <w:wordWrap/>
                    <w:overflowPunct/>
                    <w:topLinePunct w:val="0"/>
                    <w:bidi w:val="0"/>
                    <w:adjustRightInd w:val="0"/>
                    <w:snapToGrid w:val="0"/>
                    <w:spacing w:line="300" w:lineRule="exact"/>
                    <w:ind w:firstLine="0" w:firstLineChars="0"/>
                    <w:jc w:val="center"/>
                    <w:textAlignment w:val="baseline"/>
                    <w:rPr>
                      <w:rFonts w:hint="default"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lang w:val="en-US" w:eastAsia="zh-CN"/>
                    </w:rPr>
                    <w:t>/</w:t>
                  </w:r>
                </w:p>
              </w:tc>
            </w:tr>
            <w:tr w14:paraId="75F896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612" w:type="dxa"/>
                  <w:vMerge w:val="continue"/>
                  <w:tcBorders>
                    <w:tl2br w:val="nil"/>
                    <w:tr2bl w:val="nil"/>
                  </w:tcBorders>
                  <w:vAlign w:val="center"/>
                </w:tcPr>
                <w:p w14:paraId="764340AD">
                  <w:pPr>
                    <w:pStyle w:val="19"/>
                    <w:keepNext w:val="0"/>
                    <w:keepLines w:val="0"/>
                    <w:pageBreakBefore w:val="0"/>
                    <w:kinsoku/>
                    <w:wordWrap/>
                    <w:overflowPunct/>
                    <w:topLinePunct w:val="0"/>
                    <w:bidi w:val="0"/>
                    <w:adjustRightInd w:val="0"/>
                    <w:snapToGrid w:val="0"/>
                    <w:spacing w:before="0" w:beforeAutospacing="0" w:after="0" w:afterAutospacing="0" w:line="300" w:lineRule="exact"/>
                    <w:ind w:firstLine="0" w:firstLineChars="0"/>
                    <w:contextualSpacing/>
                    <w:jc w:val="center"/>
                    <w:rPr>
                      <w:rFonts w:hint="default" w:ascii="Times New Roman" w:hAnsi="Times New Roman" w:eastAsia="宋体" w:cs="Times New Roman"/>
                      <w:b/>
                      <w:bCs/>
                      <w:color w:val="auto"/>
                      <w:sz w:val="21"/>
                      <w:szCs w:val="21"/>
                    </w:rPr>
                  </w:pPr>
                </w:p>
              </w:tc>
              <w:tc>
                <w:tcPr>
                  <w:tcW w:w="705" w:type="dxa"/>
                  <w:vMerge w:val="continue"/>
                  <w:tcBorders>
                    <w:tl2br w:val="nil"/>
                    <w:tr2bl w:val="nil"/>
                  </w:tcBorders>
                  <w:vAlign w:val="center"/>
                </w:tcPr>
                <w:p w14:paraId="2F58D184">
                  <w:pPr>
                    <w:pStyle w:val="24"/>
                    <w:keepNext w:val="0"/>
                    <w:keepLines w:val="0"/>
                    <w:pageBreakBefore w:val="0"/>
                    <w:kinsoku/>
                    <w:wordWrap/>
                    <w:overflowPunct/>
                    <w:topLinePunct w:val="0"/>
                    <w:bidi w:val="0"/>
                    <w:adjustRightInd w:val="0"/>
                    <w:snapToGrid w:val="0"/>
                    <w:spacing w:line="300" w:lineRule="exact"/>
                    <w:ind w:firstLine="0" w:firstLineChars="0"/>
                    <w:jc w:val="center"/>
                    <w:rPr>
                      <w:rFonts w:hint="default" w:ascii="Times New Roman" w:hAnsi="Times New Roman" w:eastAsia="宋体" w:cs="Times New Roman"/>
                      <w:color w:val="auto"/>
                      <w:sz w:val="21"/>
                    </w:rPr>
                  </w:pPr>
                </w:p>
              </w:tc>
              <w:tc>
                <w:tcPr>
                  <w:tcW w:w="1658" w:type="dxa"/>
                  <w:tcBorders>
                    <w:tl2br w:val="nil"/>
                    <w:tr2bl w:val="nil"/>
                  </w:tcBorders>
                  <w:vAlign w:val="center"/>
                </w:tcPr>
                <w:p w14:paraId="1F76D685">
                  <w:pPr>
                    <w:pStyle w:val="87"/>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废矿物油</w:t>
                  </w:r>
                  <w:r>
                    <w:rPr>
                      <w:rFonts w:hint="eastAsia" w:ascii="Times New Roman" w:hAnsi="Times New Roman" w:cs="Times New Roman"/>
                      <w:color w:val="auto"/>
                      <w:sz w:val="21"/>
                      <w:szCs w:val="21"/>
                      <w:lang w:val="en-US" w:eastAsia="zh-CN"/>
                    </w:rPr>
                    <w:t>等</w:t>
                  </w:r>
                </w:p>
              </w:tc>
              <w:tc>
                <w:tcPr>
                  <w:tcW w:w="3903" w:type="dxa"/>
                  <w:tcBorders>
                    <w:tl2br w:val="nil"/>
                    <w:tr2bl w:val="nil"/>
                  </w:tcBorders>
                  <w:vAlign w:val="center"/>
                </w:tcPr>
                <w:p w14:paraId="60363885">
                  <w:pPr>
                    <w:pStyle w:val="87"/>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auto"/>
                    <w:rPr>
                      <w:rFonts w:hint="default" w:ascii="Times New Roman" w:hAnsi="Times New Roman" w:eastAsia="宋体" w:cs="Times New Roman"/>
                      <w:color w:val="auto"/>
                      <w:kern w:val="2"/>
                      <w:sz w:val="21"/>
                      <w:szCs w:val="21"/>
                      <w:highlight w:val="yellow"/>
                      <w:lang w:val="en-US" w:eastAsia="zh-CN" w:bidi="ar-SA"/>
                    </w:rPr>
                  </w:pPr>
                  <w:r>
                    <w:rPr>
                      <w:rFonts w:hint="default" w:ascii="Times New Roman" w:hAnsi="Times New Roman" w:eastAsia="宋体" w:cs="Times New Roman"/>
                      <w:color w:val="auto"/>
                      <w:kern w:val="2"/>
                      <w:sz w:val="21"/>
                      <w:szCs w:val="21"/>
                      <w:highlight w:val="none"/>
                      <w:lang w:val="en-US" w:eastAsia="zh-CN" w:bidi="ar-SA"/>
                    </w:rPr>
                    <w:t>暂存于矿区现有危废贮存库（1#、2#），委托资质单位定期处置</w:t>
                  </w:r>
                </w:p>
              </w:tc>
              <w:tc>
                <w:tcPr>
                  <w:tcW w:w="1016" w:type="dxa"/>
                  <w:tcBorders>
                    <w:tl2br w:val="nil"/>
                    <w:tr2bl w:val="nil"/>
                  </w:tcBorders>
                  <w:vAlign w:val="center"/>
                </w:tcPr>
                <w:p w14:paraId="57D08698">
                  <w:pPr>
                    <w:keepNext w:val="0"/>
                    <w:keepLines w:val="0"/>
                    <w:pageBreakBefore w:val="0"/>
                    <w:kinsoku/>
                    <w:wordWrap/>
                    <w:overflowPunct/>
                    <w:topLinePunct w:val="0"/>
                    <w:bidi w:val="0"/>
                    <w:adjustRightInd w:val="0"/>
                    <w:snapToGrid w:val="0"/>
                    <w:spacing w:line="300" w:lineRule="exact"/>
                    <w:ind w:firstLine="0" w:firstLineChars="0"/>
                    <w:jc w:val="center"/>
                    <w:textAlignment w:val="baseline"/>
                    <w:rPr>
                      <w:rFonts w:hint="default" w:ascii="Times New Roman" w:hAnsi="Times New Roman" w:eastAsia="宋体" w:cs="Times New Roman"/>
                      <w:color w:val="auto"/>
                      <w:sz w:val="21"/>
                      <w:lang w:val="en-US" w:eastAsia="zh-CN"/>
                    </w:rPr>
                  </w:pPr>
                  <w:r>
                    <w:rPr>
                      <w:rFonts w:hint="eastAsia" w:cs="Times New Roman"/>
                      <w:color w:val="auto"/>
                      <w:sz w:val="21"/>
                      <w:lang w:val="en-US" w:eastAsia="zh-CN"/>
                    </w:rPr>
                    <w:t>/</w:t>
                  </w:r>
                </w:p>
              </w:tc>
            </w:tr>
            <w:tr w14:paraId="55B22B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6878" w:type="dxa"/>
                  <w:gridSpan w:val="4"/>
                  <w:tcBorders>
                    <w:tl2br w:val="nil"/>
                    <w:tr2bl w:val="nil"/>
                  </w:tcBorders>
                  <w:vAlign w:val="center"/>
                </w:tcPr>
                <w:p w14:paraId="4E300CEF">
                  <w:pPr>
                    <w:pStyle w:val="24"/>
                    <w:keepNext w:val="0"/>
                    <w:keepLines w:val="0"/>
                    <w:pageBreakBefore w:val="0"/>
                    <w:kinsoku/>
                    <w:wordWrap/>
                    <w:overflowPunct/>
                    <w:topLinePunct w:val="0"/>
                    <w:bidi w:val="0"/>
                    <w:adjustRightInd w:val="0"/>
                    <w:snapToGrid w:val="0"/>
                    <w:spacing w:line="30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rPr>
                    <w:t>合计</w:t>
                  </w:r>
                </w:p>
              </w:tc>
              <w:tc>
                <w:tcPr>
                  <w:tcW w:w="1016" w:type="dxa"/>
                  <w:tcBorders>
                    <w:tl2br w:val="nil"/>
                    <w:tr2bl w:val="nil"/>
                  </w:tcBorders>
                  <w:vAlign w:val="center"/>
                </w:tcPr>
                <w:p w14:paraId="2B4BEA2A">
                  <w:pPr>
                    <w:keepNext w:val="0"/>
                    <w:keepLines w:val="0"/>
                    <w:pageBreakBefore w:val="0"/>
                    <w:kinsoku/>
                    <w:wordWrap/>
                    <w:overflowPunct/>
                    <w:topLinePunct w:val="0"/>
                    <w:bidi w:val="0"/>
                    <w:adjustRightInd w:val="0"/>
                    <w:snapToGrid w:val="0"/>
                    <w:spacing w:line="300" w:lineRule="exact"/>
                    <w:ind w:firstLine="0" w:firstLineChars="0"/>
                    <w:jc w:val="center"/>
                    <w:textAlignment w:val="baseline"/>
                    <w:rPr>
                      <w:rFonts w:hint="default" w:ascii="Times New Roman" w:hAnsi="Times New Roman" w:eastAsia="宋体" w:cs="Times New Roman"/>
                      <w:color w:val="auto"/>
                      <w:sz w:val="21"/>
                      <w:lang w:val="en-US" w:eastAsia="zh-CN"/>
                    </w:rPr>
                  </w:pPr>
                  <w:r>
                    <w:rPr>
                      <w:rFonts w:hint="eastAsia" w:cs="Times New Roman"/>
                      <w:color w:val="auto"/>
                      <w:sz w:val="21"/>
                      <w:lang w:val="en-US" w:eastAsia="zh-CN"/>
                    </w:rPr>
                    <w:t>15</w:t>
                  </w:r>
                </w:p>
              </w:tc>
            </w:tr>
          </w:tbl>
          <w:p w14:paraId="5E76CC66">
            <w:pPr>
              <w:rPr>
                <w:rFonts w:hint="eastAsia"/>
                <w:color w:val="auto"/>
                <w:highlight w:val="none"/>
                <w:vertAlign w:val="baseline"/>
                <w:lang w:eastAsia="zh-CN"/>
              </w:rPr>
            </w:pPr>
          </w:p>
          <w:p w14:paraId="04282009">
            <w:pPr>
              <w:rPr>
                <w:rFonts w:hint="default" w:eastAsia="宋体"/>
                <w:color w:val="auto"/>
                <w:highlight w:val="none"/>
                <w:vertAlign w:val="baseline"/>
                <w:lang w:val="en-US" w:eastAsia="zh-CN"/>
              </w:rPr>
            </w:pPr>
          </w:p>
          <w:p w14:paraId="7FCA41AE">
            <w:pPr>
              <w:rPr>
                <w:rFonts w:hint="default" w:eastAsia="宋体"/>
                <w:color w:val="auto"/>
                <w:highlight w:val="none"/>
                <w:vertAlign w:val="baseline"/>
                <w:lang w:val="en-US" w:eastAsia="zh-CN"/>
              </w:rPr>
            </w:pPr>
          </w:p>
        </w:tc>
      </w:tr>
    </w:tbl>
    <w:p w14:paraId="5446573C">
      <w:pPr>
        <w:rPr>
          <w:rFonts w:hint="default"/>
          <w:color w:val="auto"/>
          <w:highlight w:val="none"/>
        </w:rPr>
        <w:sectPr>
          <w:pgSz w:w="11907" w:h="16840"/>
          <w:pgMar w:top="1701" w:right="1531" w:bottom="2127"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08EC1864">
      <w:pPr>
        <w:pStyle w:val="19"/>
        <w:jc w:val="center"/>
        <w:outlineLvl w:val="0"/>
        <w:rPr>
          <w:rFonts w:hint="default" w:ascii="Times New Roman" w:hAnsi="Times New Roman" w:eastAsia="黑体" w:cs="Times New Roman"/>
          <w:snapToGrid w:val="0"/>
          <w:color w:val="auto"/>
          <w:sz w:val="30"/>
          <w:szCs w:val="30"/>
          <w:highlight w:val="none"/>
          <w:lang w:val="en-US" w:eastAsia="zh-CN"/>
        </w:rPr>
      </w:pPr>
      <w:bookmarkStart w:id="14" w:name="_Toc2591"/>
      <w:r>
        <w:rPr>
          <w:rFonts w:hint="default" w:ascii="Times New Roman" w:hAnsi="Times New Roman" w:eastAsia="黑体" w:cs="Times New Roman"/>
          <w:snapToGrid w:val="0"/>
          <w:color w:val="auto"/>
          <w:sz w:val="30"/>
          <w:szCs w:val="30"/>
          <w:highlight w:val="none"/>
        </w:rPr>
        <w:t>五、</w:t>
      </w:r>
      <w:bookmarkStart w:id="15" w:name="_Hlk54167917"/>
      <w:r>
        <w:rPr>
          <w:rFonts w:hint="default" w:ascii="Times New Roman" w:hAnsi="Times New Roman" w:eastAsia="黑体" w:cs="Times New Roman"/>
          <w:snapToGrid w:val="0"/>
          <w:color w:val="auto"/>
          <w:sz w:val="30"/>
          <w:szCs w:val="30"/>
          <w:highlight w:val="none"/>
        </w:rPr>
        <w:t>环境保护措施监督检查清单</w:t>
      </w:r>
      <w:bookmarkEnd w:id="14"/>
      <w:bookmarkEnd w:id="15"/>
    </w:p>
    <w:tbl>
      <w:tblPr>
        <w:tblStyle w:val="26"/>
        <w:tblW w:w="907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110"/>
        <w:gridCol w:w="1561"/>
        <w:gridCol w:w="888"/>
        <w:gridCol w:w="3586"/>
        <w:gridCol w:w="1926"/>
      </w:tblGrid>
      <w:tr w14:paraId="14387A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0" w:type="dxa"/>
            <w:tcBorders>
              <w:tl2br w:val="single" w:color="auto" w:sz="4" w:space="0"/>
            </w:tcBorders>
          </w:tcPr>
          <w:p w14:paraId="0814C461">
            <w:pPr>
              <w:keepNext w:val="0"/>
              <w:keepLines w:val="0"/>
              <w:pageBreakBefore w:val="0"/>
              <w:widowControl w:val="0"/>
              <w:kinsoku/>
              <w:wordWrap/>
              <w:overflowPunct/>
              <w:topLinePunct w:val="0"/>
              <w:autoSpaceDE/>
              <w:autoSpaceDN/>
              <w:bidi w:val="0"/>
              <w:adjustRightInd w:val="0"/>
              <w:snapToGrid w:val="0"/>
              <w:spacing w:line="320" w:lineRule="exact"/>
              <w:ind w:firstLine="420" w:firstLineChars="200"/>
              <w:jc w:val="right"/>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内容</w:t>
            </w:r>
          </w:p>
          <w:p w14:paraId="49293FD4">
            <w:pPr>
              <w:keepNext w:val="0"/>
              <w:keepLines w:val="0"/>
              <w:pageBreakBefore w:val="0"/>
              <w:widowControl w:val="0"/>
              <w:kinsoku/>
              <w:wordWrap/>
              <w:overflowPunct/>
              <w:topLinePunct w:val="0"/>
              <w:autoSpaceDE/>
              <w:autoSpaceDN/>
              <w:bidi w:val="0"/>
              <w:adjustRightInd w:val="0"/>
              <w:snapToGrid w:val="0"/>
              <w:spacing w:line="320" w:lineRule="exact"/>
              <w:ind w:firstLine="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要素</w:t>
            </w:r>
          </w:p>
        </w:tc>
        <w:tc>
          <w:tcPr>
            <w:tcW w:w="1561" w:type="dxa"/>
            <w:vAlign w:val="center"/>
          </w:tcPr>
          <w:p w14:paraId="2A756E27">
            <w:pPr>
              <w:keepNext w:val="0"/>
              <w:keepLines w:val="0"/>
              <w:pageBreakBefore w:val="0"/>
              <w:widowControl w:val="0"/>
              <w:kinsoku/>
              <w:wordWrap/>
              <w:overflowPunct/>
              <w:topLinePunct w:val="0"/>
              <w:autoSpaceDE/>
              <w:autoSpaceDN/>
              <w:bidi w:val="0"/>
              <w:adjustRightInd w:val="0"/>
              <w:snapToGrid w:val="0"/>
              <w:spacing w:line="320" w:lineRule="exact"/>
              <w:ind w:firstLine="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排放口</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编号、名称</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/污染源</w:t>
            </w:r>
          </w:p>
        </w:tc>
        <w:tc>
          <w:tcPr>
            <w:tcW w:w="888" w:type="dxa"/>
            <w:vAlign w:val="center"/>
          </w:tcPr>
          <w:p w14:paraId="2A3E9B3B">
            <w:pPr>
              <w:keepNext w:val="0"/>
              <w:keepLines w:val="0"/>
              <w:pageBreakBefore w:val="0"/>
              <w:widowControl w:val="0"/>
              <w:kinsoku/>
              <w:wordWrap/>
              <w:overflowPunct/>
              <w:topLinePunct w:val="0"/>
              <w:autoSpaceDE/>
              <w:autoSpaceDN/>
              <w:bidi w:val="0"/>
              <w:adjustRightInd w:val="0"/>
              <w:snapToGrid w:val="0"/>
              <w:spacing w:line="320" w:lineRule="exact"/>
              <w:ind w:firstLine="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污染物项目</w:t>
            </w:r>
          </w:p>
        </w:tc>
        <w:tc>
          <w:tcPr>
            <w:tcW w:w="3586" w:type="dxa"/>
            <w:vAlign w:val="center"/>
          </w:tcPr>
          <w:p w14:paraId="5AA6955A">
            <w:pPr>
              <w:keepNext w:val="0"/>
              <w:keepLines w:val="0"/>
              <w:pageBreakBefore w:val="0"/>
              <w:widowControl w:val="0"/>
              <w:kinsoku/>
              <w:wordWrap/>
              <w:overflowPunct/>
              <w:topLinePunct w:val="0"/>
              <w:autoSpaceDE/>
              <w:autoSpaceDN/>
              <w:bidi w:val="0"/>
              <w:adjustRightInd w:val="0"/>
              <w:snapToGrid w:val="0"/>
              <w:spacing w:line="320" w:lineRule="exact"/>
              <w:ind w:firstLine="0"/>
              <w:jc w:val="center"/>
              <w:textAlignment w:val="auto"/>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rPr>
              <w:t>环境保护措施</w:t>
            </w:r>
          </w:p>
        </w:tc>
        <w:tc>
          <w:tcPr>
            <w:tcW w:w="1926" w:type="dxa"/>
            <w:vAlign w:val="center"/>
          </w:tcPr>
          <w:p w14:paraId="041BB0C9">
            <w:pPr>
              <w:keepNext w:val="0"/>
              <w:keepLines w:val="0"/>
              <w:pageBreakBefore w:val="0"/>
              <w:widowControl w:val="0"/>
              <w:kinsoku/>
              <w:wordWrap/>
              <w:overflowPunct/>
              <w:topLinePunct w:val="0"/>
              <w:autoSpaceDE/>
              <w:autoSpaceDN/>
              <w:bidi w:val="0"/>
              <w:adjustRightInd w:val="0"/>
              <w:snapToGrid w:val="0"/>
              <w:spacing w:line="320" w:lineRule="exact"/>
              <w:ind w:firstLine="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执行标准</w:t>
            </w:r>
          </w:p>
        </w:tc>
      </w:tr>
      <w:tr w14:paraId="2F5651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1110" w:type="dxa"/>
            <w:vMerge w:val="restart"/>
            <w:vAlign w:val="center"/>
          </w:tcPr>
          <w:p w14:paraId="3E38A6A2">
            <w:pPr>
              <w:keepNext w:val="0"/>
              <w:keepLines w:val="0"/>
              <w:pageBreakBefore w:val="0"/>
              <w:widowControl w:val="0"/>
              <w:kinsoku/>
              <w:wordWrap/>
              <w:overflowPunct/>
              <w:topLinePunct w:val="0"/>
              <w:autoSpaceDE/>
              <w:autoSpaceDN/>
              <w:bidi w:val="0"/>
              <w:adjustRightInd w:val="0"/>
              <w:snapToGrid w:val="0"/>
              <w:spacing w:line="320" w:lineRule="exact"/>
              <w:ind w:firstLine="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大气环境</w:t>
            </w:r>
          </w:p>
        </w:tc>
        <w:tc>
          <w:tcPr>
            <w:tcW w:w="1561" w:type="dxa"/>
            <w:shd w:val="clear" w:color="auto" w:fill="auto"/>
            <w:vAlign w:val="center"/>
          </w:tcPr>
          <w:p w14:paraId="336C1DB6">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kern w:val="2"/>
                <w:sz w:val="21"/>
                <w:szCs w:val="21"/>
                <w:lang w:val="en-US" w:eastAsia="zh-CN" w:bidi="ar-SA"/>
              </w:rPr>
              <w:t>煤炭输送、转运粉尘</w:t>
            </w:r>
          </w:p>
        </w:tc>
        <w:tc>
          <w:tcPr>
            <w:tcW w:w="888" w:type="dxa"/>
            <w:shd w:val="clear" w:color="auto" w:fill="auto"/>
            <w:vAlign w:val="center"/>
          </w:tcPr>
          <w:p w14:paraId="142E706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b w:val="0"/>
                <w:bCs/>
                <w:color w:val="auto"/>
                <w:spacing w:val="0"/>
                <w:kern w:val="28"/>
                <w:sz w:val="21"/>
                <w:szCs w:val="21"/>
                <w:highlight w:val="none"/>
                <w:lang w:val="en-US" w:eastAsia="zh-CN" w:bidi="ar-SA"/>
              </w:rPr>
            </w:pPr>
            <w:r>
              <w:rPr>
                <w:rFonts w:hint="eastAsia" w:ascii="Times New Roman" w:hAnsi="Times New Roman" w:eastAsia="宋体" w:cs="Times New Roman"/>
                <w:color w:val="auto"/>
                <w:spacing w:val="0"/>
                <w:kern w:val="2"/>
                <w:sz w:val="21"/>
                <w:szCs w:val="21"/>
                <w:highlight w:val="none"/>
                <w:vertAlign w:val="baseline"/>
                <w:lang w:val="en-US" w:eastAsia="zh-CN" w:bidi="ar-SA"/>
              </w:rPr>
              <w:t>颗粒物</w:t>
            </w:r>
          </w:p>
        </w:tc>
        <w:tc>
          <w:tcPr>
            <w:tcW w:w="3586" w:type="dxa"/>
            <w:shd w:val="clear" w:color="auto" w:fill="auto"/>
            <w:vAlign w:val="center"/>
          </w:tcPr>
          <w:p w14:paraId="02AE579A">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b w:val="0"/>
                <w:color w:val="auto"/>
                <w:sz w:val="21"/>
                <w:szCs w:val="21"/>
                <w:highlight w:val="none"/>
                <w:lang w:val="en-US" w:eastAsia="zh-CN"/>
              </w:rPr>
              <w:t>采用全封闭皮带走廊进行输送，转载点设喷雾抑尘装置。</w:t>
            </w:r>
          </w:p>
        </w:tc>
        <w:tc>
          <w:tcPr>
            <w:tcW w:w="1926" w:type="dxa"/>
            <w:vMerge w:val="restart"/>
            <w:vAlign w:val="center"/>
          </w:tcPr>
          <w:p w14:paraId="5119D31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b w:val="0"/>
                <w:bCs/>
                <w:color w:val="auto"/>
                <w:kern w:val="28"/>
                <w:sz w:val="21"/>
                <w:szCs w:val="21"/>
                <w:highlight w:val="none"/>
                <w:lang w:val="en-US" w:eastAsia="zh-CN" w:bidi="ar-SA"/>
              </w:rPr>
            </w:pPr>
            <w:r>
              <w:rPr>
                <w:rFonts w:hint="default" w:ascii="Times New Roman" w:hAnsi="Times New Roman" w:eastAsia="宋体" w:cs="Times New Roman"/>
                <w:b w:val="0"/>
                <w:bCs/>
                <w:color w:val="auto"/>
                <w:kern w:val="28"/>
                <w:sz w:val="21"/>
                <w:szCs w:val="21"/>
                <w:highlight w:val="none"/>
                <w:lang w:val="en-US" w:eastAsia="zh-CN" w:bidi="ar-SA"/>
              </w:rPr>
              <w:t>《煤炭洗选行业污染物排放标准》（DB14/2270-2021）表2中标准限值</w:t>
            </w:r>
          </w:p>
        </w:tc>
      </w:tr>
      <w:tr w14:paraId="12B843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0" w:type="dxa"/>
            <w:vMerge w:val="continue"/>
            <w:vAlign w:val="center"/>
          </w:tcPr>
          <w:p w14:paraId="611C4CF2">
            <w:pPr>
              <w:keepNext w:val="0"/>
              <w:keepLines w:val="0"/>
              <w:pageBreakBefore w:val="0"/>
              <w:widowControl w:val="0"/>
              <w:kinsoku/>
              <w:wordWrap/>
              <w:overflowPunct/>
              <w:topLinePunct w:val="0"/>
              <w:autoSpaceDE/>
              <w:autoSpaceDN/>
              <w:bidi w:val="0"/>
              <w:adjustRightInd w:val="0"/>
              <w:snapToGrid w:val="0"/>
              <w:spacing w:line="320" w:lineRule="exact"/>
              <w:ind w:firstLine="0"/>
              <w:jc w:val="center"/>
              <w:textAlignment w:val="auto"/>
              <w:rPr>
                <w:rFonts w:hint="default" w:ascii="Times New Roman" w:hAnsi="Times New Roman" w:cs="Times New Roman"/>
                <w:color w:val="auto"/>
                <w:szCs w:val="21"/>
                <w:highlight w:val="none"/>
              </w:rPr>
            </w:pPr>
          </w:p>
        </w:tc>
        <w:tc>
          <w:tcPr>
            <w:tcW w:w="1561" w:type="dxa"/>
            <w:shd w:val="clear" w:color="auto" w:fill="auto"/>
            <w:vAlign w:val="center"/>
          </w:tcPr>
          <w:p w14:paraId="297A6B7F">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kern w:val="2"/>
                <w:sz w:val="21"/>
                <w:szCs w:val="21"/>
                <w:lang w:val="en-US" w:eastAsia="zh-CN" w:bidi="ar-SA"/>
              </w:rPr>
              <w:t>煤炭储存粉尘</w:t>
            </w:r>
          </w:p>
        </w:tc>
        <w:tc>
          <w:tcPr>
            <w:tcW w:w="888" w:type="dxa"/>
            <w:shd w:val="clear" w:color="auto" w:fill="auto"/>
            <w:vAlign w:val="center"/>
          </w:tcPr>
          <w:p w14:paraId="1FA52CC3">
            <w:pPr>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pacing w:val="0"/>
                <w:kern w:val="2"/>
                <w:sz w:val="21"/>
                <w:szCs w:val="21"/>
                <w:highlight w:val="none"/>
                <w:vertAlign w:val="baseline"/>
                <w:lang w:val="en-US" w:eastAsia="zh-CN" w:bidi="ar-SA"/>
              </w:rPr>
              <w:t>颗粒物</w:t>
            </w:r>
          </w:p>
        </w:tc>
        <w:tc>
          <w:tcPr>
            <w:tcW w:w="3586" w:type="dxa"/>
            <w:shd w:val="clear" w:color="auto" w:fill="auto"/>
            <w:vAlign w:val="center"/>
          </w:tcPr>
          <w:p w14:paraId="5269D76D">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color w:val="auto"/>
                <w:spacing w:val="0"/>
                <w:kern w:val="2"/>
                <w:sz w:val="21"/>
                <w:szCs w:val="21"/>
                <w:lang w:val="en-US" w:eastAsia="zh-CN" w:bidi="ar-SA"/>
              </w:rPr>
              <w:t>全封闭筒仓储存，并设有通风机排风及瓦斯检测探头装置</w:t>
            </w:r>
            <w:r>
              <w:rPr>
                <w:rFonts w:hint="eastAsia" w:ascii="Times New Roman" w:hAnsi="Times New Roman" w:cs="Times New Roman"/>
                <w:color w:val="auto"/>
                <w:spacing w:val="0"/>
                <w:kern w:val="2"/>
                <w:sz w:val="21"/>
                <w:szCs w:val="21"/>
                <w:lang w:val="en-US" w:eastAsia="zh-CN" w:bidi="ar-SA"/>
              </w:rPr>
              <w:t>。</w:t>
            </w:r>
          </w:p>
        </w:tc>
        <w:tc>
          <w:tcPr>
            <w:tcW w:w="1926" w:type="dxa"/>
            <w:vMerge w:val="continue"/>
            <w:vAlign w:val="center"/>
          </w:tcPr>
          <w:p w14:paraId="07C336D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b w:val="0"/>
                <w:bCs/>
                <w:color w:val="auto"/>
                <w:kern w:val="28"/>
                <w:sz w:val="21"/>
                <w:szCs w:val="21"/>
                <w:highlight w:val="none"/>
                <w:lang w:val="en-US" w:eastAsia="zh-CN" w:bidi="ar-SA"/>
              </w:rPr>
            </w:pPr>
          </w:p>
        </w:tc>
      </w:tr>
      <w:tr w14:paraId="1BE33B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0" w:type="dxa"/>
            <w:vMerge w:val="restart"/>
            <w:vAlign w:val="center"/>
          </w:tcPr>
          <w:p w14:paraId="4028D050">
            <w:pPr>
              <w:keepNext w:val="0"/>
              <w:keepLines w:val="0"/>
              <w:pageBreakBefore w:val="0"/>
              <w:widowControl w:val="0"/>
              <w:kinsoku/>
              <w:wordWrap/>
              <w:overflowPunct/>
              <w:topLinePunct w:val="0"/>
              <w:autoSpaceDE/>
              <w:autoSpaceDN/>
              <w:bidi w:val="0"/>
              <w:adjustRightInd w:val="0"/>
              <w:snapToGrid w:val="0"/>
              <w:spacing w:line="320" w:lineRule="exact"/>
              <w:ind w:firstLine="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地表水</w:t>
            </w:r>
          </w:p>
          <w:p w14:paraId="2B8E53A0">
            <w:pPr>
              <w:keepNext w:val="0"/>
              <w:keepLines w:val="0"/>
              <w:pageBreakBefore w:val="0"/>
              <w:widowControl w:val="0"/>
              <w:kinsoku/>
              <w:wordWrap/>
              <w:overflowPunct/>
              <w:topLinePunct w:val="0"/>
              <w:autoSpaceDE/>
              <w:autoSpaceDN/>
              <w:bidi w:val="0"/>
              <w:adjustRightInd w:val="0"/>
              <w:snapToGrid w:val="0"/>
              <w:spacing w:line="320" w:lineRule="exact"/>
              <w:ind w:firstLine="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环境</w:t>
            </w:r>
          </w:p>
        </w:tc>
        <w:tc>
          <w:tcPr>
            <w:tcW w:w="1561" w:type="dxa"/>
            <w:shd w:val="clear" w:color="auto" w:fill="auto"/>
            <w:vAlign w:val="center"/>
          </w:tcPr>
          <w:p w14:paraId="3752B9F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冲洗废水</w:t>
            </w:r>
          </w:p>
        </w:tc>
        <w:tc>
          <w:tcPr>
            <w:tcW w:w="888" w:type="dxa"/>
            <w:vAlign w:val="center"/>
          </w:tcPr>
          <w:p w14:paraId="3D51D493">
            <w:pPr>
              <w:keepNext w:val="0"/>
              <w:keepLines w:val="0"/>
              <w:pageBreakBefore w:val="0"/>
              <w:widowControl w:val="0"/>
              <w:kinsoku/>
              <w:wordWrap/>
              <w:overflowPunct/>
              <w:topLinePunct w:val="0"/>
              <w:autoSpaceDE/>
              <w:autoSpaceDN/>
              <w:bidi w:val="0"/>
              <w:adjustRightInd w:val="0"/>
              <w:snapToGrid w:val="0"/>
              <w:spacing w:line="320" w:lineRule="exact"/>
              <w:ind w:firstLine="0"/>
              <w:jc w:val="center"/>
              <w:textAlignment w:val="auto"/>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SS</w:t>
            </w:r>
          </w:p>
        </w:tc>
        <w:tc>
          <w:tcPr>
            <w:tcW w:w="3586" w:type="dxa"/>
            <w:shd w:val="clear" w:color="auto" w:fill="auto"/>
            <w:vAlign w:val="center"/>
          </w:tcPr>
          <w:p w14:paraId="1C491150">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筒仓仓顶房及仓底设冲洗水排水系统，在其最低处设地漏，冲洗废水经地漏收集后汇集至筒仓底部集水坑内，通过排水沟收集冲洗废水，经潜污泵加压，排至现有废水收集管网，全部回用于洗煤厂用于洗煤用水</w:t>
            </w:r>
            <w:r>
              <w:rPr>
                <w:rFonts w:hint="eastAsia" w:ascii="Times New Roman" w:hAnsi="Times New Roman" w:cs="Times New Roman"/>
                <w:color w:val="auto"/>
                <w:kern w:val="2"/>
                <w:sz w:val="21"/>
                <w:szCs w:val="21"/>
                <w:highlight w:val="none"/>
                <w:lang w:val="en-US" w:eastAsia="zh-CN" w:bidi="ar-SA"/>
              </w:rPr>
              <w:t>。</w:t>
            </w:r>
          </w:p>
        </w:tc>
        <w:tc>
          <w:tcPr>
            <w:tcW w:w="1926" w:type="dxa"/>
            <w:vAlign w:val="center"/>
          </w:tcPr>
          <w:p w14:paraId="5977C3F5">
            <w:pPr>
              <w:keepNext w:val="0"/>
              <w:keepLines w:val="0"/>
              <w:pageBreakBefore w:val="0"/>
              <w:widowControl w:val="0"/>
              <w:kinsoku/>
              <w:wordWrap/>
              <w:overflowPunct/>
              <w:topLinePunct w:val="0"/>
              <w:autoSpaceDE/>
              <w:autoSpaceDN/>
              <w:bidi w:val="0"/>
              <w:adjustRightInd w:val="0"/>
              <w:snapToGrid w:val="0"/>
              <w:spacing w:line="320" w:lineRule="exact"/>
              <w:ind w:firstLine="0"/>
              <w:jc w:val="center"/>
              <w:textAlignment w:val="auto"/>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w:t>
            </w:r>
          </w:p>
        </w:tc>
      </w:tr>
      <w:tr w14:paraId="0161B0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0" w:type="dxa"/>
            <w:vMerge w:val="continue"/>
            <w:vAlign w:val="center"/>
          </w:tcPr>
          <w:p w14:paraId="3E2F9EAF">
            <w:pPr>
              <w:keepNext w:val="0"/>
              <w:keepLines w:val="0"/>
              <w:pageBreakBefore w:val="0"/>
              <w:widowControl w:val="0"/>
              <w:kinsoku/>
              <w:wordWrap/>
              <w:overflowPunct/>
              <w:topLinePunct w:val="0"/>
              <w:autoSpaceDE/>
              <w:autoSpaceDN/>
              <w:bidi w:val="0"/>
              <w:adjustRightInd w:val="0"/>
              <w:snapToGrid w:val="0"/>
              <w:spacing w:line="320" w:lineRule="exact"/>
              <w:ind w:firstLine="0"/>
              <w:jc w:val="center"/>
              <w:textAlignment w:val="auto"/>
              <w:rPr>
                <w:rFonts w:hint="default" w:ascii="Times New Roman" w:hAnsi="Times New Roman" w:cs="Times New Roman"/>
                <w:color w:val="auto"/>
                <w:szCs w:val="21"/>
                <w:highlight w:val="none"/>
              </w:rPr>
            </w:pPr>
          </w:p>
        </w:tc>
        <w:tc>
          <w:tcPr>
            <w:tcW w:w="1561" w:type="dxa"/>
            <w:shd w:val="clear" w:color="auto" w:fill="auto"/>
            <w:vAlign w:val="center"/>
          </w:tcPr>
          <w:p w14:paraId="3325C8F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初期雨水</w:t>
            </w:r>
          </w:p>
        </w:tc>
        <w:tc>
          <w:tcPr>
            <w:tcW w:w="888" w:type="dxa"/>
            <w:vAlign w:val="center"/>
          </w:tcPr>
          <w:p w14:paraId="2DBFF101">
            <w:pPr>
              <w:keepNext w:val="0"/>
              <w:keepLines w:val="0"/>
              <w:pageBreakBefore w:val="0"/>
              <w:widowControl w:val="0"/>
              <w:kinsoku/>
              <w:wordWrap/>
              <w:overflowPunct/>
              <w:topLinePunct w:val="0"/>
              <w:autoSpaceDE/>
              <w:autoSpaceDN/>
              <w:bidi w:val="0"/>
              <w:adjustRightInd w:val="0"/>
              <w:snapToGrid w:val="0"/>
              <w:spacing w:line="320" w:lineRule="exact"/>
              <w:ind w:firstLine="0"/>
              <w:jc w:val="center"/>
              <w:textAlignment w:val="auto"/>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SS</w:t>
            </w:r>
          </w:p>
        </w:tc>
        <w:tc>
          <w:tcPr>
            <w:tcW w:w="3586" w:type="dxa"/>
            <w:shd w:val="clear" w:color="auto" w:fill="auto"/>
            <w:vAlign w:val="center"/>
          </w:tcPr>
          <w:p w14:paraId="7F4AA004">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初期雨水经雨水渠收集后进入1座225m</w:t>
            </w:r>
            <w:r>
              <w:rPr>
                <w:rFonts w:hint="eastAsia" w:ascii="Times New Roman" w:hAnsi="Times New Roman" w:cs="Times New Roman"/>
                <w:color w:val="auto"/>
                <w:sz w:val="21"/>
                <w:szCs w:val="21"/>
                <w:highlight w:val="none"/>
                <w:vertAlign w:val="superscript"/>
                <w:lang w:val="en-US" w:eastAsia="zh-CN"/>
              </w:rPr>
              <w:t>3</w:t>
            </w:r>
            <w:r>
              <w:rPr>
                <w:rFonts w:hint="eastAsia" w:ascii="Times New Roman" w:hAnsi="Times New Roman" w:cs="Times New Roman"/>
                <w:color w:val="auto"/>
                <w:sz w:val="21"/>
                <w:szCs w:val="21"/>
                <w:highlight w:val="none"/>
                <w:vertAlign w:val="baseline"/>
                <w:lang w:val="en-US" w:eastAsia="zh-CN"/>
              </w:rPr>
              <w:t>（9m×5m×5m）的</w:t>
            </w:r>
            <w:r>
              <w:rPr>
                <w:rFonts w:hint="eastAsia" w:ascii="Times New Roman" w:hAnsi="Times New Roman" w:cs="Times New Roman"/>
                <w:color w:val="auto"/>
                <w:sz w:val="21"/>
                <w:szCs w:val="21"/>
                <w:highlight w:val="none"/>
                <w:lang w:val="en-US" w:eastAsia="zh-CN"/>
              </w:rPr>
              <w:t>初期雨水池，全部回用于洗煤厂用于洗煤用水。</w:t>
            </w:r>
          </w:p>
        </w:tc>
        <w:tc>
          <w:tcPr>
            <w:tcW w:w="1926" w:type="dxa"/>
            <w:vAlign w:val="center"/>
          </w:tcPr>
          <w:p w14:paraId="52DF85ED">
            <w:pPr>
              <w:keepNext w:val="0"/>
              <w:keepLines w:val="0"/>
              <w:pageBreakBefore w:val="0"/>
              <w:widowControl w:val="0"/>
              <w:kinsoku/>
              <w:wordWrap/>
              <w:overflowPunct/>
              <w:topLinePunct w:val="0"/>
              <w:autoSpaceDE/>
              <w:autoSpaceDN/>
              <w:bidi w:val="0"/>
              <w:adjustRightInd w:val="0"/>
              <w:snapToGrid w:val="0"/>
              <w:spacing w:line="320" w:lineRule="exact"/>
              <w:ind w:firstLine="0"/>
              <w:jc w:val="center"/>
              <w:textAlignment w:val="auto"/>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w:t>
            </w:r>
          </w:p>
        </w:tc>
      </w:tr>
      <w:tr w14:paraId="1499B6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0" w:type="dxa"/>
            <w:vAlign w:val="center"/>
          </w:tcPr>
          <w:p w14:paraId="3A6B05EE">
            <w:pPr>
              <w:keepNext w:val="0"/>
              <w:keepLines w:val="0"/>
              <w:pageBreakBefore w:val="0"/>
              <w:widowControl w:val="0"/>
              <w:kinsoku/>
              <w:wordWrap/>
              <w:overflowPunct/>
              <w:topLinePunct w:val="0"/>
              <w:autoSpaceDE/>
              <w:autoSpaceDN/>
              <w:bidi w:val="0"/>
              <w:adjustRightInd w:val="0"/>
              <w:snapToGrid w:val="0"/>
              <w:spacing w:line="320" w:lineRule="exact"/>
              <w:ind w:firstLine="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声环境</w:t>
            </w:r>
          </w:p>
        </w:tc>
        <w:tc>
          <w:tcPr>
            <w:tcW w:w="1561" w:type="dxa"/>
            <w:vAlign w:val="center"/>
          </w:tcPr>
          <w:p w14:paraId="35CD4600">
            <w:pPr>
              <w:keepNext w:val="0"/>
              <w:keepLines w:val="0"/>
              <w:pageBreakBefore w:val="0"/>
              <w:widowControl w:val="0"/>
              <w:kinsoku/>
              <w:wordWrap/>
              <w:overflowPunct/>
              <w:topLinePunct w:val="0"/>
              <w:autoSpaceDE/>
              <w:autoSpaceDN/>
              <w:bidi w:val="0"/>
              <w:adjustRightInd w:val="0"/>
              <w:snapToGrid w:val="0"/>
              <w:spacing w:line="320" w:lineRule="exact"/>
              <w:ind w:firstLine="0"/>
              <w:jc w:val="center"/>
              <w:textAlignment w:val="auto"/>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生产设备</w:t>
            </w:r>
          </w:p>
        </w:tc>
        <w:tc>
          <w:tcPr>
            <w:tcW w:w="888" w:type="dxa"/>
            <w:vAlign w:val="center"/>
          </w:tcPr>
          <w:p w14:paraId="216736DD">
            <w:pPr>
              <w:keepNext w:val="0"/>
              <w:keepLines w:val="0"/>
              <w:pageBreakBefore w:val="0"/>
              <w:widowControl w:val="0"/>
              <w:kinsoku/>
              <w:wordWrap/>
              <w:overflowPunct/>
              <w:topLinePunct w:val="0"/>
              <w:autoSpaceDE/>
              <w:autoSpaceDN/>
              <w:bidi w:val="0"/>
              <w:adjustRightInd w:val="0"/>
              <w:snapToGrid w:val="0"/>
              <w:spacing w:line="320" w:lineRule="exact"/>
              <w:ind w:firstLine="0"/>
              <w:jc w:val="center"/>
              <w:textAlignment w:val="auto"/>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噪声</w:t>
            </w:r>
          </w:p>
        </w:tc>
        <w:tc>
          <w:tcPr>
            <w:tcW w:w="3586" w:type="dxa"/>
            <w:shd w:val="clear" w:color="auto" w:fill="auto"/>
            <w:vAlign w:val="center"/>
          </w:tcPr>
          <w:p w14:paraId="0AB7C6F9">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kern w:val="2"/>
                <w:sz w:val="21"/>
                <w:szCs w:val="21"/>
                <w:highlight w:val="yellow"/>
                <w:lang w:val="en-US" w:eastAsia="zh-CN" w:bidi="ar-SA"/>
              </w:rPr>
            </w:pPr>
            <w:r>
              <w:rPr>
                <w:rFonts w:hint="eastAsia" w:ascii="Times New Roman" w:hAnsi="Times New Roman" w:cs="Times New Roman"/>
                <w:color w:val="auto"/>
                <w:sz w:val="21"/>
                <w:szCs w:val="21"/>
                <w:lang w:val="en-US" w:eastAsia="zh-CN"/>
              </w:rPr>
              <w:t>低噪声设备；</w:t>
            </w:r>
            <w:r>
              <w:rPr>
                <w:rFonts w:hint="default" w:ascii="Times New Roman" w:hAnsi="Times New Roman" w:cs="Times New Roman"/>
                <w:color w:val="auto"/>
                <w:sz w:val="21"/>
                <w:szCs w:val="21"/>
              </w:rPr>
              <w:t>减振、厂房隔声</w:t>
            </w:r>
            <w:r>
              <w:rPr>
                <w:rFonts w:hint="eastAsia" w:ascii="Times New Roman" w:hAnsi="Times New Roman" w:cs="Times New Roman"/>
                <w:color w:val="auto"/>
                <w:sz w:val="21"/>
                <w:szCs w:val="21"/>
                <w:lang w:eastAsia="zh-CN"/>
              </w:rPr>
              <w:t>；</w:t>
            </w:r>
            <w:r>
              <w:rPr>
                <w:rFonts w:hint="eastAsia" w:ascii="Times New Roman" w:hAnsi="Times New Roman" w:cs="Times New Roman"/>
                <w:color w:val="auto"/>
                <w:sz w:val="21"/>
                <w:szCs w:val="21"/>
                <w:lang w:val="en-US" w:eastAsia="zh-CN"/>
              </w:rPr>
              <w:t>定期维修、检修</w:t>
            </w:r>
            <w:r>
              <w:rPr>
                <w:rFonts w:hint="eastAsia" w:ascii="Times New Roman" w:hAnsi="Times New Roman" w:cs="Times New Roman"/>
                <w:color w:val="auto"/>
                <w:sz w:val="21"/>
                <w:szCs w:val="21"/>
                <w:lang w:eastAsia="zh-CN"/>
              </w:rPr>
              <w:t>。</w:t>
            </w:r>
          </w:p>
        </w:tc>
        <w:tc>
          <w:tcPr>
            <w:tcW w:w="1926" w:type="dxa"/>
            <w:vAlign w:val="center"/>
          </w:tcPr>
          <w:p w14:paraId="7B170352">
            <w:pPr>
              <w:keepNext w:val="0"/>
              <w:keepLines w:val="0"/>
              <w:pageBreakBefore w:val="0"/>
              <w:widowControl w:val="0"/>
              <w:kinsoku/>
              <w:wordWrap/>
              <w:overflowPunct/>
              <w:topLinePunct w:val="0"/>
              <w:autoSpaceDE/>
              <w:autoSpaceDN/>
              <w:bidi w:val="0"/>
              <w:adjustRightInd w:val="0"/>
              <w:snapToGrid w:val="0"/>
              <w:spacing w:line="320" w:lineRule="exact"/>
              <w:ind w:firstLine="0"/>
              <w:jc w:val="center"/>
              <w:textAlignment w:val="auto"/>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w:t>
            </w:r>
            <w:r>
              <w:rPr>
                <w:rFonts w:hint="default" w:ascii="Times New Roman" w:hAnsi="Times New Roman" w:cs="Times New Roman"/>
                <w:color w:val="auto"/>
                <w:kern w:val="2"/>
                <w:sz w:val="21"/>
                <w:szCs w:val="21"/>
                <w:highlight w:val="none"/>
                <w:lang w:val="en-US" w:eastAsia="zh-CN" w:bidi="ar-SA"/>
              </w:rPr>
              <w:fldChar w:fldCharType="begin"/>
            </w:r>
            <w:r>
              <w:rPr>
                <w:rFonts w:hint="default" w:ascii="Times New Roman" w:hAnsi="Times New Roman" w:cs="Times New Roman"/>
                <w:color w:val="auto"/>
                <w:kern w:val="2"/>
                <w:sz w:val="21"/>
                <w:szCs w:val="21"/>
                <w:highlight w:val="none"/>
                <w:lang w:val="en-US" w:eastAsia="zh-CN" w:bidi="ar-SA"/>
              </w:rPr>
              <w:instrText xml:space="preserve"> HYPERLINK "http://www.mep.gov.cn/info/bgw/bgg/200809/W020081017399508921576.pdf" \t "_self" </w:instrText>
            </w:r>
            <w:r>
              <w:rPr>
                <w:rFonts w:hint="default" w:ascii="Times New Roman" w:hAnsi="Times New Roman" w:cs="Times New Roman"/>
                <w:color w:val="auto"/>
                <w:kern w:val="2"/>
                <w:sz w:val="21"/>
                <w:szCs w:val="21"/>
                <w:highlight w:val="none"/>
                <w:lang w:val="en-US" w:eastAsia="zh-CN" w:bidi="ar-SA"/>
              </w:rPr>
              <w:fldChar w:fldCharType="separate"/>
            </w:r>
            <w:r>
              <w:rPr>
                <w:rFonts w:hint="default" w:ascii="Times New Roman" w:hAnsi="Times New Roman" w:cs="Times New Roman"/>
                <w:color w:val="auto"/>
                <w:kern w:val="2"/>
                <w:sz w:val="21"/>
                <w:szCs w:val="21"/>
                <w:highlight w:val="none"/>
                <w:lang w:val="en-US" w:eastAsia="zh-CN" w:bidi="ar-SA"/>
              </w:rPr>
              <w:t>工业企业厂界环境噪声</w:t>
            </w:r>
            <w:r>
              <w:rPr>
                <w:rFonts w:hint="default" w:ascii="Times New Roman" w:hAnsi="Times New Roman" w:cs="Times New Roman"/>
                <w:color w:val="auto"/>
                <w:kern w:val="2"/>
                <w:sz w:val="21"/>
                <w:szCs w:val="21"/>
                <w:highlight w:val="none"/>
                <w:lang w:val="en-US" w:eastAsia="zh-CN" w:bidi="ar-SA"/>
              </w:rPr>
              <w:fldChar w:fldCharType="end"/>
            </w:r>
            <w:r>
              <w:rPr>
                <w:rFonts w:hint="default" w:ascii="Times New Roman" w:hAnsi="Times New Roman" w:cs="Times New Roman"/>
                <w:color w:val="auto"/>
                <w:kern w:val="2"/>
                <w:sz w:val="21"/>
                <w:szCs w:val="21"/>
                <w:highlight w:val="none"/>
                <w:lang w:val="en-US" w:eastAsia="zh-CN" w:bidi="ar-SA"/>
              </w:rPr>
              <w:t>排放标准》（GB12348-2008）</w:t>
            </w:r>
          </w:p>
        </w:tc>
      </w:tr>
      <w:tr w14:paraId="4F8AAE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0" w:type="dxa"/>
            <w:vAlign w:val="center"/>
          </w:tcPr>
          <w:p w14:paraId="57829D23">
            <w:pPr>
              <w:keepNext w:val="0"/>
              <w:keepLines w:val="0"/>
              <w:pageBreakBefore w:val="0"/>
              <w:widowControl w:val="0"/>
              <w:kinsoku/>
              <w:wordWrap/>
              <w:overflowPunct/>
              <w:topLinePunct w:val="0"/>
              <w:autoSpaceDE/>
              <w:autoSpaceDN/>
              <w:bidi w:val="0"/>
              <w:adjustRightInd w:val="0"/>
              <w:snapToGrid w:val="0"/>
              <w:spacing w:line="320" w:lineRule="exact"/>
              <w:ind w:firstLine="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固体废物</w:t>
            </w:r>
          </w:p>
        </w:tc>
        <w:tc>
          <w:tcPr>
            <w:tcW w:w="7961" w:type="dxa"/>
            <w:gridSpan w:val="4"/>
            <w:vAlign w:val="center"/>
          </w:tcPr>
          <w:p w14:paraId="1DD510AA">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一般工业固体废物：</w:t>
            </w:r>
            <w:r>
              <w:rPr>
                <w:rFonts w:hint="eastAsia" w:cs="Times New Roman"/>
                <w:color w:val="auto"/>
                <w:szCs w:val="21"/>
                <w:highlight w:val="none"/>
                <w:lang w:val="en-US" w:eastAsia="zh-CN"/>
              </w:rPr>
              <w:t>雨水池沉淀煤泥定期清理，掺入煤泥外售</w:t>
            </w:r>
            <w:r>
              <w:rPr>
                <w:rFonts w:hint="eastAsia" w:ascii="Times New Roman" w:hAnsi="Times New Roman" w:cs="Times New Roman"/>
                <w:color w:val="auto"/>
                <w:szCs w:val="21"/>
                <w:highlight w:val="none"/>
                <w:lang w:val="en-US" w:eastAsia="zh-CN"/>
              </w:rPr>
              <w:t>。</w:t>
            </w:r>
          </w:p>
          <w:p w14:paraId="197B278F">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Times New Roman" w:hAnsi="Times New Roman" w:eastAsia="宋体" w:cs="Times New Roman"/>
                <w:color w:val="auto"/>
                <w:szCs w:val="21"/>
                <w:highlight w:val="none"/>
                <w:lang w:eastAsia="zh-CN"/>
              </w:rPr>
            </w:pPr>
            <w:r>
              <w:rPr>
                <w:rFonts w:hint="eastAsia" w:ascii="Times New Roman" w:hAnsi="Times New Roman" w:cs="Times New Roman"/>
                <w:color w:val="auto"/>
                <w:szCs w:val="21"/>
                <w:highlight w:val="none"/>
                <w:lang w:val="en-US" w:eastAsia="zh-CN"/>
              </w:rPr>
              <w:t>危险废物：废矿物油、废油桶</w:t>
            </w:r>
            <w:r>
              <w:rPr>
                <w:rFonts w:hint="default" w:ascii="Times New Roman" w:hAnsi="Times New Roman" w:cs="Times New Roman"/>
                <w:color w:val="auto"/>
                <w:szCs w:val="21"/>
                <w:highlight w:val="none"/>
              </w:rPr>
              <w:t>集中收集后暂存于</w:t>
            </w:r>
            <w:r>
              <w:rPr>
                <w:rFonts w:hint="eastAsia" w:cs="Times New Roman"/>
                <w:color w:val="auto"/>
                <w:szCs w:val="21"/>
                <w:highlight w:val="none"/>
                <w:lang w:val="en-US" w:eastAsia="zh-CN"/>
              </w:rPr>
              <w:t>矿区现有</w:t>
            </w:r>
            <w:r>
              <w:rPr>
                <w:rFonts w:hint="eastAsia" w:ascii="Times New Roman" w:hAnsi="Times New Roman" w:cs="Times New Roman"/>
                <w:color w:val="auto"/>
                <w:szCs w:val="21"/>
                <w:highlight w:val="none"/>
                <w:lang w:eastAsia="zh-CN"/>
              </w:rPr>
              <w:t>危废贮存库</w:t>
            </w:r>
            <w:r>
              <w:rPr>
                <w:rFonts w:hint="default" w:ascii="Times New Roman" w:hAnsi="Times New Roman" w:cs="Times New Roman"/>
                <w:color w:val="auto"/>
                <w:szCs w:val="21"/>
                <w:highlight w:val="none"/>
              </w:rPr>
              <w:t>，</w:t>
            </w:r>
            <w:r>
              <w:rPr>
                <w:rFonts w:hint="eastAsia" w:ascii="Times New Roman" w:hAnsi="Times New Roman" w:cs="Times New Roman"/>
                <w:color w:val="auto"/>
                <w:szCs w:val="21"/>
                <w:highlight w:val="none"/>
                <w:lang w:eastAsia="zh-CN"/>
              </w:rPr>
              <w:t>定期</w:t>
            </w:r>
            <w:r>
              <w:rPr>
                <w:rFonts w:hint="eastAsia" w:cs="Times New Roman"/>
                <w:color w:val="auto"/>
                <w:szCs w:val="21"/>
                <w:highlight w:val="none"/>
                <w:lang w:val="en-US" w:eastAsia="zh-CN"/>
              </w:rPr>
              <w:t>由</w:t>
            </w:r>
            <w:r>
              <w:rPr>
                <w:rFonts w:hint="eastAsia" w:ascii="Times New Roman" w:hAnsi="Times New Roman" w:cs="Times New Roman"/>
                <w:color w:val="auto"/>
                <w:szCs w:val="21"/>
                <w:highlight w:val="none"/>
                <w:lang w:eastAsia="zh-CN"/>
              </w:rPr>
              <w:t>有资质单位处置。</w:t>
            </w:r>
          </w:p>
        </w:tc>
      </w:tr>
      <w:tr w14:paraId="556D33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0" w:type="dxa"/>
            <w:vAlign w:val="center"/>
          </w:tcPr>
          <w:p w14:paraId="574182AD">
            <w:pPr>
              <w:keepNext w:val="0"/>
              <w:keepLines w:val="0"/>
              <w:pageBreakBefore w:val="0"/>
              <w:widowControl w:val="0"/>
              <w:kinsoku/>
              <w:wordWrap/>
              <w:overflowPunct/>
              <w:topLinePunct w:val="0"/>
              <w:autoSpaceDE/>
              <w:autoSpaceDN/>
              <w:bidi w:val="0"/>
              <w:adjustRightInd w:val="0"/>
              <w:snapToGrid w:val="0"/>
              <w:spacing w:line="320" w:lineRule="exact"/>
              <w:ind w:firstLine="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土壤及地下水污染防治措施</w:t>
            </w:r>
          </w:p>
        </w:tc>
        <w:tc>
          <w:tcPr>
            <w:tcW w:w="7961" w:type="dxa"/>
            <w:gridSpan w:val="4"/>
            <w:vAlign w:val="center"/>
          </w:tcPr>
          <w:p w14:paraId="249E88B7">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本次评价将项目区划分为重点防渗区、一般防渗区</w:t>
            </w:r>
            <w:r>
              <w:rPr>
                <w:rFonts w:hint="eastAsia" w:cs="Times New Roman"/>
                <w:color w:val="auto"/>
                <w:szCs w:val="21"/>
                <w:highlight w:val="none"/>
                <w:lang w:val="en-US" w:eastAsia="zh-CN"/>
              </w:rPr>
              <w:t>和简单防渗区</w:t>
            </w:r>
            <w:r>
              <w:rPr>
                <w:rFonts w:hint="default" w:ascii="Times New Roman" w:hAnsi="Times New Roman" w:eastAsia="宋体" w:cs="Times New Roman"/>
                <w:color w:val="auto"/>
                <w:szCs w:val="21"/>
                <w:highlight w:val="none"/>
                <w:lang w:val="en-US" w:eastAsia="zh-CN"/>
              </w:rPr>
              <w:t>，危废贮存库为重点防渗区，</w:t>
            </w:r>
            <w:r>
              <w:rPr>
                <w:rFonts w:hint="eastAsia" w:cs="Times New Roman"/>
                <w:color w:val="auto"/>
                <w:szCs w:val="21"/>
                <w:highlight w:val="none"/>
                <w:lang w:val="en-US" w:eastAsia="zh-CN"/>
              </w:rPr>
              <w:t>初期雨水收集池、筒仓</w:t>
            </w:r>
            <w:r>
              <w:rPr>
                <w:rFonts w:hint="default" w:ascii="Times New Roman" w:hAnsi="Times New Roman" w:eastAsia="宋体" w:cs="Times New Roman"/>
                <w:color w:val="auto"/>
                <w:szCs w:val="21"/>
                <w:highlight w:val="none"/>
                <w:lang w:val="en-US" w:eastAsia="zh-CN"/>
              </w:rPr>
              <w:t>为一般防渗区</w:t>
            </w:r>
            <w:r>
              <w:rPr>
                <w:rFonts w:hint="eastAsia" w:cs="Times New Roman"/>
                <w:color w:val="auto"/>
                <w:szCs w:val="21"/>
                <w:highlight w:val="none"/>
                <w:lang w:val="en-US" w:eastAsia="zh-CN"/>
              </w:rPr>
              <w:t>，</w:t>
            </w:r>
            <w:r>
              <w:rPr>
                <w:rFonts w:hint="eastAsia" w:cs="Times New Roman"/>
                <w:color w:val="auto"/>
                <w:kern w:val="0"/>
                <w:sz w:val="21"/>
                <w:szCs w:val="21"/>
                <w:highlight w:val="none"/>
                <w:lang w:val="en-US" w:eastAsia="zh-CN" w:bidi="ar-SA"/>
              </w:rPr>
              <w:t>配电室为简单防渗区</w:t>
            </w:r>
            <w:r>
              <w:rPr>
                <w:rFonts w:hint="default" w:ascii="Times New Roman" w:hAnsi="Times New Roman" w:eastAsia="宋体" w:cs="Times New Roman"/>
                <w:color w:val="auto"/>
                <w:szCs w:val="21"/>
                <w:highlight w:val="none"/>
                <w:lang w:val="en-US" w:eastAsia="zh-CN"/>
              </w:rPr>
              <w:t>。</w:t>
            </w:r>
          </w:p>
        </w:tc>
      </w:tr>
      <w:tr w14:paraId="6AF170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0" w:type="dxa"/>
            <w:vAlign w:val="center"/>
          </w:tcPr>
          <w:p w14:paraId="2AB349F6">
            <w:pPr>
              <w:keepNext w:val="0"/>
              <w:keepLines w:val="0"/>
              <w:pageBreakBefore w:val="0"/>
              <w:widowControl w:val="0"/>
              <w:kinsoku/>
              <w:wordWrap/>
              <w:overflowPunct/>
              <w:topLinePunct w:val="0"/>
              <w:autoSpaceDE/>
              <w:autoSpaceDN/>
              <w:bidi w:val="0"/>
              <w:adjustRightInd w:val="0"/>
              <w:snapToGrid w:val="0"/>
              <w:spacing w:line="320" w:lineRule="exact"/>
              <w:ind w:firstLine="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生态保护措施</w:t>
            </w:r>
          </w:p>
        </w:tc>
        <w:tc>
          <w:tcPr>
            <w:tcW w:w="7961" w:type="dxa"/>
            <w:gridSpan w:val="4"/>
            <w:vAlign w:val="center"/>
          </w:tcPr>
          <w:p w14:paraId="52A41782">
            <w:pPr>
              <w:keepNext w:val="0"/>
              <w:keepLines w:val="0"/>
              <w:pageBreakBefore w:val="0"/>
              <w:widowControl w:val="0"/>
              <w:kinsoku/>
              <w:wordWrap/>
              <w:overflowPunct/>
              <w:topLinePunct w:val="0"/>
              <w:autoSpaceDE/>
              <w:autoSpaceDN/>
              <w:bidi w:val="0"/>
              <w:adjustRightInd w:val="0"/>
              <w:snapToGrid w:val="0"/>
              <w:spacing w:line="320" w:lineRule="exact"/>
              <w:ind w:firstLine="0"/>
              <w:jc w:val="center"/>
              <w:textAlignment w:val="auto"/>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厂区</w:t>
            </w:r>
            <w:r>
              <w:rPr>
                <w:rFonts w:hint="default" w:ascii="Times New Roman" w:hAnsi="Times New Roman" w:cs="Times New Roman"/>
                <w:color w:val="auto"/>
                <w:szCs w:val="21"/>
                <w:highlight w:val="none"/>
              </w:rPr>
              <w:t>绿化</w:t>
            </w:r>
            <w:r>
              <w:rPr>
                <w:rFonts w:hint="eastAsia" w:cs="Times New Roman"/>
                <w:color w:val="auto"/>
                <w:szCs w:val="21"/>
                <w:highlight w:val="none"/>
                <w:lang w:eastAsia="zh-CN"/>
              </w:rPr>
              <w:t>、</w:t>
            </w:r>
            <w:r>
              <w:rPr>
                <w:rFonts w:hint="eastAsia" w:cs="Times New Roman"/>
                <w:color w:val="auto"/>
                <w:szCs w:val="21"/>
                <w:highlight w:val="none"/>
                <w:lang w:val="en-US" w:eastAsia="zh-CN"/>
              </w:rPr>
              <w:t>道路硬化</w:t>
            </w:r>
          </w:p>
        </w:tc>
      </w:tr>
      <w:tr w14:paraId="3C2649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0" w:type="dxa"/>
            <w:vAlign w:val="center"/>
          </w:tcPr>
          <w:p w14:paraId="45DA9E54">
            <w:pPr>
              <w:keepNext w:val="0"/>
              <w:keepLines w:val="0"/>
              <w:pageBreakBefore w:val="0"/>
              <w:widowControl w:val="0"/>
              <w:kinsoku/>
              <w:wordWrap/>
              <w:overflowPunct/>
              <w:topLinePunct w:val="0"/>
              <w:autoSpaceDE/>
              <w:autoSpaceDN/>
              <w:bidi w:val="0"/>
              <w:adjustRightInd w:val="0"/>
              <w:snapToGrid w:val="0"/>
              <w:spacing w:line="320" w:lineRule="exact"/>
              <w:ind w:firstLine="0"/>
              <w:jc w:val="center"/>
              <w:textAlignment w:val="auto"/>
              <w:rPr>
                <w:rFonts w:hint="default" w:ascii="Times New Roman" w:hAnsi="Times New Roman" w:cs="Times New Roman"/>
                <w:color w:val="auto"/>
                <w:spacing w:val="-8"/>
                <w:szCs w:val="21"/>
                <w:highlight w:val="none"/>
              </w:rPr>
            </w:pPr>
            <w:r>
              <w:rPr>
                <w:rFonts w:hint="default" w:ascii="Times New Roman" w:hAnsi="Times New Roman" w:cs="Times New Roman"/>
                <w:color w:val="auto"/>
                <w:spacing w:val="-8"/>
                <w:szCs w:val="21"/>
                <w:highlight w:val="none"/>
              </w:rPr>
              <w:t>环境风险</w:t>
            </w:r>
          </w:p>
          <w:p w14:paraId="5504B8F9">
            <w:pPr>
              <w:keepNext w:val="0"/>
              <w:keepLines w:val="0"/>
              <w:pageBreakBefore w:val="0"/>
              <w:widowControl w:val="0"/>
              <w:kinsoku/>
              <w:wordWrap/>
              <w:overflowPunct/>
              <w:topLinePunct w:val="0"/>
              <w:autoSpaceDE/>
              <w:autoSpaceDN/>
              <w:bidi w:val="0"/>
              <w:adjustRightInd w:val="0"/>
              <w:snapToGrid w:val="0"/>
              <w:spacing w:line="320" w:lineRule="exact"/>
              <w:ind w:firstLine="0"/>
              <w:jc w:val="center"/>
              <w:textAlignment w:val="auto"/>
              <w:rPr>
                <w:rFonts w:hint="default" w:ascii="Times New Roman" w:hAnsi="Times New Roman" w:cs="Times New Roman"/>
                <w:color w:val="auto"/>
                <w:spacing w:val="-8"/>
                <w:szCs w:val="21"/>
                <w:highlight w:val="none"/>
              </w:rPr>
            </w:pPr>
            <w:r>
              <w:rPr>
                <w:rFonts w:hint="default" w:ascii="Times New Roman" w:hAnsi="Times New Roman" w:cs="Times New Roman"/>
                <w:color w:val="auto"/>
                <w:spacing w:val="-8"/>
                <w:szCs w:val="21"/>
                <w:highlight w:val="none"/>
              </w:rPr>
              <w:t>防范措施</w:t>
            </w:r>
          </w:p>
        </w:tc>
        <w:tc>
          <w:tcPr>
            <w:tcW w:w="7961" w:type="dxa"/>
            <w:gridSpan w:val="4"/>
            <w:vAlign w:val="center"/>
          </w:tcPr>
          <w:p w14:paraId="6A65A7A0">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本项目收集废矿物油的容器底部应设置钢制托盘；危废贮存库进行防水、防渗、防流失处理，有足够地面承载能力，并能确保雨水不会流至贮存设施内，贮存设施应封闭，采取必要的防风、防晒、防雨、防漏、防渗、防腐以及其他环境污染防治措施</w:t>
            </w:r>
            <w:r>
              <w:rPr>
                <w:rFonts w:hint="default" w:ascii="Times New Roman" w:hAnsi="Times New Roman" w:eastAsia="宋体" w:cs="Times New Roman"/>
                <w:color w:val="auto"/>
                <w:sz w:val="21"/>
                <w:szCs w:val="21"/>
                <w:highlight w:val="none"/>
                <w:lang w:val="en-US" w:eastAsia="zh-CN"/>
              </w:rPr>
              <w:t>。</w:t>
            </w:r>
          </w:p>
          <w:p w14:paraId="7409A84C">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default" w:ascii="Times New Roman" w:hAnsi="Times New Roman" w:cs="Times New Roman"/>
                <w:color w:val="auto"/>
                <w:szCs w:val="21"/>
                <w:highlight w:val="none"/>
              </w:rPr>
            </w:pPr>
            <w:r>
              <w:rPr>
                <w:rFonts w:hint="eastAsia"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lang w:val="en-US" w:eastAsia="zh-CN"/>
              </w:rPr>
              <w:t>严禁火源进入危废贮存库，对明火严格控制。配置相应的灭火装置和设施，如灭火器、消防砂、消火栓等，并保持完好。值班人员应掌握一般消防知识。</w:t>
            </w:r>
          </w:p>
        </w:tc>
      </w:tr>
      <w:tr w14:paraId="3E67F8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0" w:type="dxa"/>
            <w:vAlign w:val="center"/>
          </w:tcPr>
          <w:p w14:paraId="328E64E1">
            <w:pPr>
              <w:keepNext w:val="0"/>
              <w:keepLines w:val="0"/>
              <w:pageBreakBefore w:val="0"/>
              <w:widowControl w:val="0"/>
              <w:kinsoku/>
              <w:wordWrap/>
              <w:overflowPunct/>
              <w:topLinePunct w:val="0"/>
              <w:autoSpaceDE/>
              <w:autoSpaceDN/>
              <w:bidi w:val="0"/>
              <w:adjustRightInd w:val="0"/>
              <w:snapToGrid w:val="0"/>
              <w:spacing w:line="320" w:lineRule="exact"/>
              <w:ind w:firstLine="0"/>
              <w:jc w:val="center"/>
              <w:textAlignment w:val="auto"/>
              <w:rPr>
                <w:rFonts w:hint="default" w:ascii="Times New Roman" w:hAnsi="Times New Roman" w:cs="Times New Roman"/>
                <w:color w:val="auto"/>
                <w:spacing w:val="-8"/>
                <w:szCs w:val="21"/>
                <w:highlight w:val="none"/>
              </w:rPr>
            </w:pPr>
            <w:r>
              <w:rPr>
                <w:rFonts w:hint="default" w:ascii="Times New Roman" w:hAnsi="Times New Roman" w:cs="Times New Roman"/>
                <w:color w:val="auto"/>
                <w:spacing w:val="-8"/>
                <w:szCs w:val="21"/>
                <w:highlight w:val="none"/>
              </w:rPr>
              <w:t>其他环境</w:t>
            </w:r>
          </w:p>
          <w:p w14:paraId="3CA3B07E">
            <w:pPr>
              <w:keepNext w:val="0"/>
              <w:keepLines w:val="0"/>
              <w:pageBreakBefore w:val="0"/>
              <w:widowControl w:val="0"/>
              <w:kinsoku/>
              <w:wordWrap/>
              <w:overflowPunct/>
              <w:topLinePunct w:val="0"/>
              <w:autoSpaceDE/>
              <w:autoSpaceDN/>
              <w:bidi w:val="0"/>
              <w:adjustRightInd w:val="0"/>
              <w:snapToGrid w:val="0"/>
              <w:spacing w:line="320" w:lineRule="exact"/>
              <w:ind w:firstLine="0"/>
              <w:jc w:val="center"/>
              <w:textAlignment w:val="auto"/>
              <w:rPr>
                <w:rFonts w:hint="default" w:ascii="Times New Roman" w:hAnsi="Times New Roman" w:cs="Times New Roman"/>
                <w:color w:val="auto"/>
                <w:spacing w:val="-8"/>
                <w:szCs w:val="21"/>
                <w:highlight w:val="none"/>
              </w:rPr>
            </w:pPr>
            <w:r>
              <w:rPr>
                <w:rFonts w:hint="default" w:ascii="Times New Roman" w:hAnsi="Times New Roman" w:cs="Times New Roman"/>
                <w:color w:val="auto"/>
                <w:spacing w:val="-8"/>
                <w:szCs w:val="21"/>
                <w:highlight w:val="none"/>
              </w:rPr>
              <w:t>管理要求</w:t>
            </w:r>
          </w:p>
        </w:tc>
        <w:tc>
          <w:tcPr>
            <w:tcW w:w="7961" w:type="dxa"/>
            <w:gridSpan w:val="4"/>
            <w:vAlign w:val="center"/>
          </w:tcPr>
          <w:p w14:paraId="4911B54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420" w:firstLineChars="200"/>
              <w:jc w:val="both"/>
              <w:textAlignment w:val="auto"/>
              <w:rPr>
                <w:rFonts w:hint="default"/>
                <w:b w:val="0"/>
                <w:bCs w:val="0"/>
                <w:color w:val="auto"/>
                <w:szCs w:val="21"/>
              </w:rPr>
            </w:pPr>
            <w:r>
              <w:rPr>
                <w:rFonts w:hint="eastAsia"/>
                <w:b w:val="0"/>
                <w:bCs w:val="0"/>
                <w:color w:val="auto"/>
                <w:szCs w:val="21"/>
              </w:rPr>
              <w:t>1、</w:t>
            </w:r>
            <w:r>
              <w:rPr>
                <w:rFonts w:hint="default"/>
                <w:b w:val="0"/>
                <w:bCs w:val="0"/>
                <w:color w:val="auto"/>
                <w:szCs w:val="21"/>
              </w:rPr>
              <w:t>环境管理计划</w:t>
            </w:r>
          </w:p>
          <w:p w14:paraId="06AEF6C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420" w:firstLineChars="200"/>
              <w:jc w:val="both"/>
              <w:textAlignment w:val="auto"/>
              <w:rPr>
                <w:rFonts w:hint="default" w:ascii="Times New Roman" w:hAnsi="Times New Roman" w:cs="Times New Roman"/>
                <w:b w:val="0"/>
                <w:bCs w:val="0"/>
                <w:color w:val="auto"/>
                <w:szCs w:val="21"/>
              </w:rPr>
            </w:pPr>
            <w:r>
              <w:rPr>
                <w:rFonts w:hint="default"/>
                <w:b w:val="0"/>
                <w:bCs w:val="0"/>
                <w:color w:val="auto"/>
                <w:szCs w:val="21"/>
              </w:rPr>
              <w:t>本工程环境管理工作计划</w:t>
            </w:r>
            <w:r>
              <w:rPr>
                <w:rFonts w:hint="default" w:ascii="Times New Roman" w:hAnsi="Times New Roman" w:cs="Times New Roman"/>
                <w:b w:val="0"/>
                <w:bCs w:val="0"/>
                <w:color w:val="auto"/>
                <w:szCs w:val="21"/>
              </w:rPr>
              <w:t>见表5-1。</w:t>
            </w:r>
          </w:p>
          <w:p w14:paraId="4D74A3CF">
            <w:pPr>
              <w:keepNext w:val="0"/>
              <w:keepLines w:val="0"/>
              <w:pageBreakBefore w:val="0"/>
              <w:widowControl w:val="0"/>
              <w:suppressLineNumbers w:val="0"/>
              <w:kinsoku/>
              <w:wordWrap/>
              <w:overflowPunct/>
              <w:topLinePunct w:val="0"/>
              <w:autoSpaceDE w:val="0"/>
              <w:autoSpaceDN w:val="0"/>
              <w:bidi w:val="0"/>
              <w:adjustRightInd w:val="0"/>
              <w:snapToGrid w:val="0"/>
              <w:spacing w:before="157" w:beforeLines="50" w:beforeAutospacing="0" w:after="0" w:afterAutospacing="0"/>
              <w:ind w:left="0" w:right="0"/>
              <w:jc w:val="center"/>
              <w:textAlignment w:val="auto"/>
              <w:rPr>
                <w:rFonts w:hint="eastAsia" w:ascii="黑体" w:hAnsi="黑体" w:eastAsia="黑体" w:cs="黑体"/>
                <w:b w:val="0"/>
                <w:bCs w:val="0"/>
                <w:color w:val="auto"/>
                <w:szCs w:val="21"/>
              </w:rPr>
            </w:pPr>
            <w:r>
              <w:rPr>
                <w:rFonts w:hint="eastAsia" w:ascii="黑体" w:hAnsi="黑体" w:eastAsia="黑体" w:cs="黑体"/>
                <w:b w:val="0"/>
                <w:bCs w:val="0"/>
                <w:color w:val="auto"/>
                <w:szCs w:val="21"/>
              </w:rPr>
              <w:t>表</w:t>
            </w:r>
            <w:r>
              <w:rPr>
                <w:rFonts w:hint="default" w:ascii="Times New Roman" w:hAnsi="Times New Roman" w:eastAsia="黑体" w:cs="Times New Roman"/>
                <w:b w:val="0"/>
                <w:bCs w:val="0"/>
                <w:color w:val="auto"/>
                <w:szCs w:val="21"/>
              </w:rPr>
              <w:t>5-1</w:t>
            </w:r>
            <w:r>
              <w:rPr>
                <w:rFonts w:hint="eastAsia" w:ascii="黑体" w:hAnsi="黑体" w:eastAsia="黑体" w:cs="黑体"/>
                <w:b w:val="0"/>
                <w:bCs w:val="0"/>
                <w:color w:val="auto"/>
                <w:szCs w:val="21"/>
                <w:lang w:val="en-US" w:eastAsia="zh-CN"/>
              </w:rPr>
              <w:t xml:space="preserve">  </w:t>
            </w:r>
            <w:r>
              <w:rPr>
                <w:rFonts w:hint="eastAsia" w:ascii="黑体" w:hAnsi="黑体" w:eastAsia="黑体" w:cs="黑体"/>
                <w:b w:val="0"/>
                <w:bCs w:val="0"/>
                <w:color w:val="auto"/>
                <w:szCs w:val="21"/>
              </w:rPr>
              <w:t>环境管理工作计划表</w:t>
            </w:r>
          </w:p>
          <w:tbl>
            <w:tblPr>
              <w:tblStyle w:val="26"/>
              <w:tblW w:w="5000" w:type="pct"/>
              <w:tblInd w:w="-5"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267"/>
              <w:gridCol w:w="6448"/>
            </w:tblGrid>
            <w:tr w14:paraId="657C7B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821" w:type="pct"/>
                  <w:tcBorders>
                    <w:tl2br w:val="nil"/>
                    <w:tr2bl w:val="nil"/>
                  </w:tcBorders>
                  <w:noWrap w:val="0"/>
                  <w:vAlign w:val="center"/>
                </w:tcPr>
                <w:p w14:paraId="2DA7C2B1">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阶段</w:t>
                  </w:r>
                </w:p>
              </w:tc>
              <w:tc>
                <w:tcPr>
                  <w:tcW w:w="4178" w:type="pct"/>
                  <w:tcBorders>
                    <w:tl2br w:val="nil"/>
                    <w:tr2bl w:val="nil"/>
                  </w:tcBorders>
                  <w:noWrap w:val="0"/>
                  <w:vAlign w:val="center"/>
                </w:tcPr>
                <w:p w14:paraId="52A5732E">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环境管理工作主要内容</w:t>
                  </w:r>
                </w:p>
              </w:tc>
            </w:tr>
            <w:tr w14:paraId="2D750F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21" w:type="pct"/>
                  <w:tcBorders>
                    <w:tl2br w:val="nil"/>
                    <w:tr2bl w:val="nil"/>
                  </w:tcBorders>
                  <w:noWrap w:val="0"/>
                  <w:vAlign w:val="center"/>
                </w:tcPr>
                <w:p w14:paraId="65785145">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环境管理</w:t>
                  </w:r>
                </w:p>
                <w:p w14:paraId="749788C8">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机构的职能</w:t>
                  </w:r>
                </w:p>
              </w:tc>
              <w:tc>
                <w:tcPr>
                  <w:tcW w:w="4178" w:type="pct"/>
                  <w:tcBorders>
                    <w:tl2br w:val="nil"/>
                    <w:tr2bl w:val="nil"/>
                  </w:tcBorders>
                  <w:noWrap w:val="0"/>
                  <w:vAlign w:val="center"/>
                </w:tcPr>
                <w:p w14:paraId="0F2EB6AE">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根据国家建设</w:t>
                  </w:r>
                  <w:r>
                    <w:rPr>
                      <w:rFonts w:hint="eastAsia" w:ascii="Times New Roman" w:hAnsi="Times New Roman" w:cs="Times New Roman"/>
                      <w:b w:val="0"/>
                      <w:bCs w:val="0"/>
                      <w:color w:val="auto"/>
                      <w:sz w:val="21"/>
                      <w:szCs w:val="21"/>
                      <w:lang w:val="en-US" w:eastAsia="zh-CN"/>
                    </w:rPr>
                    <w:t>项</w:t>
                  </w:r>
                  <w:r>
                    <w:rPr>
                      <w:rFonts w:hint="default" w:ascii="Times New Roman" w:hAnsi="Times New Roman" w:cs="Times New Roman"/>
                      <w:b w:val="0"/>
                      <w:bCs w:val="0"/>
                      <w:color w:val="auto"/>
                      <w:sz w:val="21"/>
                      <w:szCs w:val="21"/>
                    </w:rPr>
                    <w:t>目环境管理规定，认真落实各项环保手续，完成各级环保主管部门对企业提出的环境要求，对企业内部各项管理计划的执行及完成情况进行监督，确保环境管理工作真正发挥作用。</w:t>
                  </w:r>
                </w:p>
              </w:tc>
            </w:tr>
            <w:tr w14:paraId="103B74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21" w:type="pct"/>
                  <w:tcBorders>
                    <w:tl2br w:val="nil"/>
                    <w:tr2bl w:val="nil"/>
                  </w:tcBorders>
                  <w:noWrap w:val="0"/>
                  <w:vAlign w:val="center"/>
                </w:tcPr>
                <w:p w14:paraId="7CD9DC9E">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建设期</w:t>
                  </w:r>
                </w:p>
              </w:tc>
              <w:tc>
                <w:tcPr>
                  <w:tcW w:w="4178" w:type="pct"/>
                  <w:tcBorders>
                    <w:tl2br w:val="nil"/>
                    <w:tr2bl w:val="nil"/>
                  </w:tcBorders>
                  <w:noWrap w:val="0"/>
                  <w:vAlign w:val="center"/>
                </w:tcPr>
                <w:p w14:paraId="3685C4E8">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1、合理选址，减少用地。2、施工便道定期洒水。3、临时用地恢复绿化。4、路基防护与加固5、夜间严禁进行打桩等噪声大的施工作业。6、施工营地加强环境管理。</w:t>
                  </w:r>
                </w:p>
              </w:tc>
            </w:tr>
            <w:tr w14:paraId="0C69AB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21" w:type="pct"/>
                  <w:tcBorders>
                    <w:tl2br w:val="nil"/>
                    <w:tr2bl w:val="nil"/>
                  </w:tcBorders>
                  <w:noWrap w:val="0"/>
                  <w:vAlign w:val="center"/>
                </w:tcPr>
                <w:p w14:paraId="5A90A3AC">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调试期</w:t>
                  </w:r>
                </w:p>
              </w:tc>
              <w:tc>
                <w:tcPr>
                  <w:tcW w:w="4178" w:type="pct"/>
                  <w:tcBorders>
                    <w:tl2br w:val="nil"/>
                    <w:tr2bl w:val="nil"/>
                  </w:tcBorders>
                  <w:noWrap w:val="0"/>
                  <w:vAlign w:val="center"/>
                </w:tcPr>
                <w:p w14:paraId="1F7C1AA9">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1、对噪声防治效果进行检测。</w:t>
                  </w:r>
                  <w:r>
                    <w:rPr>
                      <w:rFonts w:hint="eastAsia" w:ascii="Times New Roman" w:hAnsi="Times New Roman" w:cs="Times New Roman"/>
                      <w:b w:val="0"/>
                      <w:bCs w:val="0"/>
                      <w:color w:val="auto"/>
                      <w:sz w:val="21"/>
                      <w:szCs w:val="21"/>
                      <w:lang w:val="en-US" w:eastAsia="zh-CN"/>
                    </w:rPr>
                    <w:t>2</w:t>
                  </w:r>
                  <w:r>
                    <w:rPr>
                      <w:rFonts w:hint="default" w:ascii="Times New Roman" w:hAnsi="Times New Roman" w:cs="Times New Roman"/>
                      <w:b w:val="0"/>
                      <w:bCs w:val="0"/>
                      <w:color w:val="auto"/>
                      <w:sz w:val="21"/>
                      <w:szCs w:val="21"/>
                    </w:rPr>
                    <w:t>、对各设施不定期进行检查。</w:t>
                  </w:r>
                  <w:r>
                    <w:rPr>
                      <w:rFonts w:hint="eastAsia" w:ascii="Times New Roman" w:hAnsi="Times New Roman" w:cs="Times New Roman"/>
                      <w:b w:val="0"/>
                      <w:bCs w:val="0"/>
                      <w:color w:val="auto"/>
                      <w:sz w:val="21"/>
                      <w:szCs w:val="21"/>
                      <w:lang w:val="en-US" w:eastAsia="zh-CN"/>
                    </w:rPr>
                    <w:t>3</w:t>
                  </w:r>
                  <w:r>
                    <w:rPr>
                      <w:rFonts w:hint="default" w:ascii="Times New Roman" w:hAnsi="Times New Roman" w:cs="Times New Roman"/>
                      <w:b w:val="0"/>
                      <w:bCs w:val="0"/>
                      <w:color w:val="auto"/>
                      <w:sz w:val="21"/>
                      <w:szCs w:val="21"/>
                    </w:rPr>
                    <w:t>、记录各项环保设施的试运行状况，针对出现问题提出完善意见。</w:t>
                  </w:r>
                  <w:r>
                    <w:rPr>
                      <w:rFonts w:hint="eastAsia" w:ascii="Times New Roman" w:hAnsi="Times New Roman" w:cs="Times New Roman"/>
                      <w:b w:val="0"/>
                      <w:bCs w:val="0"/>
                      <w:color w:val="auto"/>
                      <w:sz w:val="21"/>
                      <w:szCs w:val="21"/>
                      <w:lang w:val="en-US" w:eastAsia="zh-CN"/>
                    </w:rPr>
                    <w:t>4</w:t>
                  </w:r>
                  <w:r>
                    <w:rPr>
                      <w:rFonts w:hint="default" w:ascii="Times New Roman" w:hAnsi="Times New Roman" w:cs="Times New Roman"/>
                      <w:b w:val="0"/>
                      <w:bCs w:val="0"/>
                      <w:color w:val="auto"/>
                      <w:sz w:val="21"/>
                      <w:szCs w:val="21"/>
                    </w:rPr>
                    <w:t>、总结试运行期的生产经验，健全前期制定各项管理制度。</w:t>
                  </w:r>
                </w:p>
              </w:tc>
            </w:tr>
            <w:tr w14:paraId="3C9218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21" w:type="pct"/>
                  <w:tcBorders>
                    <w:tl2br w:val="nil"/>
                    <w:tr2bl w:val="nil"/>
                  </w:tcBorders>
                  <w:noWrap w:val="0"/>
                  <w:vAlign w:val="center"/>
                </w:tcPr>
                <w:p w14:paraId="663DF0A4">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生产运行期</w:t>
                  </w:r>
                </w:p>
              </w:tc>
              <w:tc>
                <w:tcPr>
                  <w:tcW w:w="4178" w:type="pct"/>
                  <w:tcBorders>
                    <w:tl2br w:val="nil"/>
                    <w:tr2bl w:val="nil"/>
                  </w:tcBorders>
                  <w:noWrap w:val="0"/>
                  <w:vAlign w:val="center"/>
                </w:tcPr>
                <w:p w14:paraId="51A0979A">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1、严格执行各项生产及环境管理制度，保证生产的正常进行。</w:t>
                  </w:r>
                </w:p>
                <w:p w14:paraId="47372DB6">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2、设立环保设施运行卡，对环保设施定期进行检查维护，做到勤查、勤记、勤养护。3、按照监测计划组织厂</w:t>
                  </w:r>
                  <w:r>
                    <w:rPr>
                      <w:rFonts w:hint="eastAsia" w:ascii="Times New Roman" w:hAnsi="Times New Roman" w:cs="Times New Roman"/>
                      <w:b w:val="0"/>
                      <w:bCs w:val="0"/>
                      <w:color w:val="auto"/>
                      <w:sz w:val="21"/>
                      <w:szCs w:val="21"/>
                      <w:lang w:val="en-US" w:eastAsia="zh-CN"/>
                    </w:rPr>
                    <w:t>区</w:t>
                  </w:r>
                  <w:r>
                    <w:rPr>
                      <w:rFonts w:hint="default" w:ascii="Times New Roman" w:hAnsi="Times New Roman" w:cs="Times New Roman"/>
                      <w:b w:val="0"/>
                      <w:bCs w:val="0"/>
                      <w:color w:val="auto"/>
                      <w:sz w:val="21"/>
                      <w:szCs w:val="21"/>
                    </w:rPr>
                    <w:t>的污染源监测，对不达标装置立即寻找原因，及时处理。4、建立环境管理台账制度，应真实记录基本信息、监测记录信息及其他环境管理信息等；按照电子台账和纸质台账两种记录形式同步管理。</w:t>
                  </w:r>
                </w:p>
              </w:tc>
            </w:tr>
          </w:tbl>
          <w:p w14:paraId="738DFE9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20" w:firstLineChars="200"/>
              <w:textAlignment w:val="auto"/>
              <w:rPr>
                <w:rFonts w:hint="default" w:ascii="Times New Roman" w:hAnsi="Times New Roman" w:cs="Times New Roman"/>
                <w:b w:val="0"/>
                <w:bCs w:val="0"/>
                <w:color w:val="auto"/>
                <w:szCs w:val="21"/>
              </w:rPr>
            </w:pPr>
            <w:bookmarkStart w:id="16" w:name="_Toc15842"/>
            <w:r>
              <w:rPr>
                <w:rFonts w:hint="default" w:ascii="Times New Roman" w:hAnsi="Times New Roman" w:cs="Times New Roman"/>
                <w:b w:val="0"/>
                <w:bCs w:val="0"/>
                <w:color w:val="auto"/>
                <w:szCs w:val="21"/>
              </w:rPr>
              <w:t>2、排污口规范化设置</w:t>
            </w:r>
            <w:bookmarkEnd w:id="16"/>
          </w:p>
          <w:p w14:paraId="569F5083">
            <w:pPr>
              <w:keepNext w:val="0"/>
              <w:keepLines w:val="0"/>
              <w:pageBreakBefore w:val="0"/>
              <w:widowControl w:val="0"/>
              <w:kinsoku/>
              <w:wordWrap/>
              <w:overflowPunct/>
              <w:topLinePunct w:val="0"/>
              <w:autoSpaceDE/>
              <w:autoSpaceDN/>
              <w:bidi w:val="0"/>
              <w:adjustRightInd w:val="0"/>
              <w:snapToGrid w:val="0"/>
              <w:spacing w:line="320" w:lineRule="exact"/>
              <w:ind w:firstLine="420" w:firstLineChars="20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按照国家环境保护总局制定的《（环境保护图形标志）实施细则（试行）》（环监[1996]463号）的规定，在各排污口树立</w:t>
            </w:r>
            <w:r>
              <w:rPr>
                <w:rFonts w:hint="eastAsia" w:ascii="Times New Roman" w:hAnsi="Times New Roman" w:eastAsia="宋体" w:cs="Times New Roman"/>
                <w:color w:val="auto"/>
                <w:sz w:val="21"/>
                <w:szCs w:val="21"/>
                <w:highlight w:val="none"/>
                <w:lang w:val="en-US" w:eastAsia="zh-CN"/>
              </w:rPr>
              <w:t>相</w:t>
            </w:r>
            <w:r>
              <w:rPr>
                <w:rFonts w:hint="default" w:ascii="Times New Roman" w:hAnsi="Times New Roman" w:eastAsia="宋体" w:cs="Times New Roman"/>
                <w:color w:val="auto"/>
                <w:sz w:val="21"/>
                <w:szCs w:val="21"/>
                <w:highlight w:val="none"/>
                <w:lang w:val="en-US" w:eastAsia="zh-CN"/>
              </w:rPr>
              <w:t>应的环境保护图形标志牌，具体要求见表5-2。</w:t>
            </w:r>
          </w:p>
          <w:p w14:paraId="6331CB6E">
            <w:pPr>
              <w:keepNext w:val="0"/>
              <w:keepLines w:val="0"/>
              <w:suppressLineNumbers w:val="0"/>
              <w:autoSpaceDE w:val="0"/>
              <w:autoSpaceDN w:val="0"/>
              <w:adjustRightInd w:val="0"/>
              <w:snapToGrid w:val="0"/>
              <w:spacing w:before="0" w:beforeAutospacing="0" w:after="0" w:afterAutospacing="0"/>
              <w:ind w:left="0" w:right="0"/>
              <w:jc w:val="center"/>
              <w:rPr>
                <w:rFonts w:hint="eastAsia" w:ascii="黑体" w:hAnsi="黑体" w:eastAsia="黑体" w:cs="黑体"/>
                <w:b w:val="0"/>
                <w:bCs w:val="0"/>
                <w:color w:val="auto"/>
                <w:szCs w:val="21"/>
              </w:rPr>
            </w:pPr>
            <w:r>
              <w:rPr>
                <w:rFonts w:hint="eastAsia" w:ascii="黑体" w:hAnsi="黑体" w:eastAsia="黑体" w:cs="黑体"/>
                <w:b w:val="0"/>
                <w:bCs w:val="0"/>
                <w:color w:val="auto"/>
                <w:szCs w:val="21"/>
              </w:rPr>
              <w:t>表</w:t>
            </w:r>
            <w:r>
              <w:rPr>
                <w:rFonts w:hint="default" w:ascii="Times New Roman" w:hAnsi="Times New Roman" w:eastAsia="黑体" w:cs="Times New Roman"/>
                <w:b w:val="0"/>
                <w:bCs w:val="0"/>
                <w:color w:val="auto"/>
                <w:szCs w:val="21"/>
              </w:rPr>
              <w:t>5-2</w:t>
            </w:r>
            <w:r>
              <w:rPr>
                <w:rFonts w:hint="eastAsia" w:ascii="黑体" w:hAnsi="黑体" w:eastAsia="黑体" w:cs="黑体"/>
                <w:b w:val="0"/>
                <w:bCs w:val="0"/>
                <w:color w:val="auto"/>
                <w:szCs w:val="21"/>
                <w:lang w:val="en-US" w:eastAsia="zh-CN"/>
              </w:rPr>
              <w:t xml:space="preserve">  </w:t>
            </w:r>
            <w:r>
              <w:rPr>
                <w:rFonts w:hint="eastAsia" w:ascii="黑体" w:hAnsi="黑体" w:eastAsia="黑体" w:cs="黑体"/>
                <w:b w:val="0"/>
                <w:bCs w:val="0"/>
                <w:color w:val="auto"/>
                <w:szCs w:val="21"/>
              </w:rPr>
              <w:t>环境保护图形标志</w:t>
            </w:r>
          </w:p>
          <w:tbl>
            <w:tblPr>
              <w:tblStyle w:val="26"/>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24"/>
              <w:gridCol w:w="2232"/>
              <w:gridCol w:w="1668"/>
              <w:gridCol w:w="2104"/>
            </w:tblGrid>
            <w:tr w14:paraId="34DD91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48" w:hRule="atLeast"/>
                <w:jc w:val="center"/>
              </w:trPr>
              <w:tc>
                <w:tcPr>
                  <w:tcW w:w="1624" w:type="dxa"/>
                  <w:tcBorders>
                    <w:tl2br w:val="nil"/>
                    <w:tr2bl w:val="nil"/>
                  </w:tcBorders>
                  <w:noWrap w:val="0"/>
                  <w:vAlign w:val="center"/>
                </w:tcPr>
                <w:p w14:paraId="6B945C91">
                  <w:pPr>
                    <w:keepNext w:val="0"/>
                    <w:keepLines w:val="0"/>
                    <w:suppressLineNumbers w:val="0"/>
                    <w:spacing w:before="0" w:beforeAutospacing="0" w:after="0" w:afterAutospacing="0"/>
                    <w:ind w:left="0" w:right="0"/>
                    <w:rPr>
                      <w:rFonts w:hint="default" w:ascii="Times New Roman" w:hAnsi="Times New Roman" w:cs="Times New Roman"/>
                      <w:b w:val="0"/>
                      <w:bCs w:val="0"/>
                      <w:color w:val="auto"/>
                      <w:szCs w:val="21"/>
                    </w:rPr>
                  </w:pPr>
                  <w:r>
                    <w:rPr>
                      <w:rFonts w:hint="default" w:ascii="Times New Roman" w:hAnsi="Times New Roman" w:cs="Times New Roman"/>
                      <w:b w:val="0"/>
                      <w:bCs w:val="0"/>
                      <w:color w:val="auto"/>
                      <w:szCs w:val="21"/>
                    </w:rPr>
                    <w:fldChar w:fldCharType="begin"/>
                  </w:r>
                  <w:r>
                    <w:rPr>
                      <w:rFonts w:hint="default" w:ascii="Times New Roman" w:hAnsi="Times New Roman" w:cs="Times New Roman"/>
                      <w:b w:val="0"/>
                      <w:bCs w:val="0"/>
                      <w:color w:val="auto"/>
                      <w:szCs w:val="21"/>
                    </w:rPr>
                    <w:instrText xml:space="preserve"> INCLUDEPICTURE  "http://www.biaozhi.net/enews/UploadFiles/smallImg/785.gif" \* MERGEFORMATINET </w:instrText>
                  </w:r>
                  <w:r>
                    <w:rPr>
                      <w:rFonts w:hint="default" w:ascii="Times New Roman" w:hAnsi="Times New Roman" w:cs="Times New Roman"/>
                      <w:b w:val="0"/>
                      <w:bCs w:val="0"/>
                      <w:color w:val="auto"/>
                      <w:szCs w:val="21"/>
                    </w:rPr>
                    <w:fldChar w:fldCharType="separate"/>
                  </w:r>
                  <w:r>
                    <w:rPr>
                      <w:rFonts w:hint="default" w:ascii="Times New Roman" w:hAnsi="Times New Roman" w:cs="Times New Roman"/>
                      <w:b w:val="0"/>
                      <w:bCs w:val="0"/>
                      <w:color w:val="auto"/>
                      <w:szCs w:val="21"/>
                    </w:rPr>
                    <w:drawing>
                      <wp:inline distT="0" distB="0" distL="114300" distR="114300">
                        <wp:extent cx="914400" cy="914400"/>
                        <wp:effectExtent l="0" t="0" r="0" b="0"/>
                        <wp:docPr id="204" name="图片 10" descr="点击看大图及详细资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图片 10" descr="点击看大图及详细资料"/>
                                <pic:cNvPicPr>
                                  <a:picLocks noChangeAspect="1"/>
                                </pic:cNvPicPr>
                              </pic:nvPicPr>
                              <pic:blipFill>
                                <a:blip r:embed="rId36"/>
                                <a:stretch>
                                  <a:fillRect/>
                                </a:stretch>
                              </pic:blipFill>
                              <pic:spPr>
                                <a:xfrm>
                                  <a:off x="0" y="0"/>
                                  <a:ext cx="914400" cy="914400"/>
                                </a:xfrm>
                                <a:prstGeom prst="rect">
                                  <a:avLst/>
                                </a:prstGeom>
                                <a:noFill/>
                                <a:ln>
                                  <a:noFill/>
                                </a:ln>
                              </pic:spPr>
                            </pic:pic>
                          </a:graphicData>
                        </a:graphic>
                      </wp:inline>
                    </w:drawing>
                  </w:r>
                  <w:r>
                    <w:rPr>
                      <w:rFonts w:hint="default" w:ascii="Times New Roman" w:hAnsi="Times New Roman" w:cs="Times New Roman"/>
                      <w:b w:val="0"/>
                      <w:bCs w:val="0"/>
                      <w:color w:val="auto"/>
                      <w:szCs w:val="21"/>
                    </w:rPr>
                    <w:fldChar w:fldCharType="end"/>
                  </w:r>
                </w:p>
              </w:tc>
              <w:tc>
                <w:tcPr>
                  <w:tcW w:w="2232" w:type="dxa"/>
                  <w:tcBorders>
                    <w:tl2br w:val="nil"/>
                    <w:tr2bl w:val="nil"/>
                  </w:tcBorders>
                  <w:noWrap w:val="0"/>
                  <w:vAlign w:val="center"/>
                </w:tcPr>
                <w:p w14:paraId="05950805">
                  <w:pPr>
                    <w:keepNext w:val="0"/>
                    <w:keepLines w:val="0"/>
                    <w:suppressLineNumbers w:val="0"/>
                    <w:spacing w:before="0" w:beforeAutospacing="0" w:after="0" w:afterAutospacing="0"/>
                    <w:ind w:left="0" w:right="0"/>
                    <w:rPr>
                      <w:rFonts w:hint="default" w:ascii="Times New Roman" w:hAnsi="Times New Roman" w:cs="Times New Roman"/>
                      <w:b w:val="0"/>
                      <w:bCs w:val="0"/>
                      <w:color w:val="auto"/>
                      <w:szCs w:val="21"/>
                    </w:rPr>
                  </w:pPr>
                  <w:r>
                    <w:rPr>
                      <w:rFonts w:hint="default" w:ascii="Times New Roman" w:hAnsi="Times New Roman" w:cs="Times New Roman"/>
                      <w:b w:val="0"/>
                      <w:bCs w:val="0"/>
                      <w:color w:val="auto"/>
                      <w:szCs w:val="21"/>
                    </w:rPr>
                    <w:t>简介：噪声排放源</w:t>
                  </w:r>
                </w:p>
                <w:p w14:paraId="3E0BA8F4">
                  <w:pPr>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auto"/>
                      <w:szCs w:val="21"/>
                      <w:lang w:eastAsia="zh-CN"/>
                    </w:rPr>
                  </w:pPr>
                  <w:r>
                    <w:rPr>
                      <w:rFonts w:hint="default" w:ascii="Times New Roman" w:hAnsi="Times New Roman" w:cs="Times New Roman"/>
                      <w:b w:val="0"/>
                      <w:bCs w:val="0"/>
                      <w:color w:val="auto"/>
                      <w:szCs w:val="21"/>
                    </w:rPr>
                    <w:t>提示图形符号</w:t>
                  </w:r>
                </w:p>
                <w:p w14:paraId="28E92D64">
                  <w:pPr>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auto"/>
                      <w:szCs w:val="21"/>
                      <w:lang w:eastAsia="zh-CN"/>
                    </w:rPr>
                  </w:pPr>
                  <w:r>
                    <w:rPr>
                      <w:rFonts w:hint="default" w:ascii="Times New Roman" w:hAnsi="Times New Roman" w:cs="Times New Roman"/>
                      <w:b w:val="0"/>
                      <w:bCs w:val="0"/>
                      <w:color w:val="auto"/>
                      <w:szCs w:val="21"/>
                    </w:rPr>
                    <w:t>噪声排放源</w:t>
                  </w:r>
                </w:p>
                <w:p w14:paraId="07D86E8B">
                  <w:pPr>
                    <w:keepNext w:val="0"/>
                    <w:keepLines w:val="0"/>
                    <w:suppressLineNumbers w:val="0"/>
                    <w:spacing w:before="0" w:beforeAutospacing="0" w:after="0" w:afterAutospacing="0"/>
                    <w:ind w:left="0" w:right="0"/>
                    <w:rPr>
                      <w:rFonts w:hint="default" w:ascii="Times New Roman" w:hAnsi="Times New Roman" w:cs="Times New Roman"/>
                      <w:b w:val="0"/>
                      <w:bCs w:val="0"/>
                      <w:color w:val="auto"/>
                      <w:szCs w:val="21"/>
                    </w:rPr>
                  </w:pPr>
                  <w:r>
                    <w:rPr>
                      <w:rFonts w:hint="default" w:ascii="Times New Roman" w:hAnsi="Times New Roman" w:cs="Times New Roman"/>
                      <w:b w:val="0"/>
                      <w:bCs w:val="0"/>
                      <w:color w:val="auto"/>
                      <w:szCs w:val="21"/>
                    </w:rPr>
                    <w:t>表示噪声向外环境排放</w:t>
                  </w:r>
                </w:p>
              </w:tc>
              <w:tc>
                <w:tcPr>
                  <w:tcW w:w="1668" w:type="dxa"/>
                  <w:tcBorders>
                    <w:tl2br w:val="nil"/>
                    <w:tr2bl w:val="nil"/>
                  </w:tcBorders>
                  <w:noWrap w:val="0"/>
                  <w:vAlign w:val="center"/>
                </w:tcPr>
                <w:p w14:paraId="63139DE8">
                  <w:pPr>
                    <w:keepNext w:val="0"/>
                    <w:keepLines w:val="0"/>
                    <w:suppressLineNumbers w:val="0"/>
                    <w:spacing w:before="0" w:beforeAutospacing="0" w:after="0" w:afterAutospacing="0"/>
                    <w:ind w:left="0" w:right="0"/>
                    <w:rPr>
                      <w:rFonts w:hint="default" w:ascii="Times New Roman" w:hAnsi="Times New Roman" w:cs="Times New Roman"/>
                      <w:b w:val="0"/>
                      <w:bCs w:val="0"/>
                      <w:color w:val="auto"/>
                      <w:szCs w:val="21"/>
                    </w:rPr>
                  </w:pPr>
                  <w:r>
                    <w:rPr>
                      <w:rFonts w:hint="default" w:ascii="Times New Roman" w:hAnsi="Times New Roman" w:cs="Times New Roman"/>
                      <w:b w:val="0"/>
                      <w:bCs w:val="0"/>
                      <w:color w:val="auto"/>
                      <w:szCs w:val="21"/>
                    </w:rPr>
                    <w:fldChar w:fldCharType="begin"/>
                  </w:r>
                  <w:r>
                    <w:rPr>
                      <w:rFonts w:hint="default" w:ascii="Times New Roman" w:hAnsi="Times New Roman" w:cs="Times New Roman"/>
                      <w:b w:val="0"/>
                      <w:bCs w:val="0"/>
                      <w:color w:val="auto"/>
                      <w:szCs w:val="21"/>
                    </w:rPr>
                    <w:instrText xml:space="preserve"> INCLUDEPICTURE  "H:\\环评报告\\Administrator\\AppData\\Roaming\\Tencent\\Users\\1049960459\\TIM\\WinTemp\\RichOle\\%255b2OM$Q~9VA%25603U0OK~8X)9(6.png" \* MERGEFORMATINET </w:instrText>
                  </w:r>
                  <w:r>
                    <w:rPr>
                      <w:rFonts w:hint="default" w:ascii="Times New Roman" w:hAnsi="Times New Roman" w:cs="Times New Roman"/>
                      <w:b w:val="0"/>
                      <w:bCs w:val="0"/>
                      <w:color w:val="auto"/>
                      <w:szCs w:val="21"/>
                    </w:rPr>
                    <w:fldChar w:fldCharType="separate"/>
                  </w:r>
                  <w:r>
                    <w:rPr>
                      <w:rFonts w:hint="default" w:ascii="Times New Roman" w:hAnsi="Times New Roman" w:cs="Times New Roman"/>
                      <w:b w:val="0"/>
                      <w:bCs w:val="0"/>
                      <w:color w:val="auto"/>
                      <w:szCs w:val="21"/>
                    </w:rPr>
                    <w:drawing>
                      <wp:inline distT="0" distB="0" distL="114300" distR="114300">
                        <wp:extent cx="914400" cy="914400"/>
                        <wp:effectExtent l="0" t="0" r="0" b="0"/>
                        <wp:docPr id="205" name="图片 11" descr="[2OM$Q~9VA`3U0OK~8X)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11" descr="[2OM$Q~9VA`3U0OK~8X)9(6"/>
                                <pic:cNvPicPr>
                                  <a:picLocks noChangeAspect="1"/>
                                </pic:cNvPicPr>
                              </pic:nvPicPr>
                              <pic:blipFill>
                                <a:blip r:embed="rId37"/>
                                <a:stretch>
                                  <a:fillRect/>
                                </a:stretch>
                              </pic:blipFill>
                              <pic:spPr>
                                <a:xfrm>
                                  <a:off x="0" y="0"/>
                                  <a:ext cx="914400" cy="914400"/>
                                </a:xfrm>
                                <a:prstGeom prst="rect">
                                  <a:avLst/>
                                </a:prstGeom>
                                <a:noFill/>
                                <a:ln>
                                  <a:noFill/>
                                </a:ln>
                              </pic:spPr>
                            </pic:pic>
                          </a:graphicData>
                        </a:graphic>
                      </wp:inline>
                    </w:drawing>
                  </w:r>
                  <w:r>
                    <w:rPr>
                      <w:rFonts w:hint="default" w:ascii="Times New Roman" w:hAnsi="Times New Roman" w:cs="Times New Roman"/>
                      <w:b w:val="0"/>
                      <w:bCs w:val="0"/>
                      <w:color w:val="auto"/>
                      <w:szCs w:val="21"/>
                    </w:rPr>
                    <w:fldChar w:fldCharType="end"/>
                  </w:r>
                </w:p>
              </w:tc>
              <w:tc>
                <w:tcPr>
                  <w:tcW w:w="2104" w:type="dxa"/>
                  <w:tcBorders>
                    <w:tl2br w:val="nil"/>
                    <w:tr2bl w:val="nil"/>
                  </w:tcBorders>
                  <w:noWrap w:val="0"/>
                  <w:vAlign w:val="center"/>
                </w:tcPr>
                <w:p w14:paraId="79A4348C">
                  <w:pPr>
                    <w:keepNext w:val="0"/>
                    <w:keepLines w:val="0"/>
                    <w:suppressLineNumbers w:val="0"/>
                    <w:spacing w:before="0" w:beforeAutospacing="0" w:after="0" w:afterAutospacing="0"/>
                    <w:ind w:left="0" w:right="0"/>
                    <w:rPr>
                      <w:rFonts w:hint="default" w:ascii="Times New Roman" w:hAnsi="Times New Roman" w:cs="Times New Roman"/>
                      <w:b w:val="0"/>
                      <w:bCs w:val="0"/>
                      <w:color w:val="auto"/>
                      <w:szCs w:val="21"/>
                    </w:rPr>
                  </w:pPr>
                  <w:r>
                    <w:rPr>
                      <w:rFonts w:hint="default" w:ascii="Times New Roman" w:hAnsi="Times New Roman" w:cs="Times New Roman"/>
                      <w:b w:val="0"/>
                      <w:bCs w:val="0"/>
                      <w:color w:val="auto"/>
                      <w:szCs w:val="21"/>
                    </w:rPr>
                    <w:t>简介：一般固体废弃物</w:t>
                  </w:r>
                </w:p>
                <w:p w14:paraId="48977593">
                  <w:pPr>
                    <w:keepNext w:val="0"/>
                    <w:keepLines w:val="0"/>
                    <w:suppressLineNumbers w:val="0"/>
                    <w:spacing w:before="0" w:beforeAutospacing="0" w:after="0" w:afterAutospacing="0"/>
                    <w:ind w:left="0" w:right="0"/>
                    <w:rPr>
                      <w:rFonts w:hint="default" w:ascii="Times New Roman" w:hAnsi="Times New Roman" w:cs="Times New Roman"/>
                      <w:b w:val="0"/>
                      <w:bCs w:val="0"/>
                      <w:color w:val="auto"/>
                      <w:szCs w:val="21"/>
                    </w:rPr>
                  </w:pPr>
                  <w:r>
                    <w:rPr>
                      <w:rFonts w:hint="default" w:ascii="Times New Roman" w:hAnsi="Times New Roman" w:cs="Times New Roman"/>
                      <w:b w:val="0"/>
                      <w:bCs w:val="0"/>
                      <w:color w:val="auto"/>
                      <w:szCs w:val="21"/>
                    </w:rPr>
                    <w:t>提示图形符号</w:t>
                  </w:r>
                </w:p>
                <w:p w14:paraId="36B2C0E9">
                  <w:pPr>
                    <w:keepNext w:val="0"/>
                    <w:keepLines w:val="0"/>
                    <w:suppressLineNumbers w:val="0"/>
                    <w:spacing w:before="0" w:beforeAutospacing="0" w:after="0" w:afterAutospacing="0"/>
                    <w:ind w:left="0" w:right="0"/>
                    <w:rPr>
                      <w:rFonts w:hint="default" w:ascii="Times New Roman" w:hAnsi="Times New Roman" w:cs="Times New Roman"/>
                      <w:b w:val="0"/>
                      <w:bCs w:val="0"/>
                      <w:color w:val="auto"/>
                      <w:szCs w:val="21"/>
                    </w:rPr>
                  </w:pPr>
                  <w:r>
                    <w:rPr>
                      <w:rFonts w:hint="default" w:ascii="Times New Roman" w:hAnsi="Times New Roman" w:cs="Times New Roman"/>
                      <w:b w:val="0"/>
                      <w:bCs w:val="0"/>
                      <w:color w:val="auto"/>
                      <w:szCs w:val="21"/>
                    </w:rPr>
                    <w:t>表示一般固体废弃物贮存、处置场</w:t>
                  </w:r>
                </w:p>
              </w:tc>
            </w:tr>
            <w:tr w14:paraId="16A323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96" w:hRule="atLeast"/>
                <w:jc w:val="center"/>
              </w:trPr>
              <w:tc>
                <w:tcPr>
                  <w:tcW w:w="1624" w:type="dxa"/>
                  <w:tcBorders>
                    <w:tl2br w:val="nil"/>
                    <w:tr2bl w:val="nil"/>
                  </w:tcBorders>
                  <w:noWrap w:val="0"/>
                  <w:vAlign w:val="center"/>
                </w:tcPr>
                <w:p w14:paraId="2D48A450">
                  <w:pPr>
                    <w:keepNext w:val="0"/>
                    <w:keepLines w:val="0"/>
                    <w:suppressLineNumbers w:val="0"/>
                    <w:spacing w:before="0" w:beforeAutospacing="0" w:after="0" w:afterAutospacing="0"/>
                    <w:ind w:left="0" w:right="0"/>
                    <w:rPr>
                      <w:rFonts w:hint="default" w:ascii="Times New Roman" w:hAnsi="Times New Roman" w:cs="Times New Roman"/>
                      <w:b w:val="0"/>
                      <w:bCs w:val="0"/>
                      <w:color w:val="auto"/>
                      <w:szCs w:val="21"/>
                    </w:rPr>
                  </w:pPr>
                  <w:r>
                    <w:rPr>
                      <w:rFonts w:hint="default"/>
                      <w:color w:val="auto"/>
                      <w:szCs w:val="20"/>
                    </w:rPr>
                    <w:drawing>
                      <wp:inline distT="0" distB="0" distL="114300" distR="114300">
                        <wp:extent cx="914400" cy="914400"/>
                        <wp:effectExtent l="0" t="0" r="0" b="0"/>
                        <wp:docPr id="10" name="图片 8" descr="W020230515591222963411"/>
                        <wp:cNvGraphicFramePr/>
                        <a:graphic xmlns:a="http://schemas.openxmlformats.org/drawingml/2006/main">
                          <a:graphicData uri="http://schemas.openxmlformats.org/drawingml/2006/picture">
                            <pic:pic xmlns:pic="http://schemas.openxmlformats.org/drawingml/2006/picture">
                              <pic:nvPicPr>
                                <pic:cNvPr id="10" name="图片 8" descr="W020230515591222963411"/>
                                <pic:cNvPicPr/>
                              </pic:nvPicPr>
                              <pic:blipFill>
                                <a:blip r:embed="rId38"/>
                                <a:srcRect b="46810"/>
                                <a:stretch>
                                  <a:fillRect/>
                                </a:stretch>
                              </pic:blipFill>
                              <pic:spPr>
                                <a:xfrm>
                                  <a:off x="0" y="0"/>
                                  <a:ext cx="914400" cy="914400"/>
                                </a:xfrm>
                                <a:prstGeom prst="rect">
                                  <a:avLst/>
                                </a:prstGeom>
                                <a:noFill/>
                                <a:ln>
                                  <a:noFill/>
                                </a:ln>
                              </pic:spPr>
                            </pic:pic>
                          </a:graphicData>
                        </a:graphic>
                      </wp:inline>
                    </w:drawing>
                  </w:r>
                </w:p>
              </w:tc>
              <w:tc>
                <w:tcPr>
                  <w:tcW w:w="2232" w:type="dxa"/>
                  <w:tcBorders>
                    <w:tl2br w:val="nil"/>
                    <w:tr2bl w:val="nil"/>
                  </w:tcBorders>
                  <w:noWrap w:val="0"/>
                  <w:vAlign w:val="center"/>
                </w:tcPr>
                <w:p w14:paraId="264C120C">
                  <w:pPr>
                    <w:keepNext w:val="0"/>
                    <w:keepLines w:val="0"/>
                    <w:suppressLineNumbers w:val="0"/>
                    <w:spacing w:before="0" w:beforeAutospacing="0" w:after="0" w:afterAutospacing="0"/>
                    <w:ind w:left="0" w:right="0"/>
                    <w:rPr>
                      <w:rFonts w:hint="eastAsia" w:cs="Times New Roman"/>
                      <w:b w:val="0"/>
                      <w:bCs w:val="0"/>
                      <w:color w:val="auto"/>
                      <w:szCs w:val="21"/>
                      <w:lang w:val="en-US" w:eastAsia="zh-CN"/>
                    </w:rPr>
                  </w:pPr>
                  <w:r>
                    <w:rPr>
                      <w:rFonts w:hint="eastAsia" w:cs="Times New Roman"/>
                      <w:b w:val="0"/>
                      <w:bCs w:val="0"/>
                      <w:color w:val="auto"/>
                      <w:szCs w:val="21"/>
                      <w:lang w:val="en-US" w:eastAsia="zh-CN"/>
                    </w:rPr>
                    <w:t>简介：危险废物</w:t>
                  </w:r>
                </w:p>
                <w:p w14:paraId="01DF49C6">
                  <w:pPr>
                    <w:pStyle w:val="24"/>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警告图形</w:t>
                  </w:r>
                </w:p>
                <w:p w14:paraId="40800756">
                  <w:pPr>
                    <w:keepNext w:val="0"/>
                    <w:keepLines w:val="0"/>
                    <w:suppressLineNumbers w:val="0"/>
                    <w:spacing w:before="0" w:beforeAutospacing="0" w:after="0" w:afterAutospacing="0"/>
                    <w:ind w:left="0" w:right="0"/>
                    <w:rPr>
                      <w:rFonts w:hint="default" w:ascii="Times New Roman" w:hAnsi="Times New Roman" w:cs="Times New Roman"/>
                      <w:b w:val="0"/>
                      <w:bCs w:val="0"/>
                      <w:color w:val="auto"/>
                      <w:szCs w:val="21"/>
                    </w:rPr>
                  </w:pPr>
                  <w:r>
                    <w:rPr>
                      <w:rFonts w:hint="default" w:ascii="Times New Roman" w:hAnsi="Times New Roman" w:cs="Times New Roman"/>
                      <w:color w:val="auto"/>
                      <w:sz w:val="21"/>
                      <w:szCs w:val="21"/>
                    </w:rPr>
                    <w:t>表示危险废物贮存、处置场</w:t>
                  </w:r>
                </w:p>
              </w:tc>
              <w:tc>
                <w:tcPr>
                  <w:tcW w:w="1668" w:type="dxa"/>
                  <w:tcBorders>
                    <w:tl2br w:val="nil"/>
                    <w:tr2bl w:val="nil"/>
                  </w:tcBorders>
                  <w:noWrap w:val="0"/>
                  <w:vAlign w:val="center"/>
                </w:tcPr>
                <w:p w14:paraId="42A98359">
                  <w:pPr>
                    <w:keepNext w:val="0"/>
                    <w:keepLines w:val="0"/>
                    <w:suppressLineNumbers w:val="0"/>
                    <w:spacing w:before="0" w:beforeAutospacing="0" w:after="0" w:afterAutospacing="0"/>
                    <w:ind w:left="0" w:right="0"/>
                    <w:rPr>
                      <w:rFonts w:hint="default" w:ascii="Times New Roman" w:hAnsi="Times New Roman" w:cs="Times New Roman"/>
                      <w:b w:val="0"/>
                      <w:bCs w:val="0"/>
                      <w:color w:val="auto"/>
                      <w:szCs w:val="21"/>
                    </w:rPr>
                  </w:pPr>
                </w:p>
              </w:tc>
              <w:tc>
                <w:tcPr>
                  <w:tcW w:w="2104" w:type="dxa"/>
                  <w:tcBorders>
                    <w:tl2br w:val="nil"/>
                    <w:tr2bl w:val="nil"/>
                  </w:tcBorders>
                  <w:noWrap w:val="0"/>
                  <w:vAlign w:val="center"/>
                </w:tcPr>
                <w:p w14:paraId="61BAE9A8">
                  <w:pPr>
                    <w:pStyle w:val="24"/>
                    <w:rPr>
                      <w:rFonts w:hint="default"/>
                      <w:color w:val="auto"/>
                      <w:lang w:val="en-US" w:eastAsia="zh-CN"/>
                    </w:rPr>
                  </w:pPr>
                </w:p>
              </w:tc>
            </w:tr>
          </w:tbl>
          <w:p w14:paraId="3F5E2E1A">
            <w:pPr>
              <w:pStyle w:val="89"/>
              <w:numPr>
                <w:ilvl w:val="0"/>
                <w:numId w:val="0"/>
              </w:numPr>
              <w:suppressLineNumbers w:val="0"/>
              <w:spacing w:beforeAutospacing="0" w:afterAutospacing="0" w:line="240" w:lineRule="auto"/>
              <w:ind w:left="0" w:right="0" w:firstLine="420" w:firstLineChars="200"/>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3、管理监测信息公开</w:t>
            </w:r>
          </w:p>
          <w:p w14:paraId="7576D450">
            <w:pPr>
              <w:keepNext w:val="0"/>
              <w:keepLines w:val="0"/>
              <w:suppressLineNumbers w:val="0"/>
              <w:spacing w:before="0" w:beforeAutospacing="0" w:after="0" w:afterAutospacing="0"/>
              <w:ind w:left="0" w:right="0" w:firstLine="420" w:firstLineChars="200"/>
              <w:rPr>
                <w:rFonts w:hint="default" w:ascii="Times New Roman" w:hAnsi="Times New Roman" w:cs="Times New Roman"/>
                <w:b w:val="0"/>
                <w:bCs w:val="0"/>
                <w:color w:val="auto"/>
                <w:szCs w:val="21"/>
              </w:rPr>
            </w:pPr>
            <w:r>
              <w:rPr>
                <w:rFonts w:hint="default" w:ascii="Times New Roman" w:hAnsi="Times New Roman" w:cs="Times New Roman"/>
                <w:b w:val="0"/>
                <w:bCs w:val="0"/>
                <w:color w:val="auto"/>
                <w:szCs w:val="21"/>
              </w:rPr>
              <w:t>根据《企业环境信息依法披露管理办法》，企业应当按照准则编制年度环境信息依法披露报告和临时环境信息依法披露报告，并上传至企业环境信息依法披露系统，主要公开内容如下：</w:t>
            </w:r>
          </w:p>
          <w:p w14:paraId="41DB9DE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420" w:firstLineChars="200"/>
              <w:jc w:val="both"/>
              <w:textAlignment w:val="auto"/>
              <w:rPr>
                <w:rFonts w:hint="default"/>
                <w:b w:val="0"/>
                <w:bCs w:val="0"/>
                <w:color w:val="auto"/>
                <w:szCs w:val="21"/>
              </w:rPr>
            </w:pPr>
            <w:r>
              <w:rPr>
                <w:rFonts w:hint="eastAsia"/>
                <w:b w:val="0"/>
                <w:bCs w:val="0"/>
                <w:color w:val="auto"/>
                <w:szCs w:val="21"/>
                <w:lang w:eastAsia="zh-CN"/>
              </w:rPr>
              <w:t>（</w:t>
            </w:r>
            <w:r>
              <w:rPr>
                <w:rFonts w:hint="eastAsia"/>
                <w:b w:val="0"/>
                <w:bCs w:val="0"/>
                <w:color w:val="auto"/>
                <w:szCs w:val="21"/>
              </w:rPr>
              <w:t>一）企业基本信息，包括企业生产和生态环境保护等方面的基础信息；</w:t>
            </w:r>
          </w:p>
          <w:p w14:paraId="4188B25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420" w:firstLineChars="200"/>
              <w:jc w:val="both"/>
              <w:textAlignment w:val="auto"/>
              <w:rPr>
                <w:rFonts w:hint="eastAsia"/>
                <w:b w:val="0"/>
                <w:bCs w:val="0"/>
                <w:color w:val="auto"/>
                <w:szCs w:val="21"/>
              </w:rPr>
            </w:pPr>
            <w:r>
              <w:rPr>
                <w:rFonts w:hint="eastAsia"/>
                <w:b w:val="0"/>
                <w:bCs w:val="0"/>
                <w:color w:val="auto"/>
                <w:szCs w:val="21"/>
              </w:rPr>
              <w:t>（二）企业环境管理信息，包括生态环境行政许可、环境保护税、环境污染责任保险、环保信用评价等方面的信息；</w:t>
            </w:r>
          </w:p>
          <w:p w14:paraId="5EBBCEB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420" w:firstLineChars="200"/>
              <w:jc w:val="both"/>
              <w:textAlignment w:val="auto"/>
              <w:rPr>
                <w:rFonts w:hint="eastAsia"/>
                <w:b w:val="0"/>
                <w:bCs w:val="0"/>
                <w:color w:val="auto"/>
                <w:szCs w:val="21"/>
              </w:rPr>
            </w:pPr>
            <w:r>
              <w:rPr>
                <w:rFonts w:hint="eastAsia"/>
                <w:b w:val="0"/>
                <w:bCs w:val="0"/>
                <w:color w:val="auto"/>
                <w:szCs w:val="21"/>
              </w:rPr>
              <w:t>（三）污染物产生、治理与排放信息，包括污染防治设施，污染物排放，有毒有害物质排放，工业固体废物和危险废物产生、贮存、流向、利用、处置，自行监测等方面的信息；</w:t>
            </w:r>
          </w:p>
          <w:p w14:paraId="6B8C8D9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420" w:firstLineChars="200"/>
              <w:jc w:val="both"/>
              <w:textAlignment w:val="auto"/>
              <w:rPr>
                <w:rFonts w:hint="eastAsia"/>
                <w:b w:val="0"/>
                <w:bCs w:val="0"/>
                <w:color w:val="auto"/>
                <w:szCs w:val="21"/>
              </w:rPr>
            </w:pPr>
            <w:r>
              <w:rPr>
                <w:rFonts w:hint="eastAsia"/>
                <w:b w:val="0"/>
                <w:bCs w:val="0"/>
                <w:color w:val="auto"/>
                <w:szCs w:val="21"/>
              </w:rPr>
              <w:t>（四）碳排放信息，包括排放量、排放设施等方面的信息；</w:t>
            </w:r>
          </w:p>
          <w:p w14:paraId="6F8A749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420" w:firstLineChars="200"/>
              <w:jc w:val="both"/>
              <w:textAlignment w:val="auto"/>
              <w:rPr>
                <w:rFonts w:hint="eastAsia"/>
                <w:b w:val="0"/>
                <w:bCs w:val="0"/>
                <w:color w:val="auto"/>
                <w:szCs w:val="21"/>
              </w:rPr>
            </w:pPr>
            <w:r>
              <w:rPr>
                <w:rFonts w:hint="eastAsia"/>
                <w:b w:val="0"/>
                <w:bCs w:val="0"/>
                <w:color w:val="auto"/>
                <w:szCs w:val="21"/>
              </w:rPr>
              <w:t>（五）生态环境应急信息，包括突发环境事件应急预案、重污染天气应急响应等方面的信息；</w:t>
            </w:r>
          </w:p>
          <w:p w14:paraId="2506174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420" w:firstLineChars="200"/>
              <w:jc w:val="both"/>
              <w:textAlignment w:val="auto"/>
              <w:rPr>
                <w:rFonts w:hint="eastAsia"/>
                <w:b w:val="0"/>
                <w:bCs w:val="0"/>
                <w:color w:val="auto"/>
                <w:szCs w:val="21"/>
              </w:rPr>
            </w:pPr>
            <w:r>
              <w:rPr>
                <w:rFonts w:hint="eastAsia"/>
                <w:b w:val="0"/>
                <w:bCs w:val="0"/>
                <w:color w:val="auto"/>
                <w:szCs w:val="21"/>
              </w:rPr>
              <w:t>（六）生态环境违法信息；</w:t>
            </w:r>
          </w:p>
          <w:p w14:paraId="1CF61AD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420" w:firstLineChars="200"/>
              <w:jc w:val="both"/>
              <w:textAlignment w:val="auto"/>
              <w:rPr>
                <w:rFonts w:hint="eastAsia"/>
                <w:b w:val="0"/>
                <w:bCs w:val="0"/>
                <w:color w:val="auto"/>
                <w:szCs w:val="21"/>
              </w:rPr>
            </w:pPr>
            <w:r>
              <w:rPr>
                <w:rFonts w:hint="eastAsia"/>
                <w:b w:val="0"/>
                <w:bCs w:val="0"/>
                <w:color w:val="auto"/>
                <w:szCs w:val="21"/>
              </w:rPr>
              <w:t>（七）本年度临时环境信息依法披露情况；</w:t>
            </w:r>
          </w:p>
          <w:p w14:paraId="22E63F9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420" w:firstLineChars="200"/>
              <w:jc w:val="both"/>
              <w:textAlignment w:val="auto"/>
              <w:rPr>
                <w:rFonts w:hint="default" w:ascii="Times New Roman" w:hAnsi="Times New Roman" w:eastAsia="宋体" w:cs="Times New Roman"/>
                <w:color w:val="auto"/>
                <w:szCs w:val="21"/>
                <w:highlight w:val="none"/>
                <w:lang w:val="en-US" w:eastAsia="zh-CN"/>
              </w:rPr>
            </w:pPr>
            <w:r>
              <w:rPr>
                <w:rFonts w:hint="eastAsia"/>
                <w:b w:val="0"/>
                <w:bCs w:val="0"/>
                <w:color w:val="auto"/>
                <w:szCs w:val="21"/>
              </w:rPr>
              <w:t>（八）法律法规规定的其他环境信息</w:t>
            </w:r>
            <w:r>
              <w:rPr>
                <w:rFonts w:hint="default"/>
                <w:b w:val="0"/>
                <w:bCs w:val="0"/>
                <w:color w:val="auto"/>
                <w:szCs w:val="21"/>
              </w:rPr>
              <w:t>。</w:t>
            </w:r>
          </w:p>
        </w:tc>
      </w:tr>
    </w:tbl>
    <w:p w14:paraId="37D5C76A">
      <w:pPr>
        <w:pStyle w:val="19"/>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cs="Times New Roman"/>
          <w:snapToGrid w:val="0"/>
          <w:color w:val="auto"/>
          <w:highlight w:val="none"/>
        </w:rPr>
        <w:br w:type="page"/>
      </w:r>
      <w:bookmarkStart w:id="17" w:name="_Toc4819"/>
      <w:r>
        <w:rPr>
          <w:rFonts w:hint="default" w:ascii="Times New Roman" w:hAnsi="Times New Roman" w:eastAsia="黑体" w:cs="Times New Roman"/>
          <w:snapToGrid w:val="0"/>
          <w:color w:val="auto"/>
          <w:sz w:val="30"/>
          <w:szCs w:val="30"/>
          <w:highlight w:val="none"/>
        </w:rPr>
        <w:t>六、结论</w:t>
      </w:r>
      <w:bookmarkEnd w:id="17"/>
    </w:p>
    <w:tbl>
      <w:tblPr>
        <w:tblStyle w:val="2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0AF8F6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vAlign w:val="center"/>
          </w:tcPr>
          <w:p w14:paraId="4941559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eastAsia="宋体" w:cs="Times New Roman"/>
                <w:b w:val="0"/>
                <w:bCs/>
                <w:color w:val="auto"/>
                <w:sz w:val="24"/>
                <w:szCs w:val="24"/>
                <w:highlight w:val="none"/>
                <w:lang w:val="en-US" w:eastAsia="zh-CN"/>
              </w:rPr>
              <w:t>从环境保护角度</w:t>
            </w:r>
            <w:r>
              <w:rPr>
                <w:rFonts w:hint="eastAsia" w:ascii="Times New Roman" w:hAnsi="Times New Roman" w:eastAsia="宋体" w:cs="Times New Roman"/>
                <w:b w:val="0"/>
                <w:bCs/>
                <w:color w:val="auto"/>
                <w:sz w:val="24"/>
                <w:szCs w:val="24"/>
                <w:highlight w:val="none"/>
                <w:lang w:val="en-US" w:eastAsia="zh-CN"/>
              </w:rPr>
              <w:t>分析</w:t>
            </w:r>
            <w:r>
              <w:rPr>
                <w:rFonts w:hint="default" w:ascii="Times New Roman" w:hAnsi="Times New Roman" w:eastAsia="宋体" w:cs="Times New Roman"/>
                <w:b w:val="0"/>
                <w:bCs/>
                <w:color w:val="auto"/>
                <w:sz w:val="24"/>
                <w:szCs w:val="24"/>
                <w:highlight w:val="none"/>
                <w:lang w:val="en-US" w:eastAsia="zh-CN"/>
              </w:rPr>
              <w:t>，</w:t>
            </w:r>
            <w:r>
              <w:rPr>
                <w:rFonts w:hint="eastAsia" w:ascii="Times New Roman" w:hAnsi="Times New Roman" w:eastAsia="宋体" w:cs="Times New Roman"/>
                <w:b w:val="0"/>
                <w:bCs/>
                <w:color w:val="auto"/>
                <w:sz w:val="24"/>
                <w:szCs w:val="24"/>
                <w:highlight w:val="none"/>
                <w:lang w:val="en-US" w:eastAsia="zh-CN"/>
              </w:rPr>
              <w:t>本</w:t>
            </w:r>
            <w:r>
              <w:rPr>
                <w:rFonts w:hint="default" w:ascii="Times New Roman" w:hAnsi="Times New Roman" w:eastAsia="宋体" w:cs="Times New Roman"/>
                <w:b w:val="0"/>
                <w:bCs/>
                <w:color w:val="auto"/>
                <w:sz w:val="24"/>
                <w:szCs w:val="24"/>
                <w:highlight w:val="none"/>
                <w:lang w:val="en-US" w:eastAsia="zh-CN"/>
              </w:rPr>
              <w:t>项目的建设是可行的。</w:t>
            </w:r>
          </w:p>
        </w:tc>
      </w:tr>
    </w:tbl>
    <w:p w14:paraId="67C3285D">
      <w:pPr>
        <w:rPr>
          <w:rFonts w:hint="default" w:ascii="Times New Roman" w:hAnsi="Times New Roman" w:cs="Times New Roman"/>
          <w:color w:val="auto"/>
          <w:highlight w:val="none"/>
        </w:rPr>
      </w:pPr>
    </w:p>
    <w:p w14:paraId="42109C36">
      <w:pPr>
        <w:rPr>
          <w:rFonts w:hint="default" w:ascii="Times New Roman" w:hAnsi="Times New Roman" w:cs="Times New Roman"/>
          <w:color w:val="auto"/>
          <w:highlight w:val="none"/>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00304472">
      <w:pPr>
        <w:pStyle w:val="19"/>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auto"/>
        <w:textAlignment w:val="auto"/>
        <w:outlineLvl w:val="0"/>
        <w:rPr>
          <w:rFonts w:hint="default" w:ascii="Times New Roman" w:hAnsi="Times New Roman" w:eastAsia="黑体" w:cs="Times New Roman"/>
          <w:snapToGrid w:val="0"/>
          <w:color w:val="auto"/>
          <w:sz w:val="32"/>
          <w:szCs w:val="32"/>
          <w:highlight w:val="none"/>
        </w:rPr>
      </w:pPr>
      <w:bookmarkStart w:id="18" w:name="_Toc28200"/>
      <w:r>
        <w:rPr>
          <w:rFonts w:hint="default" w:ascii="Times New Roman" w:hAnsi="Times New Roman" w:eastAsia="黑体" w:cs="Times New Roman"/>
          <w:snapToGrid w:val="0"/>
          <w:color w:val="auto"/>
          <w:sz w:val="32"/>
          <w:szCs w:val="32"/>
          <w:highlight w:val="none"/>
        </w:rPr>
        <w:t>附表</w:t>
      </w:r>
      <w:bookmarkEnd w:id="18"/>
    </w:p>
    <w:p w14:paraId="634D5757">
      <w:pPr>
        <w:pStyle w:val="19"/>
        <w:keepNext w:val="0"/>
        <w:keepLines w:val="0"/>
        <w:pageBreakBefore w:val="0"/>
        <w:widowControl/>
        <w:kinsoku/>
        <w:wordWrap/>
        <w:overflowPunct/>
        <w:topLinePunct w:val="0"/>
        <w:autoSpaceDE/>
        <w:autoSpaceDN/>
        <w:bidi w:val="0"/>
        <w:adjustRightInd w:val="0"/>
        <w:snapToGrid w:val="0"/>
        <w:spacing w:before="0" w:beforeAutospacing="0" w:after="0" w:afterAutospacing="0" w:line="408" w:lineRule="auto"/>
        <w:jc w:val="center"/>
        <w:textAlignment w:val="auto"/>
        <w:outlineLvl w:val="9"/>
        <w:rPr>
          <w:rFonts w:hint="default" w:ascii="Times New Roman" w:hAnsi="Times New Roman" w:eastAsia="方正小标宋_GBK" w:cs="Times New Roman"/>
          <w:snapToGrid w:val="0"/>
          <w:color w:val="auto"/>
          <w:sz w:val="38"/>
          <w:szCs w:val="38"/>
          <w:highlight w:val="none"/>
        </w:rPr>
      </w:pPr>
      <w:bookmarkStart w:id="19" w:name="_Toc14665"/>
      <w:r>
        <w:rPr>
          <w:rFonts w:hint="default" w:ascii="Times New Roman" w:hAnsi="Times New Roman" w:eastAsia="方正小标宋_GBK" w:cs="Times New Roman"/>
          <w:snapToGrid w:val="0"/>
          <w:color w:val="auto"/>
          <w:sz w:val="38"/>
          <w:szCs w:val="38"/>
          <w:highlight w:val="none"/>
        </w:rPr>
        <w:t>建设项目污染物排放量汇总表</w:t>
      </w:r>
      <w:bookmarkEnd w:id="19"/>
    </w:p>
    <w:tbl>
      <w:tblPr>
        <w:tblStyle w:val="26"/>
        <w:tblW w:w="1378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311"/>
        <w:gridCol w:w="1665"/>
        <w:gridCol w:w="1275"/>
        <w:gridCol w:w="1680"/>
        <w:gridCol w:w="1530"/>
        <w:gridCol w:w="1785"/>
        <w:gridCol w:w="1625"/>
        <w:gridCol w:w="1329"/>
      </w:tblGrid>
      <w:tr w14:paraId="723F64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588" w:type="dxa"/>
            <w:tcBorders>
              <w:tl2br w:val="single" w:color="auto" w:sz="4" w:space="0"/>
            </w:tcBorders>
            <w:tcMar>
              <w:left w:w="28" w:type="dxa"/>
              <w:right w:w="28" w:type="dxa"/>
            </w:tcMar>
            <w:vAlign w:val="center"/>
          </w:tcPr>
          <w:p w14:paraId="4CB8DD46">
            <w:pPr>
              <w:pStyle w:val="53"/>
              <w:keepNext w:val="0"/>
              <w:keepLines w:val="0"/>
              <w:pageBreakBefore w:val="0"/>
              <w:widowControl w:val="0"/>
              <w:kinsoku/>
              <w:wordWrap/>
              <w:overflowPunct/>
              <w:topLinePunct w:val="0"/>
              <w:autoSpaceDE/>
              <w:autoSpaceDN/>
              <w:bidi w:val="0"/>
              <w:adjustRightInd w:val="0"/>
              <w:snapToGrid w:val="0"/>
              <w:spacing w:line="240" w:lineRule="auto"/>
              <w:jc w:val="right"/>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项目</w:t>
            </w:r>
          </w:p>
          <w:p w14:paraId="326CA610">
            <w:pPr>
              <w:pStyle w:val="53"/>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分类</w:t>
            </w:r>
          </w:p>
        </w:tc>
        <w:tc>
          <w:tcPr>
            <w:tcW w:w="1311" w:type="dxa"/>
            <w:tcMar>
              <w:left w:w="28" w:type="dxa"/>
              <w:right w:w="28" w:type="dxa"/>
            </w:tcMar>
            <w:vAlign w:val="center"/>
          </w:tcPr>
          <w:p w14:paraId="6A60DC25">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污染物名称</w:t>
            </w:r>
          </w:p>
        </w:tc>
        <w:tc>
          <w:tcPr>
            <w:tcW w:w="1665" w:type="dxa"/>
            <w:tcMar>
              <w:left w:w="28" w:type="dxa"/>
              <w:right w:w="28" w:type="dxa"/>
            </w:tcMar>
            <w:vAlign w:val="center"/>
          </w:tcPr>
          <w:p w14:paraId="5BAB5524">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现有工程</w:t>
            </w:r>
          </w:p>
          <w:p w14:paraId="5E1AC3DC">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排放量（固体废物产生量）</w:t>
            </w: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1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①</w:t>
            </w:r>
            <w:r>
              <w:rPr>
                <w:rFonts w:hint="default" w:ascii="Times New Roman" w:hAnsi="Times New Roman" w:eastAsia="黑体" w:cs="Times New Roman"/>
                <w:snapToGrid w:val="0"/>
                <w:color w:val="auto"/>
                <w:spacing w:val="-6"/>
                <w:kern w:val="21"/>
                <w:szCs w:val="21"/>
                <w:highlight w:val="none"/>
              </w:rPr>
              <w:fldChar w:fldCharType="end"/>
            </w:r>
          </w:p>
        </w:tc>
        <w:tc>
          <w:tcPr>
            <w:tcW w:w="1275" w:type="dxa"/>
            <w:tcMar>
              <w:left w:w="28" w:type="dxa"/>
              <w:right w:w="28" w:type="dxa"/>
            </w:tcMar>
            <w:vAlign w:val="center"/>
          </w:tcPr>
          <w:p w14:paraId="24B6558C">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现有工程</w:t>
            </w:r>
          </w:p>
          <w:p w14:paraId="61320229">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许可排放量</w:t>
            </w:r>
          </w:p>
          <w:p w14:paraId="080C037F">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2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snapToGrid w:val="0"/>
                <w:color w:val="auto"/>
                <w:spacing w:val="-6"/>
                <w:kern w:val="21"/>
                <w:szCs w:val="21"/>
                <w:highlight w:val="none"/>
              </w:rPr>
              <w:t>②</w:t>
            </w:r>
            <w:r>
              <w:rPr>
                <w:rFonts w:hint="default" w:ascii="Times New Roman" w:hAnsi="Times New Roman" w:eastAsia="黑体" w:cs="Times New Roman"/>
                <w:snapToGrid w:val="0"/>
                <w:color w:val="auto"/>
                <w:spacing w:val="-6"/>
                <w:kern w:val="21"/>
                <w:szCs w:val="21"/>
                <w:highlight w:val="none"/>
              </w:rPr>
              <w:fldChar w:fldCharType="end"/>
            </w:r>
          </w:p>
        </w:tc>
        <w:tc>
          <w:tcPr>
            <w:tcW w:w="1680" w:type="dxa"/>
            <w:tcMar>
              <w:left w:w="28" w:type="dxa"/>
              <w:right w:w="28" w:type="dxa"/>
            </w:tcMar>
            <w:vAlign w:val="center"/>
          </w:tcPr>
          <w:p w14:paraId="2668BBDA">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在建工程</w:t>
            </w:r>
          </w:p>
          <w:p w14:paraId="60C0B86E">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排放量（固体废物产生量）</w:t>
            </w: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3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③</w:t>
            </w:r>
            <w:r>
              <w:rPr>
                <w:rFonts w:hint="default" w:ascii="Times New Roman" w:hAnsi="Times New Roman" w:eastAsia="黑体" w:cs="Times New Roman"/>
                <w:snapToGrid w:val="0"/>
                <w:color w:val="auto"/>
                <w:spacing w:val="-6"/>
                <w:kern w:val="21"/>
                <w:szCs w:val="21"/>
                <w:highlight w:val="none"/>
              </w:rPr>
              <w:fldChar w:fldCharType="end"/>
            </w:r>
          </w:p>
        </w:tc>
        <w:tc>
          <w:tcPr>
            <w:tcW w:w="1530" w:type="dxa"/>
            <w:tcMar>
              <w:left w:w="28" w:type="dxa"/>
              <w:right w:w="28" w:type="dxa"/>
            </w:tcMar>
            <w:vAlign w:val="center"/>
          </w:tcPr>
          <w:p w14:paraId="29D4E2CE">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本项目</w:t>
            </w:r>
          </w:p>
          <w:p w14:paraId="65FED527">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排放量（固体废物产生量）</w:t>
            </w: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4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④</w:t>
            </w:r>
            <w:r>
              <w:rPr>
                <w:rFonts w:hint="default" w:ascii="Times New Roman" w:hAnsi="Times New Roman" w:eastAsia="黑体" w:cs="Times New Roman"/>
                <w:snapToGrid w:val="0"/>
                <w:color w:val="auto"/>
                <w:spacing w:val="-6"/>
                <w:kern w:val="21"/>
                <w:szCs w:val="21"/>
                <w:highlight w:val="none"/>
              </w:rPr>
              <w:fldChar w:fldCharType="end"/>
            </w:r>
          </w:p>
        </w:tc>
        <w:tc>
          <w:tcPr>
            <w:tcW w:w="1785" w:type="dxa"/>
            <w:tcMar>
              <w:left w:w="28" w:type="dxa"/>
              <w:right w:w="28" w:type="dxa"/>
            </w:tcMar>
            <w:vAlign w:val="center"/>
          </w:tcPr>
          <w:p w14:paraId="2A8EF33E">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以新带老削减量</w:t>
            </w:r>
          </w:p>
          <w:p w14:paraId="7CA1EB19">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（新建项目不填）</w:t>
            </w:r>
            <w:r>
              <w:rPr>
                <w:rFonts w:hint="default" w:ascii="Times New Roman" w:hAnsi="Times New Roman" w:eastAsia="黑体" w:cs="Times New Roman"/>
                <w:snapToGrid w:val="0"/>
                <w:color w:val="auto"/>
                <w:spacing w:val="-16"/>
                <w:kern w:val="21"/>
                <w:szCs w:val="21"/>
                <w:highlight w:val="none"/>
              </w:rPr>
              <w:fldChar w:fldCharType="begin"/>
            </w:r>
            <w:r>
              <w:rPr>
                <w:rFonts w:hint="default" w:ascii="Times New Roman" w:hAnsi="Times New Roman" w:eastAsia="黑体" w:cs="Times New Roman"/>
                <w:snapToGrid w:val="0"/>
                <w:color w:val="auto"/>
                <w:spacing w:val="-16"/>
                <w:kern w:val="21"/>
                <w:szCs w:val="21"/>
                <w:highlight w:val="none"/>
              </w:rPr>
              <w:instrText xml:space="preserve"> = 5 \* GB3 \* MERGEFORMAT </w:instrText>
            </w:r>
            <w:r>
              <w:rPr>
                <w:rFonts w:hint="default" w:ascii="Times New Roman" w:hAnsi="Times New Roman" w:eastAsia="黑体" w:cs="Times New Roman"/>
                <w:snapToGrid w:val="0"/>
                <w:color w:val="auto"/>
                <w:spacing w:val="-16"/>
                <w:kern w:val="21"/>
                <w:szCs w:val="21"/>
                <w:highlight w:val="none"/>
              </w:rPr>
              <w:fldChar w:fldCharType="separate"/>
            </w:r>
            <w:r>
              <w:rPr>
                <w:rFonts w:hint="default" w:ascii="Times New Roman" w:hAnsi="Times New Roman" w:eastAsia="黑体" w:cs="Times New Roman"/>
                <w:color w:val="auto"/>
                <w:kern w:val="2"/>
                <w:szCs w:val="21"/>
                <w:highlight w:val="none"/>
              </w:rPr>
              <w:t>⑤</w:t>
            </w:r>
            <w:r>
              <w:rPr>
                <w:rFonts w:hint="default" w:ascii="Times New Roman" w:hAnsi="Times New Roman" w:eastAsia="黑体" w:cs="Times New Roman"/>
                <w:snapToGrid w:val="0"/>
                <w:color w:val="auto"/>
                <w:spacing w:val="-16"/>
                <w:kern w:val="21"/>
                <w:szCs w:val="21"/>
                <w:highlight w:val="none"/>
              </w:rPr>
              <w:fldChar w:fldCharType="end"/>
            </w:r>
          </w:p>
        </w:tc>
        <w:tc>
          <w:tcPr>
            <w:tcW w:w="1625" w:type="dxa"/>
            <w:tcMar>
              <w:left w:w="28" w:type="dxa"/>
              <w:right w:w="28" w:type="dxa"/>
            </w:tcMar>
            <w:vAlign w:val="center"/>
          </w:tcPr>
          <w:p w14:paraId="2D5D063E">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本项目建成后</w:t>
            </w:r>
          </w:p>
          <w:p w14:paraId="7915B88F">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全厂排放量（固体废物产生量）</w:t>
            </w:r>
            <w:r>
              <w:rPr>
                <w:rFonts w:hint="default" w:ascii="Times New Roman" w:hAnsi="Times New Roman" w:eastAsia="黑体" w:cs="Times New Roman"/>
                <w:snapToGrid w:val="0"/>
                <w:color w:val="auto"/>
                <w:spacing w:val="-16"/>
                <w:kern w:val="21"/>
                <w:szCs w:val="21"/>
                <w:highlight w:val="none"/>
              </w:rPr>
              <w:fldChar w:fldCharType="begin"/>
            </w:r>
            <w:r>
              <w:rPr>
                <w:rFonts w:hint="default" w:ascii="Times New Roman" w:hAnsi="Times New Roman" w:eastAsia="黑体" w:cs="Times New Roman"/>
                <w:snapToGrid w:val="0"/>
                <w:color w:val="auto"/>
                <w:spacing w:val="-16"/>
                <w:kern w:val="21"/>
                <w:szCs w:val="21"/>
                <w:highlight w:val="none"/>
              </w:rPr>
              <w:instrText xml:space="preserve"> = 6 \* GB3 \* MERGEFORMAT </w:instrText>
            </w:r>
            <w:r>
              <w:rPr>
                <w:rFonts w:hint="default" w:ascii="Times New Roman" w:hAnsi="Times New Roman" w:eastAsia="黑体" w:cs="Times New Roman"/>
                <w:snapToGrid w:val="0"/>
                <w:color w:val="auto"/>
                <w:spacing w:val="-16"/>
                <w:kern w:val="21"/>
                <w:szCs w:val="21"/>
                <w:highlight w:val="none"/>
              </w:rPr>
              <w:fldChar w:fldCharType="separate"/>
            </w:r>
            <w:r>
              <w:rPr>
                <w:rFonts w:hint="default" w:ascii="Times New Roman" w:hAnsi="Times New Roman" w:eastAsia="黑体" w:cs="Times New Roman"/>
                <w:color w:val="auto"/>
                <w:kern w:val="2"/>
                <w:szCs w:val="21"/>
                <w:highlight w:val="none"/>
              </w:rPr>
              <w:t>⑥</w:t>
            </w:r>
            <w:r>
              <w:rPr>
                <w:rFonts w:hint="default" w:ascii="Times New Roman" w:hAnsi="Times New Roman" w:eastAsia="黑体" w:cs="Times New Roman"/>
                <w:snapToGrid w:val="0"/>
                <w:color w:val="auto"/>
                <w:spacing w:val="-16"/>
                <w:kern w:val="21"/>
                <w:szCs w:val="21"/>
                <w:highlight w:val="none"/>
              </w:rPr>
              <w:fldChar w:fldCharType="end"/>
            </w:r>
          </w:p>
        </w:tc>
        <w:tc>
          <w:tcPr>
            <w:tcW w:w="1329" w:type="dxa"/>
            <w:tcMar>
              <w:left w:w="28" w:type="dxa"/>
              <w:right w:w="28" w:type="dxa"/>
            </w:tcMar>
            <w:vAlign w:val="center"/>
          </w:tcPr>
          <w:p w14:paraId="7630BCCD">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变化量</w:t>
            </w:r>
          </w:p>
          <w:p w14:paraId="0CCADE83">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7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⑦</w:t>
            </w:r>
            <w:r>
              <w:rPr>
                <w:rFonts w:hint="default" w:ascii="Times New Roman" w:hAnsi="Times New Roman" w:eastAsia="黑体" w:cs="Times New Roman"/>
                <w:snapToGrid w:val="0"/>
                <w:color w:val="auto"/>
                <w:spacing w:val="-6"/>
                <w:kern w:val="21"/>
                <w:szCs w:val="21"/>
                <w:highlight w:val="none"/>
              </w:rPr>
              <w:fldChar w:fldCharType="end"/>
            </w:r>
          </w:p>
        </w:tc>
      </w:tr>
      <w:tr w14:paraId="44F4EC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88" w:type="dxa"/>
            <w:vAlign w:val="center"/>
          </w:tcPr>
          <w:p w14:paraId="194E49FA">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废气</w:t>
            </w:r>
          </w:p>
        </w:tc>
        <w:tc>
          <w:tcPr>
            <w:tcW w:w="1311" w:type="dxa"/>
            <w:vAlign w:val="center"/>
          </w:tcPr>
          <w:p w14:paraId="60B3B436">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snapToGrid w:val="0"/>
                <w:color w:val="auto"/>
                <w:kern w:val="21"/>
                <w:sz w:val="21"/>
                <w:szCs w:val="21"/>
                <w:highlight w:val="none"/>
                <w:lang w:val="en-US" w:eastAsia="zh-CN" w:bidi="ar-SA"/>
              </w:rPr>
            </w:pPr>
            <w:r>
              <w:rPr>
                <w:rFonts w:hint="eastAsia" w:ascii="Times New Roman" w:hAnsi="Times New Roman" w:cs="Times New Roman"/>
                <w:snapToGrid w:val="0"/>
                <w:color w:val="auto"/>
                <w:kern w:val="21"/>
                <w:szCs w:val="21"/>
                <w:highlight w:val="none"/>
                <w:lang w:val="en-US" w:eastAsia="zh-CN"/>
              </w:rPr>
              <w:t>粉尘</w:t>
            </w:r>
          </w:p>
        </w:tc>
        <w:tc>
          <w:tcPr>
            <w:tcW w:w="1665" w:type="dxa"/>
            <w:vAlign w:val="center"/>
          </w:tcPr>
          <w:p w14:paraId="43AC629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w:t>
            </w:r>
          </w:p>
        </w:tc>
        <w:tc>
          <w:tcPr>
            <w:tcW w:w="1275" w:type="dxa"/>
            <w:vAlign w:val="center"/>
          </w:tcPr>
          <w:p w14:paraId="5DD02E1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w:t>
            </w:r>
          </w:p>
        </w:tc>
        <w:tc>
          <w:tcPr>
            <w:tcW w:w="1680" w:type="dxa"/>
            <w:vAlign w:val="center"/>
          </w:tcPr>
          <w:p w14:paraId="0DECEA1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w:t>
            </w:r>
          </w:p>
        </w:tc>
        <w:tc>
          <w:tcPr>
            <w:tcW w:w="1530" w:type="dxa"/>
            <w:vAlign w:val="center"/>
          </w:tcPr>
          <w:p w14:paraId="745E78C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w:t>
            </w:r>
          </w:p>
        </w:tc>
        <w:tc>
          <w:tcPr>
            <w:tcW w:w="1785" w:type="dxa"/>
            <w:vAlign w:val="center"/>
          </w:tcPr>
          <w:p w14:paraId="43D0F35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w:t>
            </w:r>
          </w:p>
        </w:tc>
        <w:tc>
          <w:tcPr>
            <w:tcW w:w="1625" w:type="dxa"/>
            <w:vAlign w:val="center"/>
          </w:tcPr>
          <w:p w14:paraId="1104808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w:t>
            </w:r>
          </w:p>
        </w:tc>
        <w:tc>
          <w:tcPr>
            <w:tcW w:w="1329" w:type="dxa"/>
            <w:vAlign w:val="center"/>
          </w:tcPr>
          <w:p w14:paraId="35B0D24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w:t>
            </w:r>
          </w:p>
        </w:tc>
      </w:tr>
      <w:tr w14:paraId="64F6DB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88" w:type="dxa"/>
            <w:vMerge w:val="restart"/>
            <w:vAlign w:val="center"/>
          </w:tcPr>
          <w:p w14:paraId="2E64E335">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废水</w:t>
            </w:r>
          </w:p>
        </w:tc>
        <w:tc>
          <w:tcPr>
            <w:tcW w:w="1311" w:type="dxa"/>
            <w:vAlign w:val="center"/>
          </w:tcPr>
          <w:p w14:paraId="7656B51D">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snapToGrid w:val="0"/>
                <w:color w:val="auto"/>
                <w:kern w:val="21"/>
                <w:szCs w:val="21"/>
                <w:highlight w:val="none"/>
                <w:lang w:val="en-US" w:eastAsia="zh-CN"/>
              </w:rPr>
              <w:t>COD</w:t>
            </w:r>
          </w:p>
        </w:tc>
        <w:tc>
          <w:tcPr>
            <w:tcW w:w="1665" w:type="dxa"/>
            <w:vAlign w:val="center"/>
          </w:tcPr>
          <w:p w14:paraId="3445730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w:t>
            </w:r>
          </w:p>
        </w:tc>
        <w:tc>
          <w:tcPr>
            <w:tcW w:w="1275" w:type="dxa"/>
            <w:vAlign w:val="center"/>
          </w:tcPr>
          <w:p w14:paraId="0DD950E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w:t>
            </w:r>
          </w:p>
        </w:tc>
        <w:tc>
          <w:tcPr>
            <w:tcW w:w="1680" w:type="dxa"/>
            <w:vAlign w:val="center"/>
          </w:tcPr>
          <w:p w14:paraId="233CC81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w:t>
            </w:r>
          </w:p>
        </w:tc>
        <w:tc>
          <w:tcPr>
            <w:tcW w:w="1530" w:type="dxa"/>
            <w:vAlign w:val="center"/>
          </w:tcPr>
          <w:p w14:paraId="0A020B3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w:t>
            </w:r>
          </w:p>
        </w:tc>
        <w:tc>
          <w:tcPr>
            <w:tcW w:w="1785" w:type="dxa"/>
            <w:vAlign w:val="center"/>
          </w:tcPr>
          <w:p w14:paraId="55B6251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w:t>
            </w:r>
          </w:p>
        </w:tc>
        <w:tc>
          <w:tcPr>
            <w:tcW w:w="1625" w:type="dxa"/>
            <w:vAlign w:val="center"/>
          </w:tcPr>
          <w:p w14:paraId="11EA370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w:t>
            </w:r>
          </w:p>
        </w:tc>
        <w:tc>
          <w:tcPr>
            <w:tcW w:w="1329" w:type="dxa"/>
            <w:vAlign w:val="center"/>
          </w:tcPr>
          <w:p w14:paraId="533E3FE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w:t>
            </w:r>
          </w:p>
        </w:tc>
      </w:tr>
      <w:tr w14:paraId="45EF0F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88" w:type="dxa"/>
            <w:vMerge w:val="continue"/>
            <w:vAlign w:val="center"/>
          </w:tcPr>
          <w:p w14:paraId="403022B6">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snapToGrid w:val="0"/>
                <w:color w:val="auto"/>
                <w:kern w:val="21"/>
                <w:szCs w:val="21"/>
                <w:highlight w:val="none"/>
              </w:rPr>
            </w:pPr>
          </w:p>
        </w:tc>
        <w:tc>
          <w:tcPr>
            <w:tcW w:w="1311" w:type="dxa"/>
            <w:vAlign w:val="center"/>
          </w:tcPr>
          <w:p w14:paraId="1A891F97">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snapToGrid w:val="0"/>
                <w:color w:val="auto"/>
                <w:kern w:val="21"/>
                <w:szCs w:val="21"/>
                <w:highlight w:val="none"/>
                <w:lang w:val="en-US" w:eastAsia="zh-CN"/>
              </w:rPr>
              <w:t>氨氮</w:t>
            </w:r>
          </w:p>
        </w:tc>
        <w:tc>
          <w:tcPr>
            <w:tcW w:w="1665" w:type="dxa"/>
            <w:vAlign w:val="center"/>
          </w:tcPr>
          <w:p w14:paraId="7E8D7D7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w:t>
            </w:r>
          </w:p>
        </w:tc>
        <w:tc>
          <w:tcPr>
            <w:tcW w:w="1275" w:type="dxa"/>
            <w:vAlign w:val="center"/>
          </w:tcPr>
          <w:p w14:paraId="22D3A83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w:t>
            </w:r>
          </w:p>
        </w:tc>
        <w:tc>
          <w:tcPr>
            <w:tcW w:w="1680" w:type="dxa"/>
            <w:vAlign w:val="center"/>
          </w:tcPr>
          <w:p w14:paraId="339AD3E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w:t>
            </w:r>
          </w:p>
        </w:tc>
        <w:tc>
          <w:tcPr>
            <w:tcW w:w="1530" w:type="dxa"/>
            <w:vAlign w:val="center"/>
          </w:tcPr>
          <w:p w14:paraId="479E587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w:t>
            </w:r>
          </w:p>
        </w:tc>
        <w:tc>
          <w:tcPr>
            <w:tcW w:w="1785" w:type="dxa"/>
            <w:vAlign w:val="center"/>
          </w:tcPr>
          <w:p w14:paraId="212D193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w:t>
            </w:r>
          </w:p>
        </w:tc>
        <w:tc>
          <w:tcPr>
            <w:tcW w:w="1625" w:type="dxa"/>
            <w:vAlign w:val="center"/>
          </w:tcPr>
          <w:p w14:paraId="5EB4E4B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w:t>
            </w:r>
          </w:p>
        </w:tc>
        <w:tc>
          <w:tcPr>
            <w:tcW w:w="1329" w:type="dxa"/>
            <w:vAlign w:val="center"/>
          </w:tcPr>
          <w:p w14:paraId="2C23251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w:t>
            </w:r>
          </w:p>
        </w:tc>
      </w:tr>
      <w:tr w14:paraId="0DC779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88" w:type="dxa"/>
            <w:vAlign w:val="center"/>
          </w:tcPr>
          <w:p w14:paraId="5E619F05">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一般工业</w:t>
            </w:r>
          </w:p>
          <w:p w14:paraId="5BDF975B">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固体废物</w:t>
            </w:r>
          </w:p>
        </w:tc>
        <w:tc>
          <w:tcPr>
            <w:tcW w:w="1311" w:type="dxa"/>
            <w:vAlign w:val="center"/>
          </w:tcPr>
          <w:p w14:paraId="7F890A5F">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snapToGrid w:val="0"/>
                <w:color w:val="auto"/>
                <w:kern w:val="21"/>
                <w:sz w:val="21"/>
                <w:szCs w:val="21"/>
                <w:highlight w:val="none"/>
                <w:lang w:val="en-US" w:eastAsia="zh-CN" w:bidi="ar-SA"/>
              </w:rPr>
            </w:pPr>
            <w:r>
              <w:rPr>
                <w:rFonts w:hint="eastAsia" w:ascii="Times New Roman" w:cs="Times New Roman"/>
                <w:snapToGrid w:val="0"/>
                <w:color w:val="auto"/>
                <w:kern w:val="21"/>
                <w:sz w:val="21"/>
                <w:szCs w:val="21"/>
                <w:highlight w:val="none"/>
                <w:lang w:val="en-US" w:eastAsia="zh-CN" w:bidi="ar-SA"/>
              </w:rPr>
              <w:t>雨水池沉淀煤泥</w:t>
            </w:r>
          </w:p>
        </w:tc>
        <w:tc>
          <w:tcPr>
            <w:tcW w:w="1665" w:type="dxa"/>
            <w:vAlign w:val="center"/>
          </w:tcPr>
          <w:p w14:paraId="7FA3A93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w:t>
            </w:r>
          </w:p>
        </w:tc>
        <w:tc>
          <w:tcPr>
            <w:tcW w:w="1275" w:type="dxa"/>
            <w:vAlign w:val="center"/>
          </w:tcPr>
          <w:p w14:paraId="7EDF305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lang w:val="en-US" w:eastAsia="zh-CN"/>
              </w:rPr>
              <w:t>//</w:t>
            </w:r>
          </w:p>
        </w:tc>
        <w:tc>
          <w:tcPr>
            <w:tcW w:w="1680" w:type="dxa"/>
            <w:vAlign w:val="center"/>
          </w:tcPr>
          <w:p w14:paraId="56030D9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w:t>
            </w:r>
          </w:p>
        </w:tc>
        <w:tc>
          <w:tcPr>
            <w:tcW w:w="1530" w:type="dxa"/>
            <w:vAlign w:val="center"/>
          </w:tcPr>
          <w:p w14:paraId="498EDF83">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2.0</w:t>
            </w:r>
            <w:r>
              <w:rPr>
                <w:rFonts w:hint="default" w:ascii="Times New Roman" w:hAnsi="Times New Roman" w:cs="Times New Roman"/>
                <w:snapToGrid w:val="0"/>
                <w:color w:val="auto"/>
                <w:kern w:val="21"/>
                <w:szCs w:val="21"/>
                <w:highlight w:val="none"/>
                <w:lang w:val="en-US" w:eastAsia="zh-CN"/>
              </w:rPr>
              <w:t>t/a</w:t>
            </w:r>
          </w:p>
        </w:tc>
        <w:tc>
          <w:tcPr>
            <w:tcW w:w="1785" w:type="dxa"/>
            <w:vAlign w:val="center"/>
          </w:tcPr>
          <w:p w14:paraId="558967D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auto"/>
                <w:kern w:val="21"/>
                <w:szCs w:val="21"/>
                <w:highlight w:val="none"/>
                <w:lang w:val="en-US"/>
              </w:rPr>
            </w:pPr>
            <w:r>
              <w:rPr>
                <w:rFonts w:hint="default" w:ascii="Times New Roman" w:hAnsi="Times New Roman" w:cs="Times New Roman"/>
                <w:snapToGrid w:val="0"/>
                <w:color w:val="auto"/>
                <w:kern w:val="21"/>
                <w:szCs w:val="21"/>
                <w:highlight w:val="none"/>
                <w:lang w:val="en-US" w:eastAsia="zh-CN"/>
              </w:rPr>
              <w:t>//</w:t>
            </w:r>
          </w:p>
        </w:tc>
        <w:tc>
          <w:tcPr>
            <w:tcW w:w="1625" w:type="dxa"/>
            <w:vAlign w:val="center"/>
          </w:tcPr>
          <w:p w14:paraId="3886E11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auto"/>
                <w:kern w:val="21"/>
                <w:sz w:val="21"/>
                <w:szCs w:val="21"/>
                <w:highlight w:val="none"/>
                <w:lang w:val="en-US" w:eastAsia="zh-CN" w:bidi="ar-SA"/>
              </w:rPr>
            </w:pPr>
            <w:r>
              <w:rPr>
                <w:rFonts w:hint="eastAsia" w:cs="Times New Roman"/>
                <w:snapToGrid w:val="0"/>
                <w:color w:val="auto"/>
                <w:kern w:val="21"/>
                <w:szCs w:val="21"/>
                <w:highlight w:val="none"/>
                <w:lang w:val="en-US" w:eastAsia="zh-CN"/>
              </w:rPr>
              <w:t>2.0</w:t>
            </w:r>
            <w:r>
              <w:rPr>
                <w:rFonts w:hint="default" w:ascii="Times New Roman" w:hAnsi="Times New Roman" w:cs="Times New Roman"/>
                <w:snapToGrid w:val="0"/>
                <w:color w:val="auto"/>
                <w:kern w:val="21"/>
                <w:szCs w:val="21"/>
                <w:highlight w:val="none"/>
                <w:lang w:val="en-US" w:eastAsia="zh-CN"/>
              </w:rPr>
              <w:t>t/a</w:t>
            </w:r>
          </w:p>
        </w:tc>
        <w:tc>
          <w:tcPr>
            <w:tcW w:w="1329" w:type="dxa"/>
            <w:vAlign w:val="center"/>
          </w:tcPr>
          <w:p w14:paraId="3111259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auto"/>
                <w:kern w:val="21"/>
                <w:sz w:val="21"/>
                <w:szCs w:val="21"/>
                <w:highlight w:val="none"/>
                <w:lang w:val="en-US" w:eastAsia="zh-CN" w:bidi="ar-SA"/>
              </w:rPr>
            </w:pPr>
            <w:r>
              <w:rPr>
                <w:rFonts w:hint="eastAsia" w:ascii="Times New Roman" w:hAnsi="Times New Roman" w:cs="Times New Roman"/>
                <w:snapToGrid w:val="0"/>
                <w:color w:val="auto"/>
                <w:kern w:val="21"/>
                <w:szCs w:val="21"/>
                <w:highlight w:val="none"/>
                <w:lang w:val="en-US" w:eastAsia="zh-CN"/>
              </w:rPr>
              <w:t>+</w:t>
            </w:r>
            <w:r>
              <w:rPr>
                <w:rFonts w:hint="eastAsia" w:cs="Times New Roman"/>
                <w:snapToGrid w:val="0"/>
                <w:color w:val="auto"/>
                <w:kern w:val="21"/>
                <w:szCs w:val="21"/>
                <w:highlight w:val="none"/>
                <w:lang w:val="en-US" w:eastAsia="zh-CN"/>
              </w:rPr>
              <w:t>2.0</w:t>
            </w:r>
            <w:r>
              <w:rPr>
                <w:rFonts w:hint="default" w:ascii="Times New Roman" w:hAnsi="Times New Roman" w:cs="Times New Roman"/>
                <w:snapToGrid w:val="0"/>
                <w:color w:val="auto"/>
                <w:kern w:val="21"/>
                <w:szCs w:val="21"/>
                <w:highlight w:val="none"/>
                <w:lang w:val="en-US" w:eastAsia="zh-CN"/>
              </w:rPr>
              <w:t>t/a</w:t>
            </w:r>
          </w:p>
        </w:tc>
      </w:tr>
      <w:tr w14:paraId="5F8CA1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88" w:type="dxa"/>
            <w:vMerge w:val="restart"/>
            <w:vAlign w:val="center"/>
          </w:tcPr>
          <w:p w14:paraId="369A2D8C">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危险废物</w:t>
            </w:r>
          </w:p>
        </w:tc>
        <w:tc>
          <w:tcPr>
            <w:tcW w:w="1311" w:type="dxa"/>
            <w:vAlign w:val="center"/>
          </w:tcPr>
          <w:p w14:paraId="15F68DC4">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废矿物油</w:t>
            </w:r>
          </w:p>
        </w:tc>
        <w:tc>
          <w:tcPr>
            <w:tcW w:w="1665" w:type="dxa"/>
            <w:vAlign w:val="center"/>
          </w:tcPr>
          <w:p w14:paraId="3918820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w:t>
            </w:r>
          </w:p>
        </w:tc>
        <w:tc>
          <w:tcPr>
            <w:tcW w:w="1275" w:type="dxa"/>
            <w:vAlign w:val="center"/>
          </w:tcPr>
          <w:p w14:paraId="6987BE1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lang w:val="en-US" w:eastAsia="zh-CN"/>
              </w:rPr>
              <w:t>//</w:t>
            </w:r>
          </w:p>
        </w:tc>
        <w:tc>
          <w:tcPr>
            <w:tcW w:w="1680" w:type="dxa"/>
            <w:vAlign w:val="center"/>
          </w:tcPr>
          <w:p w14:paraId="29C629A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1530" w:type="dxa"/>
            <w:vAlign w:val="center"/>
          </w:tcPr>
          <w:p w14:paraId="34569045">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0.</w:t>
            </w:r>
            <w:r>
              <w:rPr>
                <w:rFonts w:hint="eastAsia" w:ascii="Times New Roman" w:cs="Times New Roman"/>
                <w:snapToGrid w:val="0"/>
                <w:color w:val="auto"/>
                <w:kern w:val="21"/>
                <w:szCs w:val="21"/>
                <w:highlight w:val="none"/>
                <w:lang w:val="en-US" w:eastAsia="zh-CN"/>
              </w:rPr>
              <w:t>2</w:t>
            </w:r>
            <w:r>
              <w:rPr>
                <w:rFonts w:hint="eastAsia" w:ascii="Times New Roman" w:hAnsi="Times New Roman" w:cs="Times New Roman"/>
                <w:snapToGrid w:val="0"/>
                <w:color w:val="auto"/>
                <w:kern w:val="21"/>
                <w:szCs w:val="21"/>
                <w:highlight w:val="none"/>
                <w:lang w:val="en-US" w:eastAsia="zh-CN"/>
              </w:rPr>
              <w:t>t/a</w:t>
            </w:r>
          </w:p>
        </w:tc>
        <w:tc>
          <w:tcPr>
            <w:tcW w:w="1785" w:type="dxa"/>
            <w:vAlign w:val="center"/>
          </w:tcPr>
          <w:p w14:paraId="0630A54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lang w:val="en-US" w:eastAsia="zh-CN"/>
              </w:rPr>
              <w:t>//</w:t>
            </w:r>
          </w:p>
        </w:tc>
        <w:tc>
          <w:tcPr>
            <w:tcW w:w="1625" w:type="dxa"/>
            <w:vAlign w:val="center"/>
          </w:tcPr>
          <w:p w14:paraId="0805680F">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snapToGrid w:val="0"/>
                <w:color w:val="auto"/>
                <w:kern w:val="21"/>
                <w:sz w:val="21"/>
                <w:szCs w:val="21"/>
                <w:highlight w:val="none"/>
                <w:lang w:val="en-US" w:eastAsia="zh-CN" w:bidi="ar-SA"/>
              </w:rPr>
            </w:pPr>
            <w:r>
              <w:rPr>
                <w:rFonts w:hint="eastAsia" w:ascii="Times New Roman" w:hAnsi="Times New Roman" w:cs="Times New Roman"/>
                <w:snapToGrid w:val="0"/>
                <w:color w:val="auto"/>
                <w:kern w:val="21"/>
                <w:szCs w:val="21"/>
                <w:highlight w:val="none"/>
                <w:lang w:val="en-US" w:eastAsia="zh-CN"/>
              </w:rPr>
              <w:t>0.</w:t>
            </w:r>
            <w:r>
              <w:rPr>
                <w:rFonts w:hint="eastAsia" w:ascii="Times New Roman" w:cs="Times New Roman"/>
                <w:snapToGrid w:val="0"/>
                <w:color w:val="auto"/>
                <w:kern w:val="21"/>
                <w:szCs w:val="21"/>
                <w:highlight w:val="none"/>
                <w:lang w:val="en-US" w:eastAsia="zh-CN"/>
              </w:rPr>
              <w:t>2</w:t>
            </w:r>
            <w:r>
              <w:rPr>
                <w:rFonts w:hint="eastAsia" w:ascii="Times New Roman" w:hAnsi="Times New Roman" w:cs="Times New Roman"/>
                <w:snapToGrid w:val="0"/>
                <w:color w:val="auto"/>
                <w:kern w:val="21"/>
                <w:szCs w:val="21"/>
                <w:highlight w:val="none"/>
                <w:lang w:val="en-US" w:eastAsia="zh-CN"/>
              </w:rPr>
              <w:t>t/a</w:t>
            </w:r>
          </w:p>
        </w:tc>
        <w:tc>
          <w:tcPr>
            <w:tcW w:w="1329" w:type="dxa"/>
            <w:vAlign w:val="center"/>
          </w:tcPr>
          <w:p w14:paraId="36D1C38A">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snapToGrid w:val="0"/>
                <w:color w:val="auto"/>
                <w:kern w:val="21"/>
                <w:sz w:val="21"/>
                <w:szCs w:val="21"/>
                <w:highlight w:val="none"/>
                <w:lang w:val="en-US" w:eastAsia="zh-CN" w:bidi="ar-SA"/>
              </w:rPr>
            </w:pPr>
            <w:r>
              <w:rPr>
                <w:rFonts w:hint="eastAsia" w:ascii="Times New Roman" w:hAnsi="Times New Roman" w:cs="Times New Roman"/>
                <w:snapToGrid w:val="0"/>
                <w:color w:val="auto"/>
                <w:kern w:val="21"/>
                <w:szCs w:val="21"/>
                <w:highlight w:val="none"/>
                <w:lang w:val="en-US" w:eastAsia="zh-CN"/>
              </w:rPr>
              <w:t>+0.</w:t>
            </w:r>
            <w:r>
              <w:rPr>
                <w:rFonts w:hint="eastAsia" w:ascii="Times New Roman" w:cs="Times New Roman"/>
                <w:snapToGrid w:val="0"/>
                <w:color w:val="auto"/>
                <w:kern w:val="21"/>
                <w:szCs w:val="21"/>
                <w:highlight w:val="none"/>
                <w:lang w:val="en-US" w:eastAsia="zh-CN"/>
              </w:rPr>
              <w:t>2</w:t>
            </w:r>
            <w:r>
              <w:rPr>
                <w:rFonts w:hint="eastAsia" w:ascii="Times New Roman" w:hAnsi="Times New Roman" w:cs="Times New Roman"/>
                <w:snapToGrid w:val="0"/>
                <w:color w:val="auto"/>
                <w:kern w:val="21"/>
                <w:szCs w:val="21"/>
                <w:highlight w:val="none"/>
                <w:lang w:val="en-US" w:eastAsia="zh-CN"/>
              </w:rPr>
              <w:t>t/a</w:t>
            </w:r>
          </w:p>
        </w:tc>
      </w:tr>
      <w:tr w14:paraId="42A571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88" w:type="dxa"/>
            <w:vMerge w:val="continue"/>
            <w:vAlign w:val="center"/>
          </w:tcPr>
          <w:p w14:paraId="724AB767">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snapToGrid w:val="0"/>
                <w:color w:val="auto"/>
                <w:kern w:val="21"/>
                <w:szCs w:val="21"/>
                <w:highlight w:val="none"/>
              </w:rPr>
            </w:pPr>
          </w:p>
        </w:tc>
        <w:tc>
          <w:tcPr>
            <w:tcW w:w="1311" w:type="dxa"/>
            <w:vAlign w:val="center"/>
          </w:tcPr>
          <w:p w14:paraId="2B4F2CAA">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废油桶</w:t>
            </w:r>
          </w:p>
        </w:tc>
        <w:tc>
          <w:tcPr>
            <w:tcW w:w="1665" w:type="dxa"/>
            <w:vAlign w:val="center"/>
          </w:tcPr>
          <w:p w14:paraId="0C478BE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1275" w:type="dxa"/>
            <w:vAlign w:val="center"/>
          </w:tcPr>
          <w:p w14:paraId="4342BE4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w:t>
            </w:r>
          </w:p>
        </w:tc>
        <w:tc>
          <w:tcPr>
            <w:tcW w:w="1680" w:type="dxa"/>
            <w:vAlign w:val="center"/>
          </w:tcPr>
          <w:p w14:paraId="36317AE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auto"/>
                <w:kern w:val="21"/>
                <w:sz w:val="21"/>
                <w:szCs w:val="21"/>
                <w:highlight w:val="none"/>
                <w:lang w:val="en-US" w:eastAsia="zh-CN" w:bidi="ar-SA"/>
              </w:rPr>
            </w:pPr>
            <w:r>
              <w:rPr>
                <w:rFonts w:hint="eastAsia" w:ascii="Times New Roman" w:hAnsi="Times New Roman" w:cs="Times New Roman"/>
                <w:snapToGrid w:val="0"/>
                <w:color w:val="auto"/>
                <w:kern w:val="21"/>
                <w:szCs w:val="21"/>
                <w:highlight w:val="none"/>
                <w:lang w:val="en-US" w:eastAsia="zh-CN"/>
              </w:rPr>
              <w:t>//</w:t>
            </w:r>
          </w:p>
        </w:tc>
        <w:tc>
          <w:tcPr>
            <w:tcW w:w="1530" w:type="dxa"/>
            <w:vAlign w:val="center"/>
          </w:tcPr>
          <w:p w14:paraId="5DF0739A">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0.0</w:t>
            </w:r>
            <w:r>
              <w:rPr>
                <w:rFonts w:hint="eastAsia" w:ascii="Times New Roman" w:cs="Times New Roman"/>
                <w:snapToGrid w:val="0"/>
                <w:color w:val="auto"/>
                <w:kern w:val="21"/>
                <w:szCs w:val="21"/>
                <w:highlight w:val="none"/>
                <w:lang w:val="en-US" w:eastAsia="zh-CN"/>
              </w:rPr>
              <w:t>1</w:t>
            </w:r>
            <w:r>
              <w:rPr>
                <w:rFonts w:hint="eastAsia" w:ascii="Times New Roman" w:hAnsi="Times New Roman" w:cs="Times New Roman"/>
                <w:snapToGrid w:val="0"/>
                <w:color w:val="auto"/>
                <w:kern w:val="21"/>
                <w:szCs w:val="21"/>
                <w:highlight w:val="none"/>
                <w:lang w:val="en-US" w:eastAsia="zh-CN"/>
              </w:rPr>
              <w:t>t/a</w:t>
            </w:r>
          </w:p>
        </w:tc>
        <w:tc>
          <w:tcPr>
            <w:tcW w:w="1785" w:type="dxa"/>
            <w:vAlign w:val="center"/>
          </w:tcPr>
          <w:p w14:paraId="3F56BF4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w:t>
            </w:r>
          </w:p>
        </w:tc>
        <w:tc>
          <w:tcPr>
            <w:tcW w:w="1625" w:type="dxa"/>
            <w:vAlign w:val="center"/>
          </w:tcPr>
          <w:p w14:paraId="06EE2FD9">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snapToGrid w:val="0"/>
                <w:color w:val="auto"/>
                <w:kern w:val="21"/>
                <w:sz w:val="21"/>
                <w:szCs w:val="21"/>
                <w:highlight w:val="none"/>
                <w:lang w:val="en-US" w:eastAsia="zh-CN" w:bidi="ar-SA"/>
              </w:rPr>
            </w:pPr>
            <w:r>
              <w:rPr>
                <w:rFonts w:hint="eastAsia" w:ascii="Times New Roman" w:hAnsi="Times New Roman" w:cs="Times New Roman"/>
                <w:snapToGrid w:val="0"/>
                <w:color w:val="auto"/>
                <w:kern w:val="21"/>
                <w:szCs w:val="21"/>
                <w:highlight w:val="none"/>
                <w:lang w:val="en-US" w:eastAsia="zh-CN"/>
              </w:rPr>
              <w:t>0.0</w:t>
            </w:r>
            <w:r>
              <w:rPr>
                <w:rFonts w:hint="eastAsia" w:ascii="Times New Roman" w:cs="Times New Roman"/>
                <w:snapToGrid w:val="0"/>
                <w:color w:val="auto"/>
                <w:kern w:val="21"/>
                <w:szCs w:val="21"/>
                <w:highlight w:val="none"/>
                <w:lang w:val="en-US" w:eastAsia="zh-CN"/>
              </w:rPr>
              <w:t>1</w:t>
            </w:r>
            <w:r>
              <w:rPr>
                <w:rFonts w:hint="eastAsia" w:ascii="Times New Roman" w:hAnsi="Times New Roman" w:cs="Times New Roman"/>
                <w:snapToGrid w:val="0"/>
                <w:color w:val="auto"/>
                <w:kern w:val="21"/>
                <w:szCs w:val="21"/>
                <w:highlight w:val="none"/>
                <w:lang w:val="en-US" w:eastAsia="zh-CN"/>
              </w:rPr>
              <w:t>t/a</w:t>
            </w:r>
          </w:p>
        </w:tc>
        <w:tc>
          <w:tcPr>
            <w:tcW w:w="1329" w:type="dxa"/>
            <w:vAlign w:val="center"/>
          </w:tcPr>
          <w:p w14:paraId="25B5369C">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snapToGrid w:val="0"/>
                <w:color w:val="auto"/>
                <w:kern w:val="21"/>
                <w:sz w:val="21"/>
                <w:szCs w:val="21"/>
                <w:highlight w:val="none"/>
                <w:lang w:val="en-US" w:eastAsia="zh-CN" w:bidi="ar-SA"/>
              </w:rPr>
            </w:pPr>
            <w:r>
              <w:rPr>
                <w:rFonts w:hint="eastAsia" w:ascii="Times New Roman" w:hAnsi="Times New Roman" w:cs="Times New Roman"/>
                <w:snapToGrid w:val="0"/>
                <w:color w:val="auto"/>
                <w:kern w:val="21"/>
                <w:szCs w:val="21"/>
                <w:highlight w:val="none"/>
                <w:lang w:val="en-US" w:eastAsia="zh-CN"/>
              </w:rPr>
              <w:t>+0.0</w:t>
            </w:r>
            <w:r>
              <w:rPr>
                <w:rFonts w:hint="eastAsia" w:ascii="Times New Roman" w:cs="Times New Roman"/>
                <w:snapToGrid w:val="0"/>
                <w:color w:val="auto"/>
                <w:kern w:val="21"/>
                <w:szCs w:val="21"/>
                <w:highlight w:val="none"/>
                <w:lang w:val="en-US" w:eastAsia="zh-CN"/>
              </w:rPr>
              <w:t>1</w:t>
            </w:r>
            <w:r>
              <w:rPr>
                <w:rFonts w:hint="eastAsia" w:ascii="Times New Roman" w:hAnsi="Times New Roman" w:cs="Times New Roman"/>
                <w:snapToGrid w:val="0"/>
                <w:color w:val="auto"/>
                <w:kern w:val="21"/>
                <w:szCs w:val="21"/>
                <w:highlight w:val="none"/>
                <w:lang w:val="en-US" w:eastAsia="zh-CN"/>
              </w:rPr>
              <w:t>t/a</w:t>
            </w:r>
          </w:p>
        </w:tc>
      </w:tr>
    </w:tbl>
    <w:p w14:paraId="5E08D677">
      <w:pPr>
        <w:pStyle w:val="53"/>
        <w:spacing w:before="192" w:beforeLines="80" w:after="24"/>
        <w:jc w:val="left"/>
        <w:rPr>
          <w:rFonts w:hint="default" w:ascii="Times New Roman" w:hAnsi="Times New Roman" w:cs="Times New Roman"/>
          <w:snapToGrid w:val="0"/>
          <w:color w:val="auto"/>
          <w:spacing w:val="-16"/>
          <w:kern w:val="21"/>
          <w:szCs w:val="21"/>
          <w:highlight w:val="none"/>
        </w:rPr>
      </w:pPr>
      <w:r>
        <w:rPr>
          <w:rFonts w:hint="default" w:ascii="Times New Roman" w:hAnsi="Times New Roman" w:cs="Times New Roman"/>
          <w:snapToGrid w:val="0"/>
          <w:color w:val="auto"/>
          <w:kern w:val="21"/>
          <w:szCs w:val="21"/>
          <w:highlight w:val="none"/>
        </w:rPr>
        <w:t>注：</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6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⑥</w:t>
      </w:r>
      <w:r>
        <w:rPr>
          <w:rFonts w:hint="default" w:ascii="Times New Roman" w:hAnsi="Times New Roman" w:cs="Times New Roman"/>
          <w:snapToGrid w:val="0"/>
          <w:color w:val="auto"/>
          <w:spacing w:val="-16"/>
          <w:kern w:val="21"/>
          <w:szCs w:val="21"/>
          <w:highlight w:val="none"/>
        </w:rPr>
        <w:fldChar w:fldCharType="end"/>
      </w:r>
      <w:r>
        <w:rPr>
          <w:rFonts w:hint="default" w:ascii="Times New Roman" w:hAnsi="Times New Roman" w:cs="Times New Roman"/>
          <w:snapToGrid w:val="0"/>
          <w:color w:val="auto"/>
          <w:spacing w:val="-1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1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①</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3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③</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4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④</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5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⑤</w:t>
      </w:r>
      <w:r>
        <w:rPr>
          <w:rFonts w:hint="default" w:ascii="Times New Roman" w:hAnsi="Times New Roman" w:cs="Times New Roman"/>
          <w:snapToGrid w:val="0"/>
          <w:color w:val="auto"/>
          <w:spacing w:val="-16"/>
          <w:kern w:val="21"/>
          <w:szCs w:val="21"/>
          <w:highlight w:val="none"/>
        </w:rPr>
        <w:fldChar w:fldCharType="end"/>
      </w:r>
      <w:r>
        <w:rPr>
          <w:rFonts w:hint="default" w:ascii="Times New Roman" w:hAnsi="Times New Roman" w:cs="Times New Roman"/>
          <w:snapToGrid w:val="0"/>
          <w:color w:val="auto"/>
          <w:spacing w:val="-1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7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⑦</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6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⑥</w:t>
      </w:r>
      <w:r>
        <w:rPr>
          <w:rFonts w:hint="default" w:ascii="Times New Roman" w:hAnsi="Times New Roman" w:cs="Times New Roman"/>
          <w:snapToGrid w:val="0"/>
          <w:color w:val="auto"/>
          <w:spacing w:val="-16"/>
          <w:kern w:val="21"/>
          <w:szCs w:val="21"/>
          <w:highlight w:val="none"/>
        </w:rPr>
        <w:fldChar w:fldCharType="end"/>
      </w:r>
    </w:p>
    <w:p w14:paraId="74E96CEB">
      <w:pPr>
        <w:rPr>
          <w:rFonts w:hint="default" w:ascii="Times New Roman" w:hAnsi="Times New Roman" w:cs="Times New Roman"/>
          <w:snapToGrid w:val="0"/>
          <w:color w:val="auto"/>
          <w:spacing w:val="-16"/>
          <w:kern w:val="21"/>
          <w:szCs w:val="21"/>
          <w:highlight w:val="none"/>
        </w:rPr>
      </w:pPr>
    </w:p>
    <w:p w14:paraId="7B79AC1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color w:val="auto"/>
          <w:lang w:eastAsia="zh-CN"/>
        </w:rPr>
        <w:sectPr>
          <w:pgSz w:w="16838" w:h="11906" w:orient="landscape"/>
          <w:pgMar w:top="720" w:right="720" w:bottom="720" w:left="720" w:header="851" w:footer="992" w:gutter="0"/>
          <w:pgBorders>
            <w:top w:val="none" w:sz="0" w:space="0"/>
            <w:left w:val="none" w:sz="0" w:space="0"/>
            <w:bottom w:val="none" w:sz="0" w:space="0"/>
            <w:right w:val="none" w:sz="0" w:space="0"/>
          </w:pgBorders>
          <w:pgNumType w:fmt="decimal"/>
          <w:cols w:space="425" w:num="1"/>
          <w:docGrid w:type="lines" w:linePitch="312" w:charSpace="0"/>
        </w:sectPr>
      </w:pPr>
      <w:bookmarkStart w:id="20" w:name="_Toc17851"/>
    </w:p>
    <w:bookmarkEnd w:id="20"/>
    <w:p w14:paraId="0917DAF1">
      <w:pPr>
        <w:rPr>
          <w:rFonts w:hint="default"/>
          <w:color w:val="auto"/>
          <w:lang w:val="en-US" w:eastAsia="zh-CN"/>
        </w:rPr>
      </w:pPr>
      <w:bookmarkStart w:id="21" w:name="_GoBack"/>
      <w:bookmarkEnd w:id="21"/>
    </w:p>
    <w:sectPr>
      <w:footerReference r:id="rId8" w:type="default"/>
      <w:pgSz w:w="11906" w:h="16838"/>
      <w:pgMar w:top="283" w:right="283" w:bottom="0" w:left="283" w:header="851" w:footer="0"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PMingLiU">
    <w:altName w:val="Microsoft JhengHei"/>
    <w:panose1 w:val="02010601000000010101"/>
    <w:charset w:val="88"/>
    <w:family w:val="auto"/>
    <w:pitch w:val="default"/>
    <w:sig w:usb0="00000000" w:usb1="00000000" w:usb2="00000010" w:usb3="00000000" w:csb0="00100000" w:csb1="00000000"/>
  </w:font>
  <w:font w:name="Microsoft JhengHei">
    <w:panose1 w:val="020B0604030504040204"/>
    <w:charset w:val="88"/>
    <w:family w:val="auto"/>
    <w:pitch w:val="default"/>
    <w:sig w:usb0="000002A7" w:usb1="28CF4400" w:usb2="00000016" w:usb3="00000000" w:csb0="00100009" w:csb1="00000000"/>
  </w:font>
  <w:font w:name="楷体_GB2312">
    <w:altName w:val="楷体"/>
    <w:panose1 w:val="02010609030000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仿宋_GB2312">
    <w:altName w:val="仿宋"/>
    <w:panose1 w:val="02010609030000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Cambria Math">
    <w:panose1 w:val="02040503050406030204"/>
    <w:charset w:val="00"/>
    <w:family w:val="roman"/>
    <w:pitch w:val="default"/>
    <w:sig w:usb0="E00006FF" w:usb1="420024FF" w:usb2="02000000" w:usb3="00000000" w:csb0="2000019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88809">
    <w:pPr>
      <w:pStyle w:val="1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A41C24">
    <w:pPr>
      <w:pStyle w:val="16"/>
      <w:framePr w:wrap="around" w:vAnchor="text" w:hAnchor="margin" w:xAlign="center" w:y="1"/>
      <w:rPr>
        <w:rStyle w:val="30"/>
      </w:rPr>
    </w:pPr>
    <w:r>
      <w:fldChar w:fldCharType="begin"/>
    </w:r>
    <w:r>
      <w:rPr>
        <w:rStyle w:val="30"/>
      </w:rPr>
      <w:instrText xml:space="preserve">PAGE  </w:instrText>
    </w:r>
    <w:r>
      <w:fldChar w:fldCharType="end"/>
    </w:r>
  </w:p>
  <w:p w14:paraId="0F31FFEF">
    <w:pPr>
      <w:pStyle w:val="16"/>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FD9AE9">
    <w:pPr>
      <w:pStyle w:val="16"/>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65030">
    <w:pPr>
      <w:pStyle w:val="16"/>
      <w:ind w:right="360"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CDFEED">
    <w:pPr>
      <w:pStyle w:val="16"/>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posOffset>2679065</wp:posOffset>
              </wp:positionH>
              <wp:positionV relativeFrom="paragraph">
                <wp:posOffset>-86360</wp:posOffset>
              </wp:positionV>
              <wp:extent cx="257810" cy="202565"/>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257810" cy="2025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C1F1AD">
                          <w:pPr>
                            <w:pStyle w:val="16"/>
                            <w:jc w:val="both"/>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10.95pt;margin-top:-6.8pt;height:15.95pt;width:20.3pt;mso-position-horizontal-relative:margin;z-index:251659264;mso-width-relative:page;mso-height-relative:page;" filled="f" stroked="f" coordsize="21600,21600" o:gfxdata="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xiN6ttkAAAAKAQAADwAAAAAAAAABACAAAAAiAAAAZHJzL2Rv&#10;d25yZXYueG1sUEsBAhQAFAAAAAgAh07iQG202zM5AgAAYwQAAA4AAAAAAAAAAQAgAAAAKAEAAGRy&#10;cy9lMm9Eb2MueG1sUEsFBgAAAAAGAAYAWQEAANMFAAAAAA==&#10;">
              <v:fill on="f" focussize="0,0"/>
              <v:stroke on="f" weight="0.5pt"/>
              <v:imagedata o:title=""/>
              <o:lock v:ext="edit" aspectratio="f"/>
              <v:textbox inset="0mm,0mm,0mm,0mm">
                <w:txbxContent>
                  <w:p w14:paraId="09C1F1AD">
                    <w:pPr>
                      <w:pStyle w:val="16"/>
                      <w:jc w:val="both"/>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EA23B">
    <w:pPr>
      <w:pStyle w:val="16"/>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multilevel"/>
    <w:tmpl w:val="00000000"/>
    <w:lvl w:ilvl="0" w:tentative="0">
      <w:start w:val="1"/>
      <w:numFmt w:val="none"/>
      <w:suff w:val="nothing"/>
      <w:lvlText w:val="第一章"/>
      <w:lvlJc w:val="left"/>
      <w:pPr>
        <w:ind w:left="0" w:firstLine="397"/>
      </w:pPr>
      <w:rPr>
        <w:rFonts w:hint="eastAsia"/>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pStyle w:val="6"/>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1">
    <w:nsid w:val="362407EF"/>
    <w:multiLevelType w:val="singleLevel"/>
    <w:tmpl w:val="362407EF"/>
    <w:lvl w:ilvl="0" w:tentative="0">
      <w:start w:val="1"/>
      <w:numFmt w:val="decimal"/>
      <w:pStyle w:val="89"/>
      <w:suff w:val="nothing"/>
      <w:lvlText w:val="%1、"/>
      <w:lvlJc w:val="left"/>
    </w:lvl>
  </w:abstractNum>
  <w:abstractNum w:abstractNumId="2">
    <w:nsid w:val="3B1459FB"/>
    <w:multiLevelType w:val="singleLevel"/>
    <w:tmpl w:val="3B1459FB"/>
    <w:lvl w:ilvl="0" w:tentative="0">
      <w:start w:val="1"/>
      <w:numFmt w:val="decimal"/>
      <w:lvlText w:val="%1."/>
      <w:lvlJc w:val="left"/>
      <w:pPr>
        <w:tabs>
          <w:tab w:val="left" w:pos="312"/>
        </w:tabs>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55AA4"/>
    <w:rsid w:val="00270BE1"/>
    <w:rsid w:val="006702F1"/>
    <w:rsid w:val="0147301D"/>
    <w:rsid w:val="022644A3"/>
    <w:rsid w:val="022B1413"/>
    <w:rsid w:val="02311421"/>
    <w:rsid w:val="02441F1E"/>
    <w:rsid w:val="02BC1AB4"/>
    <w:rsid w:val="034668AF"/>
    <w:rsid w:val="039B3705"/>
    <w:rsid w:val="03CD1A9F"/>
    <w:rsid w:val="04225BED"/>
    <w:rsid w:val="0438197B"/>
    <w:rsid w:val="04B72A7E"/>
    <w:rsid w:val="04BB5274"/>
    <w:rsid w:val="04C279A3"/>
    <w:rsid w:val="054E6E7B"/>
    <w:rsid w:val="05600E1D"/>
    <w:rsid w:val="05730E01"/>
    <w:rsid w:val="057648ED"/>
    <w:rsid w:val="059845C0"/>
    <w:rsid w:val="05A035F5"/>
    <w:rsid w:val="05BC1DCB"/>
    <w:rsid w:val="06021ED4"/>
    <w:rsid w:val="065546FA"/>
    <w:rsid w:val="06DB509F"/>
    <w:rsid w:val="0777672F"/>
    <w:rsid w:val="07B23FD9"/>
    <w:rsid w:val="07D611D9"/>
    <w:rsid w:val="08412609"/>
    <w:rsid w:val="089D6BEC"/>
    <w:rsid w:val="08E5697A"/>
    <w:rsid w:val="092C7268"/>
    <w:rsid w:val="09900DC9"/>
    <w:rsid w:val="099472E7"/>
    <w:rsid w:val="09A727B4"/>
    <w:rsid w:val="0A4E22FB"/>
    <w:rsid w:val="0A4F76B2"/>
    <w:rsid w:val="0AB72384"/>
    <w:rsid w:val="0AC736EC"/>
    <w:rsid w:val="0ADE4E5C"/>
    <w:rsid w:val="0B9E7886"/>
    <w:rsid w:val="0BA61553"/>
    <w:rsid w:val="0BB22E57"/>
    <w:rsid w:val="0CC632E2"/>
    <w:rsid w:val="0D2F37B2"/>
    <w:rsid w:val="0D344D5D"/>
    <w:rsid w:val="0D5E61C3"/>
    <w:rsid w:val="0D7613D0"/>
    <w:rsid w:val="0ECA5559"/>
    <w:rsid w:val="0F4D3603"/>
    <w:rsid w:val="0F890533"/>
    <w:rsid w:val="0FD0391B"/>
    <w:rsid w:val="0FD66A5C"/>
    <w:rsid w:val="0FE03B0E"/>
    <w:rsid w:val="10184954"/>
    <w:rsid w:val="101E796A"/>
    <w:rsid w:val="10452A88"/>
    <w:rsid w:val="107F6F93"/>
    <w:rsid w:val="10EC4C27"/>
    <w:rsid w:val="111404D6"/>
    <w:rsid w:val="111A38EF"/>
    <w:rsid w:val="119C7A40"/>
    <w:rsid w:val="11A007F3"/>
    <w:rsid w:val="12045226"/>
    <w:rsid w:val="12B5207C"/>
    <w:rsid w:val="12EA1DE5"/>
    <w:rsid w:val="12EB782C"/>
    <w:rsid w:val="136A10B9"/>
    <w:rsid w:val="136C4E31"/>
    <w:rsid w:val="14EB5267"/>
    <w:rsid w:val="14EF5D19"/>
    <w:rsid w:val="153D2A99"/>
    <w:rsid w:val="15F83460"/>
    <w:rsid w:val="167C3914"/>
    <w:rsid w:val="169057D1"/>
    <w:rsid w:val="16C25C89"/>
    <w:rsid w:val="16C84C99"/>
    <w:rsid w:val="16F65B54"/>
    <w:rsid w:val="17233A58"/>
    <w:rsid w:val="17325D54"/>
    <w:rsid w:val="174329DC"/>
    <w:rsid w:val="17606A5A"/>
    <w:rsid w:val="176B1995"/>
    <w:rsid w:val="177D585E"/>
    <w:rsid w:val="17BA3F9F"/>
    <w:rsid w:val="17D32096"/>
    <w:rsid w:val="17D61B12"/>
    <w:rsid w:val="17DE3219"/>
    <w:rsid w:val="17FA3BC2"/>
    <w:rsid w:val="18506475"/>
    <w:rsid w:val="18CB33BC"/>
    <w:rsid w:val="19834C82"/>
    <w:rsid w:val="19B25567"/>
    <w:rsid w:val="19B47496"/>
    <w:rsid w:val="19B9169A"/>
    <w:rsid w:val="19DC3FCF"/>
    <w:rsid w:val="19DD12BB"/>
    <w:rsid w:val="1A3C2EBB"/>
    <w:rsid w:val="1A7D7D69"/>
    <w:rsid w:val="1B316012"/>
    <w:rsid w:val="1BC8714D"/>
    <w:rsid w:val="1BE97299"/>
    <w:rsid w:val="1C9C36AC"/>
    <w:rsid w:val="1D2000D1"/>
    <w:rsid w:val="1D3E1CC2"/>
    <w:rsid w:val="1E0B686C"/>
    <w:rsid w:val="1E3E73CA"/>
    <w:rsid w:val="1F282554"/>
    <w:rsid w:val="1F471166"/>
    <w:rsid w:val="1F7F4EB3"/>
    <w:rsid w:val="1FC102B2"/>
    <w:rsid w:val="1FF64400"/>
    <w:rsid w:val="20586E69"/>
    <w:rsid w:val="20C20786"/>
    <w:rsid w:val="21451F5F"/>
    <w:rsid w:val="215D246D"/>
    <w:rsid w:val="217171B2"/>
    <w:rsid w:val="219B1348"/>
    <w:rsid w:val="21C83B7A"/>
    <w:rsid w:val="21FF2093"/>
    <w:rsid w:val="226A7B95"/>
    <w:rsid w:val="227F1A47"/>
    <w:rsid w:val="22A90270"/>
    <w:rsid w:val="22FB6227"/>
    <w:rsid w:val="23321433"/>
    <w:rsid w:val="23466363"/>
    <w:rsid w:val="2355009E"/>
    <w:rsid w:val="23636F06"/>
    <w:rsid w:val="2377009E"/>
    <w:rsid w:val="2383602E"/>
    <w:rsid w:val="23C30A9D"/>
    <w:rsid w:val="23F22B8C"/>
    <w:rsid w:val="24122CEE"/>
    <w:rsid w:val="2434545E"/>
    <w:rsid w:val="24D14011"/>
    <w:rsid w:val="25EF740B"/>
    <w:rsid w:val="26965165"/>
    <w:rsid w:val="26B56E2E"/>
    <w:rsid w:val="270716BD"/>
    <w:rsid w:val="27124612"/>
    <w:rsid w:val="2747656B"/>
    <w:rsid w:val="279D22BD"/>
    <w:rsid w:val="281A0EA7"/>
    <w:rsid w:val="284D302B"/>
    <w:rsid w:val="28C450BA"/>
    <w:rsid w:val="29245021"/>
    <w:rsid w:val="295E568A"/>
    <w:rsid w:val="2A2F6DF7"/>
    <w:rsid w:val="2A34079D"/>
    <w:rsid w:val="2A752F2D"/>
    <w:rsid w:val="2ABC4158"/>
    <w:rsid w:val="2AC71D42"/>
    <w:rsid w:val="2AC96E61"/>
    <w:rsid w:val="2B083239"/>
    <w:rsid w:val="2B956DFA"/>
    <w:rsid w:val="2CC8062C"/>
    <w:rsid w:val="2CF170E1"/>
    <w:rsid w:val="2D3A3E2C"/>
    <w:rsid w:val="2D5B3DB6"/>
    <w:rsid w:val="2D736C6D"/>
    <w:rsid w:val="2D920AC6"/>
    <w:rsid w:val="2DAA0AE3"/>
    <w:rsid w:val="2DC01BA9"/>
    <w:rsid w:val="2E512F4D"/>
    <w:rsid w:val="2EA73A95"/>
    <w:rsid w:val="2EF17758"/>
    <w:rsid w:val="2F9429FF"/>
    <w:rsid w:val="2FEE50F3"/>
    <w:rsid w:val="302B680E"/>
    <w:rsid w:val="307543BC"/>
    <w:rsid w:val="30D1240A"/>
    <w:rsid w:val="30EE0D75"/>
    <w:rsid w:val="311C6A4B"/>
    <w:rsid w:val="31532D34"/>
    <w:rsid w:val="317071E6"/>
    <w:rsid w:val="31C32EBE"/>
    <w:rsid w:val="322150EC"/>
    <w:rsid w:val="3226005B"/>
    <w:rsid w:val="323047F2"/>
    <w:rsid w:val="323A4434"/>
    <w:rsid w:val="3243161E"/>
    <w:rsid w:val="327B2096"/>
    <w:rsid w:val="32A46191"/>
    <w:rsid w:val="32A51FEF"/>
    <w:rsid w:val="33003678"/>
    <w:rsid w:val="330F07D0"/>
    <w:rsid w:val="33811E5B"/>
    <w:rsid w:val="33857B1D"/>
    <w:rsid w:val="33AD2BD0"/>
    <w:rsid w:val="33DF43D4"/>
    <w:rsid w:val="33E12E33"/>
    <w:rsid w:val="33F466CC"/>
    <w:rsid w:val="347274A1"/>
    <w:rsid w:val="34BE2568"/>
    <w:rsid w:val="351F0979"/>
    <w:rsid w:val="3529091B"/>
    <w:rsid w:val="35494B7A"/>
    <w:rsid w:val="356814A4"/>
    <w:rsid w:val="35810F21"/>
    <w:rsid w:val="35954D78"/>
    <w:rsid w:val="35F96AB4"/>
    <w:rsid w:val="363A4058"/>
    <w:rsid w:val="364E2639"/>
    <w:rsid w:val="36942465"/>
    <w:rsid w:val="36C84CD2"/>
    <w:rsid w:val="371067E0"/>
    <w:rsid w:val="372B2789"/>
    <w:rsid w:val="37CF18B8"/>
    <w:rsid w:val="38AA527D"/>
    <w:rsid w:val="38C85394"/>
    <w:rsid w:val="39F46DB9"/>
    <w:rsid w:val="3A544AEC"/>
    <w:rsid w:val="3A8D1AED"/>
    <w:rsid w:val="3A8E37E4"/>
    <w:rsid w:val="3AA719E7"/>
    <w:rsid w:val="3AC43A86"/>
    <w:rsid w:val="3B4B3D2E"/>
    <w:rsid w:val="3B57257C"/>
    <w:rsid w:val="3B6F19D9"/>
    <w:rsid w:val="3B977AE1"/>
    <w:rsid w:val="3BC71343"/>
    <w:rsid w:val="3BDC0FD0"/>
    <w:rsid w:val="3C272D89"/>
    <w:rsid w:val="3CAA7CB2"/>
    <w:rsid w:val="3CCC5366"/>
    <w:rsid w:val="3CD56241"/>
    <w:rsid w:val="3D007B53"/>
    <w:rsid w:val="3D3333DF"/>
    <w:rsid w:val="3D857A52"/>
    <w:rsid w:val="3DAB552F"/>
    <w:rsid w:val="3DB91CCE"/>
    <w:rsid w:val="3DCF587C"/>
    <w:rsid w:val="3DFF03C5"/>
    <w:rsid w:val="3E78424B"/>
    <w:rsid w:val="3F175F8A"/>
    <w:rsid w:val="3F20696D"/>
    <w:rsid w:val="3FB6359A"/>
    <w:rsid w:val="3FB77CCB"/>
    <w:rsid w:val="400420D2"/>
    <w:rsid w:val="40764075"/>
    <w:rsid w:val="40CC31ED"/>
    <w:rsid w:val="40FD796C"/>
    <w:rsid w:val="4125620A"/>
    <w:rsid w:val="416404C6"/>
    <w:rsid w:val="4190531E"/>
    <w:rsid w:val="42051E29"/>
    <w:rsid w:val="42354D6D"/>
    <w:rsid w:val="425D05C0"/>
    <w:rsid w:val="426624C3"/>
    <w:rsid w:val="42935686"/>
    <w:rsid w:val="42F557D1"/>
    <w:rsid w:val="43853578"/>
    <w:rsid w:val="44510CF4"/>
    <w:rsid w:val="4471690F"/>
    <w:rsid w:val="447B0668"/>
    <w:rsid w:val="448E0268"/>
    <w:rsid w:val="44A06B04"/>
    <w:rsid w:val="44AA5931"/>
    <w:rsid w:val="44DD23EE"/>
    <w:rsid w:val="45942067"/>
    <w:rsid w:val="45AB0C2C"/>
    <w:rsid w:val="45F81EC6"/>
    <w:rsid w:val="46006D50"/>
    <w:rsid w:val="46B9236C"/>
    <w:rsid w:val="46DB13AA"/>
    <w:rsid w:val="470F30CC"/>
    <w:rsid w:val="4770374F"/>
    <w:rsid w:val="47D12C7F"/>
    <w:rsid w:val="47DA2E05"/>
    <w:rsid w:val="481A0B59"/>
    <w:rsid w:val="483E4152"/>
    <w:rsid w:val="487C3923"/>
    <w:rsid w:val="48A544C3"/>
    <w:rsid w:val="492472EC"/>
    <w:rsid w:val="49696171"/>
    <w:rsid w:val="498C3616"/>
    <w:rsid w:val="4A2808DB"/>
    <w:rsid w:val="4A484B2F"/>
    <w:rsid w:val="4A57286A"/>
    <w:rsid w:val="4ACC5BD9"/>
    <w:rsid w:val="4AED6BE2"/>
    <w:rsid w:val="4B307F16"/>
    <w:rsid w:val="4BBA0128"/>
    <w:rsid w:val="4BDE3E16"/>
    <w:rsid w:val="4C2672DA"/>
    <w:rsid w:val="4C435CB3"/>
    <w:rsid w:val="4C672D5C"/>
    <w:rsid w:val="4C746E76"/>
    <w:rsid w:val="4C85574F"/>
    <w:rsid w:val="4D205AF0"/>
    <w:rsid w:val="4D245859"/>
    <w:rsid w:val="4D325833"/>
    <w:rsid w:val="4D467EC5"/>
    <w:rsid w:val="4D810EFD"/>
    <w:rsid w:val="4DA22FE4"/>
    <w:rsid w:val="4DAD5BF0"/>
    <w:rsid w:val="4ED37498"/>
    <w:rsid w:val="4F8D1DDB"/>
    <w:rsid w:val="4FCA0BA5"/>
    <w:rsid w:val="50D2474B"/>
    <w:rsid w:val="50E1644B"/>
    <w:rsid w:val="51136BBE"/>
    <w:rsid w:val="513677A7"/>
    <w:rsid w:val="513C194C"/>
    <w:rsid w:val="5171564F"/>
    <w:rsid w:val="519531C9"/>
    <w:rsid w:val="51972E41"/>
    <w:rsid w:val="51CF1422"/>
    <w:rsid w:val="51F75B85"/>
    <w:rsid w:val="52256D36"/>
    <w:rsid w:val="52D15D94"/>
    <w:rsid w:val="52FA33FC"/>
    <w:rsid w:val="538D4CE0"/>
    <w:rsid w:val="53B70462"/>
    <w:rsid w:val="54635C38"/>
    <w:rsid w:val="54717DB0"/>
    <w:rsid w:val="549332C4"/>
    <w:rsid w:val="549F6194"/>
    <w:rsid w:val="552F7A5B"/>
    <w:rsid w:val="554409B8"/>
    <w:rsid w:val="55AC6E9A"/>
    <w:rsid w:val="55DB5FB8"/>
    <w:rsid w:val="56C409B8"/>
    <w:rsid w:val="56DF6C95"/>
    <w:rsid w:val="56F00EA2"/>
    <w:rsid w:val="571407D2"/>
    <w:rsid w:val="57373DB2"/>
    <w:rsid w:val="57492765"/>
    <w:rsid w:val="57B35702"/>
    <w:rsid w:val="57E042A9"/>
    <w:rsid w:val="57F31103"/>
    <w:rsid w:val="58535C06"/>
    <w:rsid w:val="588E0972"/>
    <w:rsid w:val="58AD5A20"/>
    <w:rsid w:val="58B425E6"/>
    <w:rsid w:val="58C249DB"/>
    <w:rsid w:val="5935709E"/>
    <w:rsid w:val="59664E29"/>
    <w:rsid w:val="5971703E"/>
    <w:rsid w:val="59BB7D9D"/>
    <w:rsid w:val="59C7413C"/>
    <w:rsid w:val="59D273CB"/>
    <w:rsid w:val="5A25179B"/>
    <w:rsid w:val="5A253763"/>
    <w:rsid w:val="5A2A46CB"/>
    <w:rsid w:val="5AA233D8"/>
    <w:rsid w:val="5ABA15AB"/>
    <w:rsid w:val="5ACB37B8"/>
    <w:rsid w:val="5B6576DC"/>
    <w:rsid w:val="5B8878EC"/>
    <w:rsid w:val="5BD86328"/>
    <w:rsid w:val="5C9D73D6"/>
    <w:rsid w:val="5CF76AE6"/>
    <w:rsid w:val="5D182C09"/>
    <w:rsid w:val="5DB12963"/>
    <w:rsid w:val="5DD943A7"/>
    <w:rsid w:val="5E271520"/>
    <w:rsid w:val="5E3D2C1E"/>
    <w:rsid w:val="5EC0115A"/>
    <w:rsid w:val="5EE4753E"/>
    <w:rsid w:val="5EEC01A1"/>
    <w:rsid w:val="5F0545D9"/>
    <w:rsid w:val="5FC351E9"/>
    <w:rsid w:val="60374611"/>
    <w:rsid w:val="60632B69"/>
    <w:rsid w:val="60CB4864"/>
    <w:rsid w:val="61210D9F"/>
    <w:rsid w:val="6172122A"/>
    <w:rsid w:val="61914D9C"/>
    <w:rsid w:val="6205595E"/>
    <w:rsid w:val="62081112"/>
    <w:rsid w:val="62360AE9"/>
    <w:rsid w:val="62683FE2"/>
    <w:rsid w:val="630E60CF"/>
    <w:rsid w:val="63383E33"/>
    <w:rsid w:val="63485B95"/>
    <w:rsid w:val="63D60CF2"/>
    <w:rsid w:val="63F26259"/>
    <w:rsid w:val="63FC52F1"/>
    <w:rsid w:val="642A35B3"/>
    <w:rsid w:val="642C4FF0"/>
    <w:rsid w:val="644929A9"/>
    <w:rsid w:val="644F7208"/>
    <w:rsid w:val="6455690A"/>
    <w:rsid w:val="645C1BE0"/>
    <w:rsid w:val="64971E0A"/>
    <w:rsid w:val="6515681C"/>
    <w:rsid w:val="6541341B"/>
    <w:rsid w:val="6559206C"/>
    <w:rsid w:val="65714690"/>
    <w:rsid w:val="65AE303B"/>
    <w:rsid w:val="65C818CB"/>
    <w:rsid w:val="660D08E9"/>
    <w:rsid w:val="66842D9F"/>
    <w:rsid w:val="668A0FC1"/>
    <w:rsid w:val="671B58CC"/>
    <w:rsid w:val="67A4621A"/>
    <w:rsid w:val="67A91325"/>
    <w:rsid w:val="67D4087B"/>
    <w:rsid w:val="67DF4006"/>
    <w:rsid w:val="686D63C6"/>
    <w:rsid w:val="68953EC1"/>
    <w:rsid w:val="68C90E99"/>
    <w:rsid w:val="692E6174"/>
    <w:rsid w:val="6955571D"/>
    <w:rsid w:val="69872FA0"/>
    <w:rsid w:val="698956DA"/>
    <w:rsid w:val="69C51D1A"/>
    <w:rsid w:val="69C75A92"/>
    <w:rsid w:val="69DD1BAA"/>
    <w:rsid w:val="6A18785E"/>
    <w:rsid w:val="6A53167E"/>
    <w:rsid w:val="6A594616"/>
    <w:rsid w:val="6B421972"/>
    <w:rsid w:val="6B4E7413"/>
    <w:rsid w:val="6B6A0109"/>
    <w:rsid w:val="6B9E7A69"/>
    <w:rsid w:val="6BA01E48"/>
    <w:rsid w:val="6C47110C"/>
    <w:rsid w:val="6CAA08FF"/>
    <w:rsid w:val="6CF860AE"/>
    <w:rsid w:val="6D076374"/>
    <w:rsid w:val="6D341E19"/>
    <w:rsid w:val="6D741A8D"/>
    <w:rsid w:val="6E721D27"/>
    <w:rsid w:val="6F0F3400"/>
    <w:rsid w:val="6F1027D4"/>
    <w:rsid w:val="6F107EF5"/>
    <w:rsid w:val="6F3A0AB4"/>
    <w:rsid w:val="6F656F72"/>
    <w:rsid w:val="6F6C6545"/>
    <w:rsid w:val="6FD83CE8"/>
    <w:rsid w:val="6FF32624"/>
    <w:rsid w:val="70305275"/>
    <w:rsid w:val="704902AC"/>
    <w:rsid w:val="706978A3"/>
    <w:rsid w:val="707C6568"/>
    <w:rsid w:val="70F108B8"/>
    <w:rsid w:val="710D3B70"/>
    <w:rsid w:val="71140083"/>
    <w:rsid w:val="71654D19"/>
    <w:rsid w:val="718801FD"/>
    <w:rsid w:val="722D7218"/>
    <w:rsid w:val="723727B0"/>
    <w:rsid w:val="7264527D"/>
    <w:rsid w:val="72680549"/>
    <w:rsid w:val="72853ECD"/>
    <w:rsid w:val="72A837BF"/>
    <w:rsid w:val="72DE16FE"/>
    <w:rsid w:val="72F00289"/>
    <w:rsid w:val="730002BB"/>
    <w:rsid w:val="732F2FE7"/>
    <w:rsid w:val="73351CBE"/>
    <w:rsid w:val="73B03968"/>
    <w:rsid w:val="73DE00EA"/>
    <w:rsid w:val="7458745A"/>
    <w:rsid w:val="7462161B"/>
    <w:rsid w:val="748206D6"/>
    <w:rsid w:val="750558C1"/>
    <w:rsid w:val="752F302C"/>
    <w:rsid w:val="75A03D67"/>
    <w:rsid w:val="76124201"/>
    <w:rsid w:val="762C7346"/>
    <w:rsid w:val="762D1FCB"/>
    <w:rsid w:val="7647519E"/>
    <w:rsid w:val="76A5715B"/>
    <w:rsid w:val="76B94AFE"/>
    <w:rsid w:val="76F0631E"/>
    <w:rsid w:val="77882E54"/>
    <w:rsid w:val="77AF2DE4"/>
    <w:rsid w:val="780D5B49"/>
    <w:rsid w:val="780F2747"/>
    <w:rsid w:val="788A3576"/>
    <w:rsid w:val="78BC49E1"/>
    <w:rsid w:val="78CB247D"/>
    <w:rsid w:val="79093BDF"/>
    <w:rsid w:val="791547D3"/>
    <w:rsid w:val="79645407"/>
    <w:rsid w:val="79A9325B"/>
    <w:rsid w:val="79CE0777"/>
    <w:rsid w:val="79DD6C0C"/>
    <w:rsid w:val="7A0B5527"/>
    <w:rsid w:val="7A99244D"/>
    <w:rsid w:val="7AF1471D"/>
    <w:rsid w:val="7B947887"/>
    <w:rsid w:val="7C4116D4"/>
    <w:rsid w:val="7C52031C"/>
    <w:rsid w:val="7C7D32DF"/>
    <w:rsid w:val="7C8E4220"/>
    <w:rsid w:val="7CA36CB3"/>
    <w:rsid w:val="7CD41461"/>
    <w:rsid w:val="7CD623A3"/>
    <w:rsid w:val="7CE145AF"/>
    <w:rsid w:val="7D131D46"/>
    <w:rsid w:val="7D2D0569"/>
    <w:rsid w:val="7D386D3C"/>
    <w:rsid w:val="7D7004C3"/>
    <w:rsid w:val="7DAB2CE3"/>
    <w:rsid w:val="7DBB459D"/>
    <w:rsid w:val="7E004B72"/>
    <w:rsid w:val="7E0646FB"/>
    <w:rsid w:val="7E3F3035"/>
    <w:rsid w:val="7E816BB5"/>
    <w:rsid w:val="7F2257ED"/>
    <w:rsid w:val="7F390D88"/>
    <w:rsid w:val="7F4339B5"/>
    <w:rsid w:val="7F5E259D"/>
    <w:rsid w:val="7F6A2CF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qFormat/>
    <w:uiPriority w:val="0"/>
    <w:pPr>
      <w:keepNext/>
      <w:keepLines/>
      <w:spacing w:before="156" w:beforeLines="50" w:beforeAutospacing="0"/>
      <w:jc w:val="left"/>
      <w:outlineLvl w:val="1"/>
    </w:pPr>
    <w:rPr>
      <w:rFonts w:eastAsia="黑体"/>
      <w:b/>
      <w:sz w:val="32"/>
    </w:rPr>
  </w:style>
  <w:style w:type="paragraph" w:styleId="4">
    <w:name w:val="heading 3"/>
    <w:basedOn w:val="1"/>
    <w:next w:val="5"/>
    <w:qFormat/>
    <w:uiPriority w:val="0"/>
    <w:pPr>
      <w:keepNext/>
      <w:keepLines/>
      <w:spacing w:before="156" w:beforeLines="50" w:beforeAutospacing="0"/>
      <w:jc w:val="left"/>
      <w:outlineLvl w:val="2"/>
    </w:pPr>
    <w:rPr>
      <w:rFonts w:eastAsia="黑体"/>
      <w:b/>
      <w:sz w:val="30"/>
    </w:rPr>
  </w:style>
  <w:style w:type="paragraph" w:styleId="6">
    <w:name w:val="heading 4"/>
    <w:basedOn w:val="1"/>
    <w:next w:val="1"/>
    <w:qFormat/>
    <w:uiPriority w:val="9"/>
    <w:pPr>
      <w:keepNext/>
      <w:keepLines/>
      <w:widowControl/>
      <w:numPr>
        <w:ilvl w:val="3"/>
        <w:numId w:val="1"/>
      </w:numPr>
      <w:spacing w:before="50" w:beforeLines="50"/>
      <w:outlineLvl w:val="3"/>
    </w:pPr>
    <w:rPr>
      <w:rFonts w:eastAsia="黑体"/>
      <w:bCs/>
      <w:color w:val="000000"/>
      <w:sz w:val="28"/>
      <w:szCs w:val="28"/>
    </w:rPr>
  </w:style>
  <w:style w:type="character" w:default="1" w:styleId="28">
    <w:name w:val="Default Paragraph Font"/>
    <w:qFormat/>
    <w:uiPriority w:val="0"/>
  </w:style>
  <w:style w:type="table" w:default="1" w:styleId="26">
    <w:name w:val="Normal Table"/>
    <w:qFormat/>
    <w:uiPriority w:val="0"/>
    <w:tblPr>
      <w:tblCellMar>
        <w:top w:w="0" w:type="dxa"/>
        <w:left w:w="108" w:type="dxa"/>
        <w:bottom w:w="0" w:type="dxa"/>
        <w:right w:w="108" w:type="dxa"/>
      </w:tblCellMar>
    </w:tblPr>
  </w:style>
  <w:style w:type="paragraph" w:styleId="5">
    <w:name w:val="Normal Indent"/>
    <w:basedOn w:val="1"/>
    <w:next w:val="1"/>
    <w:qFormat/>
    <w:uiPriority w:val="0"/>
    <w:pPr>
      <w:ind w:firstLine="420"/>
    </w:pPr>
  </w:style>
  <w:style w:type="paragraph" w:styleId="7">
    <w:name w:val="caption"/>
    <w:basedOn w:val="1"/>
    <w:next w:val="1"/>
    <w:qFormat/>
    <w:uiPriority w:val="35"/>
    <w:pPr>
      <w:spacing w:line="240" w:lineRule="auto"/>
      <w:ind w:firstLine="0" w:firstLineChars="0"/>
      <w:jc w:val="center"/>
    </w:pPr>
    <w:rPr>
      <w:b/>
      <w:sz w:val="21"/>
      <w:szCs w:val="20"/>
    </w:rPr>
  </w:style>
  <w:style w:type="paragraph" w:styleId="8">
    <w:name w:val="annotation text"/>
    <w:basedOn w:val="1"/>
    <w:link w:val="37"/>
    <w:qFormat/>
    <w:uiPriority w:val="0"/>
    <w:pPr>
      <w:jc w:val="left"/>
    </w:pPr>
    <w:rPr>
      <w:kern w:val="0"/>
      <w:sz w:val="24"/>
      <w:szCs w:val="20"/>
    </w:rPr>
  </w:style>
  <w:style w:type="paragraph" w:styleId="9">
    <w:name w:val="Body Text"/>
    <w:basedOn w:val="1"/>
    <w:next w:val="1"/>
    <w:link w:val="38"/>
    <w:qFormat/>
    <w:uiPriority w:val="0"/>
    <w:pPr>
      <w:widowControl/>
      <w:snapToGrid w:val="0"/>
      <w:spacing w:before="60" w:after="160" w:line="259" w:lineRule="auto"/>
      <w:ind w:right="113"/>
    </w:pPr>
    <w:rPr>
      <w:kern w:val="0"/>
      <w:sz w:val="18"/>
      <w:szCs w:val="20"/>
    </w:rPr>
  </w:style>
  <w:style w:type="paragraph" w:styleId="10">
    <w:name w:val="Body Text Indent"/>
    <w:basedOn w:val="1"/>
    <w:next w:val="9"/>
    <w:link w:val="39"/>
    <w:qFormat/>
    <w:uiPriority w:val="0"/>
    <w:pPr>
      <w:spacing w:after="120"/>
      <w:ind w:left="420" w:leftChars="200"/>
    </w:pPr>
    <w:rPr>
      <w:kern w:val="0"/>
      <w:sz w:val="24"/>
      <w:szCs w:val="20"/>
    </w:rPr>
  </w:style>
  <w:style w:type="paragraph" w:styleId="11">
    <w:name w:val="Block Text"/>
    <w:basedOn w:val="1"/>
    <w:qFormat/>
    <w:uiPriority w:val="0"/>
    <w:pPr>
      <w:spacing w:after="120"/>
      <w:ind w:left="1440" w:leftChars="700" w:right="1440" w:rightChars="700"/>
    </w:pPr>
  </w:style>
  <w:style w:type="paragraph" w:styleId="12">
    <w:name w:val="Plain Text"/>
    <w:basedOn w:val="1"/>
    <w:next w:val="1"/>
    <w:qFormat/>
    <w:uiPriority w:val="0"/>
    <w:rPr>
      <w:rFonts w:ascii="宋体" w:hAnsi="Courier New"/>
      <w:sz w:val="24"/>
      <w:szCs w:val="20"/>
    </w:rPr>
  </w:style>
  <w:style w:type="paragraph" w:styleId="13">
    <w:name w:val="Date"/>
    <w:basedOn w:val="1"/>
    <w:next w:val="1"/>
    <w:link w:val="40"/>
    <w:qFormat/>
    <w:uiPriority w:val="0"/>
    <w:pPr>
      <w:ind w:left="100" w:leftChars="2500"/>
    </w:pPr>
    <w:rPr>
      <w:kern w:val="0"/>
      <w:sz w:val="24"/>
      <w:szCs w:val="20"/>
    </w:rPr>
  </w:style>
  <w:style w:type="paragraph" w:styleId="14">
    <w:name w:val="Body Text Indent 2"/>
    <w:basedOn w:val="1"/>
    <w:qFormat/>
    <w:uiPriority w:val="0"/>
    <w:pPr>
      <w:spacing w:after="120" w:line="480" w:lineRule="auto"/>
      <w:ind w:left="420" w:leftChars="200"/>
    </w:pPr>
  </w:style>
  <w:style w:type="paragraph" w:styleId="15">
    <w:name w:val="Balloon Text"/>
    <w:basedOn w:val="1"/>
    <w:link w:val="41"/>
    <w:qFormat/>
    <w:uiPriority w:val="0"/>
    <w:rPr>
      <w:kern w:val="0"/>
      <w:sz w:val="18"/>
      <w:szCs w:val="20"/>
    </w:rPr>
  </w:style>
  <w:style w:type="paragraph" w:styleId="16">
    <w:name w:val="footer"/>
    <w:basedOn w:val="1"/>
    <w:link w:val="42"/>
    <w:qFormat/>
    <w:uiPriority w:val="99"/>
    <w:pPr>
      <w:tabs>
        <w:tab w:val="center" w:pos="4153"/>
        <w:tab w:val="right" w:pos="8306"/>
      </w:tabs>
      <w:snapToGrid w:val="0"/>
      <w:jc w:val="left"/>
    </w:pPr>
    <w:rPr>
      <w:kern w:val="0"/>
      <w:sz w:val="18"/>
      <w:szCs w:val="20"/>
    </w:rPr>
  </w:style>
  <w:style w:type="paragraph" w:styleId="17">
    <w:name w:val="header"/>
    <w:basedOn w:val="1"/>
    <w:link w:val="43"/>
    <w:qFormat/>
    <w:uiPriority w:val="0"/>
    <w:pPr>
      <w:pBdr>
        <w:bottom w:val="single" w:color="auto" w:sz="6" w:space="1"/>
      </w:pBdr>
      <w:tabs>
        <w:tab w:val="center" w:pos="4153"/>
        <w:tab w:val="right" w:pos="8306"/>
      </w:tabs>
      <w:snapToGrid w:val="0"/>
      <w:jc w:val="center"/>
    </w:pPr>
    <w:rPr>
      <w:kern w:val="0"/>
      <w:sz w:val="18"/>
      <w:szCs w:val="20"/>
    </w:rPr>
  </w:style>
  <w:style w:type="paragraph" w:styleId="18">
    <w:name w:val="toc 1"/>
    <w:basedOn w:val="1"/>
    <w:next w:val="1"/>
    <w:qFormat/>
    <w:uiPriority w:val="0"/>
  </w:style>
  <w:style w:type="paragraph" w:styleId="19">
    <w:name w:val="Normal (Web)"/>
    <w:basedOn w:val="1"/>
    <w:link w:val="44"/>
    <w:qFormat/>
    <w:uiPriority w:val="0"/>
    <w:pPr>
      <w:widowControl/>
      <w:spacing w:before="100" w:beforeAutospacing="1" w:after="100" w:afterAutospacing="1"/>
      <w:jc w:val="left"/>
    </w:pPr>
    <w:rPr>
      <w:rFonts w:ascii="宋体" w:hAnsi="宋体"/>
      <w:kern w:val="0"/>
      <w:sz w:val="24"/>
      <w:szCs w:val="20"/>
    </w:rPr>
  </w:style>
  <w:style w:type="paragraph" w:styleId="20">
    <w:name w:val="Title"/>
    <w:basedOn w:val="1"/>
    <w:next w:val="1"/>
    <w:qFormat/>
    <w:uiPriority w:val="0"/>
    <w:pPr>
      <w:spacing w:before="240" w:after="60"/>
      <w:jc w:val="center"/>
      <w:outlineLvl w:val="0"/>
    </w:pPr>
    <w:rPr>
      <w:rFonts w:ascii="Cambria" w:hAnsi="Cambria"/>
      <w:b/>
      <w:bCs/>
      <w:sz w:val="32"/>
      <w:szCs w:val="32"/>
    </w:rPr>
  </w:style>
  <w:style w:type="paragraph" w:styleId="21">
    <w:name w:val="annotation subject"/>
    <w:basedOn w:val="8"/>
    <w:next w:val="8"/>
    <w:link w:val="45"/>
    <w:qFormat/>
    <w:uiPriority w:val="0"/>
    <w:rPr>
      <w:b/>
      <w:sz w:val="24"/>
      <w:szCs w:val="20"/>
    </w:rPr>
  </w:style>
  <w:style w:type="paragraph" w:styleId="22">
    <w:name w:val="Body Text First Indent"/>
    <w:basedOn w:val="9"/>
    <w:qFormat/>
    <w:uiPriority w:val="0"/>
    <w:pPr>
      <w:ind w:firstLine="420" w:firstLineChars="100"/>
    </w:pPr>
    <w:rPr>
      <w:szCs w:val="24"/>
    </w:rPr>
  </w:style>
  <w:style w:type="paragraph" w:styleId="23">
    <w:name w:val="Body Text First Indent 2"/>
    <w:basedOn w:val="10"/>
    <w:next w:val="24"/>
    <w:qFormat/>
    <w:uiPriority w:val="0"/>
    <w:pPr>
      <w:spacing w:line="360" w:lineRule="auto"/>
      <w:ind w:firstLine="420" w:firstLineChars="200"/>
      <w:jc w:val="left"/>
    </w:pPr>
  </w:style>
  <w:style w:type="paragraph" w:customStyle="1" w:styleId="24">
    <w:name w:val="Default"/>
    <w:basedOn w:val="25"/>
    <w:next w:val="12"/>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5">
    <w:name w:val="批注文字1"/>
    <w:qFormat/>
    <w:uiPriority w:val="0"/>
    <w:pPr>
      <w:widowControl w:val="0"/>
    </w:pPr>
    <w:rPr>
      <w:rFonts w:ascii="Times New Roman" w:hAnsi="Times New Roman" w:eastAsia="宋体" w:cs="Times New Roman"/>
      <w:color w:val="000000"/>
      <w:kern w:val="2"/>
      <w:sz w:val="21"/>
      <w:szCs w:val="24"/>
      <w:lang w:val="en-US" w:eastAsia="zh-CN" w:bidi="ar-SA"/>
    </w:rPr>
  </w:style>
  <w:style w:type="table" w:styleId="27">
    <w:name w:val="Table Grid"/>
    <w:basedOn w:val="26"/>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qFormat/>
    <w:uiPriority w:val="0"/>
    <w:rPr>
      <w:b/>
      <w:bCs/>
    </w:rPr>
  </w:style>
  <w:style w:type="character" w:styleId="30">
    <w:name w:val="page number"/>
    <w:basedOn w:val="28"/>
    <w:qFormat/>
    <w:uiPriority w:val="0"/>
  </w:style>
  <w:style w:type="character" w:styleId="31">
    <w:name w:val="Hyperlink"/>
    <w:basedOn w:val="28"/>
    <w:qFormat/>
    <w:uiPriority w:val="0"/>
    <w:rPr>
      <w:color w:val="0000FF"/>
      <w:u w:val="single"/>
    </w:rPr>
  </w:style>
  <w:style w:type="character" w:styleId="32">
    <w:name w:val="annotation reference"/>
    <w:qFormat/>
    <w:uiPriority w:val="0"/>
    <w:rPr>
      <w:sz w:val="21"/>
    </w:rPr>
  </w:style>
  <w:style w:type="paragraph" w:customStyle="1" w:styleId="33">
    <w:name w:val="纯文本1"/>
    <w:basedOn w:val="1"/>
    <w:qFormat/>
    <w:uiPriority w:val="0"/>
    <w:pPr>
      <w:adjustRightInd w:val="0"/>
    </w:pPr>
    <w:rPr>
      <w:rFonts w:ascii="宋体" w:hAnsi="Courier New"/>
    </w:rPr>
  </w:style>
  <w:style w:type="paragraph" w:customStyle="1" w:styleId="34">
    <w:name w:val="xl27"/>
    <w:basedOn w:val="1"/>
    <w:next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PMingLiU" w:eastAsia="PMingLiU"/>
      <w:kern w:val="0"/>
      <w:sz w:val="16"/>
      <w:szCs w:val="16"/>
      <w:lang w:eastAsia="zh-TW"/>
    </w:rPr>
  </w:style>
  <w:style w:type="paragraph" w:customStyle="1" w:styleId="35">
    <w:name w:val="正文文字（首行缩进2字）"/>
    <w:basedOn w:val="1"/>
    <w:qFormat/>
    <w:uiPriority w:val="0"/>
    <w:pPr>
      <w:spacing w:line="360" w:lineRule="auto"/>
      <w:ind w:firstLine="200" w:firstLineChars="200"/>
    </w:pPr>
    <w:rPr>
      <w:rFonts w:ascii="Arial" w:hAnsi="Arial" w:eastAsia="宋体"/>
      <w:position w:val="-30"/>
      <w:sz w:val="24"/>
    </w:rPr>
  </w:style>
  <w:style w:type="paragraph" w:customStyle="1" w:styleId="36">
    <w:name w:val="Char Char Char Char Char Char Char Char Char Char"/>
    <w:basedOn w:val="1"/>
    <w:qFormat/>
    <w:uiPriority w:val="0"/>
    <w:pPr>
      <w:adjustRightInd w:val="0"/>
      <w:snapToGrid w:val="0"/>
      <w:spacing w:line="360" w:lineRule="auto"/>
      <w:ind w:firstLine="200" w:firstLineChars="200"/>
    </w:pPr>
    <w:rPr>
      <w:rFonts w:eastAsia="楷体_GB2312"/>
    </w:rPr>
  </w:style>
  <w:style w:type="character" w:customStyle="1" w:styleId="37">
    <w:name w:val="批注文字 Char"/>
    <w:link w:val="8"/>
    <w:qFormat/>
    <w:uiPriority w:val="0"/>
    <w:rPr>
      <w:rFonts w:ascii="Times New Roman" w:hAnsi="Times New Roman" w:eastAsia="宋体"/>
      <w:sz w:val="24"/>
    </w:rPr>
  </w:style>
  <w:style w:type="character" w:customStyle="1" w:styleId="38">
    <w:name w:val="正文文本 Char"/>
    <w:link w:val="9"/>
    <w:qFormat/>
    <w:uiPriority w:val="0"/>
    <w:rPr>
      <w:sz w:val="18"/>
    </w:rPr>
  </w:style>
  <w:style w:type="character" w:customStyle="1" w:styleId="39">
    <w:name w:val="正文文本缩进 Char"/>
    <w:link w:val="10"/>
    <w:qFormat/>
    <w:uiPriority w:val="0"/>
    <w:rPr>
      <w:rFonts w:ascii="Times New Roman" w:hAnsi="Times New Roman" w:eastAsia="宋体"/>
      <w:sz w:val="24"/>
    </w:rPr>
  </w:style>
  <w:style w:type="character" w:customStyle="1" w:styleId="40">
    <w:name w:val="日期 Char"/>
    <w:link w:val="13"/>
    <w:qFormat/>
    <w:uiPriority w:val="0"/>
    <w:rPr>
      <w:rFonts w:ascii="Times New Roman" w:hAnsi="Times New Roman" w:eastAsia="宋体"/>
      <w:sz w:val="24"/>
    </w:rPr>
  </w:style>
  <w:style w:type="character" w:customStyle="1" w:styleId="41">
    <w:name w:val="批注框文本 Char"/>
    <w:link w:val="15"/>
    <w:qFormat/>
    <w:uiPriority w:val="0"/>
    <w:rPr>
      <w:rFonts w:ascii="Times New Roman" w:hAnsi="Times New Roman" w:eastAsia="宋体"/>
      <w:sz w:val="18"/>
    </w:rPr>
  </w:style>
  <w:style w:type="character" w:customStyle="1" w:styleId="42">
    <w:name w:val="页脚 Char"/>
    <w:link w:val="16"/>
    <w:qFormat/>
    <w:uiPriority w:val="99"/>
    <w:rPr>
      <w:sz w:val="18"/>
    </w:rPr>
  </w:style>
  <w:style w:type="character" w:customStyle="1" w:styleId="43">
    <w:name w:val="页眉 Char"/>
    <w:link w:val="17"/>
    <w:qFormat/>
    <w:uiPriority w:val="0"/>
    <w:rPr>
      <w:sz w:val="18"/>
    </w:rPr>
  </w:style>
  <w:style w:type="character" w:customStyle="1" w:styleId="44">
    <w:name w:val="普通(网站) Char"/>
    <w:link w:val="19"/>
    <w:qFormat/>
    <w:uiPriority w:val="0"/>
    <w:rPr>
      <w:rFonts w:ascii="宋体" w:hAnsi="宋体" w:eastAsia="宋体"/>
      <w:sz w:val="24"/>
    </w:rPr>
  </w:style>
  <w:style w:type="character" w:customStyle="1" w:styleId="45">
    <w:name w:val="批注主题 Char"/>
    <w:link w:val="21"/>
    <w:qFormat/>
    <w:uiPriority w:val="0"/>
    <w:rPr>
      <w:rFonts w:ascii="Times New Roman" w:hAnsi="Times New Roman" w:eastAsia="宋体"/>
      <w:b/>
      <w:kern w:val="2"/>
      <w:sz w:val="24"/>
    </w:rPr>
  </w:style>
  <w:style w:type="paragraph" w:customStyle="1" w:styleId="46">
    <w:name w:val="Default1"/>
    <w:basedOn w:val="47"/>
    <w:next w:val="1"/>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47">
    <w:name w:val="常用正文样式"/>
    <w:qFormat/>
    <w:uiPriority w:val="0"/>
    <w:pPr>
      <w:widowControl w:val="0"/>
      <w:spacing w:line="360" w:lineRule="auto"/>
      <w:ind w:firstLine="454"/>
      <w:jc w:val="both"/>
    </w:pPr>
    <w:rPr>
      <w:rFonts w:ascii="宋体" w:hAnsi="新宋体" w:eastAsia="仿宋_GB2312" w:cs="Times New Roman"/>
      <w:kern w:val="2"/>
      <w:sz w:val="24"/>
      <w:szCs w:val="24"/>
      <w:lang w:val="en-US" w:eastAsia="zh-CN" w:bidi="ar-SA"/>
    </w:rPr>
  </w:style>
  <w:style w:type="paragraph" w:customStyle="1" w:styleId="48">
    <w:name w:val="表格文字"/>
    <w:basedOn w:val="5"/>
    <w:next w:val="1"/>
    <w:qFormat/>
    <w:uiPriority w:val="0"/>
    <w:pPr>
      <w:snapToGrid w:val="0"/>
      <w:spacing w:line="240" w:lineRule="auto"/>
      <w:jc w:val="center"/>
    </w:pPr>
    <w:rPr>
      <w:rFonts w:ascii="宋体" w:hAnsi="宋体"/>
      <w:color w:val="000000"/>
      <w:szCs w:val="20"/>
    </w:rPr>
  </w:style>
  <w:style w:type="paragraph" w:customStyle="1" w:styleId="49">
    <w:name w:val="朔电正文"/>
    <w:basedOn w:val="1"/>
    <w:qFormat/>
    <w:uiPriority w:val="0"/>
    <w:pPr>
      <w:adjustRightInd w:val="0"/>
      <w:snapToGrid w:val="0"/>
      <w:spacing w:beforeLines="25" w:line="440" w:lineRule="exact"/>
      <w:ind w:firstLine="200" w:firstLineChars="200"/>
    </w:pPr>
    <w:rPr>
      <w:color w:val="000000"/>
    </w:rPr>
  </w:style>
  <w:style w:type="character" w:customStyle="1" w:styleId="50">
    <w:name w:val="页脚 字符"/>
    <w:basedOn w:val="28"/>
    <w:qFormat/>
    <w:uiPriority w:val="99"/>
  </w:style>
  <w:style w:type="character" w:customStyle="1" w:styleId="51">
    <w:name w:val="正文文本 字符1"/>
    <w:qFormat/>
    <w:uiPriority w:val="0"/>
    <w:rPr>
      <w:rFonts w:ascii="Times New Roman" w:hAnsi="Times New Roman" w:eastAsia="宋体"/>
      <w:sz w:val="24"/>
    </w:rPr>
  </w:style>
  <w:style w:type="character" w:customStyle="1" w:styleId="52">
    <w:name w:val="表格 Char"/>
    <w:link w:val="53"/>
    <w:qFormat/>
    <w:uiPriority w:val="0"/>
    <w:rPr>
      <w:rFonts w:ascii="宋体"/>
      <w:sz w:val="21"/>
    </w:rPr>
  </w:style>
  <w:style w:type="paragraph" w:customStyle="1" w:styleId="53">
    <w:name w:val="表格"/>
    <w:basedOn w:val="1"/>
    <w:next w:val="1"/>
    <w:link w:val="52"/>
    <w:qFormat/>
    <w:uiPriority w:val="0"/>
    <w:pPr>
      <w:adjustRightInd w:val="0"/>
      <w:snapToGrid w:val="0"/>
      <w:spacing w:beforeLines="10" w:afterLines="10" w:line="259" w:lineRule="auto"/>
      <w:jc w:val="center"/>
    </w:pPr>
    <w:rPr>
      <w:rFonts w:ascii="宋体"/>
      <w:kern w:val="0"/>
      <w:szCs w:val="20"/>
    </w:rPr>
  </w:style>
  <w:style w:type="character" w:customStyle="1" w:styleId="54">
    <w:name w:val="日期 字符"/>
    <w:qFormat/>
    <w:uiPriority w:val="0"/>
    <w:rPr>
      <w:rFonts w:ascii="Times New Roman" w:hAnsi="Times New Roman" w:eastAsia="宋体"/>
      <w:sz w:val="24"/>
    </w:rPr>
  </w:style>
  <w:style w:type="character" w:customStyle="1" w:styleId="55">
    <w:name w:val="批注文字 字符1"/>
    <w:qFormat/>
    <w:uiPriority w:val="0"/>
    <w:rPr>
      <w:rFonts w:ascii="Times New Roman" w:hAnsi="Times New Roman" w:eastAsia="宋体"/>
      <w:sz w:val="24"/>
    </w:rPr>
  </w:style>
  <w:style w:type="paragraph" w:customStyle="1" w:styleId="56">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7">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58">
    <w:name w:val="表内容"/>
    <w:basedOn w:val="12"/>
    <w:qFormat/>
    <w:uiPriority w:val="0"/>
    <w:pPr>
      <w:jc w:val="center"/>
    </w:pPr>
    <w:rPr>
      <w:rFonts w:ascii="Times New Roman" w:hAnsi="Times New Roman"/>
      <w:sz w:val="21"/>
    </w:rPr>
  </w:style>
  <w:style w:type="character" w:customStyle="1" w:styleId="59">
    <w:name w:val="font21"/>
    <w:basedOn w:val="28"/>
    <w:qFormat/>
    <w:uiPriority w:val="0"/>
    <w:rPr>
      <w:rFonts w:hint="eastAsia" w:ascii="宋体" w:hAnsi="宋体" w:eastAsia="宋体" w:cs="宋体"/>
      <w:b/>
      <w:bCs/>
      <w:color w:val="000000"/>
      <w:sz w:val="18"/>
      <w:szCs w:val="18"/>
      <w:u w:val="none"/>
    </w:rPr>
  </w:style>
  <w:style w:type="character" w:customStyle="1" w:styleId="60">
    <w:name w:val="font41"/>
    <w:basedOn w:val="28"/>
    <w:qFormat/>
    <w:uiPriority w:val="0"/>
    <w:rPr>
      <w:rFonts w:hint="default" w:ascii="Times New Roman" w:hAnsi="Times New Roman" w:cs="Times New Roman"/>
      <w:b/>
      <w:bCs/>
      <w:color w:val="000000"/>
      <w:sz w:val="18"/>
      <w:szCs w:val="18"/>
      <w:u w:val="none"/>
    </w:rPr>
  </w:style>
  <w:style w:type="paragraph" w:customStyle="1" w:styleId="61">
    <w:name w:val="报告正文"/>
    <w:basedOn w:val="1"/>
    <w:qFormat/>
    <w:uiPriority w:val="99"/>
    <w:pPr>
      <w:autoSpaceDE w:val="0"/>
      <w:autoSpaceDN w:val="0"/>
      <w:spacing w:line="560" w:lineRule="atLeast"/>
      <w:ind w:firstLine="200" w:firstLineChars="200"/>
    </w:pPr>
    <w:rPr>
      <w:rFonts w:ascii="宋体"/>
      <w:kern w:val="0"/>
      <w:sz w:val="24"/>
    </w:rPr>
  </w:style>
  <w:style w:type="paragraph" w:customStyle="1" w:styleId="62">
    <w:name w:val="李表头常用格式"/>
    <w:basedOn w:val="11"/>
    <w:qFormat/>
    <w:uiPriority w:val="0"/>
    <w:pPr>
      <w:adjustRightInd/>
      <w:snapToGrid w:val="0"/>
      <w:spacing w:after="0" w:line="320" w:lineRule="exact"/>
      <w:ind w:left="0" w:leftChars="0" w:right="0" w:rightChars="0"/>
      <w:jc w:val="center"/>
      <w:textAlignment w:val="auto"/>
    </w:pPr>
    <w:rPr>
      <w:rFonts w:eastAsia="黑体"/>
      <w:color w:val="000000"/>
      <w:szCs w:val="21"/>
    </w:rPr>
  </w:style>
  <w:style w:type="paragraph" w:customStyle="1" w:styleId="63">
    <w:name w:val="标准正文"/>
    <w:basedOn w:val="1"/>
    <w:qFormat/>
    <w:uiPriority w:val="0"/>
    <w:pPr>
      <w:spacing w:line="360" w:lineRule="auto"/>
      <w:ind w:firstLine="200" w:firstLineChars="200"/>
      <w:jc w:val="left"/>
    </w:pPr>
    <w:rPr>
      <w:sz w:val="24"/>
      <w:szCs w:val="22"/>
    </w:rPr>
  </w:style>
  <w:style w:type="paragraph" w:customStyle="1" w:styleId="64">
    <w:name w:val="正文1"/>
    <w:basedOn w:val="1"/>
    <w:qFormat/>
    <w:uiPriority w:val="0"/>
    <w:pPr>
      <w:tabs>
        <w:tab w:val="left" w:pos="1455"/>
      </w:tabs>
      <w:spacing w:line="480" w:lineRule="exact"/>
      <w:ind w:firstLine="480" w:firstLineChars="200"/>
    </w:pPr>
    <w:rPr>
      <w:sz w:val="24"/>
      <w:szCs w:val="24"/>
    </w:rPr>
  </w:style>
  <w:style w:type="paragraph" w:customStyle="1" w:styleId="65">
    <w:name w:val="表中"/>
    <w:basedOn w:val="1"/>
    <w:qFormat/>
    <w:uiPriority w:val="0"/>
    <w:pPr>
      <w:adjustRightInd/>
      <w:spacing w:line="360" w:lineRule="exact"/>
      <w:jc w:val="center"/>
      <w:textAlignment w:val="auto"/>
    </w:pPr>
    <w:rPr>
      <w:szCs w:val="21"/>
      <w:lang w:val="de-DE"/>
    </w:rPr>
  </w:style>
  <w:style w:type="paragraph" w:customStyle="1" w:styleId="66">
    <w:name w:val="环评正文"/>
    <w:qFormat/>
    <w:uiPriority w:val="0"/>
    <w:pPr>
      <w:adjustRightInd w:val="0"/>
      <w:snapToGrid w:val="0"/>
      <w:spacing w:line="480" w:lineRule="exact"/>
      <w:ind w:firstLine="200" w:firstLineChars="200"/>
    </w:pPr>
    <w:rPr>
      <w:rFonts w:ascii="Times New Roman" w:hAnsi="Times New Roman" w:eastAsia="宋体" w:cs="Times New Roman"/>
      <w:sz w:val="24"/>
      <w:lang w:val="en-US" w:eastAsia="zh-CN" w:bidi="ar-SA"/>
    </w:rPr>
  </w:style>
  <w:style w:type="paragraph" w:customStyle="1" w:styleId="67">
    <w:name w:val="表格新格式"/>
    <w:basedOn w:val="1"/>
    <w:qFormat/>
    <w:uiPriority w:val="0"/>
    <w:pPr>
      <w:adjustRightInd/>
      <w:spacing w:line="280" w:lineRule="exact"/>
      <w:jc w:val="center"/>
      <w:textAlignment w:val="auto"/>
    </w:pPr>
    <w:rPr>
      <w:color w:val="000000"/>
      <w:szCs w:val="21"/>
    </w:rPr>
  </w:style>
  <w:style w:type="paragraph" w:customStyle="1" w:styleId="68">
    <w:name w:val="表头样式"/>
    <w:basedOn w:val="1"/>
    <w:qFormat/>
    <w:uiPriority w:val="0"/>
    <w:pPr>
      <w:snapToGrid w:val="0"/>
      <w:spacing w:line="420" w:lineRule="auto"/>
      <w:ind w:firstLine="480" w:firstLineChars="200"/>
      <w:jc w:val="left"/>
    </w:pPr>
    <w:rPr>
      <w:color w:val="FF0000"/>
      <w:sz w:val="24"/>
      <w:u w:val="single"/>
    </w:rPr>
  </w:style>
  <w:style w:type="paragraph" w:customStyle="1" w:styleId="69">
    <w:name w:val="Table Paragraph"/>
    <w:basedOn w:val="1"/>
    <w:qFormat/>
    <w:uiPriority w:val="99"/>
  </w:style>
  <w:style w:type="paragraph" w:customStyle="1" w:styleId="70">
    <w:name w:val="正文 1"/>
    <w:basedOn w:val="1"/>
    <w:qFormat/>
    <w:uiPriority w:val="0"/>
    <w:pPr>
      <w:spacing w:line="480" w:lineRule="exact"/>
      <w:ind w:firstLine="567"/>
    </w:pPr>
    <w:rPr>
      <w:sz w:val="28"/>
    </w:rPr>
  </w:style>
  <w:style w:type="paragraph" w:customStyle="1" w:styleId="71">
    <w:name w:val="表格-zjr"/>
    <w:basedOn w:val="1"/>
    <w:qFormat/>
    <w:uiPriority w:val="0"/>
    <w:pPr>
      <w:spacing w:line="240" w:lineRule="auto"/>
      <w:ind w:firstLine="0" w:firstLineChars="0"/>
      <w:jc w:val="center"/>
    </w:pPr>
    <w:rPr>
      <w:rFonts w:ascii="Times New Roman" w:hAnsi="Times New Roman" w:eastAsia="宋体" w:cs="Times New Roman"/>
      <w:sz w:val="21"/>
    </w:rPr>
  </w:style>
  <w:style w:type="paragraph" w:customStyle="1" w:styleId="72">
    <w:name w:val="表格标题1"/>
    <w:basedOn w:val="1"/>
    <w:qFormat/>
    <w:uiPriority w:val="99"/>
    <w:pPr>
      <w:adjustRightInd w:val="0"/>
      <w:snapToGrid w:val="0"/>
      <w:spacing w:line="440" w:lineRule="exact"/>
      <w:jc w:val="center"/>
    </w:pPr>
    <w:rPr>
      <w:rFonts w:ascii="宋体" w:hAnsi="宋体"/>
      <w:b/>
    </w:rPr>
  </w:style>
  <w:style w:type="paragraph" w:customStyle="1" w:styleId="73">
    <w:name w:val="表格-小四"/>
    <w:basedOn w:val="1"/>
    <w:qFormat/>
    <w:uiPriority w:val="0"/>
    <w:pPr>
      <w:spacing w:line="300" w:lineRule="auto"/>
      <w:ind w:firstLine="0" w:firstLineChars="0"/>
      <w:jc w:val="center"/>
    </w:pPr>
    <w:rPr>
      <w:rFonts w:ascii="Times New Roman" w:hAnsi="Times New Roman" w:eastAsia="宋体" w:cs="宋体"/>
      <w:sz w:val="24"/>
    </w:rPr>
  </w:style>
  <w:style w:type="paragraph" w:customStyle="1" w:styleId="74">
    <w:name w:val="5表标题"/>
    <w:qFormat/>
    <w:uiPriority w:val="0"/>
    <w:pPr>
      <w:jc w:val="center"/>
    </w:pPr>
    <w:rPr>
      <w:rFonts w:ascii="Times New Roman" w:hAnsi="Times New Roman" w:eastAsia="宋体" w:cs="宋体"/>
      <w:b/>
      <w:bCs/>
      <w:kern w:val="2"/>
      <w:sz w:val="21"/>
      <w:lang w:val="en-US" w:eastAsia="zh-CN" w:bidi="ar-SA"/>
    </w:rPr>
  </w:style>
  <w:style w:type="paragraph" w:customStyle="1" w:styleId="75">
    <w:name w:val="zlf表格文字"/>
    <w:qFormat/>
    <w:uiPriority w:val="0"/>
    <w:pPr>
      <w:spacing w:line="276" w:lineRule="auto"/>
      <w:jc w:val="center"/>
    </w:pPr>
    <w:rPr>
      <w:rFonts w:ascii="Times New Roman" w:hAnsi="Times New Roman" w:eastAsia="宋体" w:cs="Times New Roman"/>
      <w:kern w:val="2"/>
      <w:sz w:val="21"/>
      <w:szCs w:val="24"/>
      <w:lang w:val="en-US" w:eastAsia="zh-CN" w:bidi="ar-SA"/>
    </w:rPr>
  </w:style>
  <w:style w:type="paragraph" w:customStyle="1" w:styleId="76">
    <w:name w:val="li 表头文字"/>
    <w:qFormat/>
    <w:uiPriority w:val="0"/>
    <w:pPr>
      <w:spacing w:line="460" w:lineRule="exact"/>
      <w:jc w:val="center"/>
    </w:pPr>
    <w:rPr>
      <w:rFonts w:ascii="Times New Roman" w:hAnsi="Times New Roman" w:eastAsia="宋体" w:cs="Times New Roman"/>
      <w:b/>
      <w:spacing w:val="4"/>
      <w:kern w:val="2"/>
      <w:sz w:val="21"/>
      <w:szCs w:val="21"/>
      <w:lang w:val="en-US" w:eastAsia="zh-CN" w:bidi="ar-SA"/>
    </w:rPr>
  </w:style>
  <w:style w:type="character" w:customStyle="1" w:styleId="77">
    <w:name w:val="表内文字"/>
    <w:qFormat/>
    <w:uiPriority w:val="0"/>
    <w:rPr>
      <w:rFonts w:ascii="Times New Roman" w:hAnsi="Times New Roman" w:eastAsia="仿宋_GB2312"/>
      <w:sz w:val="24"/>
      <w:szCs w:val="24"/>
    </w:rPr>
  </w:style>
  <w:style w:type="paragraph" w:customStyle="1" w:styleId="78">
    <w:name w:val="a正文排版格式"/>
    <w:basedOn w:val="79"/>
    <w:qFormat/>
    <w:uiPriority w:val="99"/>
    <w:pPr>
      <w:spacing w:line="500" w:lineRule="exact"/>
      <w:ind w:firstLine="420"/>
    </w:pPr>
    <w:rPr>
      <w:rFonts w:eastAsia="仿宋_GB2312"/>
      <w:kern w:val="0"/>
      <w:sz w:val="28"/>
    </w:rPr>
  </w:style>
  <w:style w:type="paragraph" w:customStyle="1" w:styleId="79">
    <w:name w:val="正文 New New"/>
    <w:qFormat/>
    <w:uiPriority w:val="0"/>
    <w:pPr>
      <w:widowControl w:val="0"/>
      <w:spacing w:line="360" w:lineRule="auto"/>
      <w:ind w:firstLine="200" w:firstLineChars="200"/>
      <w:jc w:val="both"/>
    </w:pPr>
    <w:rPr>
      <w:rFonts w:ascii="Times New Roman" w:hAnsi="Times New Roman" w:eastAsia="宋体" w:cs="Times New Roman"/>
      <w:kern w:val="2"/>
      <w:sz w:val="24"/>
      <w:szCs w:val="24"/>
      <w:lang w:val="en-US" w:eastAsia="zh-CN" w:bidi="ar-SA"/>
    </w:rPr>
  </w:style>
  <w:style w:type="paragraph" w:customStyle="1" w:styleId="80">
    <w:name w:val="z正文"/>
    <w:basedOn w:val="1"/>
    <w:qFormat/>
    <w:uiPriority w:val="0"/>
    <w:rPr>
      <w:rFonts w:cs="宋体"/>
      <w:kern w:val="0"/>
      <w:szCs w:val="20"/>
    </w:rPr>
  </w:style>
  <w:style w:type="table" w:customStyle="1" w:styleId="81">
    <w:name w:val="Table Normal"/>
    <w:qFormat/>
    <w:uiPriority w:val="0"/>
    <w:tblPr>
      <w:tblCellMar>
        <w:top w:w="0" w:type="dxa"/>
        <w:left w:w="0" w:type="dxa"/>
        <w:bottom w:w="0" w:type="dxa"/>
        <w:right w:w="0" w:type="dxa"/>
      </w:tblCellMar>
    </w:tblPr>
  </w:style>
  <w:style w:type="paragraph" w:customStyle="1" w:styleId="82">
    <w:name w:val="正文_4"/>
    <w:qFormat/>
    <w:uiPriority w:val="0"/>
    <w:pPr>
      <w:widowControl w:val="0"/>
      <w:jc w:val="both"/>
    </w:pPr>
    <w:rPr>
      <w:rFonts w:ascii="Calibri" w:hAnsi="Calibri" w:eastAsia="宋体" w:cs="Times New Roman"/>
      <w:kern w:val="2"/>
      <w:sz w:val="21"/>
      <w:lang w:val="en-US" w:eastAsia="zh-CN" w:bidi="ar-SA"/>
    </w:rPr>
  </w:style>
  <w:style w:type="paragraph" w:customStyle="1" w:styleId="83">
    <w:name w:val="文字描述"/>
    <w:basedOn w:val="1"/>
    <w:qFormat/>
    <w:uiPriority w:val="0"/>
    <w:pPr>
      <w:adjustRightInd w:val="0"/>
      <w:snapToGrid w:val="0"/>
      <w:spacing w:line="360" w:lineRule="auto"/>
      <w:ind w:firstLine="200" w:firstLineChars="200"/>
    </w:pPr>
    <w:rPr>
      <w:spacing w:val="-2"/>
      <w:szCs w:val="24"/>
    </w:rPr>
  </w:style>
  <w:style w:type="paragraph" w:customStyle="1" w:styleId="84">
    <w:name w:val="Other|1"/>
    <w:basedOn w:val="1"/>
    <w:qFormat/>
    <w:uiPriority w:val="0"/>
    <w:pPr>
      <w:spacing w:after="330"/>
    </w:pPr>
    <w:rPr>
      <w:rFonts w:ascii="宋体" w:hAnsi="宋体" w:cs="宋体"/>
    </w:rPr>
  </w:style>
  <w:style w:type="table" w:customStyle="1" w:styleId="85">
    <w:name w:val="网格型刘2"/>
    <w:basedOn w:val="26"/>
    <w:qFormat/>
    <w:uiPriority w:val="0"/>
    <w:pPr>
      <w:widowControl w:val="0"/>
      <w:jc w:val="center"/>
    </w:pPr>
    <w:tblPr>
      <w:tblBorders>
        <w:top w:val="single" w:color="auto" w:sz="12" w:space="0"/>
        <w:bottom w:val="single" w:color="auto" w:sz="12" w:space="0"/>
        <w:insideH w:val="single" w:color="auto" w:sz="4" w:space="0"/>
        <w:insideV w:val="single" w:color="auto" w:sz="4" w:space="0"/>
      </w:tblBorders>
    </w:tblPr>
    <w:tcPr>
      <w:vAlign w:val="center"/>
    </w:tcPr>
  </w:style>
  <w:style w:type="paragraph" w:customStyle="1" w:styleId="86">
    <w:name w:val="WPSOffice手动目录 1"/>
    <w:qFormat/>
    <w:uiPriority w:val="0"/>
    <w:pPr>
      <w:ind w:leftChars="0"/>
    </w:pPr>
    <w:rPr>
      <w:rFonts w:ascii="Times New Roman" w:hAnsi="Times New Roman" w:eastAsia="宋体" w:cs="Times New Roman"/>
      <w:sz w:val="20"/>
      <w:szCs w:val="20"/>
    </w:rPr>
  </w:style>
  <w:style w:type="paragraph" w:customStyle="1" w:styleId="87">
    <w:name w:val="样式 表中文字 + 两端对齐"/>
    <w:basedOn w:val="1"/>
    <w:qFormat/>
    <w:uiPriority w:val="0"/>
    <w:pPr>
      <w:spacing w:line="260" w:lineRule="exact"/>
      <w:jc w:val="center"/>
    </w:pPr>
    <w:rPr>
      <w:rFonts w:ascii="宋体" w:hAnsi="宋体"/>
      <w:szCs w:val="21"/>
    </w:rPr>
  </w:style>
  <w:style w:type="paragraph" w:customStyle="1" w:styleId="88">
    <w:name w:val="正文文本缩进 32"/>
    <w:basedOn w:val="1"/>
    <w:qFormat/>
    <w:uiPriority w:val="0"/>
    <w:pPr>
      <w:spacing w:line="500" w:lineRule="exact"/>
      <w:ind w:firstLine="560"/>
    </w:pPr>
    <w:rPr>
      <w:rFonts w:ascii="楷体_GB2312" w:eastAsia="楷体_GB2312"/>
      <w:sz w:val="28"/>
    </w:rPr>
  </w:style>
  <w:style w:type="paragraph" w:customStyle="1" w:styleId="89">
    <w:name w:val="样式 标题 4 + 段前: 5 磅 段后: 3 磅 行距: 固定值 26 磅"/>
    <w:basedOn w:val="6"/>
    <w:qFormat/>
    <w:uiPriority w:val="0"/>
    <w:pPr>
      <w:numPr>
        <w:ilvl w:val="0"/>
        <w:numId w:val="2"/>
      </w:numPr>
      <w:tabs>
        <w:tab w:val="left" w:pos="0"/>
      </w:tabs>
      <w:spacing w:before="0" w:after="0" w:line="500" w:lineRule="exact"/>
    </w:pPr>
    <w:rPr>
      <w:rFonts w:ascii="楷体_GB2312" w:hAnsi="宋体" w:eastAsia="楷体_GB2312" w:cs="Times New Roman"/>
      <w:color w:val="000000"/>
      <w:sz w:val="21"/>
      <w:szCs w:val="20"/>
    </w:rPr>
  </w:style>
  <w:style w:type="paragraph" w:customStyle="1" w:styleId="90">
    <w:name w:val="自己的正文"/>
    <w:basedOn w:val="9"/>
    <w:qFormat/>
    <w:uiPriority w:val="0"/>
    <w:pPr>
      <w:adjustRightInd w:val="0"/>
      <w:snapToGrid w:val="0"/>
      <w:spacing w:line="360" w:lineRule="auto"/>
      <w:ind w:firstLine="560" w:firstLineChars="200"/>
      <w:textAlignment w:val="baseline"/>
    </w:pPr>
    <w:rPr>
      <w:rFonts w:ascii="Times New Roman" w:hAnsi="Times New Roman" w:eastAsia="宋体"/>
      <w:color w:val="000000"/>
      <w:sz w:val="28"/>
      <w:szCs w:val="28"/>
    </w:rPr>
  </w:style>
  <w:style w:type="paragraph" w:customStyle="1" w:styleId="91">
    <w:name w:val="B封皮名称"/>
    <w:basedOn w:val="1"/>
    <w:qFormat/>
    <w:uiPriority w:val="0"/>
    <w:pPr>
      <w:widowControl/>
      <w:snapToGrid/>
      <w:spacing w:after="160" w:line="360" w:lineRule="auto"/>
      <w:ind w:firstLine="0" w:firstLineChars="0"/>
      <w:jc w:val="center"/>
    </w:pPr>
    <w:rPr>
      <w:rFonts w:asciiTheme="minorEastAsia" w:hAnsiTheme="minorEastAsia" w:eastAsiaTheme="minorEastAsia"/>
      <w:sz w:val="44"/>
      <w:szCs w:val="44"/>
    </w:rPr>
  </w:style>
  <w:style w:type="paragraph" w:customStyle="1" w:styleId="92">
    <w:name w:val="B封皮"/>
    <w:basedOn w:val="1"/>
    <w:qFormat/>
    <w:uiPriority w:val="0"/>
    <w:pPr>
      <w:snapToGrid/>
      <w:spacing w:line="360" w:lineRule="auto"/>
      <w:ind w:firstLine="667"/>
      <w:jc w:val="center"/>
    </w:pPr>
    <w:rPr>
      <w:b/>
      <w:sz w:val="36"/>
      <w:szCs w:val="36"/>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2" Type="http://schemas.openxmlformats.org/officeDocument/2006/relationships/fontTable" Target="fontTable.xml"/><Relationship Id="rId41" Type="http://schemas.openxmlformats.org/officeDocument/2006/relationships/customXml" Target="../customXml/item2.xml"/><Relationship Id="rId40" Type="http://schemas.openxmlformats.org/officeDocument/2006/relationships/numbering" Target="numbering.xml"/><Relationship Id="rId4" Type="http://schemas.openxmlformats.org/officeDocument/2006/relationships/footer" Target="footer2.xml"/><Relationship Id="rId39" Type="http://schemas.openxmlformats.org/officeDocument/2006/relationships/customXml" Target="../customXml/item1.xml"/><Relationship Id="rId38" Type="http://schemas.openxmlformats.org/officeDocument/2006/relationships/image" Target="media/image27.jpeg"/><Relationship Id="rId37" Type="http://schemas.openxmlformats.org/officeDocument/2006/relationships/image" Target="media/image26.png"/><Relationship Id="rId36" Type="http://schemas.openxmlformats.org/officeDocument/2006/relationships/image" Target="media/image25.png"/><Relationship Id="rId35" Type="http://schemas.openxmlformats.org/officeDocument/2006/relationships/image" Target="media/image24.jpeg"/><Relationship Id="rId34" Type="http://schemas.openxmlformats.org/officeDocument/2006/relationships/image" Target="media/image23.jpeg"/><Relationship Id="rId33" Type="http://schemas.openxmlformats.org/officeDocument/2006/relationships/image" Target="media/image22.jpeg"/><Relationship Id="rId32" Type="http://schemas.openxmlformats.org/officeDocument/2006/relationships/image" Target="media/image21.jpe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footer" Target="footer1.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emf"/><Relationship Id="rId26" Type="http://schemas.openxmlformats.org/officeDocument/2006/relationships/oleObject" Target="embeddings/oleObject2.bin"/><Relationship Id="rId25" Type="http://schemas.openxmlformats.org/officeDocument/2006/relationships/image" Target="media/image15.emf"/><Relationship Id="rId24" Type="http://schemas.openxmlformats.org/officeDocument/2006/relationships/oleObject" Target="embeddings/oleObject1.bin"/><Relationship Id="rId23" Type="http://schemas.openxmlformats.org/officeDocument/2006/relationships/image" Target="media/image14.jpeg"/><Relationship Id="rId22" Type="http://schemas.openxmlformats.org/officeDocument/2006/relationships/image" Target="media/image13.jpeg"/><Relationship Id="rId21" Type="http://schemas.openxmlformats.org/officeDocument/2006/relationships/image" Target="media/image12.jpeg"/><Relationship Id="rId20" Type="http://schemas.openxmlformats.org/officeDocument/2006/relationships/image" Target="media/image11.jpeg"/><Relationship Id="rId2" Type="http://schemas.openxmlformats.org/officeDocument/2006/relationships/settings" Target="settings.xml"/><Relationship Id="rId19" Type="http://schemas.openxmlformats.org/officeDocument/2006/relationships/image" Target="media/image10.jpeg"/><Relationship Id="rId18" Type="http://schemas.openxmlformats.org/officeDocument/2006/relationships/image" Target="media/image9.jpe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jpeg"/><Relationship Id="rId14" Type="http://schemas.openxmlformats.org/officeDocument/2006/relationships/image" Target="media/image5.png"/><Relationship Id="rId13" Type="http://schemas.openxmlformats.org/officeDocument/2006/relationships/image" Target="media/image4.jpeg"/><Relationship Id="rId12" Type="http://schemas.openxmlformats.org/officeDocument/2006/relationships/image" Target="media/image3.png"/><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d3184b29-44ef-4d02-a6fa-0ed5d6dcce78</errorID>
      <errorWord>设</errorWord>
      <group>L1_Word</group>
      <groupName>字词问题</groupName>
      <ability>L2_Typo</ability>
      <abilityName>字词错误</abilityName>
      <candidateList>
        <item>设备</item>
      </candidateList>
      <explain/>
      <paraID>3A390BC7</paraID>
      <start>34</start>
      <end>35</end>
      <status>unmodified</status>
      <modifiedWord/>
      <trackRevisions>false</trackRevisions>
    </reviewItem>
    <reviewItem>
      <errorID>2e07f692-b993-4332-8dbd-a0fe96e9cfdd</errorID>
      <errorWord>-</errorWord>
      <group>L1_Format</group>
      <groupName>格式问题</groupName>
      <ability>L2_HalfPunc_CN</ability>
      <abilityName>全半角问题</abilityName>
      <candidateList>
        <item>－</item>
      </candidateList>
      <explain>文本全半角错误。</explain>
      <paraID>1A45A139</paraID>
      <start>26</start>
      <end>27</end>
      <status>unmodified</status>
      <modifiedWord/>
      <trackRevisions>false</trackRevisions>
    </reviewItem>
    <reviewItem>
      <errorID>604c3a37-251a-4776-99dc-318472501684</errorID>
      <errorWord>-</errorWord>
      <group>L1_Format</group>
      <groupName>格式问题</groupName>
      <ability>L2_HalfPunc_CN</ability>
      <abilityName>全半角问题</abilityName>
      <candidateList>
        <item>－</item>
      </candidateList>
      <explain>文本全半角错误。</explain>
      <paraID>1A45A139</paraID>
      <start>27</start>
      <end>28</end>
      <status>unmodified</status>
      <modifiedWord/>
      <trackRevisions>false</trackRevisions>
    </reviewItem>
    <reviewItem>
      <errorID>2b864de8-df77-45d0-906d-085e5617696b</errorID>
      <errorWord>[2020]26号</errorWord>
      <group>L1_Knowledge</group>
      <groupName>知识性问题</groupName>
      <ability>L2_Knowledge</ability>
      <abilityName>其他知识</abilityName>
      <candidateList>
        <item>〔2020〕26号</item>
      </candidateList>
      <explain>发文字号格式错误。</explain>
      <paraID>5D5D42F8</paraID>
      <start>36</start>
      <end>45</end>
      <status>unmodified</status>
      <modifiedWord/>
      <trackRevisions>false</trackRevisions>
    </reviewItem>
    <reviewItem>
      <errorID>07d96766-e704-41ee-a610-ebebc3b9b4a4</errorID>
      <errorWord>[2020]26号</errorWord>
      <group>L1_Knowledge</group>
      <groupName>知识性问题</groupName>
      <ability>L2_Knowledge</ability>
      <abilityName>其他知识</abilityName>
      <candidateList>
        <item>〔2020〕26号</item>
      </candidateList>
      <explain>发文字号格式错误。</explain>
      <paraID>6B5CB71D</paraID>
      <start>36</start>
      <end>45</end>
      <status>unmodified</status>
      <modifiedWord/>
      <trackRevisions>false</trackRevisions>
    </reviewItem>
    <reviewItem>
      <errorID>8df826c5-8490-41c9-be75-db24dfc7ed77</errorID>
      <errorWord>[2020]26号</errorWord>
      <group>L1_Knowledge</group>
      <groupName>知识性问题</groupName>
      <ability>L2_Knowledge</ability>
      <abilityName>其他知识</abilityName>
      <candidateList>
        <item>〔2020〕26号</item>
      </candidateList>
      <explain>发文字号格式错误。</explain>
      <paraID>5EC3994B</paraID>
      <start>15</start>
      <end>24</end>
      <status>unmodified</status>
      <modifiedWord/>
      <trackRevisions>false</trackRevisions>
    </reviewItem>
    <reviewItem>
      <errorID>0665c056-3452-4256-b3e7-1890cfdd04df</errorID>
      <errorWord>[2021]21号</errorWord>
      <group>L1_Knowledge</group>
      <groupName>知识性问题</groupName>
      <ability>L2_Knowledge</ability>
      <abilityName>其他知识</abilityName>
      <candidateList>
        <item>〔2021〕21号</item>
      </candidateList>
      <explain>发文字号格式错误。</explain>
      <paraID>64AAAAC7</paraID>
      <start>43</start>
      <end>52</end>
      <status>unmodified</status>
      <modifiedWord/>
      <trackRevisions>false</trackRevisions>
    </reviewItem>
    <reviewItem>
      <errorID>662d52ca-ed4f-49f8-80fc-753299bfff2a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BF1CCBE</paraID>
      <start>38</start>
      <end>41</end>
      <status>unmodified</status>
      <modifiedWord/>
      <trackRevisions>false</trackRevisions>
    </reviewItem>
    <reviewItem>
      <errorID>74d00cab-7817-4d86-934a-7ba235222ac2</errorID>
      <errorWord>~</errorWord>
      <group>L1_Format</group>
      <groupName>格式问题</groupName>
      <ability>L2_HalfPunc_CN</ability>
      <abilityName>全半角问题</abilityName>
      <candidateList>
        <item>～</item>
      </candidateList>
      <explain>文本全半角错误。</explain>
      <paraID> BF1CCBE</paraID>
      <start>174</start>
      <end>175</end>
      <status>unmodified</status>
      <modifiedWord/>
      <trackRevisions>false</trackRevisions>
    </reviewItem>
    <reviewItem>
      <errorID>65f91758-6ab3-4aaf-b0c0-023d21adb30e</errorID>
      <errorWord>（2021）45号</errorWord>
      <group>L1_Knowledge</group>
      <groupName>知识性问题</groupName>
      <ability>L2_Knowledge</ability>
      <abilityName>其他知识</abilityName>
      <candidateList>
        <item>〔2021〕45号</item>
      </candidateList>
      <explain>发文字号格式错误。</explain>
      <paraID>48C3FEFE</paraID>
      <start>44</start>
      <end>53</end>
      <status>unmodified</status>
      <modifiedWord/>
      <trackRevisions>false</trackRevisions>
    </reviewItem>
    <reviewItem>
      <errorID>9d8eebda-ccec-4ef1-a99b-8dc968d5ad50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59E64696</paraID>
      <start>0</start>
      <end>2</end>
      <status>unmodified</status>
      <modifiedWord/>
      <trackRevisions>false</trackRevisions>
    </reviewItem>
    <reviewItem>
      <errorID>bb5aa7b7-dd15-4dae-8df1-c4b16aeb1fbb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2E1C2C47</paraID>
      <start>0</start>
      <end>2</end>
      <status>unmodified</status>
      <modifiedWord/>
      <trackRevisions>false</trackRevisions>
    </reviewItem>
    <reviewItem>
      <errorID>7b459e44-625d-4cfd-aaa5-e712458e0ff6</errorID>
      <errorWord>上线</errorWord>
      <group>L1_Word</group>
      <groupName>字词问题</groupName>
      <ability>L2_Typo</ability>
      <abilityName>字词错误</abilityName>
      <candidateList>
        <item>上限</item>
      </candidateList>
      <explain/>
      <paraID>2E1C2C47</paraID>
      <start>41</start>
      <end>43</end>
      <status>unmodified</status>
      <modifiedWord/>
      <trackRevisions>false</trackRevisions>
    </reviewItem>
    <reviewItem>
      <errorID>0834d9ae-3b4e-4a6b-bc2b-941de87e5d04</errorID>
      <errorWord>上线</errorWord>
      <group>L1_Word</group>
      <groupName>字词问题</groupName>
      <ability>L2_Typo</ability>
      <abilityName>字词错误</abilityName>
      <candidateList>
        <item>上限</item>
      </candidateList>
      <explain/>
      <paraID>6A709617</paraID>
      <start>49</start>
      <end>51</end>
      <status>unmodified</status>
      <modifiedWord/>
      <trackRevisions>false</trackRevisions>
    </reviewItem>
    <reviewItem>
      <errorID>6ec83225-9fb1-4260-b29d-491b43f47a3c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366A4773</paraID>
      <start>0</start>
      <end>2</end>
      <status>unmodified</status>
      <modifiedWord/>
      <trackRevisions>false</trackRevisions>
    </reviewItem>
    <reviewItem>
      <errorID>eabe732e-7500-409c-93df-706362bc1bb2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5CDBDCF4</paraID>
      <start>0</start>
      <end>2</end>
      <status>unmodified</status>
      <modifiedWord/>
      <trackRevisions>false</trackRevisions>
    </reviewItem>
    <reviewItem>
      <errorID>2450e3fe-56ca-4f6e-b200-164c86d1ed68</errorID>
      <errorWord>上线</errorWord>
      <group>L1_Word</group>
      <groupName>字词问题</groupName>
      <ability>L2_Typo</ability>
      <abilityName>字词错误</abilityName>
      <candidateList>
        <item>上限</item>
      </candidateList>
      <explain/>
      <paraID>28842914</paraID>
      <start>48</start>
      <end>50</end>
      <status>unmodified</status>
      <modifiedWord/>
      <trackRevisions>false</trackRevisions>
    </reviewItem>
    <reviewItem>
      <errorID>ff07ff06-5043-4d78-bd7c-cac9ccf72aaf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DCF2261</paraID>
      <start>0</start>
      <end>2</end>
      <status>unmodified</status>
      <modifiedWord/>
      <trackRevisions>false</trackRevisions>
    </reviewItem>
    <reviewItem>
      <errorID>dbdc3fac-7f65-4197-b5d0-2c0297008d26</errorID>
      <errorWord>;</errorWord>
      <group>L1_Format</group>
      <groupName>格式问题</groupName>
      <ability>L2_HalfPunc_CN</ability>
      <abilityName>全半角问题</abilityName>
      <candidateList>
        <item>；</item>
      </candidateList>
      <explain>文本全半角错误。</explain>
      <paraID>25C8F217</paraID>
      <start>89</start>
      <end>90</end>
      <status>unmodified</status>
      <modifiedWord/>
      <trackRevisions>false</trackRevisions>
    </reviewItem>
    <reviewItem>
      <errorID>757700b6-3be6-4431-89c9-ea721e02c2f7</errorID>
      <errorWord>存贮</errorWord>
      <group>L1_Word</group>
      <groupName>字词问题</groupName>
      <ability>L2_Typo</ability>
      <abilityName>字词错误</abilityName>
      <candidateList>
        <item>贮存</item>
      </candidateList>
      <explain/>
      <paraID>799B76A5</paraID>
      <start>11</start>
      <end>13</end>
      <status>unmodified</status>
      <modifiedWord/>
      <trackRevisions>false</trackRevisions>
    </reviewItem>
    <reviewItem>
      <errorID>bf826bae-d786-48f7-b55c-9c062eda35d4</errorID>
      <errorWord>[2021]21号</errorWord>
      <group>L1_Knowledge</group>
      <groupName>知识性问题</groupName>
      <ability>L2_Knowledge</ability>
      <abilityName>其他知识</abilityName>
      <candidateList>
        <item>〔2021〕21号</item>
      </candidateList>
      <explain>发文字号格式错误。</explain>
      <paraID>257E2228</paraID>
      <start>17</start>
      <end>26</end>
      <status>unmodified</status>
      <modifiedWord/>
      <trackRevisions>false</trackRevisions>
    </reviewItem>
    <reviewItem>
      <errorID>539567e2-3dbb-44d4-bbe6-dae9bde4111d</errorID>
      <errorWord>法律、法规</errorWord>
      <group>L1_Word</group>
      <groupName>字词问题</groupName>
      <ability>L2_Typo</ability>
      <abilityName>字词错误</abilityName>
      <candidateList>
        <item>法律法规</item>
      </candidateList>
      <explain/>
      <paraID>3604D000</paraID>
      <start>3</start>
      <end>8</end>
      <status>unmodified</status>
      <modifiedWord/>
      <trackRevisions>false</trackRevisions>
    </reviewItem>
    <reviewItem>
      <errorID>a04b8a2e-1319-44ae-9bac-be6c3ef1c4f7</errorID>
      <errorWord>文中</errorWord>
      <group>L1_Word</group>
      <groupName>字词问题</groupName>
      <ability>L2_Typo</ability>
      <abilityName>字词错误</abilityName>
      <candidateList>
        <item>中</item>
      </candidateList>
      <explain/>
      <paraID>1B770F51</paraID>
      <start>30</start>
      <end>32</end>
      <status>unmodified</status>
      <modifiedWord/>
      <trackRevisions>false</trackRevisions>
    </reviewItem>
    <reviewItem>
      <errorID>3389d60c-5e72-4f49-8939-4631f8ca2f57</errorID>
      <errorWord>外逸</errorWord>
      <group>L1_Word</group>
      <groupName>字词问题</groupName>
      <ability>L2_Typo</ability>
      <abilityName>字词错误</abilityName>
      <candidateList>
        <item>外溢</item>
      </candidateList>
      <explain/>
      <paraID>5AE1E330</paraID>
      <start>326</start>
      <end>328</end>
      <status>unmodified</status>
      <modifiedWord/>
      <trackRevisions>false</trackRevisions>
    </reviewItem>
    <reviewItem>
      <errorID>60adf708-476d-41d7-b97b-f6bf13c5b8ae</errorID>
      <errorWord>(</errorWord>
      <group>L1_Format</group>
      <groupName>格式问题</groupName>
      <ability>L2_HalfPunc_CN</ability>
      <abilityName>全半角问题</abilityName>
      <candidateList>
        <item>（</item>
      </candidateList>
      <explain>文本全半角错误。</explain>
      <paraID> 8C7F1DE</paraID>
      <start>34</start>
      <end>35</end>
      <status>unmodified</status>
      <modifiedWord/>
      <trackRevisions>false</trackRevisions>
    </reviewItem>
    <reviewItem>
      <errorID>50197ea8-ff1e-4b71-8f2a-2942b117f8c1</errorID>
      <errorWord>)</errorWord>
      <group>L1_Format</group>
      <groupName>格式问题</groupName>
      <ability>L2_HalfPunc_CN</ability>
      <abilityName>全半角问题</abilityName>
      <candidateList>
        <item>）</item>
      </candidateList>
      <explain>文本全半角错误。</explain>
      <paraID> 8C7F1DE</paraID>
      <start>36</start>
      <end>37</end>
      <status>unmodified</status>
      <modifiedWord/>
      <trackRevisions>false</trackRevisions>
    </reviewItem>
    <reviewItem>
      <errorID>81b1a648-c26f-4bcc-a4a4-7c95ff7c21ad</errorID>
      <errorWord>(</errorWord>
      <group>L1_Format</group>
      <groupName>格式问题</groupName>
      <ability>L2_HalfPunc_CN</ability>
      <abilityName>全半角问题</abilityName>
      <candidateList>
        <item>（</item>
      </candidateList>
      <explain>文本全半角错误。</explain>
      <paraID> 8C7F1DE</paraID>
      <start>59</start>
      <end>60</end>
      <status>unmodified</status>
      <modifiedWord/>
      <trackRevisions>false</trackRevisions>
    </reviewItem>
    <reviewItem>
      <errorID>b5dbd874-acf7-4882-af67-0210eecd0b23</errorID>
      <errorWord>)</errorWord>
      <group>L1_Format</group>
      <groupName>格式问题</groupName>
      <ability>L2_HalfPunc_CN</ability>
      <abilityName>全半角问题</abilityName>
      <candidateList>
        <item>）</item>
      </candidateList>
      <explain>文本全半角错误。</explain>
      <paraID> 8C7F1DE</paraID>
      <start>61</start>
      <end>62</end>
      <status>unmodified</status>
      <modifiedWord/>
      <trackRevisions>false</trackRevisions>
    </reviewItem>
    <reviewItem>
      <errorID>23450aa3-1dc7-4c7a-9cce-8a8d47aaa171</errorID>
      <errorWord>(</errorWord>
      <group>L1_Format</group>
      <groupName>格式问题</groupName>
      <ability>L2_HalfPunc_CN</ability>
      <abilityName>全半角问题</abilityName>
      <candidateList>
        <item>（</item>
      </candidateList>
      <explain>文本全半角错误。</explain>
      <paraID> 8C7F1DE</paraID>
      <start>153</start>
      <end>154</end>
      <status>unmodified</status>
      <modifiedWord/>
      <trackRevisions>false</trackRevisions>
    </reviewItem>
    <reviewItem>
      <errorID>dd7f7d58-3a30-4ce6-b1f8-f0d9af3107e9</errorID>
      <errorWord>)</errorWord>
      <group>L1_Format</group>
      <groupName>格式问题</groupName>
      <ability>L2_HalfPunc_CN</ability>
      <abilityName>全半角问题</abilityName>
      <candidateList>
        <item>）</item>
      </candidateList>
      <explain>文本全半角错误。</explain>
      <paraID> 8C7F1DE</paraID>
      <start>156</start>
      <end>157</end>
      <status>unmodified</status>
      <modifiedWord/>
      <trackRevisions>false</trackRevisions>
    </reviewItem>
    <reviewItem>
      <errorID>b68a02f6-bd52-4657-b125-d2bba0e4290b</errorID>
      <errorWord>,</errorWord>
      <group>L1_Format</group>
      <groupName>格式问题</groupName>
      <ability>L2_HalfPunc_CN</ability>
      <abilityName>全半角问题</abilityName>
      <candidateList>
        <item>，</item>
      </candidateList>
      <explain>文本全半角错误。</explain>
      <paraID> 8C7F1DE</paraID>
      <start>172</start>
      <end>173</end>
      <status>unmodified</status>
      <modifiedWord/>
      <trackRevisions>false</trackRevisions>
    </reviewItem>
    <reviewItem>
      <errorID>25cea49c-98c2-4d5f-bc61-4fe7b332b516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6FF2559E</paraID>
      <start>23</start>
      <end>24</end>
      <status>unmodified</status>
      <modifiedWord/>
      <trackRevisions>false</trackRevisions>
    </reviewItem>
    <reviewItem>
      <errorID>91a6c872-dc2c-43ef-aa13-22933f3ad940</errorID>
      <errorWord>经济的高质量发展</errorWord>
      <group>L1_Word</group>
      <groupName>字词问题</groupName>
      <ability>L2_Typo</ability>
      <abilityName>字词错误</abilityName>
      <candidateList>
        <item>经济高质量发展</item>
      </candidateList>
      <explain/>
      <paraID>75F9D834</paraID>
      <start>30</start>
      <end>38</end>
      <status>unmodified</status>
      <modifiedWord/>
      <trackRevisions>false</trackRevisions>
    </reviewItem>
    <reviewItem>
      <errorID>bb7d7d14-5bf7-42f3-9e5a-aa5ba767603d</errorID>
      <errorWord>核心价值观</errorWord>
      <group>L1_Political</group>
      <groupName>政治性问题</groupName>
      <ability>L2_Unpolitical</ability>
      <abilityName>政治敏感错误</abilityName>
      <candidateList>
        <item>社会主义核心价值观</item>
      </candidateList>
      <explain/>
      <paraID>4BD94159</paraID>
      <start>29</start>
      <end>34</end>
      <status>unmodified</status>
      <modifiedWord/>
      <trackRevisions>false</trackRevisions>
    </reviewItem>
    <reviewItem>
      <errorID>61bcd3bc-7ad4-42c4-9ad2-c370e228e522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2478D64B</paraID>
      <start>60</start>
      <end>61</end>
      <status>unmodified</status>
      <modifiedWord/>
      <trackRevisions>false</trackRevisions>
    </reviewItem>
    <reviewItem>
      <errorID>dbf8548a-1e25-4ef1-9abd-441d8d086521</errorID>
      <errorWord>2万-4万</errorWord>
      <group>L1_Knowledge</group>
      <groupName>知识性问题</groupName>
      <ability>L2_Knowledge</ability>
      <abilityName>其他知识</abilityName>
      <candidateList>
        <item>2万—4万</item>
      </candidateList>
      <explain>1. “2万-4万”中的单位“万”仅出现在后一个数字上，容易引起歧义；根据《现代汉语标点符号数字用法规范手册》，数字表示范围两边需要使用统一的格式。2.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 9551323</paraID>
      <start>238</start>
      <end>243</end>
      <status>unmodified</status>
      <modifiedWord/>
      <trackRevisions>false</trackRevisions>
    </reviewItem>
    <reviewItem>
      <errorID>20c38c4c-eddc-432b-8da4-8494d22cbe20</errorID>
      <errorWord>，</errorWord>
      <group>L1_Format</group>
      <groupName>格式问题</groupName>
      <ability>L2_HalfPunc_CN</ability>
      <abilityName>全半角问题</abilityName>
      <candidateList>
        <item>, </item>
      </candidateList>
      <explain>文本全半角错误。</explain>
      <paraID>5ECE6820</paraID>
      <start>8</start>
      <end>9</end>
      <status>unmodified</status>
      <modifiedWord/>
      <trackRevisions>false</trackRevisions>
    </reviewItem>
    <reviewItem>
      <errorID>95c2a41c-ea33-4a4b-b2b5-2643d1ef2192</errorID>
      <errorWord>，</errorWord>
      <group>L1_Format</group>
      <groupName>格式问题</groupName>
      <ability>L2_HalfPunc_CN</ability>
      <abilityName>全半角问题</abilityName>
      <candidateList>
        <item>, </item>
      </candidateList>
      <explain>文本全半角错误。</explain>
      <paraID>5ECE6820</paraID>
      <start>18</start>
      <end>19</end>
      <status>unmodified</status>
      <modifiedWord/>
      <trackRevisions>false</trackRevisions>
    </reviewItem>
    <reviewItem>
      <errorID>7f08544b-0b29-4c5f-9f10-272b62aad017</errorID>
      <errorWord>，</errorWord>
      <group>L1_Format</group>
      <groupName>格式问题</groupName>
      <ability>L2_HalfPunc_CN</ability>
      <abilityName>全半角问题</abilityName>
      <candidateList>
        <item>, </item>
      </candidateList>
      <explain>文本全半角错误。</explain>
      <paraID>5ECE6820</paraID>
      <start>27</start>
      <end>28</end>
      <status>unmodified</status>
      <modifiedWord/>
      <trackRevisions>false</trackRevisions>
    </reviewItem>
    <reviewItem>
      <errorID>7e48a806-b219-4c10-927e-5cdc3f919634</errorID>
      <errorWord>，</errorWord>
      <group>L1_Format</group>
      <groupName>格式问题</groupName>
      <ability>L2_HalfPunc_CN</ability>
      <abilityName>全半角问题</abilityName>
      <candidateList>
        <item>, </item>
      </candidateList>
      <explain>文本全半角错误。</explain>
      <paraID>5A67E688</paraID>
      <start>8</start>
      <end>9</end>
      <status>unmodified</status>
      <modifiedWord/>
      <trackRevisions>false</trackRevisions>
    </reviewItem>
    <reviewItem>
      <errorID>c226a43f-3dd8-4616-a497-5ca46f7e236c</errorID>
      <errorWord>，</errorWord>
      <group>L1_Format</group>
      <groupName>格式问题</groupName>
      <ability>L2_HalfPunc_CN</ability>
      <abilityName>全半角问题</abilityName>
      <candidateList>
        <item>, </item>
      </candidateList>
      <explain>文本全半角错误。</explain>
      <paraID>5A67E688</paraID>
      <start>17</start>
      <end>18</end>
      <status>unmodified</status>
      <modifiedWord/>
      <trackRevisions>false</trackRevisions>
    </reviewItem>
    <reviewItem>
      <errorID>15df8740-e31d-4048-a552-0dce0d6fb104</errorID>
      <errorWord>，</errorWord>
      <group>L1_Format</group>
      <groupName>格式问题</groupName>
      <ability>L2_HalfPunc_CN</ability>
      <abilityName>全半角问题</abilityName>
      <candidateList>
        <item>, </item>
      </candidateList>
      <explain>文本全半角错误。</explain>
      <paraID>5A67E688</paraID>
      <start>26</start>
      <end>27</end>
      <status>unmodified</status>
      <modifiedWord/>
      <trackRevisions>false</trackRevisions>
    </reviewItem>
    <reviewItem>
      <errorID>437bcac7-d664-4f6d-94dc-4ca4f4e6a1e4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213B9CAB</paraID>
      <start>0</start>
      <end>2</end>
      <status>unmodified</status>
      <modifiedWord/>
      <trackRevisions>false</trackRevisions>
    </reviewItem>
    <reviewItem>
      <errorID>f332b40f-afb3-47ff-9388-6a4d8eeec690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5C6880D6</paraID>
      <start>0</start>
      <end>2</end>
      <status>unmodified</status>
      <modifiedWord/>
      <trackRevisions>false</trackRevisions>
    </reviewItem>
    <reviewItem>
      <errorID>a054e4f7-7f13-48a5-be9d-accd8d168834</errorID>
      <errorWord>[2006]222号</errorWord>
      <group>L1_Knowledge</group>
      <groupName>知识性问题</groupName>
      <ability>L2_Knowledge</ability>
      <abilityName>其他知识</abilityName>
      <candidateList>
        <item>〔2006〕222号</item>
      </candidateList>
      <explain>发文字号格式错误。</explain>
      <paraID>342D30DF</paraID>
      <start>21</start>
      <end>31</end>
      <status>unmodified</status>
      <modifiedWord/>
      <trackRevisions>false</trackRevisions>
    </reviewItem>
    <reviewItem>
      <errorID>14886301-7306-48cb-81dc-8e677f2122ea</errorID>
      <errorWord>[2022]47号</errorWord>
      <group>L1_Knowledge</group>
      <groupName>知识性问题</groupName>
      <ability>L2_Knowledge</ability>
      <abilityName>其他知识</abilityName>
      <candidateList>
        <item>〔2022〕47号</item>
      </candidateList>
      <explain>发文字号格式错误。</explain>
      <paraID> 5DA07E6</paraID>
      <start>26</start>
      <end>35</end>
      <status>unmodified</status>
      <modifiedWord/>
      <trackRevisions>false</trackRevisions>
    </reviewItem>
    <reviewItem>
      <errorID>c8d4773d-fb21-4c8b-a29e-d90c20f4eb4b</errorID>
      <errorWord>(</errorWord>
      <group>L1_Format</group>
      <groupName>格式问题</groupName>
      <ability>L2_HalfPunc_CN</ability>
      <abilityName>全半角问题</abilityName>
      <candidateList>
        <item>（</item>
      </candidateList>
      <explain>文本全半角错误。</explain>
      <paraID>2347DD59</paraID>
      <start>39</start>
      <end>40</end>
      <status>unmodified</status>
      <modifiedWord/>
      <trackRevisions>false</trackRevisions>
    </reviewItem>
    <reviewItem>
      <errorID>01e17ca1-03ca-481a-a373-551d7ea00ca5</errorID>
      <errorWord>)</errorWord>
      <group>L1_Format</group>
      <groupName>格式问题</groupName>
      <ability>L2_HalfPunc_CN</ability>
      <abilityName>全半角问题</abilityName>
      <candidateList>
        <item>）</item>
      </candidateList>
      <explain>文本全半角错误。</explain>
      <paraID>2347DD59</paraID>
      <start>42</start>
      <end>43</end>
      <status>unmodified</status>
      <modifiedWord/>
      <trackRevisions>false</trackRevisions>
    </reviewItem>
    <reviewItem>
      <errorID>fa5d8efe-81fd-4aa9-b636-8a4ccbef812b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22462FE3</paraID>
      <start>69</start>
      <end>70</end>
      <status>unmodified</status>
      <modifiedWord/>
      <trackRevisions>false</trackRevisions>
    </reviewItem>
    <reviewItem>
      <errorID>c4a3a656-562f-4271-93ff-be8f13fd774b</errorID>
      <errorWord>》（试行）</errorWord>
      <group>L1_Word</group>
      <groupName>字词问题</groupName>
      <ability>L2_Typo</ability>
      <abilityName>字词错误</abilityName>
      <candidateList>
        <item>（试行）》</item>
      </candidateList>
      <explain/>
      <paraID> F7A1CC1</paraID>
      <start>27</start>
      <end>32</end>
      <status>unmodified</status>
      <modifiedWord/>
      <trackRevisions>false</trackRevisions>
    </reviewItem>
    <reviewItem>
      <errorID>2cc65788-e245-40cd-9a86-051c49f0b78a</errorID>
      <errorWord>（</errorWord>
      <group>L1_Punc</group>
      <groupName>标点问题</groupName>
      <ability>L2_Punc_CN</ability>
      <abilityName>标点符号问题</abilityName>
      <candidateList/>
      <explain>同一形式括号套用。</explain>
      <paraID> 844177B</paraID>
      <start>2</start>
      <end>3</end>
      <status>unmodified</status>
      <modifiedWord/>
      <trackRevisions>false</trackRevisions>
    </reviewItem>
    <reviewItem>
      <errorID>f75480bd-f417-4c4c-8e5f-cd62a13271f5</errorID>
      <errorWord>(</errorWord>
      <group>L1_Punc</group>
      <groupName>标点问题</groupName>
      <ability>L2_Punc_CN</ability>
      <abilityName>标点符号问题</abilityName>
      <candidateList/>
      <explain>同一形式括号套用。</explain>
      <paraID> 844177B</paraID>
      <start>5</start>
      <end>6</end>
      <status>unmodified</status>
      <modifiedWord/>
      <trackRevisions>false</trackRevisions>
    </reviewItem>
    <reviewItem>
      <errorID>2d0381ce-8782-4d64-a06d-7bd5c583fa05</errorID>
      <errorWord>)</errorWord>
      <group>L1_Punc</group>
      <groupName>标点问题</groupName>
      <ability>L2_Punc_CN</ability>
      <abilityName>标点符号问题</abilityName>
      <candidateList/>
      <explain>同一形式括号套用。</explain>
      <paraID> 844177B</paraID>
      <start>7</start>
      <end>8</end>
      <status>unmodified</status>
      <modifiedWord/>
      <trackRevisions>false</trackRevisions>
    </reviewItem>
    <reviewItem>
      <errorID>bc42c9e8-5b52-4858-9e3d-ab66674195c4</errorID>
      <errorWord>）</errorWord>
      <group>L1_Punc</group>
      <groupName>标点问题</groupName>
      <ability>L2_Punc_CN</ability>
      <abilityName>标点符号问题</abilityName>
      <candidateList/>
      <explain>同一形式括号套用。</explain>
      <paraID> 844177B</paraID>
      <start>8</start>
      <end>9</end>
      <status>unmodified</status>
      <modifiedWord/>
      <trackRevisions>false</trackRevisions>
    </reviewItem>
    <reviewItem>
      <errorID>36200798-cefd-407a-9671-84b7e8bb55da</errorID>
      <errorWord>（</errorWord>
      <group>L1_Punc</group>
      <groupName>标点问题</groupName>
      <ability>L2_Punc_CN</ability>
      <abilityName>标点符号问题</abilityName>
      <candidateList/>
      <explain>同一形式括号套用。</explain>
      <paraID>38CEB296</paraID>
      <start>2</start>
      <end>3</end>
      <status>unmodified</status>
      <modifiedWord/>
      <trackRevisions>false</trackRevisions>
    </reviewItem>
    <reviewItem>
      <errorID>8633ba77-25d5-4241-a196-40446a86b875</errorID>
      <errorWord>(</errorWord>
      <group>L1_Punc</group>
      <groupName>标点问题</groupName>
      <ability>L2_Punc_CN</ability>
      <abilityName>标点符号问题</abilityName>
      <candidateList/>
      <explain>同一形式括号套用。</explain>
      <paraID>38CEB296</paraID>
      <start>5</start>
      <end>6</end>
      <status>unmodified</status>
      <modifiedWord/>
      <trackRevisions>false</trackRevisions>
    </reviewItem>
    <reviewItem>
      <errorID>d06ed8d6-a891-4a57-856e-9037afe0742f</errorID>
      <errorWord>)</errorWord>
      <group>L1_Punc</group>
      <groupName>标点问题</groupName>
      <ability>L2_Punc_CN</ability>
      <abilityName>标点符号问题</abilityName>
      <candidateList/>
      <explain>同一形式括号套用。</explain>
      <paraID>38CEB296</paraID>
      <start>7</start>
      <end>8</end>
      <status>unmodified</status>
      <modifiedWord/>
      <trackRevisions>false</trackRevisions>
    </reviewItem>
    <reviewItem>
      <errorID>18758e11-346a-4b0f-a276-347566f7102a</errorID>
      <errorWord>）</errorWord>
      <group>L1_Punc</group>
      <groupName>标点问题</groupName>
      <ability>L2_Punc_CN</ability>
      <abilityName>标点符号问题</abilityName>
      <candidateList/>
      <explain>同一形式括号套用。</explain>
      <paraID>38CEB296</paraID>
      <start>8</start>
      <end>9</end>
      <status>unmodified</status>
      <modifiedWord/>
      <trackRevisions>false</trackRevisions>
    </reviewItem>
    <reviewItem>
      <errorID>63b9f9bb-8bcf-470a-a138-8daad7d4a604</errorID>
      <errorWord>(</errorWord>
      <group>L1_Format</group>
      <groupName>格式问题</groupName>
      <ability>L2_HalfPunc_CN</ability>
      <abilityName>全半角问题</abilityName>
      <candidateList>
        <item>（</item>
      </candidateList>
      <explain>文本全半角错误。</explain>
      <paraID>1653A945</paraID>
      <start>59</start>
      <end>60</end>
      <status>unmodified</status>
      <modifiedWord/>
      <trackRevisions>false</trackRevisions>
    </reviewItem>
    <reviewItem>
      <errorID>a97d1656-095a-4a96-8db9-3074b6befb9a</errorID>
      <errorWord>)</errorWord>
      <group>L1_Format</group>
      <groupName>格式问题</groupName>
      <ability>L2_HalfPunc_CN</ability>
      <abilityName>全半角问题</abilityName>
      <candidateList>
        <item>）</item>
      </candidateList>
      <explain>文本全半角错误。</explain>
      <paraID>1653A945</paraID>
      <start>68</start>
      <end>69</end>
      <status>unmodified</status>
      <modifiedWord/>
      <trackRevisions>false</trackRevisions>
    </reviewItem>
    <reviewItem>
      <errorID>7da0ce1d-11a6-4779-a39a-c37b15ed549d</errorID>
      <errorWord>来自于</errorWord>
      <group>L1_Word</group>
      <groupName>字词问题</groupName>
      <ability>L2_Typo</ability>
      <abilityName>字词错误</abilityName>
      <candidateList>
        <item>来自</item>
      </candidateList>
      <explain/>
      <paraID> CF78D48</paraID>
      <start>6</start>
      <end>9</end>
      <status>unmodified</status>
      <modifiedWord/>
      <trackRevisions>false</trackRevisions>
    </reviewItem>
    <reviewItem>
      <errorID>ebfbafc3-6446-4c42-820f-37fe1520e048</errorID>
      <errorWord>来自于</errorWord>
      <group>L1_Word</group>
      <groupName>字词问题</groupName>
      <ability>L2_Typo</ability>
      <abilityName>字词错误</abilityName>
      <candidateList>
        <item>来自</item>
      </candidateList>
      <explain/>
      <paraID> CF78D48</paraID>
      <start>95</start>
      <end>98</end>
      <status>unmodified</status>
      <modifiedWord/>
      <trackRevisions>false</trackRevisions>
    </reviewItem>
    <reviewItem>
      <errorID>d595e82f-b138-4125-aff3-c789c053ed7f</errorID>
      <errorWord>其它杂质</errorWord>
      <group>L1_Word</group>
      <groupName>字词问题</groupName>
      <ability>L2_Alias</ability>
      <abilityName>也作/曾用词</abilityName>
      <candidateList>
        <item>其他杂质</item>
      </candidateList>
      <explain>词汇[其它杂质]为不规范表述或旧称，其规范书面表述为[其他杂质]。</explain>
      <paraID>71B4BBBB</paraID>
      <start>31</start>
      <end>35</end>
      <status>unmodified</status>
      <modifiedWord/>
      <trackRevisions>false</trackRevisions>
    </reviewItem>
    <reviewItem>
      <errorID>697bb9c8-16ea-4fa6-ab4a-1e55cbd5a638</errorID>
      <errorWord>计</errorWord>
      <group>L1_Word</group>
      <groupName>字词问题</groupName>
      <ability>L2_Typo</ability>
      <abilityName>字词错误</abilityName>
      <candidateList>
        <item>计算</item>
      </candidateList>
      <explain/>
      <paraID>101FA789</paraID>
      <start>27</start>
      <end>28</end>
      <status>unmodified</status>
      <modifiedWord/>
      <trackRevisions>false</trackRevisions>
    </reviewItem>
    <reviewItem>
      <errorID>8f5ad07a-79eb-4432-b738-a0f295df11ad</errorID>
      <errorWord>期间</errorWord>
      <group>L1_Word</group>
      <groupName>字词问题</groupName>
      <ability>L2_Typo</ability>
      <abilityName>字词错误</abilityName>
      <candidateList>
        <item>其间</item>
      </candidateList>
      <explain/>
      <paraID>11B7DD0C</paraID>
      <start>42</start>
      <end>44</end>
      <status>unmodified</status>
      <modifiedWord/>
      <trackRevisions>false</trackRevisions>
    </reviewItem>
    <reviewItem>
      <errorID>6331efa9-358c-4e7c-966a-bc26b13df05d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6D93D90</paraID>
      <start>0</start>
      <end>2</end>
      <status>unmodified</status>
      <modifiedWord/>
      <trackRevisions>false</trackRevisions>
    </reviewItem>
    <reviewItem>
      <errorID>c755e564-c89d-4e59-ac08-1e96a5ed9bc1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2489158A</paraID>
      <start>0</start>
      <end>2</end>
      <status>unmodified</status>
      <modifiedWord/>
      <trackRevisions>false</trackRevisions>
    </reviewItem>
    <reviewItem>
      <errorID>f436eb91-e4fb-4761-9071-e5b6768ff791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58916D3E</paraID>
      <start>0</start>
      <end>2</end>
      <status>unmodified</status>
      <modifiedWord/>
      <trackRevisions>false</trackRevisions>
    </reviewItem>
    <reviewItem>
      <errorID>b8b60cb9-1b93-4ad4-8eeb-870b13d6d54f</errorID>
      <errorWord>)</errorWord>
      <group>L1_Format</group>
      <groupName>格式问题</groupName>
      <ability>L2_HalfPunc_CN</ability>
      <abilityName>全半角问题</abilityName>
      <candidateList>
        <item>）</item>
      </candidateList>
      <explain>文本全半角错误。</explain>
      <paraID>2E4C9B49</paraID>
      <start>16</start>
      <end>17</end>
      <status>unmodified</status>
      <modifiedWord/>
      <trackRevisions>false</trackRevisions>
    </reviewItem>
    <reviewItem>
      <errorID>3b7ac92d-12b3-490d-957f-ecadee32b998</errorID>
      <errorWord>)</errorWord>
      <group>L1_Format</group>
      <groupName>格式问题</groupName>
      <ability>L2_HalfPunc_CN</ability>
      <abilityName>全半角问题</abilityName>
      <candidateList>
        <item>）</item>
      </candidateList>
      <explain>文本全半角错误。</explain>
      <paraID>78809120</paraID>
      <start>31</start>
      <end>32</end>
      <status>unmodified</status>
      <modifiedWord/>
      <trackRevisions>false</trackRevisions>
    </reviewItem>
    <reviewItem>
      <errorID>edb10cbe-c2fe-4754-b2ca-56f13cb0aa7b</errorID>
      <errorWord>的</errorWord>
      <group>L1_Word</group>
      <groupName>字词问题</groupName>
      <ability>L2_DDD</ability>
      <abilityName>的地得用法</abilityName>
      <candidateList>
        <item>地</item>
      </candidateList>
      <explain/>
      <paraID>59F5FC7D</paraID>
      <start>114</start>
      <end>115</end>
      <status>unmodified</status>
      <modifiedWord/>
      <trackRevisions>false</trackRevisions>
    </reviewItem>
    <reviewItem>
      <errorID>54a849bb-f59b-4557-80ed-13b2d96db622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228F27D8</paraID>
      <start>181</start>
      <end>182</end>
      <status>unmodified</status>
      <modifiedWord/>
      <trackRevisions>false</trackRevisions>
    </reviewItem>
    <reviewItem>
      <errorID>bf594bd2-ad51-46bf-97ad-321d004ad686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228F27D8</paraID>
      <start>205</start>
      <end>206</end>
      <status>unmodified</status>
      <modifiedWord/>
      <trackRevisions>false</trackRevisions>
    </reviewItem>
    <reviewItem>
      <errorID>d563f641-3906-41e8-a633-ddcc32119eef</errorID>
      <errorWord>，</errorWord>
      <group>L1_Format</group>
      <groupName>格式问题</groupName>
      <ability>L2_HalfPunc_CN</ability>
      <abilityName>全半角问题</abilityName>
      <candidateList>
        <item>, </item>
      </candidateList>
      <explain>文本全半角错误。</explain>
      <paraID>10A33417</paraID>
      <start>1</start>
      <end>2</end>
      <status>unmodified</status>
      <modifiedWord/>
      <trackRevisions>false</trackRevisions>
    </reviewItem>
    <reviewItem>
      <errorID>3e6505ca-a85d-4548-a4aa-811d3292337c</errorID>
      <errorWord>-</errorWord>
      <group>L1_Format</group>
      <groupName>格式问题</groupName>
      <ability>L2_HalfPunc_CN</ability>
      <abilityName>全半角问题</abilityName>
      <candidateList>
        <item>－</item>
      </candidateList>
      <explain>文本全半角错误。</explain>
      <paraID>33C58E8C</paraID>
      <start>13</start>
      <end>14</end>
      <status>unmodified</status>
      <modifiedWord/>
      <trackRevisions>false</trackRevisions>
    </reviewItem>
    <reviewItem>
      <errorID>6e4b4a0d-27c5-499b-a34f-ed864340c1c4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31DDCE08</paraID>
      <start>24</start>
      <end>25</end>
      <status>unmodified</status>
      <modifiedWord/>
      <trackRevisions>false</trackRevisions>
    </reviewItem>
    <reviewItem>
      <errorID>c42d3681-8168-4e6d-959f-0772619ab726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192581A5</paraID>
      <start>24</start>
      <end>25</end>
      <status>unmodified</status>
      <modifiedWord/>
      <trackRevisions>false</trackRevisions>
    </reviewItem>
    <reviewItem>
      <errorID>788ba9b6-4d49-431f-8fcd-d79d205c6591</errorID>
      <errorWord>无需设置</errorWord>
      <group>L1_Word</group>
      <groupName>字词问题</groupName>
      <ability>L2_Alias</ability>
      <abilityName>也作/曾用词</abilityName>
      <candidateList>
        <item>无须设置</item>
      </candidateList>
      <explain>词汇[无需设置]为不规范表述或旧称，其规范书面表述为[无须设置]。</explain>
      <paraID>380D2877</paraID>
      <start>29</start>
      <end>33</end>
      <status>unmodified</status>
      <modifiedWord/>
      <trackRevisions>false</trackRevisions>
    </reviewItem>
    <reviewItem>
      <errorID>69bb8fb3-cac1-473a-b6a8-aa6ceea4d85a</errorID>
      <errorWord>设</errorWord>
      <group>L1_Word</group>
      <groupName>字词问题</groupName>
      <ability>L2_Typo</ability>
      <abilityName>字词错误</abilityName>
      <candidateList>
        <item>设立</item>
      </candidateList>
      <explain/>
      <paraID>44B70341</paraID>
      <start>21</start>
      <end>22</end>
      <status>unmodified</status>
      <modifiedWord/>
      <trackRevisions>false</trackRevisions>
    </reviewItem>
    <reviewItem>
      <errorID>2d1b0f81-da39-41a3-972f-8c2cc0f59eab</errorID>
      <errorWord>，</errorWord>
      <group>L1_Word</group>
      <groupName>字词问题</groupName>
      <ability>L2_Typo</ability>
      <abilityName>字词错误</abilityName>
      <candidateList>
        <item>，具</item>
      </candidateList>
      <explain/>
      <paraID>6A65A7A0</paraID>
      <start>42</start>
      <end>43</end>
      <status>unmodified</status>
      <modifiedWord/>
      <trackRevisions>false</trackRevisions>
    </reviewItem>
    <reviewItem>
      <errorID>4477a77c-7bc1-4c45-86e1-8a7c48e6163f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4911B548</paraID>
      <start>0</start>
      <end>2</end>
      <status>unmodified</status>
      <modifiedWord/>
      <trackRevisions>false</trackRevisions>
    </reviewItem>
    <reviewItem>
      <errorID>143dca22-2878-4f0a-a051-51de08f436a9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3685C4E8</paraID>
      <start>0</start>
      <end>2</end>
      <status>unmodified</status>
      <modifiedWord/>
      <trackRevisions>false</trackRevisions>
    </reviewItem>
    <reviewItem>
      <errorID>fad2b937-e197-48d8-8f1e-608fb256c8f7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1F7C1AA9</paraID>
      <start>0</start>
      <end>2</end>
      <status>unmodified</status>
      <modifiedWord/>
      <trackRevisions>false</trackRevisions>
    </reviewItem>
    <reviewItem>
      <errorID>896d67fe-59c9-4f1d-a635-104c31f9517c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51A0979A</paraID>
      <start>0</start>
      <end>2</end>
      <status>unmodified</status>
      <modifiedWord/>
      <trackRevisions>false</trackRevisions>
    </reviewItem>
    <reviewItem>
      <errorID>286ef89b-4d0f-4e6c-970a-7f9dafaef2d9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47372DB6</paraID>
      <start>0</start>
      <end>2</end>
      <status>unmodified</status>
      <modifiedWord/>
      <trackRevisions>false</trackRevisions>
    </reviewItem>
    <reviewItem>
      <errorID>134b465e-2503-4aad-baa0-56a9419d6df0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738DFE95</paraID>
      <start>0</start>
      <end>2</end>
      <status>unmodified</status>
      <modifiedWord/>
      <trackRevisions>false</trackRevisions>
    </reviewItem>
    <reviewItem>
      <errorID>bc9e75bb-99db-4610-809c-072fc91d7eaf</errorID>
      <errorWord>[1996]463号</errorWord>
      <group>L1_Knowledge</group>
      <groupName>知识性问题</groupName>
      <ability>L2_Knowledge</ability>
      <abilityName>其他知识</abilityName>
      <candidateList>
        <item>〔1996〕463号</item>
      </candidateList>
      <explain>发文字号格式错误。</explain>
      <paraID>569F5083</paraID>
      <start>36</start>
      <end>46</end>
      <status>unmodified</status>
      <modifiedWord/>
      <trackRevisions>false</trackRevisions>
    </reviewItem>
    <reviewItem>
      <errorID>5019ddf2-3729-4f75-b4b3-4caaa6d304b2</errorID>
      <errorWord>树立</errorWord>
      <group>L1_Word</group>
      <groupName>字词问题</groupName>
      <ability>L2_Typo</ability>
      <abilityName>字词错误</abilityName>
      <candidateList>
        <item>竖立</item>
      </candidateList>
      <explain/>
      <paraID>569F5083</paraID>
      <start>56</start>
      <end>58</end>
      <status>unmodified</status>
      <modifiedWord/>
      <trackRevisions>false</trackRevisions>
    </reviewItem>
    <reviewItem>
      <errorID>98688789-99bf-48f9-a244-f3adcc0745a3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3F5E2E1A</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eb8251b-7fdc-42a7-b909-a4e750030448}">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56</Pages>
  <Words>9956</Words>
  <Characters>10929</Characters>
  <Paragraphs>5214</Paragraphs>
  <TotalTime>8</TotalTime>
  <ScaleCrop>false</ScaleCrop>
  <LinksUpToDate>false</LinksUpToDate>
  <CharactersWithSpaces>11080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2020-12-24T01:29:00Z</dcterms:created>
  <dc:creator>lhj</dc:creator>
  <cp:lastModifiedBy>①分錢╰_╯³</cp:lastModifiedBy>
  <cp:lastPrinted>2026-08-24T01:02:00Z</cp:lastPrinted>
  <dcterms:modified xsi:type="dcterms:W3CDTF">2026-09-09T07:32:22Z</dcterms:modified>
  <dc:title>附件2</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662F6B53002447AA9FC1A7E5CB8BE302_13</vt:lpwstr>
  </property>
  <property fmtid="{D5CDD505-2E9C-101B-9397-08002B2CF9AE}" pid="4" name="KSOTemplateDocerSaveRecord">
    <vt:lpwstr>eyJoZGlkIjoiY2FkMzEwZWM5OGViYmJhY2VjNjI4ODI3ZmEwNGY5ZmYiLCJ1c2VySWQiOiIzNzM1NTY0NzYifQ==</vt:lpwstr>
  </property>
</Properties>
</file>